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7B2E9" w14:textId="34914598" w:rsidR="002643AC" w:rsidRDefault="002643AC" w:rsidP="00496F66">
      <w:pPr>
        <w:pStyle w:val="p1"/>
        <w:rPr>
          <w:noProof/>
        </w:rPr>
      </w:pPr>
      <w:r>
        <w:rPr>
          <w:noProof/>
        </w:rPr>
        <w:drawing>
          <wp:anchor distT="0" distB="0" distL="114300" distR="114300" simplePos="0" relativeHeight="251659264" behindDoc="0" locked="0" layoutInCell="1" allowOverlap="1" wp14:anchorId="4427B6B4" wp14:editId="15069FC4">
            <wp:simplePos x="0" y="0"/>
            <wp:positionH relativeFrom="column">
              <wp:posOffset>0</wp:posOffset>
            </wp:positionH>
            <wp:positionV relativeFrom="paragraph">
              <wp:posOffset>207645</wp:posOffset>
            </wp:positionV>
            <wp:extent cx="4343400" cy="2431415"/>
            <wp:effectExtent l="0" t="0" r="0" b="0"/>
            <wp:wrapTopAndBottom/>
            <wp:docPr id="1431205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05961" name=""/>
                    <pic:cNvPicPr/>
                  </pic:nvPicPr>
                  <pic:blipFill>
                    <a:blip r:embed="rId4"/>
                    <a:stretch>
                      <a:fillRect/>
                    </a:stretch>
                  </pic:blipFill>
                  <pic:spPr>
                    <a:xfrm>
                      <a:off x="0" y="0"/>
                      <a:ext cx="4343400" cy="2431415"/>
                    </a:xfrm>
                    <a:prstGeom prst="rect">
                      <a:avLst/>
                    </a:prstGeom>
                  </pic:spPr>
                </pic:pic>
              </a:graphicData>
            </a:graphic>
            <wp14:sizeRelH relativeFrom="margin">
              <wp14:pctWidth>0</wp14:pctWidth>
            </wp14:sizeRelH>
            <wp14:sizeRelV relativeFrom="margin">
              <wp14:pctHeight>0</wp14:pctHeight>
            </wp14:sizeRelV>
          </wp:anchor>
        </w:drawing>
      </w:r>
    </w:p>
    <w:p w14:paraId="2F47B0C0" w14:textId="77777777" w:rsidR="002643AC" w:rsidRDefault="002643AC" w:rsidP="00496F66">
      <w:pPr>
        <w:pStyle w:val="p1"/>
        <w:rPr>
          <w:noProof/>
        </w:rPr>
      </w:pPr>
    </w:p>
    <w:p w14:paraId="3559F382" w14:textId="77777777" w:rsidR="002643AC" w:rsidRDefault="002643AC" w:rsidP="00496F66">
      <w:pPr>
        <w:pStyle w:val="p1"/>
        <w:rPr>
          <w:noProof/>
        </w:rPr>
      </w:pPr>
    </w:p>
    <w:p w14:paraId="5B0E6E5F" w14:textId="77777777" w:rsidR="002643AC" w:rsidRDefault="002643AC" w:rsidP="00496F66">
      <w:pPr>
        <w:pStyle w:val="p1"/>
        <w:rPr>
          <w:noProof/>
        </w:rPr>
      </w:pPr>
    </w:p>
    <w:p w14:paraId="16CFB615" w14:textId="56DF9971" w:rsidR="00683E32" w:rsidRPr="00496F66" w:rsidRDefault="007A0AC7" w:rsidP="00496F66">
      <w:pPr>
        <w:pStyle w:val="p1"/>
        <w:rPr>
          <w:rFonts w:ascii="Helvetica" w:hAnsi="Helvetica"/>
          <w:color w:val="auto"/>
          <w:sz w:val="18"/>
          <w:szCs w:val="18"/>
        </w:rPr>
      </w:pPr>
      <w:r>
        <w:rPr>
          <w:rStyle w:val="Strong"/>
          <w:rFonts w:eastAsia="Times New Roman"/>
        </w:rPr>
        <w:t>Student Name:</w:t>
      </w:r>
      <w:r>
        <w:rPr>
          <w:rStyle w:val="apple-converted-space"/>
          <w:rFonts w:ascii="-webkit-standard" w:eastAsia="Times New Roman" w:hAnsi="-webkit-standard"/>
        </w:rPr>
        <w:t> </w:t>
      </w:r>
      <w:r>
        <w:rPr>
          <w:rFonts w:ascii="-webkit-standard" w:eastAsia="Times New Roman" w:hAnsi="-webkit-standard"/>
        </w:rPr>
        <w:t>Sarah</w:t>
      </w:r>
      <w:r w:rsidR="00813045">
        <w:rPr>
          <w:rFonts w:ascii="-webkit-standard" w:eastAsia="Times New Roman" w:hAnsi="-webkit-standard"/>
        </w:rPr>
        <w:t xml:space="preserve"> Birabwa </w:t>
      </w:r>
      <w:r>
        <w:rPr>
          <w:rFonts w:eastAsia="Times New Roman"/>
        </w:rPr>
        <w:br/>
      </w:r>
      <w:r>
        <w:rPr>
          <w:rStyle w:val="Strong"/>
          <w:rFonts w:eastAsia="Times New Roman"/>
        </w:rPr>
        <w:t xml:space="preserve">Student Number: </w:t>
      </w:r>
      <w:r w:rsidR="00D1436F">
        <w:rPr>
          <w:rFonts w:ascii="Arial" w:eastAsia="Times New Roman" w:hAnsi="Arial" w:cs="Arial"/>
          <w:color w:val="242130"/>
          <w:shd w:val="clear" w:color="auto" w:fill="FFFFFF"/>
        </w:rPr>
        <w:t>2430883</w:t>
      </w:r>
      <w:r>
        <w:rPr>
          <w:rFonts w:eastAsia="Times New Roman"/>
        </w:rPr>
        <w:br/>
      </w:r>
      <w:r>
        <w:rPr>
          <w:rStyle w:val="Strong"/>
          <w:rFonts w:eastAsia="Times New Roman"/>
        </w:rPr>
        <w:t>Module Code and Title:</w:t>
      </w:r>
      <w:r>
        <w:rPr>
          <w:rStyle w:val="apple-converted-space"/>
          <w:rFonts w:ascii="-webkit-standard" w:eastAsia="Times New Roman" w:hAnsi="-webkit-standard"/>
        </w:rPr>
        <w:t> </w:t>
      </w:r>
      <w:r w:rsidR="00683E32" w:rsidRPr="00683E32">
        <w:rPr>
          <w:rFonts w:ascii="Helvetica" w:hAnsi="Helvetica"/>
          <w:color w:val="auto"/>
          <w:sz w:val="18"/>
          <w:szCs w:val="18"/>
        </w:rPr>
        <w:t>Psychology in Health and Social Care (LCHS4010_LON)</w:t>
      </w:r>
    </w:p>
    <w:p w14:paraId="5B4A2F68" w14:textId="07ACBB2A" w:rsidR="00ED67F0" w:rsidRPr="00ED67F0" w:rsidRDefault="00D1436F">
      <w:pPr>
        <w:pStyle w:val="p1"/>
        <w:divId w:val="999498662"/>
        <w:rPr>
          <w:rFonts w:ascii="Arial" w:hAnsi="Arial" w:cs="Arial"/>
          <w:sz w:val="17"/>
          <w:szCs w:val="17"/>
        </w:rPr>
      </w:pPr>
      <w:r>
        <w:rPr>
          <w:rStyle w:val="Strong"/>
          <w:rFonts w:eastAsia="Times New Roman"/>
        </w:rPr>
        <w:t xml:space="preserve"> </w:t>
      </w:r>
      <w:r w:rsidR="007A0AC7">
        <w:rPr>
          <w:rStyle w:val="Strong"/>
          <w:rFonts w:eastAsia="Times New Roman"/>
        </w:rPr>
        <w:t>Lecturer’s Name:</w:t>
      </w:r>
      <w:r w:rsidR="00496F66">
        <w:rPr>
          <w:rStyle w:val="apple-converted-space"/>
          <w:rFonts w:ascii="-webkit-standard" w:eastAsia="Times New Roman" w:hAnsi="-webkit-standard"/>
        </w:rPr>
        <w:t xml:space="preserve"> Peace </w:t>
      </w:r>
      <w:r w:rsidR="007A0AC7">
        <w:rPr>
          <w:rFonts w:eastAsia="Times New Roman"/>
        </w:rPr>
        <w:br/>
      </w:r>
      <w:r w:rsidR="007A0AC7">
        <w:rPr>
          <w:rStyle w:val="Strong"/>
          <w:rFonts w:eastAsia="Times New Roman"/>
        </w:rPr>
        <w:t>Assignment Title:</w:t>
      </w:r>
      <w:r w:rsidR="00105664">
        <w:rPr>
          <w:rStyle w:val="Strong"/>
          <w:rFonts w:eastAsia="Times New Roman"/>
        </w:rPr>
        <w:t xml:space="preserve"> </w:t>
      </w:r>
      <w:r w:rsidR="00ED67F0" w:rsidRPr="00ED67F0">
        <w:rPr>
          <w:rFonts w:ascii="Arial-BoldMT" w:hAnsi="Arial-BoldMT" w:cs="Arial"/>
          <w:b/>
          <w:bCs/>
          <w:sz w:val="17"/>
          <w:szCs w:val="17"/>
        </w:rPr>
        <w:t>Assignment 2</w:t>
      </w:r>
    </w:p>
    <w:p w14:paraId="55286490" w14:textId="48099581" w:rsidR="007A0AC7" w:rsidRDefault="007A0AC7">
      <w:pPr>
        <w:rPr>
          <w:rFonts w:ascii="Open Sans" w:eastAsia="Times New Roman" w:hAnsi="Open Sans" w:cs="Open Sans"/>
          <w:b/>
          <w:bCs/>
          <w:color w:val="172B4D"/>
          <w:sz w:val="21"/>
          <w:szCs w:val="21"/>
          <w:shd w:val="clear" w:color="auto" w:fill="FFFFFF"/>
        </w:rPr>
      </w:pPr>
    </w:p>
    <w:p w14:paraId="40C6B8CD" w14:textId="77777777" w:rsidR="00F467F7" w:rsidRDefault="00F467F7">
      <w:pPr>
        <w:rPr>
          <w:rFonts w:ascii="Open Sans" w:eastAsia="Times New Roman" w:hAnsi="Open Sans" w:cs="Open Sans"/>
          <w:b/>
          <w:bCs/>
          <w:color w:val="172B4D"/>
          <w:sz w:val="21"/>
          <w:szCs w:val="21"/>
          <w:shd w:val="clear" w:color="auto" w:fill="FFFFFF"/>
        </w:rPr>
      </w:pPr>
    </w:p>
    <w:p w14:paraId="4D03FEE3" w14:textId="77777777" w:rsidR="00F467F7" w:rsidRPr="008C6FF8" w:rsidRDefault="00F467F7">
      <w:pPr>
        <w:rPr>
          <w:rFonts w:ascii="Arial" w:eastAsia="Times New Roman" w:hAnsi="Arial" w:cs="Arial"/>
          <w:b/>
          <w:bCs/>
          <w:color w:val="172B4D"/>
          <w:sz w:val="22"/>
          <w:szCs w:val="22"/>
          <w:shd w:val="clear" w:color="auto" w:fill="FFFFFF"/>
        </w:rPr>
      </w:pPr>
    </w:p>
    <w:p w14:paraId="5DAD0B25" w14:textId="77777777" w:rsidR="00F467F7" w:rsidRDefault="00F467F7">
      <w:pPr>
        <w:rPr>
          <w:rFonts w:ascii="Open Sans" w:eastAsia="Times New Roman" w:hAnsi="Open Sans" w:cs="Open Sans"/>
          <w:b/>
          <w:bCs/>
          <w:color w:val="172B4D"/>
          <w:sz w:val="21"/>
          <w:szCs w:val="21"/>
          <w:shd w:val="clear" w:color="auto" w:fill="FFFFFF"/>
        </w:rPr>
      </w:pPr>
    </w:p>
    <w:p w14:paraId="3E477322" w14:textId="77777777" w:rsidR="00676CC6" w:rsidRDefault="00676CC6">
      <w:pPr>
        <w:rPr>
          <w:rFonts w:ascii="Open Sans" w:eastAsia="Times New Roman" w:hAnsi="Open Sans" w:cs="Open Sans"/>
          <w:b/>
          <w:bCs/>
          <w:color w:val="172B4D"/>
          <w:sz w:val="21"/>
          <w:szCs w:val="21"/>
          <w:shd w:val="clear" w:color="auto" w:fill="FFFFFF"/>
        </w:rPr>
      </w:pPr>
    </w:p>
    <w:p w14:paraId="0F262BB9" w14:textId="77777777" w:rsidR="00676CC6" w:rsidRDefault="00676CC6">
      <w:pPr>
        <w:rPr>
          <w:rFonts w:ascii="Open Sans" w:eastAsia="Times New Roman" w:hAnsi="Open Sans" w:cs="Open Sans"/>
          <w:b/>
          <w:bCs/>
          <w:color w:val="172B4D"/>
          <w:sz w:val="21"/>
          <w:szCs w:val="21"/>
          <w:shd w:val="clear" w:color="auto" w:fill="FFFFFF"/>
        </w:rPr>
      </w:pPr>
    </w:p>
    <w:p w14:paraId="22F38EF6" w14:textId="77777777" w:rsidR="00676CC6" w:rsidRDefault="00676CC6">
      <w:pPr>
        <w:rPr>
          <w:rFonts w:ascii="Open Sans" w:eastAsia="Times New Roman" w:hAnsi="Open Sans" w:cs="Open Sans"/>
          <w:b/>
          <w:bCs/>
          <w:color w:val="172B4D"/>
          <w:sz w:val="21"/>
          <w:szCs w:val="21"/>
          <w:shd w:val="clear" w:color="auto" w:fill="FFFFFF"/>
        </w:rPr>
      </w:pPr>
    </w:p>
    <w:p w14:paraId="0C7948CE" w14:textId="77777777" w:rsidR="00676CC6" w:rsidRDefault="00676CC6">
      <w:pPr>
        <w:rPr>
          <w:rFonts w:ascii="Open Sans" w:eastAsia="Times New Roman" w:hAnsi="Open Sans" w:cs="Open Sans"/>
          <w:b/>
          <w:bCs/>
          <w:color w:val="172B4D"/>
          <w:sz w:val="21"/>
          <w:szCs w:val="21"/>
          <w:shd w:val="clear" w:color="auto" w:fill="FFFFFF"/>
        </w:rPr>
      </w:pPr>
    </w:p>
    <w:p w14:paraId="00814F26" w14:textId="77777777" w:rsidR="00676CC6" w:rsidRDefault="00676CC6">
      <w:pPr>
        <w:rPr>
          <w:rFonts w:ascii="Open Sans" w:eastAsia="Times New Roman" w:hAnsi="Open Sans" w:cs="Open Sans"/>
          <w:b/>
          <w:bCs/>
          <w:color w:val="172B4D"/>
          <w:sz w:val="21"/>
          <w:szCs w:val="21"/>
          <w:shd w:val="clear" w:color="auto" w:fill="FFFFFF"/>
        </w:rPr>
      </w:pPr>
    </w:p>
    <w:p w14:paraId="7BCBFABD" w14:textId="77777777" w:rsidR="00676CC6" w:rsidRDefault="00676CC6">
      <w:pPr>
        <w:rPr>
          <w:rFonts w:ascii="Open Sans" w:eastAsia="Times New Roman" w:hAnsi="Open Sans" w:cs="Open Sans"/>
          <w:b/>
          <w:bCs/>
          <w:color w:val="172B4D"/>
          <w:sz w:val="21"/>
          <w:szCs w:val="21"/>
          <w:shd w:val="clear" w:color="auto" w:fill="FFFFFF"/>
        </w:rPr>
      </w:pPr>
    </w:p>
    <w:p w14:paraId="68EB6880" w14:textId="77777777" w:rsidR="00676CC6" w:rsidRDefault="00676CC6">
      <w:pPr>
        <w:rPr>
          <w:rFonts w:ascii="Open Sans" w:eastAsia="Times New Roman" w:hAnsi="Open Sans" w:cs="Open Sans"/>
          <w:b/>
          <w:bCs/>
          <w:color w:val="172B4D"/>
          <w:sz w:val="21"/>
          <w:szCs w:val="21"/>
          <w:shd w:val="clear" w:color="auto" w:fill="FFFFFF"/>
        </w:rPr>
      </w:pPr>
    </w:p>
    <w:p w14:paraId="54718A3E" w14:textId="77777777" w:rsidR="00676CC6" w:rsidRDefault="00676CC6">
      <w:pPr>
        <w:rPr>
          <w:rFonts w:ascii="Open Sans" w:eastAsia="Times New Roman" w:hAnsi="Open Sans" w:cs="Open Sans"/>
          <w:b/>
          <w:bCs/>
          <w:color w:val="172B4D"/>
          <w:sz w:val="21"/>
          <w:szCs w:val="21"/>
          <w:shd w:val="clear" w:color="auto" w:fill="FFFFFF"/>
        </w:rPr>
      </w:pPr>
    </w:p>
    <w:p w14:paraId="618694E5" w14:textId="5C6CC940" w:rsidR="007A0AC7" w:rsidRDefault="00F467F7">
      <w:pPr>
        <w:rPr>
          <w:rFonts w:ascii="Open Sans" w:eastAsia="Times New Roman" w:hAnsi="Open Sans" w:cs="Open Sans"/>
          <w:b/>
          <w:bCs/>
          <w:color w:val="172B4D"/>
          <w:sz w:val="21"/>
          <w:szCs w:val="21"/>
          <w:shd w:val="clear" w:color="auto" w:fill="FFFFFF"/>
        </w:rPr>
      </w:pPr>
      <w:r>
        <w:rPr>
          <w:rFonts w:ascii="Open Sans" w:eastAsia="Times New Roman" w:hAnsi="Open Sans" w:cs="Open Sans"/>
          <w:b/>
          <w:bCs/>
          <w:color w:val="172B4D"/>
          <w:sz w:val="21"/>
          <w:szCs w:val="21"/>
          <w:shd w:val="clear" w:color="auto" w:fill="FFFFFF"/>
        </w:rPr>
        <w:lastRenderedPageBreak/>
        <w:t xml:space="preserve">Applying </w:t>
      </w:r>
      <w:r w:rsidR="00CC49D5">
        <w:rPr>
          <w:rFonts w:ascii="Open Sans" w:eastAsia="Times New Roman" w:hAnsi="Open Sans" w:cs="Open Sans"/>
          <w:b/>
          <w:bCs/>
          <w:color w:val="172B4D"/>
          <w:sz w:val="21"/>
          <w:szCs w:val="21"/>
          <w:shd w:val="clear" w:color="auto" w:fill="FFFFFF"/>
        </w:rPr>
        <w:t xml:space="preserve">Psychological </w:t>
      </w:r>
      <w:r w:rsidR="002E056D">
        <w:rPr>
          <w:rFonts w:ascii="Open Sans" w:eastAsia="Times New Roman" w:hAnsi="Open Sans" w:cs="Open Sans"/>
          <w:b/>
          <w:bCs/>
          <w:color w:val="172B4D"/>
          <w:sz w:val="21"/>
          <w:szCs w:val="21"/>
          <w:shd w:val="clear" w:color="auto" w:fill="FFFFFF"/>
        </w:rPr>
        <w:t>Theories to Support Okder Adults with Psychological Health Conditions in Dementia Care Homes</w:t>
      </w:r>
    </w:p>
    <w:p w14:paraId="54FFB32A" w14:textId="09A6DD5B" w:rsidR="00D87565" w:rsidRPr="00D87565" w:rsidRDefault="00D87565">
      <w:pPr>
        <w:rPr>
          <w:rFonts w:ascii="Open Sans" w:eastAsia="Times New Roman" w:hAnsi="Open Sans" w:cs="Open Sans"/>
          <w:b/>
          <w:bCs/>
          <w:color w:val="172B4D"/>
          <w:sz w:val="21"/>
          <w:szCs w:val="21"/>
          <w:shd w:val="clear" w:color="auto" w:fill="FFFFFF"/>
        </w:rPr>
      </w:pPr>
      <w:r w:rsidRPr="00D87565">
        <w:rPr>
          <w:rFonts w:ascii="Open Sans" w:eastAsia="Times New Roman" w:hAnsi="Open Sans" w:cs="Open Sans"/>
          <w:b/>
          <w:bCs/>
          <w:color w:val="172B4D"/>
          <w:sz w:val="21"/>
          <w:szCs w:val="21"/>
          <w:shd w:val="clear" w:color="auto" w:fill="FFFFFF"/>
        </w:rPr>
        <w:t xml:space="preserve">Introduction </w:t>
      </w:r>
    </w:p>
    <w:p w14:paraId="1E78C3BC" w14:textId="77777777" w:rsidR="005F0389" w:rsidRDefault="00D87565">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The global increase in life expectancy has resulted in a growing population of older adults aged 65 and above who require health and social care services, especially those affected by mental health conditions such as dementia, melancholy, and anxiety (World Health Organisation, 2021).Dementia care facilities play an essential role in meeting both the physical and psychological needs of this population.Psychological well-being is particularly crucial, as cognitive decline, loss of independence, and social isolation can markedly impact mental health in older adulthood (Alzheimer’s Society, 2023).</w:t>
      </w:r>
    </w:p>
    <w:p w14:paraId="7C2DB704" w14:textId="4A9703C7" w:rsidR="00D87565" w:rsidRDefault="00D87565">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Psychological theories provide essential frameworks that enable health and social care personnel to comprehend behaviour, emotional requirements, and developmental difficulties in older adulthood. This report is intended for health and social care professionals working in dementia care homes and offers guidance on how psychological theories and research can be utilised to support persons aged 65 and over experiencing psychological health conditions.The report concentrates on a dementia care home environment and critically examines two pertinent psychological theories: Erikson’s Psychosocial Theory of Development and Kitwood’s Person-Centred Theory of Dementia Care. Each theory will be elucidated, demonstrated through practical application, and subjected to critical evaluation, including a discussion of prospective challenges faced by professionals.</w:t>
      </w:r>
    </w:p>
    <w:p w14:paraId="345B5B31" w14:textId="77777777" w:rsidR="00C31579" w:rsidRDefault="00C31579">
      <w:pPr>
        <w:rPr>
          <w:rFonts w:ascii="Open Sans" w:eastAsia="Times New Roman" w:hAnsi="Open Sans" w:cs="Open Sans"/>
          <w:color w:val="172B4D"/>
          <w:sz w:val="21"/>
          <w:szCs w:val="21"/>
          <w:shd w:val="clear" w:color="auto" w:fill="FFFFFF"/>
        </w:rPr>
      </w:pPr>
    </w:p>
    <w:p w14:paraId="5111D7E0" w14:textId="271B56B2" w:rsidR="00027545" w:rsidRDefault="00C31579">
      <w:pPr>
        <w:rPr>
          <w:rFonts w:ascii="Open Sans" w:eastAsia="Times New Roman" w:hAnsi="Open Sans" w:cs="Open Sans"/>
          <w:color w:val="172B4D"/>
          <w:sz w:val="21"/>
          <w:szCs w:val="21"/>
          <w:shd w:val="clear" w:color="auto" w:fill="FFFFFF"/>
        </w:rPr>
      </w:pPr>
      <w:r w:rsidRPr="009013C1">
        <w:rPr>
          <w:rFonts w:ascii="Open Sans" w:eastAsia="Times New Roman" w:hAnsi="Open Sans" w:cs="Open Sans"/>
          <w:b/>
          <w:bCs/>
          <w:color w:val="172B4D"/>
          <w:sz w:val="21"/>
          <w:szCs w:val="21"/>
          <w:shd w:val="clear" w:color="auto" w:fill="FFFFFF"/>
        </w:rPr>
        <w:t xml:space="preserve">Context: Elderly Residents within a Dementia Care Facility </w:t>
      </w:r>
      <w:r>
        <w:rPr>
          <w:rFonts w:ascii="Open Sans" w:eastAsia="Times New Roman" w:hAnsi="Open Sans" w:cs="Open Sans"/>
          <w:color w:val="172B4D"/>
          <w:sz w:val="21"/>
          <w:szCs w:val="21"/>
          <w:shd w:val="clear" w:color="auto" w:fill="FFFFFF"/>
        </w:rPr>
        <w:t>Dementia care facilities provide extended residential services for elderly individuals exhibiting progressive cognitive deterioration, memory deficits, and changes in behaviour and personality (Kitwood, 1997).Individuals often experience psychological difficulties, including disorientation, apprehension, despondency, identity erosion, and reduced self-worth (Brooker, 2019).Relocating to a residential care facility can also elicit feelings of bereavement, loneliness, and a diminished sense of self-determination, particularly when individuals are removed from their established environments and social positions (Woods et al., 2018)</w:t>
      </w:r>
      <w:r w:rsidR="008F5AE1">
        <w:rPr>
          <w:rFonts w:ascii="Open Sans" w:eastAsia="Times New Roman" w:hAnsi="Open Sans" w:cs="Open Sans"/>
          <w:color w:val="172B4D"/>
          <w:sz w:val="21"/>
          <w:szCs w:val="21"/>
          <w:shd w:val="clear" w:color="auto" w:fill="FFFFFF"/>
        </w:rPr>
        <w:t xml:space="preserve">. </w:t>
      </w:r>
    </w:p>
    <w:p w14:paraId="11C5E686" w14:textId="3C923BED" w:rsidR="00345F24" w:rsidRDefault="008F5AE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H</w:t>
      </w:r>
      <w:r w:rsidR="00345F24">
        <w:rPr>
          <w:rFonts w:ascii="Open Sans" w:eastAsia="Times New Roman" w:hAnsi="Open Sans" w:cs="Open Sans"/>
          <w:color w:val="172B4D"/>
          <w:sz w:val="21"/>
          <w:szCs w:val="21"/>
          <w:shd w:val="clear" w:color="auto" w:fill="FFFFFF"/>
        </w:rPr>
        <w:t>ealthcare and social work professionals are therefore required to attend to both physical demands and psychological and emotional well-being. The utilisation of psychological theories enables practitioners to develop a deeper understanding of residents' experiences and to devise person-centred, empathic care practices (McLeod, 2018).</w:t>
      </w:r>
    </w:p>
    <w:p w14:paraId="2D2631A3" w14:textId="77777777" w:rsidR="002F0FF3" w:rsidRDefault="002F0FF3">
      <w:pPr>
        <w:rPr>
          <w:rFonts w:ascii="Open Sans" w:eastAsia="Times New Roman" w:hAnsi="Open Sans" w:cs="Open Sans"/>
          <w:color w:val="172B4D"/>
          <w:sz w:val="21"/>
          <w:szCs w:val="21"/>
          <w:shd w:val="clear" w:color="auto" w:fill="FFFFFF"/>
        </w:rPr>
      </w:pPr>
    </w:p>
    <w:p w14:paraId="553F8485" w14:textId="77777777" w:rsidR="00676CC6" w:rsidRDefault="00676CC6">
      <w:pPr>
        <w:rPr>
          <w:rFonts w:ascii="Open Sans" w:eastAsia="Times New Roman" w:hAnsi="Open Sans" w:cs="Open Sans"/>
          <w:b/>
          <w:bCs/>
          <w:color w:val="172B4D"/>
          <w:sz w:val="21"/>
          <w:szCs w:val="21"/>
          <w:shd w:val="clear" w:color="auto" w:fill="FFFFFF"/>
        </w:rPr>
      </w:pPr>
    </w:p>
    <w:p w14:paraId="6E3189CA" w14:textId="22D15F3E" w:rsidR="009013C1" w:rsidRPr="009A6361" w:rsidRDefault="009013C1">
      <w:pPr>
        <w:rPr>
          <w:rFonts w:ascii="Open Sans" w:eastAsia="Times New Roman" w:hAnsi="Open Sans" w:cs="Open Sans"/>
          <w:b/>
          <w:bCs/>
          <w:color w:val="172B4D"/>
          <w:sz w:val="21"/>
          <w:szCs w:val="21"/>
          <w:shd w:val="clear" w:color="auto" w:fill="FFFFFF"/>
        </w:rPr>
      </w:pPr>
      <w:r w:rsidRPr="009A6361">
        <w:rPr>
          <w:rFonts w:ascii="Open Sans" w:eastAsia="Times New Roman" w:hAnsi="Open Sans" w:cs="Open Sans"/>
          <w:b/>
          <w:bCs/>
          <w:color w:val="172B4D"/>
          <w:sz w:val="21"/>
          <w:szCs w:val="21"/>
          <w:shd w:val="clear" w:color="auto" w:fill="FFFFFF"/>
        </w:rPr>
        <w:lastRenderedPageBreak/>
        <w:t xml:space="preserve">Theory One: Erikson’s </w:t>
      </w:r>
      <w:r w:rsidR="009A6361" w:rsidRPr="009A6361">
        <w:rPr>
          <w:rFonts w:ascii="Open Sans" w:eastAsia="Times New Roman" w:hAnsi="Open Sans" w:cs="Open Sans"/>
          <w:b/>
          <w:bCs/>
          <w:color w:val="172B4D"/>
          <w:sz w:val="21"/>
          <w:szCs w:val="21"/>
          <w:shd w:val="clear" w:color="auto" w:fill="FFFFFF"/>
        </w:rPr>
        <w:t xml:space="preserve">Psychosocial Theory of Development </w:t>
      </w:r>
    </w:p>
    <w:p w14:paraId="52637917" w14:textId="3D7217EC" w:rsidR="00A27225" w:rsidRDefault="002F0FF3">
      <w:pPr>
        <w:rPr>
          <w:rFonts w:ascii="Open Sans" w:eastAsia="Times New Roman" w:hAnsi="Open Sans" w:cs="Open Sans"/>
          <w:b/>
          <w:bCs/>
          <w:color w:val="172B4D"/>
          <w:sz w:val="21"/>
          <w:szCs w:val="21"/>
          <w:shd w:val="clear" w:color="auto" w:fill="FFFFFF"/>
        </w:rPr>
      </w:pPr>
      <w:r w:rsidRPr="00A27225">
        <w:rPr>
          <w:rFonts w:ascii="Open Sans" w:eastAsia="Times New Roman" w:hAnsi="Open Sans" w:cs="Open Sans"/>
          <w:b/>
          <w:bCs/>
          <w:color w:val="172B4D"/>
          <w:sz w:val="21"/>
          <w:szCs w:val="21"/>
          <w:shd w:val="clear" w:color="auto" w:fill="FFFFFF"/>
        </w:rPr>
        <w:t xml:space="preserve">Summary of the Theory </w:t>
      </w:r>
    </w:p>
    <w:p w14:paraId="518BDADB" w14:textId="77777777" w:rsidR="00FA01E3" w:rsidRDefault="002F0FF3">
      <w:pPr>
        <w:rPr>
          <w:rFonts w:ascii="Open Sans" w:eastAsia="Times New Roman" w:hAnsi="Open Sans" w:cs="Open Sans"/>
          <w:color w:val="172B4D"/>
          <w:sz w:val="21"/>
          <w:szCs w:val="21"/>
          <w:shd w:val="clear" w:color="auto" w:fill="FFFFFF"/>
        </w:rPr>
      </w:pPr>
      <w:r w:rsidRPr="00A27225">
        <w:rPr>
          <w:rFonts w:ascii="Open Sans" w:eastAsia="Times New Roman" w:hAnsi="Open Sans" w:cs="Open Sans"/>
          <w:b/>
          <w:bCs/>
          <w:color w:val="172B4D"/>
          <w:sz w:val="21"/>
          <w:szCs w:val="21"/>
          <w:shd w:val="clear" w:color="auto" w:fill="FFFFFF"/>
        </w:rPr>
        <w:t xml:space="preserve"> </w:t>
      </w:r>
      <w:r>
        <w:rPr>
          <w:rFonts w:ascii="Open Sans" w:eastAsia="Times New Roman" w:hAnsi="Open Sans" w:cs="Open Sans"/>
          <w:color w:val="172B4D"/>
          <w:sz w:val="21"/>
          <w:szCs w:val="21"/>
          <w:shd w:val="clear" w:color="auto" w:fill="FFFFFF"/>
        </w:rPr>
        <w:t>Theory of Development posits that humans navigate eight stages throughout their lifespan, each characterised by a psychosocial conflict that impacts personality and well-being (Erikson, 1982). The concluding stage, Ego Integrity vs Despair, transpires in late adulthood (about age 65 and beyond).</w:t>
      </w:r>
    </w:p>
    <w:p w14:paraId="125DDE78" w14:textId="2F3F678D" w:rsidR="00467AC3" w:rsidRDefault="000953A2">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At this stage, individuals reflect on their life </w:t>
      </w:r>
      <w:r w:rsidR="00813045">
        <w:rPr>
          <w:rFonts w:ascii="Open Sans" w:eastAsia="Times New Roman" w:hAnsi="Open Sans" w:cs="Open Sans"/>
          <w:color w:val="172B4D"/>
          <w:sz w:val="21"/>
          <w:szCs w:val="21"/>
          <w:shd w:val="clear" w:color="auto" w:fill="FFFFFF"/>
        </w:rPr>
        <w:t xml:space="preserve">experiences. </w:t>
      </w:r>
      <w:r w:rsidR="00FF3F54">
        <w:rPr>
          <w:rFonts w:ascii="Open Sans" w:eastAsia="Times New Roman" w:hAnsi="Open Sans" w:cs="Open Sans"/>
          <w:color w:val="172B4D"/>
          <w:sz w:val="21"/>
          <w:szCs w:val="21"/>
          <w:shd w:val="clear" w:color="auto" w:fill="FFFFFF"/>
        </w:rPr>
        <w:t>When individuals perceive their life as meaningful and fulfilling, they achieve ego integrity, leading to feelings of acceptance, wisdom, and tranquilly. However, if individuals experience regret or dissatisfaction, they may develop despair, which is associated with depression, anxiety, and a fear of death (Erikson, 1982; McLeod, 2018).</w:t>
      </w:r>
    </w:p>
    <w:p w14:paraId="484BAF3F" w14:textId="348CAE1F" w:rsidR="00CB09E9" w:rsidRDefault="00CB09E9">
      <w:pPr>
        <w:rPr>
          <w:rFonts w:ascii="Open Sans" w:eastAsia="Times New Roman" w:hAnsi="Open Sans" w:cs="Open Sans"/>
          <w:color w:val="172B4D"/>
          <w:sz w:val="21"/>
          <w:szCs w:val="21"/>
          <w:shd w:val="clear" w:color="auto" w:fill="FFFFFF"/>
        </w:rPr>
      </w:pPr>
    </w:p>
    <w:p w14:paraId="3862398C" w14:textId="77777777" w:rsidR="00E20832" w:rsidRPr="00E20832" w:rsidRDefault="00467AC3">
      <w:pPr>
        <w:rPr>
          <w:rFonts w:ascii="Open Sans" w:eastAsia="Times New Roman" w:hAnsi="Open Sans" w:cs="Open Sans"/>
          <w:b/>
          <w:bCs/>
          <w:color w:val="172B4D"/>
          <w:sz w:val="21"/>
          <w:szCs w:val="21"/>
          <w:shd w:val="clear" w:color="auto" w:fill="FFFFFF"/>
        </w:rPr>
      </w:pPr>
      <w:r w:rsidRPr="00D85CBD">
        <w:rPr>
          <w:rFonts w:ascii="Open Sans" w:eastAsia="Times New Roman" w:hAnsi="Open Sans" w:cs="Open Sans"/>
          <w:b/>
          <w:bCs/>
          <w:color w:val="172B4D"/>
          <w:sz w:val="21"/>
          <w:szCs w:val="21"/>
          <w:shd w:val="clear" w:color="auto" w:fill="FFFFFF"/>
        </w:rPr>
        <w:t>Application</w:t>
      </w:r>
      <w:r>
        <w:rPr>
          <w:rFonts w:ascii="Open Sans" w:eastAsia="Times New Roman" w:hAnsi="Open Sans" w:cs="Open Sans"/>
          <w:color w:val="172B4D"/>
          <w:sz w:val="21"/>
          <w:szCs w:val="21"/>
          <w:shd w:val="clear" w:color="auto" w:fill="FFFFFF"/>
        </w:rPr>
        <w:t xml:space="preserve"> </w:t>
      </w:r>
      <w:r w:rsidR="00E20832" w:rsidRPr="00E20832">
        <w:rPr>
          <w:rFonts w:ascii="Open Sans" w:eastAsia="Times New Roman" w:hAnsi="Open Sans" w:cs="Open Sans"/>
          <w:b/>
          <w:bCs/>
          <w:color w:val="172B4D"/>
          <w:sz w:val="21"/>
          <w:szCs w:val="21"/>
          <w:shd w:val="clear" w:color="auto" w:fill="FFFFFF"/>
        </w:rPr>
        <w:t>in a Dementia Care Home</w:t>
      </w:r>
    </w:p>
    <w:p w14:paraId="2E7D5FD6" w14:textId="5B005FA6" w:rsidR="00467AC3" w:rsidRDefault="00467AC3">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Senior individuals in dementia care institutions may struggle to achieve ego integrity due to cognitive decline, less autonomy, and restricted opportunities for meaningful reflection (Bohlmeijer et al., 2011).Erikson's theory assists professionals in understanding the underlying causes of specific residents' experiences of low mood, despair, or social withdrawal.Health and social care workers can execute this concept through memory and life review exercises, which promote positive reflection and reinforce identity (Woods et al., 2018).Practical illustrations include: </w:t>
      </w:r>
    </w:p>
    <w:p w14:paraId="14930B32" w14:textId="77777777" w:rsidR="00467AC3" w:rsidRDefault="00467AC3">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Personal discussions regarding past achievements and relationships</w:t>
      </w:r>
    </w:p>
    <w:p w14:paraId="6A81BEDB" w14:textId="77777777" w:rsidR="00FC4089" w:rsidRDefault="00467AC3">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 Use of imagery, music, or familiar objects to stimulate recollections </w:t>
      </w:r>
    </w:p>
    <w:p w14:paraId="6DCC1822" w14:textId="77777777" w:rsidR="00FC4089" w:rsidRDefault="00467AC3">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Life story books to preserve personal narratives</w:t>
      </w:r>
    </w:p>
    <w:p w14:paraId="72DC5A65" w14:textId="77777777" w:rsidR="002F2B6D" w:rsidRDefault="00467AC3">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 Group memory events to foster social interaction </w:t>
      </w:r>
    </w:p>
    <w:p w14:paraId="4D1EE084" w14:textId="376D3022" w:rsidR="00892C44" w:rsidRDefault="00467AC3">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Research demonstrates that reminiscence therapy can mitigate depressive symptoms and improve emotional wellbeing in patients with dementia (Bohlmeijer et al., 2011; Woods et al., 2018).</w:t>
      </w:r>
    </w:p>
    <w:p w14:paraId="49C98245" w14:textId="68B56B00" w:rsidR="00410227" w:rsidRDefault="00410227">
      <w:pPr>
        <w:rPr>
          <w:rFonts w:ascii="Open Sans" w:eastAsia="Times New Roman" w:hAnsi="Open Sans" w:cs="Open Sans"/>
          <w:b/>
          <w:bCs/>
          <w:color w:val="172B4D"/>
          <w:sz w:val="21"/>
          <w:szCs w:val="21"/>
          <w:shd w:val="clear" w:color="auto" w:fill="FFFFFF"/>
        </w:rPr>
      </w:pPr>
      <w:r>
        <w:rPr>
          <w:rFonts w:ascii="Open Sans" w:eastAsia="Times New Roman" w:hAnsi="Open Sans" w:cs="Open Sans"/>
          <w:b/>
          <w:bCs/>
          <w:color w:val="172B4D"/>
          <w:sz w:val="21"/>
          <w:szCs w:val="21"/>
          <w:shd w:val="clear" w:color="auto" w:fill="FFFFFF"/>
        </w:rPr>
        <w:t xml:space="preserve">Critical </w:t>
      </w:r>
      <w:r w:rsidR="00467AC3" w:rsidRPr="00892C44">
        <w:rPr>
          <w:rFonts w:ascii="Open Sans" w:eastAsia="Times New Roman" w:hAnsi="Open Sans" w:cs="Open Sans"/>
          <w:b/>
          <w:bCs/>
          <w:color w:val="172B4D"/>
          <w:sz w:val="21"/>
          <w:szCs w:val="21"/>
          <w:shd w:val="clear" w:color="auto" w:fill="FFFFFF"/>
        </w:rPr>
        <w:t>Evaluation and Challenges</w:t>
      </w:r>
    </w:p>
    <w:p w14:paraId="5377F686" w14:textId="77777777" w:rsidR="00410227" w:rsidRDefault="00467AC3">
      <w:pPr>
        <w:rPr>
          <w:rFonts w:ascii="Open Sans" w:eastAsia="Times New Roman" w:hAnsi="Open Sans" w:cs="Open Sans"/>
          <w:color w:val="172B4D"/>
          <w:sz w:val="21"/>
          <w:szCs w:val="21"/>
          <w:shd w:val="clear" w:color="auto" w:fill="FFFFFF"/>
        </w:rPr>
      </w:pPr>
      <w:r w:rsidRPr="00892C44">
        <w:rPr>
          <w:rFonts w:ascii="Open Sans" w:eastAsia="Times New Roman" w:hAnsi="Open Sans" w:cs="Open Sans"/>
          <w:b/>
          <w:bCs/>
          <w:color w:val="172B4D"/>
          <w:sz w:val="21"/>
          <w:szCs w:val="21"/>
          <w:shd w:val="clear" w:color="auto" w:fill="FFFFFF"/>
        </w:rPr>
        <w:t xml:space="preserve"> </w:t>
      </w:r>
      <w:r>
        <w:rPr>
          <w:rFonts w:ascii="Open Sans" w:eastAsia="Times New Roman" w:hAnsi="Open Sans" w:cs="Open Sans"/>
          <w:color w:val="172B4D"/>
          <w:sz w:val="21"/>
          <w:szCs w:val="21"/>
          <w:shd w:val="clear" w:color="auto" w:fill="FFFFFF"/>
        </w:rPr>
        <w:t xml:space="preserve">A limitation of Erikson’s theory is its presumption that individuals can consciously contemplate their life, which may not be attainable for those with moderate to severe dementia (Brooker, 2019).The idea follows a linear developmental model, possibly neglecting cultural differences and diverse life experiences (McLeod, 2018). </w:t>
      </w:r>
    </w:p>
    <w:p w14:paraId="2AE31FE2" w14:textId="12D6BF5C" w:rsidR="00467AC3" w:rsidRDefault="00467AC3">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lastRenderedPageBreak/>
        <w:t>To address these challenges, specialists needed to customise remembering activities according to the individual's cognitive capacities, utilising sensory-focused or emotion-driven approaches.Although verbal reflection is limited, emotional validation can improve psychological comfort and reduce discomfort (Kitwood, 1997).</w:t>
      </w:r>
    </w:p>
    <w:p w14:paraId="2EE893D1" w14:textId="77777777" w:rsidR="00E04C1E" w:rsidRDefault="00E04C1E">
      <w:pPr>
        <w:rPr>
          <w:rFonts w:ascii="Open Sans" w:eastAsia="Times New Roman" w:hAnsi="Open Sans" w:cs="Open Sans"/>
          <w:color w:val="172B4D"/>
          <w:sz w:val="21"/>
          <w:szCs w:val="21"/>
          <w:shd w:val="clear" w:color="auto" w:fill="FFFFFF"/>
        </w:rPr>
      </w:pPr>
    </w:p>
    <w:p w14:paraId="3B983EF5" w14:textId="77777777" w:rsidR="00E04C1E" w:rsidRDefault="00E04C1E">
      <w:pPr>
        <w:rPr>
          <w:rFonts w:ascii="Open Sans" w:eastAsia="Times New Roman" w:hAnsi="Open Sans" w:cs="Open Sans"/>
          <w:color w:val="172B4D"/>
          <w:sz w:val="21"/>
          <w:szCs w:val="21"/>
          <w:shd w:val="clear" w:color="auto" w:fill="FFFFFF"/>
        </w:rPr>
      </w:pPr>
    </w:p>
    <w:p w14:paraId="7881AA0A" w14:textId="08579116" w:rsidR="00B90723" w:rsidRPr="00A446DC" w:rsidRDefault="00B90723">
      <w:pPr>
        <w:rPr>
          <w:rFonts w:ascii="Open Sans" w:eastAsia="Times New Roman" w:hAnsi="Open Sans" w:cs="Open Sans"/>
          <w:b/>
          <w:bCs/>
          <w:color w:val="172B4D"/>
          <w:sz w:val="21"/>
          <w:szCs w:val="21"/>
          <w:shd w:val="clear" w:color="auto" w:fill="FFFFFF"/>
        </w:rPr>
      </w:pPr>
      <w:r w:rsidRPr="00A446DC">
        <w:rPr>
          <w:rFonts w:ascii="Open Sans" w:eastAsia="Times New Roman" w:hAnsi="Open Sans" w:cs="Open Sans"/>
          <w:b/>
          <w:bCs/>
          <w:color w:val="172B4D"/>
          <w:sz w:val="21"/>
          <w:szCs w:val="21"/>
          <w:shd w:val="clear" w:color="auto" w:fill="FFFFFF"/>
        </w:rPr>
        <w:t xml:space="preserve">Theory Two: Kitwood’s </w:t>
      </w:r>
      <w:r w:rsidR="00A446DC" w:rsidRPr="00A446DC">
        <w:rPr>
          <w:rFonts w:ascii="Open Sans" w:eastAsia="Times New Roman" w:hAnsi="Open Sans" w:cs="Open Sans"/>
          <w:b/>
          <w:bCs/>
          <w:color w:val="172B4D"/>
          <w:sz w:val="21"/>
          <w:szCs w:val="21"/>
          <w:shd w:val="clear" w:color="auto" w:fill="FFFFFF"/>
        </w:rPr>
        <w:t>Person-Centred Theory of Dementia Care</w:t>
      </w:r>
    </w:p>
    <w:p w14:paraId="77D05CAB" w14:textId="64B2884A" w:rsidR="00B164A0" w:rsidRPr="00B164A0" w:rsidRDefault="00C26EEA">
      <w:pPr>
        <w:rPr>
          <w:rFonts w:ascii="Open Sans" w:eastAsia="Times New Roman" w:hAnsi="Open Sans" w:cs="Open Sans"/>
          <w:b/>
          <w:bCs/>
          <w:color w:val="172B4D"/>
          <w:sz w:val="21"/>
          <w:szCs w:val="21"/>
          <w:shd w:val="clear" w:color="auto" w:fill="FFFFFF"/>
        </w:rPr>
      </w:pPr>
      <w:r>
        <w:rPr>
          <w:rFonts w:ascii="Open Sans" w:eastAsia="Times New Roman" w:hAnsi="Open Sans" w:cs="Open Sans"/>
          <w:b/>
          <w:bCs/>
          <w:color w:val="172B4D"/>
          <w:sz w:val="21"/>
          <w:szCs w:val="21"/>
          <w:shd w:val="clear" w:color="auto" w:fill="FFFFFF"/>
        </w:rPr>
        <w:t xml:space="preserve">Overview of the Theory </w:t>
      </w:r>
    </w:p>
    <w:p w14:paraId="4010B396" w14:textId="77777777" w:rsidR="00AF757C" w:rsidRDefault="00E04C1E">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Theory of Dementia Care underscores that individuals with dementia must be regarded as distinct persons with emotional, social, and psychological needs, rather than being characterised solely by their illness (Kitwood, 1997). Kitwood proposed the notion of personhood, which pertains to the value and status ascribed to individuals via respectful relationships and interactions. </w:t>
      </w:r>
    </w:p>
    <w:p w14:paraId="49A0D0DB" w14:textId="5C2CDC6A" w:rsidR="00E04C1E" w:rsidRDefault="00E04C1E">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The idea posits that detrimental caregiving behaviours, termed malignant social psychology, including neglect, infantilisation, or hastening individuals, can exacerbate psychological discomfort and behavioural symptoms (Kitwood, 1997).</w:t>
      </w:r>
    </w:p>
    <w:p w14:paraId="3FF52BD9" w14:textId="77777777" w:rsidR="00B164A0" w:rsidRDefault="00B164A0">
      <w:pPr>
        <w:rPr>
          <w:rFonts w:ascii="Open Sans" w:eastAsia="Times New Roman" w:hAnsi="Open Sans" w:cs="Open Sans"/>
          <w:color w:val="172B4D"/>
          <w:sz w:val="21"/>
          <w:szCs w:val="21"/>
          <w:shd w:val="clear" w:color="auto" w:fill="FFFFFF"/>
        </w:rPr>
      </w:pPr>
    </w:p>
    <w:p w14:paraId="5E3BB259" w14:textId="6F2A24D0" w:rsidR="00D176A3" w:rsidRDefault="00430391">
      <w:pPr>
        <w:rPr>
          <w:rFonts w:ascii="Open Sans" w:eastAsia="Times New Roman" w:hAnsi="Open Sans" w:cs="Open Sans"/>
          <w:b/>
          <w:bCs/>
          <w:color w:val="172B4D"/>
          <w:sz w:val="21"/>
          <w:szCs w:val="21"/>
          <w:shd w:val="clear" w:color="auto" w:fill="FFFFFF"/>
        </w:rPr>
      </w:pPr>
      <w:r w:rsidRPr="00A54197">
        <w:rPr>
          <w:rFonts w:ascii="Open Sans" w:eastAsia="Times New Roman" w:hAnsi="Open Sans" w:cs="Open Sans"/>
          <w:b/>
          <w:bCs/>
          <w:color w:val="172B4D"/>
          <w:sz w:val="21"/>
          <w:szCs w:val="21"/>
          <w:shd w:val="clear" w:color="auto" w:fill="FFFFFF"/>
        </w:rPr>
        <w:t>Application</w:t>
      </w:r>
      <w:r>
        <w:rPr>
          <w:rFonts w:ascii="Open Sans" w:eastAsia="Times New Roman" w:hAnsi="Open Sans" w:cs="Open Sans"/>
          <w:color w:val="172B4D"/>
          <w:sz w:val="21"/>
          <w:szCs w:val="21"/>
          <w:shd w:val="clear" w:color="auto" w:fill="FFFFFF"/>
        </w:rPr>
        <w:t xml:space="preserve"> </w:t>
      </w:r>
      <w:r w:rsidRPr="00D176A3">
        <w:rPr>
          <w:rFonts w:ascii="Open Sans" w:eastAsia="Times New Roman" w:hAnsi="Open Sans" w:cs="Open Sans"/>
          <w:b/>
          <w:bCs/>
          <w:color w:val="172B4D"/>
          <w:sz w:val="21"/>
          <w:szCs w:val="21"/>
          <w:shd w:val="clear" w:color="auto" w:fill="FFFFFF"/>
        </w:rPr>
        <w:t xml:space="preserve">at a Dementia Care </w:t>
      </w:r>
      <w:r w:rsidR="00D176A3">
        <w:rPr>
          <w:rFonts w:ascii="Open Sans" w:eastAsia="Times New Roman" w:hAnsi="Open Sans" w:cs="Open Sans"/>
          <w:b/>
          <w:bCs/>
          <w:color w:val="172B4D"/>
          <w:sz w:val="21"/>
          <w:szCs w:val="21"/>
          <w:shd w:val="clear" w:color="auto" w:fill="FFFFFF"/>
        </w:rPr>
        <w:t xml:space="preserve">Facility </w:t>
      </w:r>
    </w:p>
    <w:p w14:paraId="02D4EBF9" w14:textId="3ED336D9" w:rsidR="007113F0" w:rsidRDefault="0043039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Implementing Kitwood’s approach necessitates providing care that honours residents’ dignity, preferences, and individual histories.</w:t>
      </w:r>
      <w:r>
        <w:rPr>
          <w:rFonts w:ascii="Open Sans" w:eastAsia="Times New Roman" w:hAnsi="Open Sans" w:cs="Open Sans"/>
          <w:color w:val="172B4D"/>
          <w:sz w:val="21"/>
          <w:szCs w:val="21"/>
        </w:rPr>
        <w:t xml:space="preserve"> </w:t>
      </w:r>
      <w:r>
        <w:rPr>
          <w:rFonts w:ascii="Open Sans" w:eastAsia="Times New Roman" w:hAnsi="Open Sans" w:cs="Open Sans"/>
          <w:color w:val="172B4D"/>
          <w:sz w:val="21"/>
          <w:szCs w:val="21"/>
          <w:shd w:val="clear" w:color="auto" w:fill="FFFFFF"/>
        </w:rPr>
        <w:t xml:space="preserve">In dementia care facilities, this encompasses: </w:t>
      </w:r>
    </w:p>
    <w:p w14:paraId="29B28E67" w14:textId="77777777" w:rsidR="007113F0" w:rsidRDefault="0043039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Referring to people by their chosen names </w:t>
      </w:r>
    </w:p>
    <w:p w14:paraId="288880AB" w14:textId="77777777" w:rsidR="007113F0" w:rsidRDefault="0043039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Facilitating choice and autonomy whenever feasible</w:t>
      </w:r>
    </w:p>
    <w:p w14:paraId="2C3FE8E9" w14:textId="77777777" w:rsidR="007113F0" w:rsidRDefault="0043039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 Preserving established routines and cultural traditions</w:t>
      </w:r>
    </w:p>
    <w:p w14:paraId="45C8BB51" w14:textId="40C6F8B4" w:rsidR="007113F0" w:rsidRDefault="0043039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 Offering significant activities aligned with individual preferences</w:t>
      </w:r>
    </w:p>
    <w:p w14:paraId="42A86CC0" w14:textId="77777777" w:rsidR="00700C72" w:rsidRDefault="0043039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 Analysing distressed behaviour as a form of communication</w:t>
      </w:r>
    </w:p>
    <w:p w14:paraId="0426DD69" w14:textId="13A882A3" w:rsidR="00B164A0" w:rsidRDefault="0043039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Agitation may signify unfulfilled needs such as fear, pain, or loneliness, rather than being classified as "challenging behaviour" (Brooker, 2019). Empathetic responses can alleviate distress and enhance quality of life (Alzheimer’s Society, 2023).</w:t>
      </w:r>
    </w:p>
    <w:p w14:paraId="4DC2BA20" w14:textId="40BECE91" w:rsidR="002B4D0F" w:rsidRDefault="00630071">
      <w:pPr>
        <w:rPr>
          <w:rFonts w:ascii="Open Sans" w:eastAsia="Times New Roman" w:hAnsi="Open Sans" w:cs="Open Sans"/>
          <w:color w:val="172B4D"/>
          <w:sz w:val="21"/>
          <w:szCs w:val="21"/>
          <w:shd w:val="clear" w:color="auto" w:fill="FFFFFF"/>
        </w:rPr>
      </w:pPr>
      <w:r>
        <w:rPr>
          <w:rFonts w:ascii="Open Sans" w:eastAsia="Times New Roman" w:hAnsi="Open Sans" w:cs="Open Sans"/>
          <w:b/>
          <w:bCs/>
          <w:color w:val="172B4D"/>
          <w:sz w:val="21"/>
          <w:szCs w:val="21"/>
          <w:shd w:val="clear" w:color="auto" w:fill="FFFFFF"/>
        </w:rPr>
        <w:t xml:space="preserve">Critical </w:t>
      </w:r>
      <w:r w:rsidR="0027425A" w:rsidRPr="008722EC">
        <w:rPr>
          <w:rFonts w:ascii="Open Sans" w:eastAsia="Times New Roman" w:hAnsi="Open Sans" w:cs="Open Sans"/>
          <w:b/>
          <w:bCs/>
          <w:color w:val="172B4D"/>
          <w:sz w:val="21"/>
          <w:szCs w:val="21"/>
          <w:shd w:val="clear" w:color="auto" w:fill="FFFFFF"/>
        </w:rPr>
        <w:t>Evaluation and Challenges</w:t>
      </w:r>
      <w:r w:rsidR="0027425A">
        <w:rPr>
          <w:rFonts w:ascii="Open Sans" w:eastAsia="Times New Roman" w:hAnsi="Open Sans" w:cs="Open Sans"/>
          <w:color w:val="172B4D"/>
          <w:sz w:val="21"/>
          <w:szCs w:val="21"/>
          <w:shd w:val="clear" w:color="auto" w:fill="FFFFFF"/>
        </w:rPr>
        <w:t xml:space="preserve"> </w:t>
      </w:r>
    </w:p>
    <w:p w14:paraId="18898192" w14:textId="77777777" w:rsidR="00FB41F6" w:rsidRDefault="0027425A">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Despite widespread endorsement of person-centred care, its consistent implementation may be hindered by time limits, personnel shortages, and resource limitations (Brooker, 2019). </w:t>
      </w:r>
      <w:r>
        <w:rPr>
          <w:rFonts w:ascii="Open Sans" w:eastAsia="Times New Roman" w:hAnsi="Open Sans" w:cs="Open Sans"/>
          <w:color w:val="172B4D"/>
          <w:sz w:val="21"/>
          <w:szCs w:val="21"/>
          <w:shd w:val="clear" w:color="auto" w:fill="FFFFFF"/>
        </w:rPr>
        <w:lastRenderedPageBreak/>
        <w:t>Disparities in staff understanding and assurance in executing the procedure may also be present.</w:t>
      </w:r>
    </w:p>
    <w:p w14:paraId="35E8FCFC" w14:textId="5643ACF4" w:rsidR="0027425A" w:rsidRDefault="0027425A">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Strategies for overcoming these issues include ongoing training, reflective practice, supervision, and strong leadership that promotes person-centred concepts.Organisational commitment is essential for the incorporation of this method into routine practice (World Health Organisation, 2021)</w:t>
      </w:r>
      <w:r w:rsidR="00AC051A">
        <w:rPr>
          <w:rFonts w:ascii="Open Sans" w:eastAsia="Times New Roman" w:hAnsi="Open Sans" w:cs="Open Sans"/>
          <w:color w:val="172B4D"/>
          <w:sz w:val="21"/>
          <w:szCs w:val="21"/>
          <w:shd w:val="clear" w:color="auto" w:fill="FFFFFF"/>
        </w:rPr>
        <w:t>.</w:t>
      </w:r>
    </w:p>
    <w:p w14:paraId="5A148A03" w14:textId="77777777" w:rsidR="00AC051A" w:rsidRDefault="00AC051A">
      <w:pPr>
        <w:rPr>
          <w:rFonts w:ascii="Open Sans" w:eastAsia="Times New Roman" w:hAnsi="Open Sans" w:cs="Open Sans"/>
          <w:color w:val="172B4D"/>
          <w:sz w:val="21"/>
          <w:szCs w:val="21"/>
          <w:shd w:val="clear" w:color="auto" w:fill="FFFFFF"/>
        </w:rPr>
      </w:pPr>
    </w:p>
    <w:p w14:paraId="613CFBE2" w14:textId="77777777" w:rsidR="000F05F4" w:rsidRDefault="00AC051A">
      <w:pPr>
        <w:rPr>
          <w:rFonts w:ascii="Open Sans" w:eastAsia="Times New Roman" w:hAnsi="Open Sans" w:cs="Open Sans"/>
          <w:b/>
          <w:bCs/>
          <w:color w:val="172B4D"/>
          <w:sz w:val="21"/>
          <w:szCs w:val="21"/>
          <w:shd w:val="clear" w:color="auto" w:fill="FFFFFF"/>
        </w:rPr>
      </w:pPr>
      <w:r w:rsidRPr="00E406BC">
        <w:rPr>
          <w:rFonts w:ascii="Open Sans" w:eastAsia="Times New Roman" w:hAnsi="Open Sans" w:cs="Open Sans"/>
          <w:b/>
          <w:bCs/>
          <w:color w:val="172B4D"/>
          <w:sz w:val="21"/>
          <w:szCs w:val="21"/>
          <w:shd w:val="clear" w:color="auto" w:fill="FFFFFF"/>
        </w:rPr>
        <w:t>Applying</w:t>
      </w:r>
      <w:r>
        <w:rPr>
          <w:rFonts w:ascii="Open Sans" w:eastAsia="Times New Roman" w:hAnsi="Open Sans" w:cs="Open Sans"/>
          <w:color w:val="172B4D"/>
          <w:sz w:val="21"/>
          <w:szCs w:val="21"/>
          <w:shd w:val="clear" w:color="auto" w:fill="FFFFFF"/>
        </w:rPr>
        <w:t xml:space="preserve"> </w:t>
      </w:r>
      <w:r w:rsidRPr="000F05F4">
        <w:rPr>
          <w:rFonts w:ascii="Open Sans" w:eastAsia="Times New Roman" w:hAnsi="Open Sans" w:cs="Open Sans"/>
          <w:b/>
          <w:bCs/>
          <w:color w:val="172B4D"/>
          <w:sz w:val="21"/>
          <w:szCs w:val="21"/>
          <w:shd w:val="clear" w:color="auto" w:fill="FFFFFF"/>
        </w:rPr>
        <w:t>Theoretical Frameworks in Practice</w:t>
      </w:r>
    </w:p>
    <w:p w14:paraId="46EFBCDA" w14:textId="0368A98B" w:rsidR="00AC051A" w:rsidRDefault="00AC051A">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z w:val="21"/>
          <w:szCs w:val="21"/>
          <w:shd w:val="clear" w:color="auto" w:fill="FFFFFF"/>
        </w:rPr>
        <w:t xml:space="preserve"> Erikson's and Kitwood's concepts together encompass both developmental needs and caregiving relationships.Erikson’s theory assists professionals in understanding emotional issues in later life, whereas Kitwood’s theory guides the development of care facilities that promote personhood and well-being.</w:t>
      </w:r>
      <w:r>
        <w:rPr>
          <w:rFonts w:ascii="Open Sans" w:eastAsia="Times New Roman" w:hAnsi="Open Sans" w:cs="Open Sans"/>
          <w:color w:val="172B4D"/>
          <w:sz w:val="21"/>
          <w:szCs w:val="21"/>
        </w:rPr>
        <w:t xml:space="preserve"> </w:t>
      </w:r>
      <w:r>
        <w:rPr>
          <w:rFonts w:ascii="Open Sans" w:eastAsia="Times New Roman" w:hAnsi="Open Sans" w:cs="Open Sans"/>
          <w:color w:val="172B4D"/>
          <w:sz w:val="21"/>
          <w:szCs w:val="21"/>
          <w:shd w:val="clear" w:color="auto" w:fill="FFFFFF"/>
        </w:rPr>
        <w:t>For example, remembrance exercises grounded in Erikson’s theory may be executed using person-centred principles to provide dignity, respect, and emotional safety (Woods et al., 2018).</w:t>
      </w:r>
    </w:p>
    <w:p w14:paraId="255E0254" w14:textId="77777777" w:rsidR="002A3471" w:rsidRDefault="002A3471">
      <w:pPr>
        <w:rPr>
          <w:rFonts w:ascii="Open Sans" w:eastAsia="Times New Roman" w:hAnsi="Open Sans" w:cs="Open Sans"/>
          <w:color w:val="172B4D"/>
          <w:sz w:val="21"/>
          <w:szCs w:val="21"/>
          <w:shd w:val="clear" w:color="auto" w:fill="FFFFFF"/>
        </w:rPr>
      </w:pPr>
    </w:p>
    <w:p w14:paraId="6B53A8FF" w14:textId="77777777" w:rsidR="006154DD" w:rsidRDefault="006154DD">
      <w:pPr>
        <w:rPr>
          <w:rFonts w:ascii="Open Sans" w:eastAsia="Times New Roman" w:hAnsi="Open Sans" w:cs="Open Sans"/>
          <w:b/>
          <w:bCs/>
          <w:color w:val="172B4D"/>
          <w:shd w:val="clear" w:color="auto" w:fill="FFFFFF"/>
        </w:rPr>
      </w:pPr>
    </w:p>
    <w:p w14:paraId="7426EB02" w14:textId="77777777" w:rsidR="006154DD" w:rsidRDefault="006154DD">
      <w:pPr>
        <w:rPr>
          <w:rFonts w:ascii="Open Sans" w:eastAsia="Times New Roman" w:hAnsi="Open Sans" w:cs="Open Sans"/>
          <w:b/>
          <w:bCs/>
          <w:color w:val="172B4D"/>
          <w:shd w:val="clear" w:color="auto" w:fill="FFFFFF"/>
        </w:rPr>
      </w:pPr>
    </w:p>
    <w:p w14:paraId="29CB0D1C" w14:textId="77777777" w:rsidR="006154DD" w:rsidRDefault="006154DD">
      <w:pPr>
        <w:rPr>
          <w:rFonts w:ascii="Open Sans" w:eastAsia="Times New Roman" w:hAnsi="Open Sans" w:cs="Open Sans"/>
          <w:b/>
          <w:bCs/>
          <w:color w:val="172B4D"/>
          <w:shd w:val="clear" w:color="auto" w:fill="FFFFFF"/>
        </w:rPr>
      </w:pPr>
    </w:p>
    <w:p w14:paraId="6396FB10" w14:textId="77777777" w:rsidR="006154DD" w:rsidRDefault="006154DD">
      <w:pPr>
        <w:rPr>
          <w:rFonts w:ascii="Open Sans" w:eastAsia="Times New Roman" w:hAnsi="Open Sans" w:cs="Open Sans"/>
          <w:b/>
          <w:bCs/>
          <w:color w:val="172B4D"/>
          <w:shd w:val="clear" w:color="auto" w:fill="FFFFFF"/>
        </w:rPr>
      </w:pPr>
    </w:p>
    <w:p w14:paraId="23287438" w14:textId="77777777" w:rsidR="006154DD" w:rsidRDefault="006154DD">
      <w:pPr>
        <w:rPr>
          <w:rFonts w:ascii="Open Sans" w:eastAsia="Times New Roman" w:hAnsi="Open Sans" w:cs="Open Sans"/>
          <w:b/>
          <w:bCs/>
          <w:color w:val="172B4D"/>
          <w:shd w:val="clear" w:color="auto" w:fill="FFFFFF"/>
        </w:rPr>
      </w:pPr>
    </w:p>
    <w:p w14:paraId="195025D3" w14:textId="77777777" w:rsidR="006154DD" w:rsidRDefault="006154DD">
      <w:pPr>
        <w:rPr>
          <w:rFonts w:ascii="Open Sans" w:eastAsia="Times New Roman" w:hAnsi="Open Sans" w:cs="Open Sans"/>
          <w:b/>
          <w:bCs/>
          <w:color w:val="172B4D"/>
          <w:shd w:val="clear" w:color="auto" w:fill="FFFFFF"/>
        </w:rPr>
      </w:pPr>
    </w:p>
    <w:p w14:paraId="3519D4B6" w14:textId="77777777" w:rsidR="006154DD" w:rsidRDefault="006154DD">
      <w:pPr>
        <w:rPr>
          <w:rFonts w:ascii="Open Sans" w:eastAsia="Times New Roman" w:hAnsi="Open Sans" w:cs="Open Sans"/>
          <w:b/>
          <w:bCs/>
          <w:color w:val="172B4D"/>
          <w:shd w:val="clear" w:color="auto" w:fill="FFFFFF"/>
        </w:rPr>
      </w:pPr>
    </w:p>
    <w:p w14:paraId="5C6F3C92" w14:textId="77777777" w:rsidR="006154DD" w:rsidRDefault="006154DD">
      <w:pPr>
        <w:rPr>
          <w:rFonts w:ascii="Open Sans" w:eastAsia="Times New Roman" w:hAnsi="Open Sans" w:cs="Open Sans"/>
          <w:b/>
          <w:bCs/>
          <w:color w:val="172B4D"/>
          <w:shd w:val="clear" w:color="auto" w:fill="FFFFFF"/>
        </w:rPr>
      </w:pPr>
    </w:p>
    <w:p w14:paraId="1765DC41" w14:textId="77777777" w:rsidR="006154DD" w:rsidRDefault="006154DD">
      <w:pPr>
        <w:rPr>
          <w:rFonts w:ascii="Open Sans" w:eastAsia="Times New Roman" w:hAnsi="Open Sans" w:cs="Open Sans"/>
          <w:b/>
          <w:bCs/>
          <w:color w:val="172B4D"/>
          <w:shd w:val="clear" w:color="auto" w:fill="FFFFFF"/>
        </w:rPr>
      </w:pPr>
    </w:p>
    <w:p w14:paraId="7FDB7092" w14:textId="77777777" w:rsidR="006154DD" w:rsidRDefault="006154DD">
      <w:pPr>
        <w:rPr>
          <w:rFonts w:ascii="Open Sans" w:eastAsia="Times New Roman" w:hAnsi="Open Sans" w:cs="Open Sans"/>
          <w:b/>
          <w:bCs/>
          <w:color w:val="172B4D"/>
          <w:shd w:val="clear" w:color="auto" w:fill="FFFFFF"/>
        </w:rPr>
      </w:pPr>
    </w:p>
    <w:p w14:paraId="1B2DF1BC" w14:textId="77777777" w:rsidR="006154DD" w:rsidRDefault="006154DD">
      <w:pPr>
        <w:rPr>
          <w:rFonts w:ascii="Open Sans" w:eastAsia="Times New Roman" w:hAnsi="Open Sans" w:cs="Open Sans"/>
          <w:b/>
          <w:bCs/>
          <w:color w:val="172B4D"/>
          <w:shd w:val="clear" w:color="auto" w:fill="FFFFFF"/>
        </w:rPr>
      </w:pPr>
    </w:p>
    <w:p w14:paraId="1EABF09C" w14:textId="77777777" w:rsidR="006154DD" w:rsidRDefault="006154DD">
      <w:pPr>
        <w:rPr>
          <w:rFonts w:ascii="Open Sans" w:eastAsia="Times New Roman" w:hAnsi="Open Sans" w:cs="Open Sans"/>
          <w:b/>
          <w:bCs/>
          <w:color w:val="172B4D"/>
          <w:shd w:val="clear" w:color="auto" w:fill="FFFFFF"/>
        </w:rPr>
      </w:pPr>
    </w:p>
    <w:p w14:paraId="66F65BBE" w14:textId="77777777" w:rsidR="006154DD" w:rsidRDefault="006154DD">
      <w:pPr>
        <w:rPr>
          <w:rFonts w:ascii="Open Sans" w:eastAsia="Times New Roman" w:hAnsi="Open Sans" w:cs="Open Sans"/>
          <w:b/>
          <w:bCs/>
          <w:color w:val="172B4D"/>
          <w:shd w:val="clear" w:color="auto" w:fill="FFFFFF"/>
        </w:rPr>
      </w:pPr>
    </w:p>
    <w:p w14:paraId="551DA160" w14:textId="453A41AD" w:rsidR="002A3471" w:rsidRDefault="002A3471">
      <w:pPr>
        <w:rPr>
          <w:rFonts w:ascii="Open Sans" w:eastAsia="Times New Roman" w:hAnsi="Open Sans" w:cs="Open Sans"/>
          <w:color w:val="172B4D"/>
          <w:shd w:val="clear" w:color="auto" w:fill="FFFFFF"/>
        </w:rPr>
      </w:pPr>
      <w:r w:rsidRPr="002A3471">
        <w:rPr>
          <w:rFonts w:ascii="Open Sans" w:eastAsia="Times New Roman" w:hAnsi="Open Sans" w:cs="Open Sans"/>
          <w:b/>
          <w:bCs/>
          <w:color w:val="172B4D"/>
          <w:shd w:val="clear" w:color="auto" w:fill="FFFFFF"/>
        </w:rPr>
        <w:lastRenderedPageBreak/>
        <w:t>Conclusion</w:t>
      </w:r>
      <w:r>
        <w:rPr>
          <w:rFonts w:ascii="Open Sans" w:eastAsia="Times New Roman" w:hAnsi="Open Sans" w:cs="Open Sans"/>
          <w:color w:val="172B4D"/>
          <w:shd w:val="clear" w:color="auto" w:fill="FFFFFF"/>
        </w:rPr>
        <w:t xml:space="preserve"> </w:t>
      </w:r>
    </w:p>
    <w:p w14:paraId="2B139F5E" w14:textId="77777777" w:rsidR="008E4C6F" w:rsidRDefault="002A3471">
      <w:pPr>
        <w:rPr>
          <w:rFonts w:ascii="Open Sans" w:eastAsia="Times New Roman" w:hAnsi="Open Sans" w:cs="Open Sans"/>
          <w:color w:val="172B4D"/>
          <w:shd w:val="clear" w:color="auto" w:fill="FFFFFF"/>
        </w:rPr>
      </w:pPr>
      <w:r>
        <w:rPr>
          <w:rFonts w:ascii="Open Sans" w:eastAsia="Times New Roman" w:hAnsi="Open Sans" w:cs="Open Sans"/>
          <w:color w:val="172B4D"/>
          <w:shd w:val="clear" w:color="auto" w:fill="FFFFFF"/>
        </w:rPr>
        <w:t>Psychological theories are essential tools for aiding elderly individuals with mental health difficulties in dementia care facilities. Erikson’s Psychosocial Theory emphasises the importance of life reflection and emotional resolution in later life stages, while Kitwood’s Person-Centred Theory focusses on maintaining dignity, identity, and meaningful relationships.</w:t>
      </w:r>
    </w:p>
    <w:p w14:paraId="7103531F" w14:textId="7C502E78" w:rsidR="002A3471" w:rsidRDefault="002A3471">
      <w:pPr>
        <w:rPr>
          <w:rFonts w:ascii="Open Sans" w:eastAsia="Times New Roman" w:hAnsi="Open Sans" w:cs="Open Sans"/>
          <w:color w:val="172B4D"/>
          <w:sz w:val="21"/>
          <w:szCs w:val="21"/>
          <w:shd w:val="clear" w:color="auto" w:fill="FFFFFF"/>
        </w:rPr>
      </w:pPr>
      <w:r>
        <w:rPr>
          <w:rFonts w:ascii="Open Sans" w:eastAsia="Times New Roman" w:hAnsi="Open Sans" w:cs="Open Sans"/>
          <w:color w:val="172B4D"/>
          <w:shd w:val="clear" w:color="auto" w:fill="FFFFFF"/>
        </w:rPr>
        <w:t>Notwithstanding the challenges in executing these principles, customising strategies to specific contexts and emphasising staff training can significantly enhance psychological well-being. Incorporating psychology theory into practice allows health and social care workers to provide compassionate, evidence-based care that enhances the quality of life for elderly adults with dementia.</w:t>
      </w:r>
    </w:p>
    <w:p w14:paraId="58D71D6B" w14:textId="77777777" w:rsidR="00131869" w:rsidRDefault="00131869">
      <w:pPr>
        <w:rPr>
          <w:rFonts w:ascii="Open Sans" w:eastAsia="Times New Roman" w:hAnsi="Open Sans" w:cs="Open Sans"/>
          <w:color w:val="172B4D"/>
          <w:sz w:val="21"/>
          <w:szCs w:val="21"/>
          <w:shd w:val="clear" w:color="auto" w:fill="FFFFFF"/>
        </w:rPr>
      </w:pPr>
    </w:p>
    <w:p w14:paraId="3C09E9A7" w14:textId="77777777" w:rsidR="006154DD" w:rsidRDefault="006154DD">
      <w:pPr>
        <w:pStyle w:val="p1"/>
        <w:divId w:val="1362516631"/>
        <w:rPr>
          <w:rStyle w:val="s1"/>
        </w:rPr>
      </w:pPr>
    </w:p>
    <w:p w14:paraId="60FE5445" w14:textId="77777777" w:rsidR="006154DD" w:rsidRDefault="006154DD">
      <w:pPr>
        <w:pStyle w:val="p1"/>
        <w:divId w:val="1362516631"/>
        <w:rPr>
          <w:rStyle w:val="s1"/>
        </w:rPr>
      </w:pPr>
    </w:p>
    <w:p w14:paraId="7EBA340F" w14:textId="77777777" w:rsidR="006154DD" w:rsidRDefault="006154DD">
      <w:pPr>
        <w:pStyle w:val="p1"/>
        <w:divId w:val="1362516631"/>
        <w:rPr>
          <w:rStyle w:val="s1"/>
        </w:rPr>
      </w:pPr>
    </w:p>
    <w:p w14:paraId="74D4CF8A" w14:textId="77777777" w:rsidR="006154DD" w:rsidRDefault="006154DD">
      <w:pPr>
        <w:pStyle w:val="p1"/>
        <w:divId w:val="1362516631"/>
        <w:rPr>
          <w:rStyle w:val="s1"/>
        </w:rPr>
      </w:pPr>
    </w:p>
    <w:p w14:paraId="3D8F6360" w14:textId="77777777" w:rsidR="006154DD" w:rsidRDefault="006154DD">
      <w:pPr>
        <w:pStyle w:val="p1"/>
        <w:divId w:val="1362516631"/>
        <w:rPr>
          <w:rStyle w:val="s1"/>
        </w:rPr>
      </w:pPr>
    </w:p>
    <w:p w14:paraId="0AB286E9" w14:textId="77777777" w:rsidR="006154DD" w:rsidRDefault="006154DD">
      <w:pPr>
        <w:pStyle w:val="p1"/>
        <w:divId w:val="1362516631"/>
        <w:rPr>
          <w:rStyle w:val="s1"/>
        </w:rPr>
      </w:pPr>
    </w:p>
    <w:p w14:paraId="3A107141" w14:textId="77777777" w:rsidR="006154DD" w:rsidRDefault="006154DD">
      <w:pPr>
        <w:pStyle w:val="p1"/>
        <w:divId w:val="1362516631"/>
        <w:rPr>
          <w:rStyle w:val="s1"/>
        </w:rPr>
      </w:pPr>
    </w:p>
    <w:p w14:paraId="53BCE2B6" w14:textId="77777777" w:rsidR="006154DD" w:rsidRDefault="006154DD">
      <w:pPr>
        <w:pStyle w:val="p1"/>
        <w:divId w:val="1362516631"/>
        <w:rPr>
          <w:rStyle w:val="s1"/>
        </w:rPr>
      </w:pPr>
    </w:p>
    <w:p w14:paraId="3F6EE7B1" w14:textId="77777777" w:rsidR="006154DD" w:rsidRDefault="006154DD">
      <w:pPr>
        <w:pStyle w:val="p1"/>
        <w:divId w:val="1362516631"/>
        <w:rPr>
          <w:rStyle w:val="s1"/>
        </w:rPr>
      </w:pPr>
    </w:p>
    <w:p w14:paraId="56AC07DB" w14:textId="77777777" w:rsidR="006154DD" w:rsidRDefault="006154DD">
      <w:pPr>
        <w:pStyle w:val="p1"/>
        <w:divId w:val="1362516631"/>
        <w:rPr>
          <w:rStyle w:val="s1"/>
        </w:rPr>
      </w:pPr>
    </w:p>
    <w:p w14:paraId="0979F6EB" w14:textId="77777777" w:rsidR="006154DD" w:rsidRDefault="006154DD">
      <w:pPr>
        <w:pStyle w:val="p1"/>
        <w:divId w:val="1362516631"/>
        <w:rPr>
          <w:rStyle w:val="s1"/>
        </w:rPr>
      </w:pPr>
    </w:p>
    <w:p w14:paraId="207A5E6F" w14:textId="77777777" w:rsidR="006154DD" w:rsidRDefault="006154DD">
      <w:pPr>
        <w:pStyle w:val="p1"/>
        <w:divId w:val="1362516631"/>
        <w:rPr>
          <w:rStyle w:val="s1"/>
        </w:rPr>
      </w:pPr>
    </w:p>
    <w:p w14:paraId="4AEAE220" w14:textId="77777777" w:rsidR="006154DD" w:rsidRDefault="006154DD">
      <w:pPr>
        <w:pStyle w:val="p1"/>
        <w:divId w:val="1362516631"/>
        <w:rPr>
          <w:rStyle w:val="s1"/>
        </w:rPr>
      </w:pPr>
    </w:p>
    <w:p w14:paraId="678792B2" w14:textId="77777777" w:rsidR="006154DD" w:rsidRDefault="006154DD">
      <w:pPr>
        <w:pStyle w:val="p1"/>
        <w:divId w:val="1362516631"/>
        <w:rPr>
          <w:rStyle w:val="s1"/>
        </w:rPr>
      </w:pPr>
    </w:p>
    <w:p w14:paraId="264AA323" w14:textId="77777777" w:rsidR="006154DD" w:rsidRDefault="006154DD">
      <w:pPr>
        <w:pStyle w:val="p1"/>
        <w:divId w:val="1362516631"/>
        <w:rPr>
          <w:rStyle w:val="s1"/>
        </w:rPr>
      </w:pPr>
    </w:p>
    <w:p w14:paraId="677DD488" w14:textId="77777777" w:rsidR="006154DD" w:rsidRDefault="006154DD">
      <w:pPr>
        <w:pStyle w:val="p1"/>
        <w:divId w:val="1362516631"/>
        <w:rPr>
          <w:rStyle w:val="s1"/>
        </w:rPr>
      </w:pPr>
    </w:p>
    <w:p w14:paraId="3D30AC66" w14:textId="77777777" w:rsidR="006154DD" w:rsidRDefault="006154DD">
      <w:pPr>
        <w:pStyle w:val="p1"/>
        <w:divId w:val="1362516631"/>
        <w:rPr>
          <w:rStyle w:val="s1"/>
        </w:rPr>
      </w:pPr>
    </w:p>
    <w:p w14:paraId="6CD22973" w14:textId="77777777" w:rsidR="006154DD" w:rsidRDefault="006154DD">
      <w:pPr>
        <w:pStyle w:val="p1"/>
        <w:divId w:val="1362516631"/>
        <w:rPr>
          <w:rStyle w:val="s1"/>
        </w:rPr>
      </w:pPr>
    </w:p>
    <w:p w14:paraId="228D4B0D" w14:textId="77777777" w:rsidR="006154DD" w:rsidRDefault="006154DD">
      <w:pPr>
        <w:pStyle w:val="p1"/>
        <w:divId w:val="1362516631"/>
        <w:rPr>
          <w:rStyle w:val="s1"/>
        </w:rPr>
      </w:pPr>
    </w:p>
    <w:p w14:paraId="07CBC87B" w14:textId="77777777" w:rsidR="006154DD" w:rsidRDefault="006154DD">
      <w:pPr>
        <w:pStyle w:val="p1"/>
        <w:divId w:val="1362516631"/>
        <w:rPr>
          <w:rStyle w:val="s1"/>
        </w:rPr>
      </w:pPr>
    </w:p>
    <w:p w14:paraId="5D727FF0" w14:textId="77777777" w:rsidR="006154DD" w:rsidRDefault="006154DD">
      <w:pPr>
        <w:pStyle w:val="p1"/>
        <w:divId w:val="1362516631"/>
        <w:rPr>
          <w:rStyle w:val="s1"/>
        </w:rPr>
      </w:pPr>
    </w:p>
    <w:p w14:paraId="631C5AD7" w14:textId="77777777" w:rsidR="006154DD" w:rsidRDefault="006154DD">
      <w:pPr>
        <w:pStyle w:val="p1"/>
        <w:divId w:val="1362516631"/>
        <w:rPr>
          <w:rStyle w:val="s1"/>
        </w:rPr>
      </w:pPr>
    </w:p>
    <w:p w14:paraId="15C4534C" w14:textId="77777777" w:rsidR="006154DD" w:rsidRDefault="006154DD">
      <w:pPr>
        <w:pStyle w:val="p1"/>
        <w:divId w:val="1362516631"/>
        <w:rPr>
          <w:rStyle w:val="s1"/>
        </w:rPr>
      </w:pPr>
    </w:p>
    <w:p w14:paraId="7DF3E926" w14:textId="77777777" w:rsidR="006154DD" w:rsidRDefault="006154DD">
      <w:pPr>
        <w:pStyle w:val="p1"/>
        <w:divId w:val="1362516631"/>
        <w:rPr>
          <w:rStyle w:val="s1"/>
        </w:rPr>
      </w:pPr>
    </w:p>
    <w:p w14:paraId="0599DB9A" w14:textId="77777777" w:rsidR="006154DD" w:rsidRDefault="006154DD">
      <w:pPr>
        <w:pStyle w:val="p1"/>
        <w:divId w:val="1362516631"/>
        <w:rPr>
          <w:rStyle w:val="s1"/>
        </w:rPr>
      </w:pPr>
    </w:p>
    <w:p w14:paraId="250031A2" w14:textId="114455BD" w:rsidR="00BC791B" w:rsidRDefault="00BC791B">
      <w:pPr>
        <w:pStyle w:val="p1"/>
        <w:divId w:val="1362516631"/>
        <w:rPr>
          <w:rStyle w:val="s1"/>
        </w:rPr>
      </w:pPr>
      <w:r>
        <w:rPr>
          <w:rStyle w:val="s1"/>
        </w:rPr>
        <w:lastRenderedPageBreak/>
        <w:t xml:space="preserve">References </w:t>
      </w:r>
    </w:p>
    <w:p w14:paraId="4BD0DCE0" w14:textId="77777777" w:rsidR="00BC791B" w:rsidRDefault="00BC791B">
      <w:pPr>
        <w:pStyle w:val="p1"/>
        <w:divId w:val="1362516631"/>
      </w:pPr>
    </w:p>
    <w:p w14:paraId="137CD903" w14:textId="77777777" w:rsidR="00BC791B" w:rsidRDefault="00BC791B">
      <w:pPr>
        <w:pStyle w:val="p2"/>
        <w:divId w:val="1362516631"/>
      </w:pPr>
      <w:r>
        <w:rPr>
          <w:rStyle w:val="s2"/>
        </w:rPr>
        <w:t xml:space="preserve">Alzheimer’s Society (2023) </w:t>
      </w:r>
      <w:r>
        <w:rPr>
          <w:rStyle w:val="s3"/>
        </w:rPr>
        <w:t>Dementia: symptoms, diagnosis and care</w:t>
      </w:r>
      <w:r>
        <w:rPr>
          <w:rStyle w:val="s2"/>
        </w:rPr>
        <w:t>. London: Alzheimer’s</w:t>
      </w:r>
    </w:p>
    <w:p w14:paraId="379E14AB" w14:textId="77777777" w:rsidR="00BC791B" w:rsidRDefault="00BC791B">
      <w:pPr>
        <w:pStyle w:val="p2"/>
        <w:divId w:val="1362516631"/>
      </w:pPr>
      <w:r>
        <w:rPr>
          <w:rStyle w:val="s2"/>
        </w:rPr>
        <w:t>Society.</w:t>
      </w:r>
    </w:p>
    <w:p w14:paraId="468BB006" w14:textId="77777777" w:rsidR="00BC791B" w:rsidRDefault="00BC791B">
      <w:pPr>
        <w:pStyle w:val="p2"/>
        <w:divId w:val="1362516631"/>
      </w:pPr>
      <w:r>
        <w:rPr>
          <w:rStyle w:val="s2"/>
        </w:rPr>
        <w:t>Bohlmeijer, E., Roemer, M., Cuijpers, P. and Smit, F. (2011) ‘The effects of reminiscence on</w:t>
      </w:r>
    </w:p>
    <w:p w14:paraId="77ECB017" w14:textId="77777777" w:rsidR="00BC791B" w:rsidRDefault="00BC791B">
      <w:pPr>
        <w:pStyle w:val="p2"/>
        <w:divId w:val="1362516631"/>
      </w:pPr>
      <w:r>
        <w:rPr>
          <w:rStyle w:val="s2"/>
        </w:rPr>
        <w:t xml:space="preserve">psychological well-being in older adults’, </w:t>
      </w:r>
      <w:r>
        <w:rPr>
          <w:rStyle w:val="s3"/>
        </w:rPr>
        <w:t>Aging and Mental Health</w:t>
      </w:r>
      <w:r>
        <w:rPr>
          <w:rStyle w:val="s2"/>
        </w:rPr>
        <w:t>, 15(3), pp. 291–300.</w:t>
      </w:r>
    </w:p>
    <w:p w14:paraId="4E2C615C" w14:textId="77777777" w:rsidR="00BC791B" w:rsidRDefault="00BC791B">
      <w:pPr>
        <w:pStyle w:val="p2"/>
        <w:divId w:val="1362516631"/>
      </w:pPr>
      <w:r>
        <w:rPr>
          <w:rStyle w:val="s2"/>
        </w:rPr>
        <w:t xml:space="preserve">Brooker, D. (2019) </w:t>
      </w:r>
      <w:r>
        <w:rPr>
          <w:rStyle w:val="s3"/>
        </w:rPr>
        <w:t>Person-centred dementia care: Making services better</w:t>
      </w:r>
      <w:r>
        <w:rPr>
          <w:rStyle w:val="s2"/>
        </w:rPr>
        <w:t>. 2nd edn. London:</w:t>
      </w:r>
    </w:p>
    <w:p w14:paraId="179FDBC5" w14:textId="77777777" w:rsidR="00BC791B" w:rsidRDefault="00BC791B">
      <w:pPr>
        <w:pStyle w:val="p2"/>
        <w:divId w:val="1362516631"/>
      </w:pPr>
      <w:r>
        <w:rPr>
          <w:rStyle w:val="s2"/>
        </w:rPr>
        <w:t>Jessica Kingsley Publishers.</w:t>
      </w:r>
    </w:p>
    <w:p w14:paraId="6ABEC3C5" w14:textId="77777777" w:rsidR="00BC791B" w:rsidRDefault="00BC791B">
      <w:pPr>
        <w:pStyle w:val="p2"/>
        <w:divId w:val="1362516631"/>
      </w:pPr>
      <w:r>
        <w:rPr>
          <w:rStyle w:val="s2"/>
        </w:rPr>
        <w:t xml:space="preserve">Erikson, E.H. (1982) </w:t>
      </w:r>
      <w:r>
        <w:rPr>
          <w:rStyle w:val="s3"/>
        </w:rPr>
        <w:t>The life cycle completed</w:t>
      </w:r>
      <w:r>
        <w:rPr>
          <w:rStyle w:val="s2"/>
        </w:rPr>
        <w:t>. New York: W.W. Norton &amp; Company.</w:t>
      </w:r>
    </w:p>
    <w:p w14:paraId="3369470A" w14:textId="77777777" w:rsidR="00BC791B" w:rsidRDefault="00BC791B">
      <w:pPr>
        <w:pStyle w:val="p2"/>
        <w:divId w:val="1362516631"/>
      </w:pPr>
      <w:r>
        <w:rPr>
          <w:rStyle w:val="s2"/>
        </w:rPr>
        <w:t xml:space="preserve">Kitwood, T. (1997) </w:t>
      </w:r>
      <w:r>
        <w:rPr>
          <w:rStyle w:val="s3"/>
        </w:rPr>
        <w:t>Dementia reconsidered: The person comes first</w:t>
      </w:r>
      <w:r>
        <w:rPr>
          <w:rStyle w:val="s2"/>
        </w:rPr>
        <w:t>. Buckingham: Open</w:t>
      </w:r>
    </w:p>
    <w:p w14:paraId="68D728BE" w14:textId="77777777" w:rsidR="00BC791B" w:rsidRDefault="00BC791B">
      <w:pPr>
        <w:pStyle w:val="p2"/>
        <w:divId w:val="1362516631"/>
      </w:pPr>
      <w:r>
        <w:rPr>
          <w:rStyle w:val="s2"/>
        </w:rPr>
        <w:t>University Press.</w:t>
      </w:r>
    </w:p>
    <w:p w14:paraId="2142E042" w14:textId="77777777" w:rsidR="00BC791B" w:rsidRDefault="00BC791B">
      <w:pPr>
        <w:pStyle w:val="p2"/>
        <w:divId w:val="1362516631"/>
      </w:pPr>
      <w:r>
        <w:rPr>
          <w:rStyle w:val="s2"/>
        </w:rPr>
        <w:t xml:space="preserve">McLeod, S. (2018) ‘Erik Erikson’s stages of psychosocial development’, </w:t>
      </w:r>
      <w:r>
        <w:rPr>
          <w:rStyle w:val="s3"/>
        </w:rPr>
        <w:t>Simply Psychology</w:t>
      </w:r>
      <w:r>
        <w:rPr>
          <w:rStyle w:val="s2"/>
        </w:rPr>
        <w:t>.</w:t>
      </w:r>
    </w:p>
    <w:p w14:paraId="1DA218A6" w14:textId="77777777" w:rsidR="00BC791B" w:rsidRDefault="00BC791B">
      <w:pPr>
        <w:pStyle w:val="p2"/>
        <w:divId w:val="1362516631"/>
      </w:pPr>
      <w:r>
        <w:rPr>
          <w:rStyle w:val="s2"/>
        </w:rPr>
        <w:t xml:space="preserve">Available at: </w:t>
      </w:r>
      <w:r>
        <w:rPr>
          <w:rStyle w:val="s4"/>
        </w:rPr>
        <w:t>https://www.simplypsychology.org</w:t>
      </w:r>
      <w:r>
        <w:rPr>
          <w:rStyle w:val="s2"/>
        </w:rPr>
        <w:t xml:space="preserve"> (Accessed: day month year).Woods, B., O’Philbin, L., Farrell, E.M., Spector, A. and Orrell, M. (2018) ‘Reminiscence</w:t>
      </w:r>
    </w:p>
    <w:p w14:paraId="6E985585" w14:textId="77777777" w:rsidR="00BC791B" w:rsidRDefault="00BC791B">
      <w:pPr>
        <w:pStyle w:val="p2"/>
        <w:divId w:val="1362516631"/>
      </w:pPr>
      <w:r>
        <w:rPr>
          <w:rStyle w:val="s2"/>
        </w:rPr>
        <w:t xml:space="preserve">therapy for dementia’, </w:t>
      </w:r>
      <w:r>
        <w:rPr>
          <w:rStyle w:val="s3"/>
        </w:rPr>
        <w:t>Cochrane Database of Systematic Reviews</w:t>
      </w:r>
      <w:r>
        <w:rPr>
          <w:rStyle w:val="s2"/>
        </w:rPr>
        <w:t>, 3, CD001120.</w:t>
      </w:r>
    </w:p>
    <w:p w14:paraId="6515B884" w14:textId="77777777" w:rsidR="00BC791B" w:rsidRDefault="00BC791B">
      <w:pPr>
        <w:pStyle w:val="p2"/>
        <w:divId w:val="1362516631"/>
      </w:pPr>
      <w:r>
        <w:rPr>
          <w:rStyle w:val="s2"/>
        </w:rPr>
        <w:t xml:space="preserve">World Health Organization (2021) </w:t>
      </w:r>
      <w:r>
        <w:rPr>
          <w:rStyle w:val="s3"/>
        </w:rPr>
        <w:t>Global status report on the public health response to</w:t>
      </w:r>
    </w:p>
    <w:p w14:paraId="0D547AB2" w14:textId="02823F05" w:rsidR="00BC791B" w:rsidRDefault="00BC791B">
      <w:pPr>
        <w:pStyle w:val="p2"/>
        <w:divId w:val="1362516631"/>
      </w:pPr>
      <w:r>
        <w:rPr>
          <w:rStyle w:val="s3"/>
        </w:rPr>
        <w:t>dementia</w:t>
      </w:r>
      <w:r>
        <w:rPr>
          <w:rStyle w:val="s2"/>
        </w:rPr>
        <w:t xml:space="preserve">. Geneva: WHO. </w:t>
      </w:r>
    </w:p>
    <w:p w14:paraId="299E95CD" w14:textId="77777777" w:rsidR="006C37B9" w:rsidRDefault="006C37B9">
      <w:pPr>
        <w:rPr>
          <w:rFonts w:ascii="Open Sans" w:eastAsia="Times New Roman" w:hAnsi="Open Sans" w:cs="Open Sans"/>
          <w:color w:val="172B4D"/>
          <w:sz w:val="21"/>
          <w:szCs w:val="21"/>
          <w:shd w:val="clear" w:color="auto" w:fill="FFFFFF"/>
        </w:rPr>
      </w:pPr>
    </w:p>
    <w:p w14:paraId="23924CC6" w14:textId="77777777" w:rsidR="00C97797" w:rsidRDefault="00C97797">
      <w:pPr>
        <w:rPr>
          <w:rFonts w:ascii="Open Sans" w:eastAsia="Times New Roman" w:hAnsi="Open Sans" w:cs="Open Sans"/>
          <w:color w:val="172B4D"/>
          <w:sz w:val="21"/>
          <w:szCs w:val="21"/>
          <w:shd w:val="clear" w:color="auto" w:fill="FFFFFF"/>
        </w:rPr>
      </w:pPr>
    </w:p>
    <w:p w14:paraId="6C6B7EB6" w14:textId="77777777" w:rsidR="00C97797" w:rsidRPr="008F5AE1" w:rsidRDefault="00C97797">
      <w:pPr>
        <w:rPr>
          <w:rFonts w:ascii="Open Sans" w:eastAsia="Times New Roman" w:hAnsi="Open Sans" w:cs="Open Sans"/>
          <w:color w:val="172B4D"/>
          <w:sz w:val="21"/>
          <w:szCs w:val="21"/>
          <w:shd w:val="clear" w:color="auto" w:fill="FFFFFF"/>
        </w:rPr>
      </w:pPr>
    </w:p>
    <w:sectPr w:rsidR="00C97797" w:rsidRPr="008F5AE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NewRomanPS-BoldMT">
    <w:altName w:val="Times New Roman"/>
    <w:panose1 w:val="020B0604020202020204"/>
    <w:charset w:val="00"/>
    <w:family w:val="roman"/>
    <w:pitch w:val="default"/>
  </w:font>
  <w:font w:name="TimesNewRomanPS-ItalicMT">
    <w:altName w:val="Times New Roman"/>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565"/>
    <w:rsid w:val="00027545"/>
    <w:rsid w:val="000953A2"/>
    <w:rsid w:val="000B57D5"/>
    <w:rsid w:val="000F05F4"/>
    <w:rsid w:val="00105664"/>
    <w:rsid w:val="0012486E"/>
    <w:rsid w:val="00126FDF"/>
    <w:rsid w:val="00131869"/>
    <w:rsid w:val="001B443D"/>
    <w:rsid w:val="002643AC"/>
    <w:rsid w:val="0027425A"/>
    <w:rsid w:val="002A3471"/>
    <w:rsid w:val="002B4D0F"/>
    <w:rsid w:val="002D52A6"/>
    <w:rsid w:val="002E056D"/>
    <w:rsid w:val="002F0FF3"/>
    <w:rsid w:val="002F2B6D"/>
    <w:rsid w:val="00345F24"/>
    <w:rsid w:val="00410227"/>
    <w:rsid w:val="00430391"/>
    <w:rsid w:val="00467AC3"/>
    <w:rsid w:val="00496F66"/>
    <w:rsid w:val="005551F1"/>
    <w:rsid w:val="005F0389"/>
    <w:rsid w:val="00602EF7"/>
    <w:rsid w:val="006154DD"/>
    <w:rsid w:val="00630071"/>
    <w:rsid w:val="00676CC6"/>
    <w:rsid w:val="00683E32"/>
    <w:rsid w:val="006903AD"/>
    <w:rsid w:val="006A6544"/>
    <w:rsid w:val="006C37B9"/>
    <w:rsid w:val="006D48BD"/>
    <w:rsid w:val="00700C72"/>
    <w:rsid w:val="007113F0"/>
    <w:rsid w:val="007A0AC7"/>
    <w:rsid w:val="00813045"/>
    <w:rsid w:val="008561CE"/>
    <w:rsid w:val="008722EC"/>
    <w:rsid w:val="008723E1"/>
    <w:rsid w:val="00892C44"/>
    <w:rsid w:val="00893419"/>
    <w:rsid w:val="008C6FF8"/>
    <w:rsid w:val="008E4C6F"/>
    <w:rsid w:val="008F5AE1"/>
    <w:rsid w:val="009013C1"/>
    <w:rsid w:val="009A62CF"/>
    <w:rsid w:val="009A6361"/>
    <w:rsid w:val="00A27225"/>
    <w:rsid w:val="00A446DC"/>
    <w:rsid w:val="00A54197"/>
    <w:rsid w:val="00AC051A"/>
    <w:rsid w:val="00AF757C"/>
    <w:rsid w:val="00B164A0"/>
    <w:rsid w:val="00B90723"/>
    <w:rsid w:val="00BC791B"/>
    <w:rsid w:val="00BD1E97"/>
    <w:rsid w:val="00BF60C8"/>
    <w:rsid w:val="00C26EEA"/>
    <w:rsid w:val="00C31579"/>
    <w:rsid w:val="00C97797"/>
    <w:rsid w:val="00CB09E9"/>
    <w:rsid w:val="00CC49D5"/>
    <w:rsid w:val="00D1436F"/>
    <w:rsid w:val="00D176A3"/>
    <w:rsid w:val="00D85CBD"/>
    <w:rsid w:val="00D87565"/>
    <w:rsid w:val="00E04C1E"/>
    <w:rsid w:val="00E20832"/>
    <w:rsid w:val="00E406BC"/>
    <w:rsid w:val="00EA13C8"/>
    <w:rsid w:val="00ED67F0"/>
    <w:rsid w:val="00F467F7"/>
    <w:rsid w:val="00FA01E3"/>
    <w:rsid w:val="00FB41F6"/>
    <w:rsid w:val="00FC4089"/>
    <w:rsid w:val="00FF3F54"/>
  </w:rsids>
  <m:mathPr>
    <m:mathFont m:val="Cambria Math"/>
    <m:brkBin m:val="before"/>
    <m:brkBinSub m:val="--"/>
    <m:smallFrac m:val="0"/>
    <m:dispDef/>
    <m:lMargin m:val="0"/>
    <m:rMargin m:val="0"/>
    <m:defJc m:val="centerGroup"/>
    <m:wrapIndent m:val="1440"/>
    <m:intLim m:val="subSup"/>
    <m:naryLim m:val="undOvr"/>
  </m:mathPr>
  <w:themeFontLang w:val="en-AX"/>
  <w:clrSchemeMapping w:bg1="light1" w:t1="dark1" w:bg2="light2" w:t2="dark2" w:accent1="accent1" w:accent2="accent2" w:accent3="accent3" w:accent4="accent4" w:accent5="accent5" w:accent6="accent6" w:hyperlink="hyperlink" w:followedHyperlink="followedHyperlink"/>
  <w:decimalSymbol w:val=","/>
  <w:listSeparator w:val=","/>
  <w14:docId w14:val="186EC80E"/>
  <w15:chartTrackingRefBased/>
  <w15:docId w15:val="{1BB6E5B8-BF72-7A4E-878B-1F1D473E1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AX"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5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75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75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75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75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7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5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5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5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75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75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75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75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75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5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5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565"/>
    <w:rPr>
      <w:rFonts w:eastAsiaTheme="majorEastAsia" w:cstheme="majorBidi"/>
      <w:color w:val="272727" w:themeColor="text1" w:themeTint="D8"/>
    </w:rPr>
  </w:style>
  <w:style w:type="paragraph" w:styleId="Title">
    <w:name w:val="Title"/>
    <w:basedOn w:val="Normal"/>
    <w:next w:val="Normal"/>
    <w:link w:val="TitleChar"/>
    <w:uiPriority w:val="10"/>
    <w:qFormat/>
    <w:rsid w:val="00D875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5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5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5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565"/>
    <w:pPr>
      <w:spacing w:before="160"/>
      <w:jc w:val="center"/>
    </w:pPr>
    <w:rPr>
      <w:i/>
      <w:iCs/>
      <w:color w:val="404040" w:themeColor="text1" w:themeTint="BF"/>
    </w:rPr>
  </w:style>
  <w:style w:type="character" w:customStyle="1" w:styleId="QuoteChar">
    <w:name w:val="Quote Char"/>
    <w:basedOn w:val="DefaultParagraphFont"/>
    <w:link w:val="Quote"/>
    <w:uiPriority w:val="29"/>
    <w:rsid w:val="00D87565"/>
    <w:rPr>
      <w:i/>
      <w:iCs/>
      <w:color w:val="404040" w:themeColor="text1" w:themeTint="BF"/>
    </w:rPr>
  </w:style>
  <w:style w:type="paragraph" w:styleId="ListParagraph">
    <w:name w:val="List Paragraph"/>
    <w:basedOn w:val="Normal"/>
    <w:uiPriority w:val="34"/>
    <w:qFormat/>
    <w:rsid w:val="00D87565"/>
    <w:pPr>
      <w:ind w:left="720"/>
      <w:contextualSpacing/>
    </w:pPr>
  </w:style>
  <w:style w:type="character" w:styleId="IntenseEmphasis">
    <w:name w:val="Intense Emphasis"/>
    <w:basedOn w:val="DefaultParagraphFont"/>
    <w:uiPriority w:val="21"/>
    <w:qFormat/>
    <w:rsid w:val="00D87565"/>
    <w:rPr>
      <w:i/>
      <w:iCs/>
      <w:color w:val="2F5496" w:themeColor="accent1" w:themeShade="BF"/>
    </w:rPr>
  </w:style>
  <w:style w:type="paragraph" w:styleId="IntenseQuote">
    <w:name w:val="Intense Quote"/>
    <w:basedOn w:val="Normal"/>
    <w:next w:val="Normal"/>
    <w:link w:val="IntenseQuoteChar"/>
    <w:uiPriority w:val="30"/>
    <w:qFormat/>
    <w:rsid w:val="00D875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7565"/>
    <w:rPr>
      <w:i/>
      <w:iCs/>
      <w:color w:val="2F5496" w:themeColor="accent1" w:themeShade="BF"/>
    </w:rPr>
  </w:style>
  <w:style w:type="character" w:styleId="IntenseReference">
    <w:name w:val="Intense Reference"/>
    <w:basedOn w:val="DefaultParagraphFont"/>
    <w:uiPriority w:val="32"/>
    <w:qFormat/>
    <w:rsid w:val="00D87565"/>
    <w:rPr>
      <w:b/>
      <w:bCs/>
      <w:smallCaps/>
      <w:color w:val="2F5496" w:themeColor="accent1" w:themeShade="BF"/>
      <w:spacing w:val="5"/>
    </w:rPr>
  </w:style>
  <w:style w:type="paragraph" w:customStyle="1" w:styleId="p1">
    <w:name w:val="p1"/>
    <w:basedOn w:val="Normal"/>
    <w:rsid w:val="00BC791B"/>
    <w:pPr>
      <w:spacing w:after="0" w:line="240" w:lineRule="auto"/>
    </w:pPr>
    <w:rPr>
      <w:rFonts w:ascii="Times New Roman" w:hAnsi="Times New Roman" w:cs="Times New Roman"/>
      <w:color w:val="000000"/>
      <w:kern w:val="0"/>
      <w:sz w:val="27"/>
      <w:szCs w:val="27"/>
      <w14:ligatures w14:val="none"/>
    </w:rPr>
  </w:style>
  <w:style w:type="paragraph" w:customStyle="1" w:styleId="p2">
    <w:name w:val="p2"/>
    <w:basedOn w:val="Normal"/>
    <w:rsid w:val="00BC791B"/>
    <w:pPr>
      <w:spacing w:after="0" w:line="240" w:lineRule="auto"/>
    </w:pPr>
    <w:rPr>
      <w:rFonts w:ascii="Times New Roman" w:hAnsi="Times New Roman" w:cs="Times New Roman"/>
      <w:color w:val="000000"/>
      <w:kern w:val="0"/>
      <w:sz w:val="18"/>
      <w:szCs w:val="18"/>
      <w14:ligatures w14:val="none"/>
    </w:rPr>
  </w:style>
  <w:style w:type="character" w:customStyle="1" w:styleId="s1">
    <w:name w:val="s1"/>
    <w:basedOn w:val="DefaultParagraphFont"/>
    <w:rsid w:val="00BC791B"/>
    <w:rPr>
      <w:rFonts w:ascii="TimesNewRomanPS-BoldMT" w:hAnsi="TimesNewRomanPS-BoldMT" w:hint="default"/>
      <w:b/>
      <w:bCs/>
      <w:i w:val="0"/>
      <w:iCs w:val="0"/>
      <w:sz w:val="27"/>
      <w:szCs w:val="27"/>
    </w:rPr>
  </w:style>
  <w:style w:type="character" w:customStyle="1" w:styleId="s2">
    <w:name w:val="s2"/>
    <w:basedOn w:val="DefaultParagraphFont"/>
    <w:rsid w:val="00BC791B"/>
    <w:rPr>
      <w:rFonts w:ascii="Times New Roman" w:hAnsi="Times New Roman" w:cs="Times New Roman" w:hint="default"/>
      <w:b w:val="0"/>
      <w:bCs w:val="0"/>
      <w:i w:val="0"/>
      <w:iCs w:val="0"/>
      <w:sz w:val="18"/>
      <w:szCs w:val="18"/>
    </w:rPr>
  </w:style>
  <w:style w:type="character" w:customStyle="1" w:styleId="s3">
    <w:name w:val="s3"/>
    <w:basedOn w:val="DefaultParagraphFont"/>
    <w:rsid w:val="00BC791B"/>
    <w:rPr>
      <w:rFonts w:ascii="TimesNewRomanPS-ItalicMT" w:hAnsi="TimesNewRomanPS-ItalicMT" w:hint="default"/>
      <w:b w:val="0"/>
      <w:bCs w:val="0"/>
      <w:i/>
      <w:iCs/>
      <w:sz w:val="18"/>
      <w:szCs w:val="18"/>
    </w:rPr>
  </w:style>
  <w:style w:type="character" w:customStyle="1" w:styleId="s4">
    <w:name w:val="s4"/>
    <w:basedOn w:val="DefaultParagraphFont"/>
    <w:rsid w:val="00BC791B"/>
    <w:rPr>
      <w:rFonts w:ascii="Times New Roman" w:hAnsi="Times New Roman" w:cs="Times New Roman" w:hint="default"/>
      <w:b w:val="0"/>
      <w:bCs w:val="0"/>
      <w:i w:val="0"/>
      <w:iCs w:val="0"/>
      <w:color w:val="0000FF"/>
      <w:sz w:val="18"/>
      <w:szCs w:val="18"/>
    </w:rPr>
  </w:style>
  <w:style w:type="character" w:styleId="Strong">
    <w:name w:val="Strong"/>
    <w:basedOn w:val="DefaultParagraphFont"/>
    <w:uiPriority w:val="22"/>
    <w:qFormat/>
    <w:rsid w:val="007A0AC7"/>
    <w:rPr>
      <w:b/>
      <w:bCs/>
    </w:rPr>
  </w:style>
  <w:style w:type="character" w:customStyle="1" w:styleId="apple-converted-space">
    <w:name w:val="apple-converted-space"/>
    <w:basedOn w:val="DefaultParagraphFont"/>
    <w:rsid w:val="007A0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498662">
      <w:bodyDiv w:val="1"/>
      <w:marLeft w:val="0"/>
      <w:marRight w:val="0"/>
      <w:marTop w:val="0"/>
      <w:marBottom w:val="0"/>
      <w:divBdr>
        <w:top w:val="none" w:sz="0" w:space="0" w:color="auto"/>
        <w:left w:val="none" w:sz="0" w:space="0" w:color="auto"/>
        <w:bottom w:val="none" w:sz="0" w:space="0" w:color="auto"/>
        <w:right w:val="none" w:sz="0" w:space="0" w:color="auto"/>
      </w:divBdr>
    </w:div>
    <w:div w:id="1362516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1460</Words>
  <Characters>8328</Characters>
  <Application>Microsoft Office Word</Application>
  <DocSecurity>0</DocSecurity>
  <Lines>69</Lines>
  <Paragraphs>19</Paragraphs>
  <ScaleCrop>false</ScaleCrop>
  <Company/>
  <LinksUpToDate>false</LinksUpToDate>
  <CharactersWithSpaces>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447459771326</dc:creator>
  <cp:keywords/>
  <dc:description/>
  <cp:lastModifiedBy>447459771326</cp:lastModifiedBy>
  <cp:revision>2</cp:revision>
  <dcterms:created xsi:type="dcterms:W3CDTF">2025-12-19T10:45:00Z</dcterms:created>
  <dcterms:modified xsi:type="dcterms:W3CDTF">2025-12-19T10:45:00Z</dcterms:modified>
</cp:coreProperties>
</file>