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17AA963" w:rsidR="000E2E7E" w:rsidRPr="000E2E7E" w:rsidRDefault="000E2E7E">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w:t>
      </w:r>
      <w:r w:rsidR="00510D18" w:rsidRPr="00D163BC">
        <w:rPr>
          <w:b/>
          <w:bCs/>
          <w:color w:val="FF0000"/>
          <w:sz w:val="48"/>
          <w:szCs w:val="48"/>
        </w:rPr>
        <w:t>501</w:t>
      </w:r>
      <w:r w:rsidR="00D163BC" w:rsidRPr="00D163BC">
        <w:rPr>
          <w:b/>
          <w:bCs/>
          <w:color w:val="FF0000"/>
          <w:sz w:val="48"/>
          <w:szCs w:val="48"/>
        </w:rPr>
        <w:t>5</w:t>
      </w:r>
    </w:p>
    <w:p w14:paraId="10FFAE95" w14:textId="77777777" w:rsidR="000E2E7E" w:rsidRPr="000E2E7E" w:rsidRDefault="000E2E7E">
      <w:pPr>
        <w:rPr>
          <w:b/>
          <w:bCs/>
          <w:sz w:val="52"/>
          <w:szCs w:val="52"/>
        </w:rPr>
      </w:pPr>
    </w:p>
    <w:p w14:paraId="78DCE9B9" w14:textId="553AE9B7" w:rsidR="000E2E7E" w:rsidRPr="00D163BC" w:rsidRDefault="000E2E7E" w:rsidP="00D163BC">
      <w:pPr>
        <w:rPr>
          <w:b/>
          <w:bCs/>
          <w:color w:val="FF0000"/>
          <w:sz w:val="52"/>
          <w:szCs w:val="52"/>
        </w:rPr>
      </w:pPr>
      <w:r w:rsidRPr="000E2E7E">
        <w:rPr>
          <w:b/>
          <w:bCs/>
          <w:sz w:val="52"/>
          <w:szCs w:val="52"/>
        </w:rPr>
        <w:t>Assignment Title:</w:t>
      </w:r>
      <w:r>
        <w:rPr>
          <w:b/>
          <w:bCs/>
          <w:sz w:val="52"/>
          <w:szCs w:val="52"/>
        </w:rPr>
        <w:t xml:space="preserve"> </w:t>
      </w:r>
      <w:r w:rsidR="00D163BC" w:rsidRPr="00D163BC">
        <w:rPr>
          <w:b/>
          <w:bCs/>
          <w:color w:val="FF0000"/>
          <w:sz w:val="52"/>
          <w:szCs w:val="52"/>
        </w:rPr>
        <w:t xml:space="preserve">Deepening Practice </w:t>
      </w:r>
    </w:p>
    <w:p w14:paraId="32D7A0CD" w14:textId="6F189B33" w:rsidR="00D163BC" w:rsidRPr="00D163BC" w:rsidRDefault="00D163BC" w:rsidP="00D163BC">
      <w:pPr>
        <w:rPr>
          <w:b/>
          <w:bCs/>
          <w:color w:val="FF0000"/>
          <w:sz w:val="52"/>
          <w:szCs w:val="52"/>
        </w:rPr>
      </w:pPr>
      <w:r w:rsidRPr="00D163BC">
        <w:rPr>
          <w:b/>
          <w:bCs/>
          <w:color w:val="FF0000"/>
          <w:sz w:val="52"/>
          <w:szCs w:val="52"/>
        </w:rPr>
        <w:t xml:space="preserve">ALN – Part 1 Journal  / Part 2 Video </w:t>
      </w:r>
      <w:r>
        <w:rPr>
          <w:b/>
          <w:bCs/>
          <w:color w:val="FF0000"/>
          <w:sz w:val="52"/>
          <w:szCs w:val="52"/>
        </w:rPr>
        <w:t xml:space="preserve">Reference list and link  </w:t>
      </w:r>
      <w:r w:rsidRPr="00D163BC">
        <w:rPr>
          <w:b/>
          <w:bCs/>
          <w:color w:val="FF0000"/>
          <w:sz w:val="52"/>
          <w:szCs w:val="52"/>
        </w:rPr>
        <w:t>(delete a</w:t>
      </w:r>
      <w:r>
        <w:rPr>
          <w:b/>
          <w:bCs/>
          <w:color w:val="FF0000"/>
          <w:sz w:val="52"/>
          <w:szCs w:val="52"/>
        </w:rPr>
        <w:t>s appropriate)</w:t>
      </w:r>
    </w:p>
    <w:p w14:paraId="47D65DC0" w14:textId="4615758D" w:rsidR="000E2E7E" w:rsidRPr="00D163BC" w:rsidRDefault="000E2E7E">
      <w:pPr>
        <w:rPr>
          <w:b/>
          <w:bCs/>
          <w:sz w:val="52"/>
          <w:szCs w:val="52"/>
        </w:rPr>
      </w:pPr>
      <w:r w:rsidRPr="00D163BC">
        <w:rPr>
          <w:b/>
          <w:bCs/>
          <w:sz w:val="52"/>
          <w:szCs w:val="52"/>
        </w:rPr>
        <w:t>Student Name:</w:t>
      </w:r>
      <w:r w:rsidR="00784CE2">
        <w:rPr>
          <w:b/>
          <w:bCs/>
          <w:sz w:val="52"/>
          <w:szCs w:val="52"/>
        </w:rPr>
        <w:t xml:space="preserve"> Charlotte Howell</w:t>
      </w:r>
    </w:p>
    <w:p w14:paraId="1025240F" w14:textId="70E44EC3" w:rsidR="000E2E7E" w:rsidRPr="000E2E7E" w:rsidRDefault="000E2E7E">
      <w:pPr>
        <w:rPr>
          <w:b/>
          <w:bCs/>
          <w:sz w:val="52"/>
          <w:szCs w:val="52"/>
        </w:rPr>
      </w:pPr>
      <w:r w:rsidRPr="000E2E7E">
        <w:rPr>
          <w:b/>
          <w:bCs/>
          <w:sz w:val="52"/>
          <w:szCs w:val="52"/>
        </w:rPr>
        <w:t>Student Number:</w:t>
      </w:r>
      <w:r w:rsidR="00784CE2">
        <w:rPr>
          <w:b/>
          <w:bCs/>
          <w:sz w:val="52"/>
          <w:szCs w:val="52"/>
        </w:rPr>
        <w:t xml:space="preserve"> </w:t>
      </w:r>
      <w:r w:rsidR="00A00090">
        <w:rPr>
          <w:b/>
          <w:bCs/>
          <w:sz w:val="52"/>
          <w:szCs w:val="52"/>
        </w:rPr>
        <w:t>2308966</w:t>
      </w:r>
    </w:p>
    <w:p w14:paraId="66EB3C44" w14:textId="3EA69FAC" w:rsidR="000E2E7E" w:rsidRDefault="000E2E7E">
      <w:pPr>
        <w:rPr>
          <w:b/>
          <w:bCs/>
          <w:sz w:val="52"/>
          <w:szCs w:val="52"/>
        </w:rPr>
      </w:pPr>
      <w:r w:rsidRPr="000E2E7E">
        <w:rPr>
          <w:b/>
          <w:bCs/>
          <w:sz w:val="52"/>
          <w:szCs w:val="52"/>
        </w:rPr>
        <w:t>BA Primary Education (QTS)</w:t>
      </w:r>
    </w:p>
    <w:p w14:paraId="1F033E25" w14:textId="77777777" w:rsidR="00A00090" w:rsidRDefault="00A00090">
      <w:pPr>
        <w:rPr>
          <w:b/>
          <w:bCs/>
          <w:sz w:val="52"/>
          <w:szCs w:val="52"/>
        </w:rPr>
      </w:pPr>
    </w:p>
    <w:p w14:paraId="097A6454" w14:textId="77777777" w:rsidR="000E2E7E" w:rsidRDefault="000E2E7E">
      <w:pPr>
        <w:rPr>
          <w:b/>
          <w:bCs/>
          <w:sz w:val="52"/>
          <w:szCs w:val="52"/>
        </w:rPr>
      </w:pPr>
    </w:p>
    <w:p w14:paraId="68C0FC82" w14:textId="77777777" w:rsidR="00044682" w:rsidRPr="000E2E7E" w:rsidRDefault="00044682">
      <w:pPr>
        <w:rPr>
          <w:b/>
          <w:bCs/>
          <w:sz w:val="52"/>
          <w:szCs w:val="52"/>
        </w:rPr>
      </w:pPr>
    </w:p>
    <w:p w14:paraId="0BE6D22C" w14:textId="77777777" w:rsidR="000E2E7E" w:rsidRPr="00CD29DA" w:rsidRDefault="000E2E7E" w:rsidP="000E2E7E">
      <w:pPr>
        <w:rPr>
          <w:b/>
          <w:bCs/>
          <w:sz w:val="22"/>
          <w:szCs w:val="22"/>
          <w:u w:val="single"/>
        </w:rPr>
      </w:pPr>
      <w:r w:rsidRPr="00CD29DA">
        <w:rPr>
          <w:b/>
          <w:bCs/>
          <w:sz w:val="22"/>
          <w:szCs w:val="22"/>
          <w:u w:val="single"/>
        </w:rPr>
        <w:t>AI Acknowledgement</w:t>
      </w:r>
    </w:p>
    <w:p w14:paraId="75D27F57" w14:textId="77777777" w:rsidR="009361FD" w:rsidRPr="00D05290" w:rsidRDefault="009361FD" w:rsidP="00ED7525">
      <w:pPr>
        <w:rPr>
          <w:sz w:val="22"/>
          <w:szCs w:val="22"/>
        </w:rPr>
      </w:pPr>
      <w:r w:rsidRPr="00D05290">
        <w:rPr>
          <w:sz w:val="22"/>
          <w:szCs w:val="22"/>
        </w:rPr>
        <w:t xml:space="preserve">I acknowledge the use of </w:t>
      </w:r>
      <w:proofErr w:type="spellStart"/>
      <w:r w:rsidRPr="00D05290">
        <w:rPr>
          <w:sz w:val="22"/>
          <w:szCs w:val="22"/>
        </w:rPr>
        <w:t>Grammaly</w:t>
      </w:r>
      <w:proofErr w:type="spellEnd"/>
      <w:r w:rsidRPr="00D05290">
        <w:rPr>
          <w:sz w:val="22"/>
          <w:szCs w:val="22"/>
        </w:rPr>
        <w:t xml:space="preserve">  </w:t>
      </w:r>
      <w:hyperlink r:id="rId6" w:history="1">
        <w:r w:rsidRPr="00D05290">
          <w:rPr>
            <w:rStyle w:val="Hyperlink"/>
            <w:sz w:val="22"/>
            <w:szCs w:val="22"/>
          </w:rPr>
          <w:t>https://www.grammarly.com/</w:t>
        </w:r>
      </w:hyperlink>
      <w:r w:rsidRPr="00D05290">
        <w:rPr>
          <w:sz w:val="22"/>
          <w:szCs w:val="22"/>
        </w:rPr>
        <w:t xml:space="preserve"> on 03/03/2025 using the prompt.</w:t>
      </w:r>
    </w:p>
    <w:p w14:paraId="276C10C9" w14:textId="77777777" w:rsidR="009361FD" w:rsidRPr="00D05290" w:rsidRDefault="009361FD" w:rsidP="00ED7525">
      <w:pPr>
        <w:pStyle w:val="ListParagraph"/>
        <w:numPr>
          <w:ilvl w:val="0"/>
          <w:numId w:val="1"/>
        </w:numPr>
        <w:rPr>
          <w:sz w:val="22"/>
          <w:szCs w:val="22"/>
        </w:rPr>
      </w:pPr>
      <w:r w:rsidRPr="00D05290">
        <w:rPr>
          <w:sz w:val="22"/>
          <w:szCs w:val="22"/>
        </w:rPr>
        <w:t>Please check the following text for readability, grammar and spelling.</w:t>
      </w:r>
    </w:p>
    <w:p w14:paraId="77CCC350" w14:textId="77777777" w:rsidR="009361FD" w:rsidRPr="00D05290" w:rsidRDefault="009361FD" w:rsidP="00ED7525">
      <w:pPr>
        <w:rPr>
          <w:sz w:val="22"/>
          <w:szCs w:val="22"/>
        </w:rPr>
      </w:pPr>
      <w:r w:rsidRPr="00D05290">
        <w:rPr>
          <w:sz w:val="22"/>
          <w:szCs w:val="22"/>
        </w:rPr>
        <w:t xml:space="preserve">I acknowledge the use of MyBib </w:t>
      </w:r>
      <w:hyperlink r:id="rId7" w:history="1">
        <w:r w:rsidRPr="00D05290">
          <w:rPr>
            <w:rStyle w:val="Hyperlink"/>
            <w:sz w:val="22"/>
            <w:szCs w:val="22"/>
          </w:rPr>
          <w:t>https://www.mybib.com/</w:t>
        </w:r>
      </w:hyperlink>
      <w:r w:rsidRPr="00D05290">
        <w:rPr>
          <w:sz w:val="22"/>
          <w:szCs w:val="22"/>
        </w:rPr>
        <w:t xml:space="preserve"> on 03/03/2025 using the prompt.</w:t>
      </w:r>
    </w:p>
    <w:p w14:paraId="5DB211B3" w14:textId="442C1914" w:rsidR="009361FD" w:rsidRPr="00D05290" w:rsidRDefault="009361FD" w:rsidP="00ED7525">
      <w:pPr>
        <w:pStyle w:val="ListParagraph"/>
        <w:numPr>
          <w:ilvl w:val="0"/>
          <w:numId w:val="2"/>
        </w:numPr>
        <w:rPr>
          <w:sz w:val="22"/>
          <w:szCs w:val="22"/>
        </w:rPr>
      </w:pPr>
      <w:r w:rsidRPr="00D05290">
        <w:rPr>
          <w:sz w:val="22"/>
          <w:szCs w:val="22"/>
        </w:rPr>
        <w:t xml:space="preserve">Please store and check my references are correct. </w:t>
      </w:r>
    </w:p>
    <w:p w14:paraId="135DD8E5" w14:textId="77777777" w:rsidR="009361FD" w:rsidRPr="00D05290" w:rsidRDefault="009361FD" w:rsidP="00ED7525">
      <w:pPr>
        <w:rPr>
          <w:sz w:val="22"/>
          <w:szCs w:val="22"/>
        </w:rPr>
      </w:pPr>
      <w:r w:rsidRPr="00D05290">
        <w:rPr>
          <w:sz w:val="22"/>
          <w:szCs w:val="22"/>
        </w:rPr>
        <w:t xml:space="preserve">I confirm that I have not presented any AI generated text as my own work. </w:t>
      </w:r>
    </w:p>
    <w:p w14:paraId="576F22A4" w14:textId="628598C6" w:rsidR="000E2E7E" w:rsidRPr="00D05290" w:rsidRDefault="009361FD" w:rsidP="000E2E7E">
      <w:pPr>
        <w:rPr>
          <w:sz w:val="22"/>
          <w:szCs w:val="22"/>
        </w:rPr>
      </w:pPr>
      <w:r w:rsidRPr="00D05290">
        <w:rPr>
          <w:sz w:val="22"/>
          <w:szCs w:val="22"/>
        </w:rPr>
        <w:t>I confirm that I have copies of my drafts, notes, and other resources I used before and after the use of AI tools which I may be asked to provide in evidence.</w:t>
      </w:r>
    </w:p>
    <w:tbl>
      <w:tblPr>
        <w:tblStyle w:val="TableGrid"/>
        <w:tblW w:w="9282" w:type="dxa"/>
        <w:tblLook w:val="04A0" w:firstRow="1" w:lastRow="0" w:firstColumn="1" w:lastColumn="0" w:noHBand="0" w:noVBand="1"/>
      </w:tblPr>
      <w:tblGrid>
        <w:gridCol w:w="3256"/>
        <w:gridCol w:w="3118"/>
        <w:gridCol w:w="2908"/>
      </w:tblGrid>
      <w:tr w:rsidR="000E2E7E" w:rsidRPr="00CD29DA" w14:paraId="0ADB3F25" w14:textId="77777777" w:rsidTr="000E2E7E">
        <w:trPr>
          <w:trHeight w:val="360"/>
        </w:trPr>
        <w:tc>
          <w:tcPr>
            <w:tcW w:w="3256" w:type="dxa"/>
          </w:tcPr>
          <w:p w14:paraId="2110C93E" w14:textId="45B7432A" w:rsidR="000E2E7E" w:rsidRPr="00CD29DA" w:rsidRDefault="000E2E7E" w:rsidP="00AE36BB">
            <w:pPr>
              <w:rPr>
                <w:b/>
                <w:bCs/>
                <w:color w:val="FFFFFF"/>
                <w:lang w:val="cy-GB"/>
              </w:rPr>
            </w:pPr>
            <w:r w:rsidRPr="00CD29DA">
              <w:rPr>
                <w:b/>
                <w:bCs/>
                <w:lang w:val="cy-GB"/>
              </w:rPr>
              <w:t>Targets from previous module</w:t>
            </w:r>
          </w:p>
        </w:tc>
        <w:tc>
          <w:tcPr>
            <w:tcW w:w="3118" w:type="dxa"/>
          </w:tcPr>
          <w:p w14:paraId="1C0504E0" w14:textId="648CF4FC" w:rsidR="000E2E7E" w:rsidRPr="00CD29DA" w:rsidRDefault="000E2E7E" w:rsidP="00AE36BB">
            <w:pPr>
              <w:rPr>
                <w:b/>
                <w:bCs/>
                <w:color w:val="FFFFFF"/>
                <w:lang w:val="cy-GB"/>
              </w:rPr>
            </w:pPr>
            <w:r w:rsidRPr="00CD29DA">
              <w:rPr>
                <w:b/>
                <w:bCs/>
                <w:lang w:val="cy-GB"/>
              </w:rPr>
              <w:t>How I have worked on these?</w:t>
            </w:r>
          </w:p>
        </w:tc>
        <w:tc>
          <w:tcPr>
            <w:tcW w:w="2908" w:type="dxa"/>
          </w:tcPr>
          <w:p w14:paraId="0ED8A1ED" w14:textId="77777777" w:rsidR="000E2E7E" w:rsidRPr="00CD29DA" w:rsidRDefault="000E2E7E" w:rsidP="00AE36BB">
            <w:pPr>
              <w:rPr>
                <w:rFonts w:cs="Calibri"/>
                <w:b/>
                <w:bCs/>
                <w:lang w:val="cy-GB"/>
              </w:rPr>
            </w:pPr>
            <w:r w:rsidRPr="00CD29DA">
              <w:rPr>
                <w:rFonts w:cs="Calibri"/>
                <w:b/>
                <w:bCs/>
                <w:lang w:val="cy-GB"/>
              </w:rPr>
              <w:t>An example can be seen on…</w:t>
            </w:r>
          </w:p>
          <w:p w14:paraId="0798C571" w14:textId="146BBBF0" w:rsidR="000E2E7E" w:rsidRPr="00CD29DA" w:rsidRDefault="000E2E7E" w:rsidP="00AE36BB">
            <w:pPr>
              <w:rPr>
                <w:b/>
                <w:bCs/>
                <w:color w:val="FFFFFF"/>
                <w:lang w:val="cy-GB"/>
              </w:rPr>
            </w:pPr>
          </w:p>
        </w:tc>
      </w:tr>
      <w:tr w:rsidR="000E2E7E" w:rsidRPr="00C04E52" w14:paraId="0EC7171C" w14:textId="77777777" w:rsidTr="000E2E7E">
        <w:trPr>
          <w:trHeight w:val="338"/>
        </w:trPr>
        <w:tc>
          <w:tcPr>
            <w:tcW w:w="3256" w:type="dxa"/>
          </w:tcPr>
          <w:p w14:paraId="18121FAC" w14:textId="69288958" w:rsidR="007E150B" w:rsidRPr="00C04E52" w:rsidRDefault="00925B54" w:rsidP="00202DCC">
            <w:pPr>
              <w:pStyle w:val="li1"/>
              <w:divId w:val="920412818"/>
              <w:rPr>
                <w:rFonts w:asciiTheme="minorHAnsi" w:eastAsia="Times New Roman" w:hAnsiTheme="minorHAnsi"/>
              </w:rPr>
            </w:pPr>
            <w:r w:rsidRPr="00C04E52">
              <w:rPr>
                <w:rStyle w:val="s1"/>
                <w:rFonts w:asciiTheme="minorHAnsi" w:eastAsia="Times New Roman" w:hAnsiTheme="minorHAnsi"/>
              </w:rPr>
              <w:t>Provide a broader introduction to school and community context to allow the reader to contextualise your writing.</w:t>
            </w:r>
          </w:p>
        </w:tc>
        <w:tc>
          <w:tcPr>
            <w:tcW w:w="3118" w:type="dxa"/>
          </w:tcPr>
          <w:p w14:paraId="0A55C9ED" w14:textId="653F07B0" w:rsidR="000E2E7E" w:rsidRPr="00C04E52" w:rsidRDefault="008C14C1" w:rsidP="0066720D">
            <w:pPr>
              <w:pStyle w:val="NormalWeb"/>
              <w:divId w:val="271792123"/>
              <w:rPr>
                <w:rFonts w:asciiTheme="minorHAnsi" w:hAnsiTheme="minorHAnsi"/>
                <w:color w:val="000000"/>
                <w:sz w:val="18"/>
                <w:szCs w:val="18"/>
              </w:rPr>
            </w:pPr>
            <w:r w:rsidRPr="00C04E52">
              <w:rPr>
                <w:rFonts w:asciiTheme="minorHAnsi" w:hAnsiTheme="minorHAnsi"/>
                <w:color w:val="000000"/>
                <w:sz w:val="18"/>
                <w:szCs w:val="18"/>
              </w:rPr>
              <w:t>I have worked on this target by introducing the Welsh educational context, including the ALNET Act and Curriculum for Wales, to provide a clear foundation for understanding the inclusive strategies discussed throughout the assignment.</w:t>
            </w:r>
          </w:p>
        </w:tc>
        <w:tc>
          <w:tcPr>
            <w:tcW w:w="2908" w:type="dxa"/>
          </w:tcPr>
          <w:p w14:paraId="183044AB" w14:textId="290C711C" w:rsidR="000E2E7E" w:rsidRPr="00C04E52" w:rsidRDefault="0066720D" w:rsidP="00AE36BB">
            <w:pPr>
              <w:rPr>
                <w:sz w:val="18"/>
                <w:szCs w:val="18"/>
                <w:lang w:val="cy-GB"/>
              </w:rPr>
            </w:pPr>
            <w:r w:rsidRPr="00C04E52">
              <w:rPr>
                <w:sz w:val="18"/>
                <w:szCs w:val="18"/>
                <w:lang w:val="cy-GB"/>
              </w:rPr>
              <w:t>During the introduction.</w:t>
            </w:r>
          </w:p>
        </w:tc>
      </w:tr>
      <w:tr w:rsidR="000E2E7E" w:rsidRPr="00C04E52" w14:paraId="388E36FE" w14:textId="77777777" w:rsidTr="000E2E7E">
        <w:trPr>
          <w:trHeight w:val="338"/>
        </w:trPr>
        <w:tc>
          <w:tcPr>
            <w:tcW w:w="3256" w:type="dxa"/>
          </w:tcPr>
          <w:p w14:paraId="06CE4F7D" w14:textId="7D8C4051" w:rsidR="007E150B" w:rsidRPr="00C04E52" w:rsidRDefault="007E150B" w:rsidP="007E150B">
            <w:pPr>
              <w:pStyle w:val="li1"/>
              <w:divId w:val="273831268"/>
              <w:rPr>
                <w:rFonts w:asciiTheme="minorHAnsi" w:eastAsia="Times New Roman" w:hAnsiTheme="minorHAnsi"/>
              </w:rPr>
            </w:pPr>
            <w:r w:rsidRPr="00C04E52">
              <w:rPr>
                <w:rStyle w:val="s1"/>
                <w:rFonts w:asciiTheme="minorHAnsi" w:eastAsia="Times New Roman" w:hAnsiTheme="minorHAnsi"/>
              </w:rPr>
              <w:t>Avoid series of short paragraphs where information is related.</w:t>
            </w:r>
          </w:p>
        </w:tc>
        <w:tc>
          <w:tcPr>
            <w:tcW w:w="3118" w:type="dxa"/>
          </w:tcPr>
          <w:p w14:paraId="33CC185F" w14:textId="1125583D" w:rsidR="000E2E7E" w:rsidRPr="00C04E52" w:rsidRDefault="00044299" w:rsidP="00AE36BB">
            <w:pPr>
              <w:rPr>
                <w:sz w:val="18"/>
                <w:szCs w:val="18"/>
                <w:lang w:val="cy-GB"/>
              </w:rPr>
            </w:pPr>
            <w:r w:rsidRPr="00C04E52">
              <w:rPr>
                <w:sz w:val="18"/>
                <w:szCs w:val="18"/>
                <w:lang w:val="cy-GB"/>
              </w:rPr>
              <w:t xml:space="preserve">I have included longer paragraphs where </w:t>
            </w:r>
            <w:r w:rsidR="00FD723C" w:rsidRPr="00C04E52">
              <w:rPr>
                <w:sz w:val="18"/>
                <w:szCs w:val="18"/>
                <w:lang w:val="cy-GB"/>
              </w:rPr>
              <w:t>I could.</w:t>
            </w:r>
          </w:p>
        </w:tc>
        <w:tc>
          <w:tcPr>
            <w:tcW w:w="2908" w:type="dxa"/>
          </w:tcPr>
          <w:p w14:paraId="37CFC390" w14:textId="28A31499" w:rsidR="000E2E7E" w:rsidRPr="00C04E52" w:rsidRDefault="0066720D" w:rsidP="00AE36BB">
            <w:pPr>
              <w:rPr>
                <w:sz w:val="18"/>
                <w:szCs w:val="18"/>
                <w:lang w:val="cy-GB"/>
              </w:rPr>
            </w:pPr>
            <w:r w:rsidRPr="00C04E52">
              <w:rPr>
                <w:sz w:val="18"/>
                <w:szCs w:val="18"/>
                <w:lang w:val="cy-GB"/>
              </w:rPr>
              <w:t>The whole assignment.</w:t>
            </w:r>
          </w:p>
        </w:tc>
      </w:tr>
      <w:tr w:rsidR="00D05290" w:rsidRPr="00C04E52" w14:paraId="0DC491F2" w14:textId="77777777" w:rsidTr="000E2E7E">
        <w:trPr>
          <w:trHeight w:val="338"/>
        </w:trPr>
        <w:tc>
          <w:tcPr>
            <w:tcW w:w="3256" w:type="dxa"/>
          </w:tcPr>
          <w:p w14:paraId="0DAF9735" w14:textId="1744D848" w:rsidR="00D05290" w:rsidRPr="00C04E52" w:rsidRDefault="00CD29DA" w:rsidP="007E150B">
            <w:pPr>
              <w:pStyle w:val="li1"/>
              <w:rPr>
                <w:rStyle w:val="s1"/>
                <w:rFonts w:asciiTheme="minorHAnsi" w:eastAsia="Times New Roman" w:hAnsiTheme="minorHAnsi"/>
              </w:rPr>
            </w:pPr>
            <w:r w:rsidRPr="00C04E52">
              <w:rPr>
                <w:rStyle w:val="s1"/>
                <w:rFonts w:asciiTheme="minorHAnsi" w:eastAsia="Times New Roman" w:hAnsiTheme="minorHAnsi"/>
              </w:rPr>
              <w:t>Make synthesis and critical analysis and evaluation a frequent and consistent feature of your writin</w:t>
            </w:r>
            <w:r w:rsidRPr="00C04E52">
              <w:rPr>
                <w:rStyle w:val="s1"/>
                <w:rFonts w:asciiTheme="minorHAnsi" w:eastAsia="Times New Roman" w:hAnsiTheme="minorHAnsi"/>
              </w:rPr>
              <w:t>g.</w:t>
            </w:r>
          </w:p>
        </w:tc>
        <w:tc>
          <w:tcPr>
            <w:tcW w:w="3118" w:type="dxa"/>
          </w:tcPr>
          <w:p w14:paraId="24487757" w14:textId="7447A003" w:rsidR="00D05290" w:rsidRPr="00C04E52" w:rsidRDefault="00C04E52" w:rsidP="00C04E52">
            <w:pPr>
              <w:pStyle w:val="NormalWeb"/>
              <w:divId w:val="1935243595"/>
              <w:rPr>
                <w:rFonts w:asciiTheme="minorHAnsi" w:hAnsiTheme="minorHAnsi"/>
                <w:color w:val="000000"/>
                <w:sz w:val="18"/>
                <w:szCs w:val="18"/>
              </w:rPr>
            </w:pPr>
            <w:r w:rsidRPr="00C04E52">
              <w:rPr>
                <w:rFonts w:asciiTheme="minorHAnsi" w:hAnsiTheme="minorHAnsi"/>
                <w:color w:val="000000"/>
                <w:sz w:val="18"/>
                <w:szCs w:val="18"/>
              </w:rPr>
              <w:t>I have worked on this target by consistently linking theory to practice, critically evaluating the implementation of the ALNET Act, and analysing the effectiveness and limitations of inclusive strategies such as calm corners and ear defenders.</w:t>
            </w:r>
          </w:p>
        </w:tc>
        <w:tc>
          <w:tcPr>
            <w:tcW w:w="2908" w:type="dxa"/>
          </w:tcPr>
          <w:p w14:paraId="0B170918" w14:textId="4B94DEEE" w:rsidR="00D05290" w:rsidRPr="00C04E52" w:rsidRDefault="00044299" w:rsidP="00AE36BB">
            <w:pPr>
              <w:rPr>
                <w:sz w:val="18"/>
                <w:szCs w:val="18"/>
                <w:lang w:val="cy-GB"/>
              </w:rPr>
            </w:pPr>
            <w:r w:rsidRPr="00C04E52">
              <w:rPr>
                <w:sz w:val="18"/>
                <w:szCs w:val="18"/>
                <w:lang w:val="cy-GB"/>
              </w:rPr>
              <w:t>The whole assignment.</w:t>
            </w:r>
          </w:p>
        </w:tc>
      </w:tr>
    </w:tbl>
    <w:p w14:paraId="165B38EF" w14:textId="1B91AAC5" w:rsidR="00044682" w:rsidRDefault="00044682"/>
    <w:p w14:paraId="1CD1FA79" w14:textId="07F925AF" w:rsidR="00CD29DA" w:rsidRDefault="00CD29DA" w:rsidP="00D163BC">
      <w:pPr>
        <w:rPr>
          <w:sz w:val="52"/>
          <w:szCs w:val="52"/>
        </w:rPr>
      </w:pPr>
    </w:p>
    <w:p w14:paraId="7C2756C7" w14:textId="77777777" w:rsidR="00CD29DA" w:rsidRDefault="00CD29DA">
      <w:pPr>
        <w:rPr>
          <w:sz w:val="52"/>
          <w:szCs w:val="52"/>
        </w:rPr>
      </w:pPr>
      <w:r>
        <w:rPr>
          <w:sz w:val="52"/>
          <w:szCs w:val="52"/>
        </w:rPr>
        <w:br w:type="page"/>
      </w:r>
    </w:p>
    <w:p w14:paraId="4A993333" w14:textId="1B961FE3" w:rsidR="00A9080A" w:rsidRPr="00A9080A" w:rsidRDefault="00A9080A" w:rsidP="00A9080A">
      <w:pPr>
        <w:spacing w:after="255" w:line="240" w:lineRule="auto"/>
        <w:divId w:val="1555042702"/>
        <w:rPr>
          <w:rFonts w:cs="Times New Roman"/>
          <w:color w:val="000000"/>
          <w:kern w:val="0"/>
          <w:lang w:eastAsia="en-GB"/>
          <w14:ligatures w14:val="none"/>
        </w:rPr>
      </w:pPr>
      <w:r w:rsidRPr="00A9080A">
        <w:rPr>
          <w:rFonts w:cs="Times New Roman"/>
          <w:color w:val="000000"/>
          <w:kern w:val="0"/>
          <w:lang w:eastAsia="en-GB"/>
          <w14:ligatures w14:val="none"/>
        </w:rPr>
        <w:lastRenderedPageBreak/>
        <w:t>Inclusive practice is critical for ensuring that all learners, regardless of unique needs, backgrounds, or abilities, have equal access to participate in education (</w:t>
      </w:r>
      <w:proofErr w:type="spellStart"/>
      <w:r w:rsidRPr="00A9080A">
        <w:rPr>
          <w:rFonts w:cs="Times New Roman"/>
          <w:color w:val="000000"/>
          <w:kern w:val="0"/>
          <w:lang w:eastAsia="en-GB"/>
          <w14:ligatures w14:val="none"/>
        </w:rPr>
        <w:t>Sobel</w:t>
      </w:r>
      <w:proofErr w:type="spellEnd"/>
      <w:r w:rsidRPr="00A9080A">
        <w:rPr>
          <w:rFonts w:cs="Times New Roman"/>
          <w:color w:val="000000"/>
          <w:kern w:val="0"/>
          <w:lang w:eastAsia="en-GB"/>
          <w14:ligatures w14:val="none"/>
        </w:rPr>
        <w:t xml:space="preserve"> and Alston, 2021). It demonstrates a commitment to diversity and acknowledges that all children have the right to learn in a safe and responsive environment (UNICEF, 2022). Recent legislation and curriculum revisions in Wales, including the Additional Learning Needs and Education Tribunal (Wales) Act 2018 (Welsh Government, 2021), incorporate this commitment. The Act encourages a cohesive, person-centred approach prioritising early detection, pupil voice, and collaboration among schools, families, and professionals (</w:t>
      </w:r>
      <w:proofErr w:type="spellStart"/>
      <w:r w:rsidRPr="00A9080A">
        <w:rPr>
          <w:rFonts w:cs="Times New Roman"/>
          <w:color w:val="000000"/>
          <w:kern w:val="0"/>
          <w:lang w:eastAsia="en-GB"/>
          <w14:ligatures w14:val="none"/>
        </w:rPr>
        <w:t>Hodkinson</w:t>
      </w:r>
      <w:proofErr w:type="spellEnd"/>
      <w:r w:rsidRPr="00A9080A">
        <w:rPr>
          <w:rFonts w:cs="Times New Roman"/>
          <w:color w:val="000000"/>
          <w:kern w:val="0"/>
          <w:lang w:eastAsia="en-GB"/>
          <w14:ligatures w14:val="none"/>
        </w:rPr>
        <w:t xml:space="preserve">, 2024). This framework complements the Curriculum for Wales' goal of developing ambitious, capable, and healthy learners (Welsh Government, 2022). As </w:t>
      </w:r>
      <w:proofErr w:type="spellStart"/>
      <w:r w:rsidRPr="00A9080A">
        <w:rPr>
          <w:rFonts w:cs="Times New Roman"/>
          <w:color w:val="000000"/>
          <w:kern w:val="0"/>
          <w:lang w:eastAsia="en-GB"/>
          <w14:ligatures w14:val="none"/>
        </w:rPr>
        <w:t>Estyn</w:t>
      </w:r>
      <w:proofErr w:type="spellEnd"/>
      <w:r w:rsidRPr="00A9080A">
        <w:rPr>
          <w:rFonts w:cs="Times New Roman"/>
          <w:color w:val="000000"/>
          <w:kern w:val="0"/>
          <w:lang w:eastAsia="en-GB"/>
          <w14:ligatures w14:val="none"/>
        </w:rPr>
        <w:t xml:space="preserve"> (2023) highlights, implementing inclusive practice </w:t>
      </w:r>
      <w:r w:rsidR="00521E92" w:rsidRPr="00A9080A">
        <w:rPr>
          <w:rFonts w:cs="Times New Roman"/>
          <w:color w:val="000000"/>
          <w:kern w:val="0"/>
          <w:lang w:eastAsia="en-GB"/>
          <w14:ligatures w14:val="none"/>
        </w:rPr>
        <w:t>needs</w:t>
      </w:r>
      <w:r w:rsidRPr="00A9080A">
        <w:rPr>
          <w:rFonts w:cs="Times New Roman"/>
          <w:color w:val="000000"/>
          <w:kern w:val="0"/>
          <w:lang w:eastAsia="en-GB"/>
          <w14:ligatures w14:val="none"/>
        </w:rPr>
        <w:t xml:space="preserve"> clear policies, a strong culture of professional development, and a willingness to adapt provision to fit varied needs. These accomplishments </w:t>
      </w:r>
      <w:r w:rsidR="00521E92" w:rsidRPr="00A9080A">
        <w:rPr>
          <w:rFonts w:cs="Times New Roman"/>
          <w:color w:val="000000"/>
          <w:kern w:val="0"/>
          <w:lang w:eastAsia="en-GB"/>
          <w14:ligatures w14:val="none"/>
        </w:rPr>
        <w:t>are</w:t>
      </w:r>
      <w:r w:rsidRPr="00A9080A">
        <w:rPr>
          <w:rFonts w:cs="Times New Roman"/>
          <w:color w:val="000000"/>
          <w:kern w:val="0"/>
          <w:lang w:eastAsia="en-GB"/>
          <w14:ligatures w14:val="none"/>
        </w:rPr>
        <w:t xml:space="preserve"> a broader vision for an open and supportive education system that prepares each pupil to succeed.</w:t>
      </w:r>
    </w:p>
    <w:p w14:paraId="341CF0BF" w14:textId="67C15415" w:rsidR="00A9080A" w:rsidRPr="00A9080A" w:rsidRDefault="00A9080A" w:rsidP="00A9080A">
      <w:pPr>
        <w:spacing w:after="255" w:line="240" w:lineRule="auto"/>
        <w:divId w:val="1555042702"/>
        <w:rPr>
          <w:rFonts w:cs="Times New Roman"/>
          <w:color w:val="000000"/>
          <w:kern w:val="0"/>
          <w:lang w:eastAsia="en-GB"/>
          <w14:ligatures w14:val="none"/>
        </w:rPr>
      </w:pPr>
      <w:r w:rsidRPr="00A9080A">
        <w:rPr>
          <w:rFonts w:cs="Times New Roman"/>
          <w:color w:val="000000"/>
          <w:kern w:val="0"/>
          <w:lang w:eastAsia="en-GB"/>
          <w14:ligatures w14:val="none"/>
        </w:rPr>
        <w:t>Inclusive education is based on the premise that all students, regardless of their specific needs or backgrounds, should have fair access to high-quality education in a collaborative and supportive atmosphere (</w:t>
      </w:r>
      <w:proofErr w:type="spellStart"/>
      <w:r w:rsidRPr="00A9080A">
        <w:rPr>
          <w:rFonts w:cs="Times New Roman"/>
          <w:color w:val="000000"/>
          <w:kern w:val="0"/>
          <w:lang w:eastAsia="en-GB"/>
          <w14:ligatures w14:val="none"/>
        </w:rPr>
        <w:t>Mastropieri</w:t>
      </w:r>
      <w:proofErr w:type="spellEnd"/>
      <w:r w:rsidRPr="00A9080A">
        <w:rPr>
          <w:rFonts w:cs="Times New Roman"/>
          <w:color w:val="000000"/>
          <w:kern w:val="0"/>
          <w:lang w:eastAsia="en-GB"/>
          <w14:ligatures w14:val="none"/>
        </w:rPr>
        <w:t xml:space="preserve"> and Scruggs, 2018). Khalsa and </w:t>
      </w:r>
      <w:proofErr w:type="spellStart"/>
      <w:r w:rsidRPr="00A9080A">
        <w:rPr>
          <w:rFonts w:cs="Times New Roman"/>
          <w:color w:val="000000"/>
          <w:kern w:val="0"/>
          <w:lang w:eastAsia="en-GB"/>
          <w14:ligatures w14:val="none"/>
        </w:rPr>
        <w:t>Miyake</w:t>
      </w:r>
      <w:proofErr w:type="spellEnd"/>
      <w:r w:rsidRPr="00A9080A">
        <w:rPr>
          <w:rFonts w:cs="Times New Roman"/>
          <w:color w:val="000000"/>
          <w:kern w:val="0"/>
          <w:lang w:eastAsia="en-GB"/>
          <w14:ligatures w14:val="none"/>
        </w:rPr>
        <w:t xml:space="preserve"> (2005) believed rather than expecting students to conform to a predetermined framework, inclusive practice entailed tailoring pedagogical approaches to accommodate and encourage diversity. </w:t>
      </w:r>
      <w:proofErr w:type="spellStart"/>
      <w:r w:rsidRPr="00A9080A">
        <w:rPr>
          <w:rFonts w:cs="Times New Roman"/>
          <w:color w:val="000000"/>
          <w:kern w:val="0"/>
          <w:lang w:eastAsia="en-GB"/>
          <w14:ligatures w14:val="none"/>
        </w:rPr>
        <w:t>Vygotsky's</w:t>
      </w:r>
      <w:proofErr w:type="spellEnd"/>
      <w:r w:rsidRPr="00A9080A">
        <w:rPr>
          <w:rFonts w:cs="Times New Roman"/>
          <w:color w:val="000000"/>
          <w:kern w:val="0"/>
          <w:lang w:eastAsia="en-GB"/>
          <w14:ligatures w14:val="none"/>
        </w:rPr>
        <w:t xml:space="preserve"> (1978) sociocultural theory emphasises the importance of social interaction and the Zone of Proximal Development (ZPD), demonstrating how learners progress through scaffolded support tailored to their developmental stages. Tomlinson (2018) advocates differentiated instruction to address learner variability, highlighting the importance of modifying content, approach, and product to ensure that all students are effectively challenged and supported. Florian and Black-Hawkins (2011) recommend an inclusive pedagogical approach that prioritises broadening learning opportunities for all rather than making exceptions for some. Adding to these theories, Universal Design for Learning (UDL) provides a proactive framework for creating adaptable, barrier-free learning experiences that anticipate and satisfy a wide range of learner needs from the start (CAST, 2024). The Additional Learning Needs and Education Tribunal (Wales) Act 2018 aims to provide a uniform framework for learners aged 0-25 in Wales, replacing the current fragmented SEN and post-16 assistance systems (Welsh Government, 2021). The Act's key element is the introduction of Individual Development Plans (IDPs). These legally enforceable records replace prior SEN statements and IEPs and must be assessed regularly to maintain their relevance and adaptation to individual requirements (Disability Wales, 2022). The Act promotes person-centred planning, early detection of additional learning requirements, and coordination across education, health, and social services (Ware, 2019). The reform's key criteria are that the learner's voice be included in decision-making processes, which places pupils as active participants rather than spectators; the Act intends to improve uniformity, accountability, and equality in ALN support across Wales by enhancing procedures and support systems (Knight and Crick, 2024).</w:t>
      </w:r>
    </w:p>
    <w:p w14:paraId="783BB0CB" w14:textId="07896925" w:rsidR="00A9080A" w:rsidRPr="00A9080A" w:rsidRDefault="00A9080A" w:rsidP="00A9080A">
      <w:pPr>
        <w:spacing w:after="255" w:line="240" w:lineRule="auto"/>
        <w:divId w:val="1555042702"/>
        <w:rPr>
          <w:rFonts w:cs="Times New Roman"/>
          <w:color w:val="000000"/>
          <w:kern w:val="0"/>
          <w:lang w:eastAsia="en-GB"/>
          <w14:ligatures w14:val="none"/>
        </w:rPr>
      </w:pPr>
      <w:r w:rsidRPr="00A9080A">
        <w:rPr>
          <w:rFonts w:cs="Times New Roman"/>
          <w:color w:val="000000"/>
          <w:kern w:val="0"/>
          <w:lang w:eastAsia="en-GB"/>
          <w14:ligatures w14:val="none"/>
        </w:rPr>
        <w:t xml:space="preserve">Despite the ALNET Act's benefits, its implementation has presented significant practical obstacles. </w:t>
      </w:r>
      <w:proofErr w:type="spellStart"/>
      <w:r w:rsidRPr="00A9080A">
        <w:rPr>
          <w:rFonts w:cs="Times New Roman"/>
          <w:color w:val="000000"/>
          <w:kern w:val="0"/>
          <w:lang w:eastAsia="en-GB"/>
          <w14:ligatures w14:val="none"/>
        </w:rPr>
        <w:t>Estyn's</w:t>
      </w:r>
      <w:proofErr w:type="spellEnd"/>
      <w:r w:rsidRPr="00A9080A">
        <w:rPr>
          <w:rFonts w:cs="Times New Roman"/>
          <w:color w:val="000000"/>
          <w:kern w:val="0"/>
          <w:lang w:eastAsia="en-GB"/>
          <w14:ligatures w14:val="none"/>
        </w:rPr>
        <w:t xml:space="preserve"> (2023) study revealed that, while the Act's person-centred </w:t>
      </w:r>
      <w:r w:rsidRPr="00A9080A">
        <w:rPr>
          <w:rFonts w:cs="Times New Roman"/>
          <w:color w:val="000000"/>
          <w:kern w:val="0"/>
          <w:lang w:eastAsia="en-GB"/>
          <w14:ligatures w14:val="none"/>
        </w:rPr>
        <w:lastRenderedPageBreak/>
        <w:t xml:space="preserve">principles are supported mainly, numerous schools face substantial challenges, such as inadequate training, time restrictions, and a lack of clear national guidelines. </w:t>
      </w:r>
      <w:proofErr w:type="spellStart"/>
      <w:r w:rsidRPr="00A9080A">
        <w:rPr>
          <w:rFonts w:cs="Times New Roman"/>
          <w:color w:val="000000"/>
          <w:kern w:val="0"/>
          <w:lang w:eastAsia="en-GB"/>
          <w14:ligatures w14:val="none"/>
        </w:rPr>
        <w:t>Hodkinson's</w:t>
      </w:r>
      <w:proofErr w:type="spellEnd"/>
      <w:r w:rsidRPr="00A9080A">
        <w:rPr>
          <w:rFonts w:cs="Times New Roman"/>
          <w:color w:val="000000"/>
          <w:kern w:val="0"/>
          <w:lang w:eastAsia="en-GB"/>
          <w14:ligatures w14:val="none"/>
        </w:rPr>
        <w:t xml:space="preserve"> (2022) case studies found that educators supported the reforms but frequently felt overwhelmed by the increased administrative workload and under-resourced to provide IDPs properly. Inconsistency across local authorities impedes practical implementation, with different perspectives and support systems resulting in inconsistent practice. Furthermore, the capacity of ALNCos remains stretched in many schools, impeding the planned collaborative and proactive approach to pupil support (Knight and Crick, 2024).</w:t>
      </w:r>
      <w:r w:rsidR="00873531" w:rsidRPr="00C10EDE">
        <w:rPr>
          <w:rFonts w:cs="Times New Roman"/>
          <w:color w:val="000000"/>
          <w:kern w:val="0"/>
          <w:lang w:eastAsia="en-GB"/>
          <w14:ligatures w14:val="none"/>
        </w:rPr>
        <w:t xml:space="preserve"> </w:t>
      </w:r>
      <w:r w:rsidRPr="00A9080A">
        <w:rPr>
          <w:rFonts w:cs="Times New Roman"/>
          <w:color w:val="000000"/>
          <w:kern w:val="0"/>
          <w:lang w:eastAsia="en-GB"/>
          <w14:ligatures w14:val="none"/>
        </w:rPr>
        <w:t>In practice, these theories urge teachers to take proactive, adaptable approaches that anticipate and address pupil variation. UDL and inclusive pedagogy impact classroom design by supporting techniques such as visual schedules, calm areas, and flexible seating arrangements to aid emotional regulation and accessibility (Cornell University, 2024). The ALN framework promotes organisation by ensuring that collaboration with families and specialists informs the development of Individual Development Plans (IDPs), allowing for more tailored support (Welsh Government, 2018). In one observed classroom, pupil voice shaped learning through tailored timetables and adapted tasks, allowing learners with ALN to achieve greater independence and reduce anxiety. For example, a student with autism was involved in selecting the order of their morning duties, which were shown on a personalised visual strip on their desk, reducing transition-related stress. Another student with ADHD had a task choice with mobility breaks built in, allowing them to accomplish necessary tasks in a flexible order that fit their focus patterns. These tiny but deliberate changes promoted autonomy, reduced behavioural issues, and boosted learner engagement.</w:t>
      </w:r>
    </w:p>
    <w:p w14:paraId="24FA4912" w14:textId="77777777" w:rsidR="00A9080A" w:rsidRPr="00A9080A" w:rsidRDefault="00A9080A" w:rsidP="00A9080A">
      <w:pPr>
        <w:spacing w:after="255" w:line="240" w:lineRule="auto"/>
        <w:divId w:val="1555042702"/>
        <w:rPr>
          <w:rFonts w:cs="Times New Roman"/>
          <w:color w:val="000000"/>
          <w:kern w:val="0"/>
          <w:lang w:eastAsia="en-GB"/>
          <w14:ligatures w14:val="none"/>
        </w:rPr>
      </w:pPr>
    </w:p>
    <w:p w14:paraId="30D1EB9E" w14:textId="70FA0AAC" w:rsidR="00A9080A" w:rsidRPr="00A9080A" w:rsidRDefault="00A9080A" w:rsidP="00A9080A">
      <w:pPr>
        <w:spacing w:after="255" w:line="240" w:lineRule="auto"/>
        <w:divId w:val="1555042702"/>
        <w:rPr>
          <w:rFonts w:cs="Times New Roman"/>
          <w:color w:val="000000"/>
          <w:kern w:val="0"/>
          <w:lang w:eastAsia="en-GB"/>
          <w14:ligatures w14:val="none"/>
        </w:rPr>
      </w:pPr>
      <w:r w:rsidRPr="00A9080A">
        <w:rPr>
          <w:rFonts w:cs="Times New Roman"/>
          <w:color w:val="000000"/>
          <w:kern w:val="0"/>
          <w:lang w:eastAsia="en-GB"/>
          <w14:ligatures w14:val="none"/>
        </w:rPr>
        <w:t>Strategy 1 - Ear defenders</w:t>
      </w:r>
    </w:p>
    <w:p w14:paraId="03575625" w14:textId="43785BCD" w:rsidR="00A9080A" w:rsidRPr="00A9080A" w:rsidRDefault="00756B32" w:rsidP="00A9080A">
      <w:pPr>
        <w:spacing w:after="255" w:line="240" w:lineRule="auto"/>
        <w:divId w:val="1555042702"/>
        <w:rPr>
          <w:rFonts w:cs="Times New Roman"/>
          <w:color w:val="000000"/>
          <w:kern w:val="0"/>
          <w:lang w:eastAsia="en-GB"/>
          <w14:ligatures w14:val="none"/>
        </w:rPr>
      </w:pPr>
      <w:r>
        <w:rPr>
          <w:rFonts w:cs="Times New Roman"/>
          <w:noProof/>
          <w:color w:val="000000"/>
          <w:kern w:val="0"/>
          <w:lang w:eastAsia="en-GB"/>
        </w:rPr>
        <w:drawing>
          <wp:anchor distT="0" distB="0" distL="114300" distR="114300" simplePos="0" relativeHeight="251658240" behindDoc="0" locked="0" layoutInCell="1" allowOverlap="1" wp14:anchorId="758F475E" wp14:editId="095E965C">
            <wp:simplePos x="0" y="0"/>
            <wp:positionH relativeFrom="column">
              <wp:posOffset>4540028</wp:posOffset>
            </wp:positionH>
            <wp:positionV relativeFrom="paragraph">
              <wp:posOffset>1077479</wp:posOffset>
            </wp:positionV>
            <wp:extent cx="1270000" cy="1587500"/>
            <wp:effectExtent l="0" t="0" r="0" b="0"/>
            <wp:wrapSquare wrapText="bothSides"/>
            <wp:docPr id="667691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691059" name="Picture 667691059"/>
                    <pic:cNvPicPr/>
                  </pic:nvPicPr>
                  <pic:blipFill>
                    <a:blip r:embed="rId8">
                      <a:extLst>
                        <a:ext uri="{28A0092B-C50C-407E-A947-70E740481C1C}">
                          <a14:useLocalDpi xmlns:a14="http://schemas.microsoft.com/office/drawing/2010/main" val="0"/>
                        </a:ext>
                      </a:extLst>
                    </a:blip>
                    <a:stretch>
                      <a:fillRect/>
                    </a:stretch>
                  </pic:blipFill>
                  <pic:spPr>
                    <a:xfrm>
                      <a:off x="0" y="0"/>
                      <a:ext cx="1270000" cy="1587500"/>
                    </a:xfrm>
                    <a:prstGeom prst="rect">
                      <a:avLst/>
                    </a:prstGeom>
                  </pic:spPr>
                </pic:pic>
              </a:graphicData>
            </a:graphic>
            <wp14:sizeRelH relativeFrom="page">
              <wp14:pctWidth>0</wp14:pctWidth>
            </wp14:sizeRelH>
            <wp14:sizeRelV relativeFrom="page">
              <wp14:pctHeight>0</wp14:pctHeight>
            </wp14:sizeRelV>
          </wp:anchor>
        </w:drawing>
      </w:r>
      <w:r w:rsidR="00A9080A" w:rsidRPr="00A9080A">
        <w:rPr>
          <w:rFonts w:cs="Times New Roman"/>
          <w:color w:val="000000"/>
          <w:kern w:val="0"/>
          <w:lang w:eastAsia="en-GB"/>
          <w14:ligatures w14:val="none"/>
        </w:rPr>
        <w:t xml:space="preserve">Ear defenders are a simple but effective aid to assist students with sensory processing issues, particularly those with autism spectrum disorder (ASD) or attention-deficit/hyperactivity disorder (ADHD) (Beyond Autism, 2021). These students frequently exhibit increased sensitivity to noise, which can cause stress, interruptions, and behavioural responses such as disengagement or outbursts (Earpiece Online, 2024). By reducing sound input, ear defenders contribute to a more comfortable sensory environment, helping students to learn more efficiently (Beyond Autism, 2021). In one observed Year 6 classroom, a student with ASD regularly struggled during lessons due to background noise. When ear defenders were introduced, they could sit still, follow directions, and participate in class discussions, which they had previously avoided due to nervousness. This method significantly reduced their need for adult assistance while increasing their concentration and comfort. The use of ear defenders adheres to Dunn's Sensory Processing Framework (1997) concepts, highlighting the need to match sensory settings to personalised thresholds. Instead of simply expecting the pupil to deal with overstimulation, the technique tailors the environment to the learner's requirements—an example of proactive, inclusive practice (Metz et al., 2019). Significantly, ear defenders were made available to all students, not only those with identified ALN, </w:t>
      </w:r>
      <w:r w:rsidR="00A9080A" w:rsidRPr="00A9080A">
        <w:rPr>
          <w:rFonts w:cs="Times New Roman"/>
          <w:color w:val="000000"/>
          <w:kern w:val="0"/>
          <w:lang w:eastAsia="en-GB"/>
          <w14:ligatures w14:val="none"/>
        </w:rPr>
        <w:lastRenderedPageBreak/>
        <w:t>demonstrating that inclusive tools assist diverse pupils. However, staff expressed worries regarding over-reliance or inappropriate use; for example, some students attempted to wear ear defenders during pair work. This emphasises the importance of explicit direction and adult models in ensuring that tools are used for their intended purpose. With adequate limitations, ear defenders can be a low-cost, high-impact aid encouraging inclusiveness and self-regulation (Caws, 2015).</w:t>
      </w:r>
    </w:p>
    <w:p w14:paraId="4890744D" w14:textId="77777777" w:rsidR="00A9080A" w:rsidRPr="00A9080A" w:rsidRDefault="00A9080A" w:rsidP="00A9080A">
      <w:pPr>
        <w:spacing w:after="255" w:line="240" w:lineRule="auto"/>
        <w:divId w:val="1555042702"/>
        <w:rPr>
          <w:rFonts w:cs="Times New Roman"/>
          <w:color w:val="000000"/>
          <w:kern w:val="0"/>
          <w:lang w:eastAsia="en-GB"/>
          <w14:ligatures w14:val="none"/>
        </w:rPr>
      </w:pPr>
    </w:p>
    <w:p w14:paraId="68CA9249" w14:textId="442C9B4C" w:rsidR="00A9080A" w:rsidRPr="00A9080A" w:rsidRDefault="00A9080A" w:rsidP="00A9080A">
      <w:pPr>
        <w:spacing w:after="255" w:line="240" w:lineRule="auto"/>
        <w:divId w:val="1555042702"/>
        <w:rPr>
          <w:rFonts w:cs="Times New Roman"/>
          <w:color w:val="000000"/>
          <w:kern w:val="0"/>
          <w:lang w:eastAsia="en-GB"/>
          <w14:ligatures w14:val="none"/>
        </w:rPr>
      </w:pPr>
      <w:r w:rsidRPr="00A9080A">
        <w:rPr>
          <w:rFonts w:cs="Times New Roman"/>
          <w:color w:val="000000"/>
          <w:kern w:val="0"/>
          <w:lang w:eastAsia="en-GB"/>
          <w14:ligatures w14:val="none"/>
        </w:rPr>
        <w:t>Strategy 2 - Calm corners</w:t>
      </w:r>
    </w:p>
    <w:p w14:paraId="3E5AEC30" w14:textId="7E4E7B96" w:rsidR="00A9080A" w:rsidRPr="00A9080A" w:rsidRDefault="00E447B8" w:rsidP="00A9080A">
      <w:pPr>
        <w:spacing w:after="255" w:line="240" w:lineRule="auto"/>
        <w:divId w:val="1555042702"/>
        <w:rPr>
          <w:rFonts w:cs="Times New Roman"/>
          <w:color w:val="000000"/>
          <w:kern w:val="0"/>
          <w:lang w:eastAsia="en-GB"/>
          <w14:ligatures w14:val="none"/>
        </w:rPr>
      </w:pPr>
      <w:r>
        <w:rPr>
          <w:rFonts w:cs="Times New Roman"/>
          <w:noProof/>
          <w:color w:val="000000"/>
          <w:kern w:val="0"/>
          <w:lang w:eastAsia="en-GB"/>
        </w:rPr>
        <w:drawing>
          <wp:anchor distT="0" distB="0" distL="114300" distR="114300" simplePos="0" relativeHeight="251659264" behindDoc="0" locked="0" layoutInCell="1" allowOverlap="1" wp14:anchorId="34EC6168" wp14:editId="634F3970">
            <wp:simplePos x="0" y="0"/>
            <wp:positionH relativeFrom="column">
              <wp:posOffset>3025542</wp:posOffset>
            </wp:positionH>
            <wp:positionV relativeFrom="paragraph">
              <wp:posOffset>2084997</wp:posOffset>
            </wp:positionV>
            <wp:extent cx="3077609" cy="2314171"/>
            <wp:effectExtent l="0" t="0" r="0" b="0"/>
            <wp:wrapSquare wrapText="bothSides"/>
            <wp:docPr id="759878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78456" name="Picture 759878456"/>
                    <pic:cNvPicPr/>
                  </pic:nvPicPr>
                  <pic:blipFill>
                    <a:blip r:embed="rId9">
                      <a:extLst>
                        <a:ext uri="{28A0092B-C50C-407E-A947-70E740481C1C}">
                          <a14:useLocalDpi xmlns:a14="http://schemas.microsoft.com/office/drawing/2010/main" val="0"/>
                        </a:ext>
                      </a:extLst>
                    </a:blip>
                    <a:stretch>
                      <a:fillRect/>
                    </a:stretch>
                  </pic:blipFill>
                  <pic:spPr>
                    <a:xfrm>
                      <a:off x="0" y="0"/>
                      <a:ext cx="3078311" cy="2314699"/>
                    </a:xfrm>
                    <a:prstGeom prst="rect">
                      <a:avLst/>
                    </a:prstGeom>
                  </pic:spPr>
                </pic:pic>
              </a:graphicData>
            </a:graphic>
            <wp14:sizeRelH relativeFrom="page">
              <wp14:pctWidth>0</wp14:pctWidth>
            </wp14:sizeRelH>
            <wp14:sizeRelV relativeFrom="page">
              <wp14:pctHeight>0</wp14:pctHeight>
            </wp14:sizeRelV>
          </wp:anchor>
        </w:drawing>
      </w:r>
      <w:r w:rsidR="00A9080A" w:rsidRPr="00A9080A">
        <w:rPr>
          <w:rFonts w:cs="Times New Roman"/>
          <w:color w:val="000000"/>
          <w:kern w:val="0"/>
          <w:lang w:eastAsia="en-GB"/>
          <w14:ligatures w14:val="none"/>
        </w:rPr>
        <w:t xml:space="preserve">Calm corners, also called regulation spaces or quiet zones, are designated parts of the classroom where pupils can rest and self-regulate during anxiousness, stress, or overstimulation (Learning Resources, 2023). They usually provide comfy chairs (e.g., beanbags), gentle lighting, expression charts, and sensory tools like fidget toys (NHS East London, 2017). Pupils are shown when and why to use the area, highlighting its role as a supporting, not punishing, resource. The calm corner was used in a Year 4 classroom, seen during placement, to help an anxious student who often closed down during transitions. Following guidance, the student began to use the space freely before tackling literacy tasks. They would sit quietly for a few minutes, using a breathing card and a timer, before returning to work with renewed calm and focus. Their completion of tasks and involvement gradually improved, and the quantity of emotional outbursts decreased. The quiet area, which was designed with ALN students in mind, quickly developed into a resource for the entire class. Other students utilised it during irritation or after playground fights, leading to a school atmosphere that encouraged emotional awareness and self-care. This is consistent with Maslow's Hierarchy of Needs (1943), which emphasises emotional safety as necessary for effective learning. The calm area also reflects a trauma-informed approach, acknowledging that specific behavioural issues are caused by </w:t>
      </w:r>
      <w:proofErr w:type="spellStart"/>
      <w:r w:rsidR="00A9080A" w:rsidRPr="00A9080A">
        <w:rPr>
          <w:rFonts w:cs="Times New Roman"/>
          <w:color w:val="000000"/>
          <w:kern w:val="0"/>
          <w:lang w:eastAsia="en-GB"/>
          <w14:ligatures w14:val="none"/>
        </w:rPr>
        <w:t>dysregulation</w:t>
      </w:r>
      <w:proofErr w:type="spellEnd"/>
      <w:r w:rsidR="00A9080A" w:rsidRPr="00A9080A">
        <w:rPr>
          <w:rFonts w:cs="Times New Roman"/>
          <w:color w:val="000000"/>
          <w:kern w:val="0"/>
          <w:lang w:eastAsia="en-GB"/>
          <w14:ligatures w14:val="none"/>
        </w:rPr>
        <w:t xml:space="preserve"> rather than disobedience (McLeod, 2025). Despite its success, the technique had limits. There were concerns that students would misuse the room to avoid learning, especially if routines were not followed. Physical space was also an issue; locating a quiet, low-traffic area in smaller classrooms was challenging. Nevertheless, these concerns were addressed by setting clear goals and regular check-ins with students.</w:t>
      </w:r>
    </w:p>
    <w:p w14:paraId="4123B5F8" w14:textId="77777777" w:rsidR="00A9080A" w:rsidRPr="00A9080A" w:rsidRDefault="00A9080A" w:rsidP="00A9080A">
      <w:pPr>
        <w:spacing w:after="255" w:line="240" w:lineRule="auto"/>
        <w:divId w:val="1555042702"/>
        <w:rPr>
          <w:rFonts w:cs="Times New Roman"/>
          <w:color w:val="000000"/>
          <w:kern w:val="0"/>
          <w:lang w:eastAsia="en-GB"/>
          <w14:ligatures w14:val="none"/>
        </w:rPr>
      </w:pPr>
      <w:r w:rsidRPr="00A9080A">
        <w:rPr>
          <w:rFonts w:cs="Times New Roman"/>
          <w:color w:val="000000"/>
          <w:kern w:val="0"/>
          <w:lang w:eastAsia="en-GB"/>
          <w14:ligatures w14:val="none"/>
        </w:rPr>
        <w:t>Both interventions, ear defenders and calm corners, significantly influenced ALN learners and improved overall classroom well-being. They encouraged independence and self-regulation (</w:t>
      </w:r>
      <w:proofErr w:type="spellStart"/>
      <w:r w:rsidRPr="00A9080A">
        <w:rPr>
          <w:rFonts w:cs="Times New Roman"/>
          <w:color w:val="000000"/>
          <w:kern w:val="0"/>
          <w:lang w:eastAsia="en-GB"/>
          <w14:ligatures w14:val="none"/>
        </w:rPr>
        <w:t>Mastropieri</w:t>
      </w:r>
      <w:proofErr w:type="spellEnd"/>
      <w:r w:rsidRPr="00A9080A">
        <w:rPr>
          <w:rFonts w:cs="Times New Roman"/>
          <w:color w:val="000000"/>
          <w:kern w:val="0"/>
          <w:lang w:eastAsia="en-GB"/>
          <w14:ligatures w14:val="none"/>
        </w:rPr>
        <w:t xml:space="preserve"> and Scruggs, 2018) while reducing disruptions; more significantly, they communicated to students that their unique needs were acknowledged and supported. Inclusion is more than just isolated interventions; it is about building a classroom atmosphere that is adaptable and responsive to everyone </w:t>
      </w:r>
      <w:r w:rsidRPr="00A9080A">
        <w:rPr>
          <w:rFonts w:cs="Times New Roman"/>
          <w:color w:val="000000"/>
          <w:kern w:val="0"/>
          <w:lang w:eastAsia="en-GB"/>
          <w14:ligatures w14:val="none"/>
        </w:rPr>
        <w:lastRenderedPageBreak/>
        <w:t xml:space="preserve">(Khalsa and </w:t>
      </w:r>
      <w:proofErr w:type="spellStart"/>
      <w:r w:rsidRPr="00A9080A">
        <w:rPr>
          <w:rFonts w:cs="Times New Roman"/>
          <w:color w:val="000000"/>
          <w:kern w:val="0"/>
          <w:lang w:eastAsia="en-GB"/>
          <w14:ligatures w14:val="none"/>
        </w:rPr>
        <w:t>Miyake</w:t>
      </w:r>
      <w:proofErr w:type="spellEnd"/>
      <w:r w:rsidRPr="00A9080A">
        <w:rPr>
          <w:rFonts w:cs="Times New Roman"/>
          <w:color w:val="000000"/>
          <w:kern w:val="0"/>
          <w:lang w:eastAsia="en-GB"/>
          <w14:ligatures w14:val="none"/>
        </w:rPr>
        <w:t>, 2005). Based on theory and informed by practice, these strategies show that even minor changes can significantly improve student engagement and performance.</w:t>
      </w:r>
    </w:p>
    <w:p w14:paraId="1208BE58" w14:textId="4C1EE6AF" w:rsidR="00873531" w:rsidRPr="00C10EDE" w:rsidRDefault="00A9080A" w:rsidP="00A9080A">
      <w:pPr>
        <w:spacing w:after="255" w:line="240" w:lineRule="auto"/>
        <w:divId w:val="1555042702"/>
        <w:rPr>
          <w:rFonts w:cs="Times New Roman"/>
          <w:color w:val="000000"/>
          <w:kern w:val="0"/>
          <w:lang w:eastAsia="en-GB"/>
          <w14:ligatures w14:val="none"/>
        </w:rPr>
      </w:pPr>
      <w:r w:rsidRPr="00A9080A">
        <w:rPr>
          <w:rFonts w:cs="Times New Roman"/>
          <w:color w:val="000000"/>
          <w:kern w:val="0"/>
          <w:lang w:eastAsia="en-GB"/>
          <w14:ligatures w14:val="none"/>
        </w:rPr>
        <w:t>These practices are consistent with Wales's Professional Standards for Teaching, especially for Pedagogy, Innovation, and Professional Learning (Welsh Government, 2017). Tools such as calm areas and ear defenders show how altering practice can benefit many learners. My understanding of inclusiveness has deepened my understanding of how tiny, careful changes may benefit all students. I intend to continue developing this through CPD in autism and trauma-informed practice. Inclusive education is a continuous process that involves reflection, adaptability, and a dedication to serving varied needs. It is critical to build classroom environments where all students can thrive (</w:t>
      </w:r>
      <w:proofErr w:type="spellStart"/>
      <w:r w:rsidRPr="00A9080A">
        <w:rPr>
          <w:rFonts w:cs="Times New Roman"/>
          <w:color w:val="000000"/>
          <w:kern w:val="0"/>
          <w:lang w:eastAsia="en-GB"/>
          <w14:ligatures w14:val="none"/>
        </w:rPr>
        <w:t>Sobel</w:t>
      </w:r>
      <w:proofErr w:type="spellEnd"/>
      <w:r w:rsidRPr="00A9080A">
        <w:rPr>
          <w:rFonts w:cs="Times New Roman"/>
          <w:color w:val="000000"/>
          <w:kern w:val="0"/>
          <w:lang w:eastAsia="en-GB"/>
          <w14:ligatures w14:val="none"/>
        </w:rPr>
        <w:t xml:space="preserve"> and Alston, 2021).</w:t>
      </w:r>
    </w:p>
    <w:p w14:paraId="5884B857" w14:textId="05EA3170" w:rsidR="00873531" w:rsidRPr="009A3BAF" w:rsidRDefault="00A254FC">
      <w:pPr>
        <w:rPr>
          <w:rFonts w:cs="Times New Roman"/>
          <w:color w:val="000000"/>
          <w:kern w:val="0"/>
          <w:lang w:eastAsia="en-GB"/>
          <w14:ligatures w14:val="none"/>
        </w:rPr>
      </w:pPr>
      <w:r w:rsidRPr="009A3BAF">
        <w:rPr>
          <w:rFonts w:cs="Times New Roman"/>
          <w:color w:val="000000"/>
          <w:kern w:val="0"/>
          <w:lang w:eastAsia="en-GB"/>
          <w14:ligatures w14:val="none"/>
        </w:rPr>
        <w:t>Wor</w:t>
      </w:r>
      <w:r w:rsidR="009A3BAF" w:rsidRPr="009A3BAF">
        <w:rPr>
          <w:rFonts w:cs="Times New Roman"/>
          <w:color w:val="000000"/>
          <w:kern w:val="0"/>
          <w:lang w:eastAsia="en-GB"/>
          <w14:ligatures w14:val="none"/>
        </w:rPr>
        <w:t>d</w:t>
      </w:r>
      <w:r w:rsidRPr="009A3BAF">
        <w:rPr>
          <w:rFonts w:cs="Times New Roman"/>
          <w:color w:val="000000"/>
          <w:kern w:val="0"/>
          <w:lang w:eastAsia="en-GB"/>
          <w14:ligatures w14:val="none"/>
        </w:rPr>
        <w:t xml:space="preserve"> count - </w:t>
      </w:r>
      <w:r w:rsidR="009A3BAF" w:rsidRPr="009A3BAF">
        <w:rPr>
          <w:rFonts w:cs="Times New Roman"/>
          <w:color w:val="000000"/>
          <w:kern w:val="0"/>
          <w:lang w:eastAsia="en-GB"/>
          <w14:ligatures w14:val="none"/>
        </w:rPr>
        <w:t>1460</w:t>
      </w:r>
    </w:p>
    <w:p w14:paraId="771CB442" w14:textId="77777777" w:rsidR="00E447B8" w:rsidRDefault="00E447B8">
      <w:pPr>
        <w:rPr>
          <w:rFonts w:ascii=".SFUI-Regular" w:hAnsi=".SFUI-Regular" w:cs="Times New Roman"/>
          <w:color w:val="000000"/>
          <w:kern w:val="0"/>
          <w:sz w:val="26"/>
          <w:szCs w:val="26"/>
          <w:lang w:eastAsia="en-GB"/>
          <w14:ligatures w14:val="none"/>
        </w:rPr>
      </w:pPr>
    </w:p>
    <w:p w14:paraId="58D55376" w14:textId="77777777" w:rsidR="00E447B8" w:rsidRDefault="00E447B8">
      <w:pPr>
        <w:rPr>
          <w:rFonts w:ascii=".SFUI-Regular" w:hAnsi=".SFUI-Regular" w:cs="Times New Roman"/>
          <w:color w:val="000000"/>
          <w:kern w:val="0"/>
          <w:sz w:val="26"/>
          <w:szCs w:val="26"/>
          <w:lang w:eastAsia="en-GB"/>
          <w14:ligatures w14:val="none"/>
        </w:rPr>
      </w:pPr>
    </w:p>
    <w:p w14:paraId="2B118373" w14:textId="77777777" w:rsidR="00E447B8" w:rsidRDefault="00E447B8">
      <w:pPr>
        <w:rPr>
          <w:rFonts w:ascii=".SFUI-Regular" w:hAnsi=".SFUI-Regular" w:cs="Times New Roman"/>
          <w:color w:val="000000"/>
          <w:kern w:val="0"/>
          <w:sz w:val="26"/>
          <w:szCs w:val="26"/>
          <w:lang w:eastAsia="en-GB"/>
          <w14:ligatures w14:val="none"/>
        </w:rPr>
      </w:pPr>
    </w:p>
    <w:p w14:paraId="6553F5D7" w14:textId="77777777" w:rsidR="00E447B8" w:rsidRDefault="00E447B8">
      <w:pPr>
        <w:rPr>
          <w:rFonts w:ascii=".SFUI-Regular" w:hAnsi=".SFUI-Regular" w:cs="Times New Roman"/>
          <w:color w:val="000000"/>
          <w:kern w:val="0"/>
          <w:sz w:val="26"/>
          <w:szCs w:val="26"/>
          <w:lang w:eastAsia="en-GB"/>
          <w14:ligatures w14:val="none"/>
        </w:rPr>
      </w:pPr>
    </w:p>
    <w:p w14:paraId="022D30B8" w14:textId="77777777" w:rsidR="00E447B8" w:rsidRDefault="00E447B8">
      <w:pPr>
        <w:rPr>
          <w:rFonts w:ascii=".SFUI-Regular" w:hAnsi=".SFUI-Regular" w:cs="Times New Roman"/>
          <w:color w:val="000000"/>
          <w:kern w:val="0"/>
          <w:sz w:val="26"/>
          <w:szCs w:val="26"/>
          <w:lang w:eastAsia="en-GB"/>
          <w14:ligatures w14:val="none"/>
        </w:rPr>
      </w:pPr>
    </w:p>
    <w:p w14:paraId="52EFB1A5" w14:textId="77777777" w:rsidR="00E447B8" w:rsidRDefault="00E447B8">
      <w:pPr>
        <w:rPr>
          <w:rFonts w:ascii=".SFUI-Regular" w:hAnsi=".SFUI-Regular" w:cs="Times New Roman"/>
          <w:color w:val="000000"/>
          <w:kern w:val="0"/>
          <w:sz w:val="26"/>
          <w:szCs w:val="26"/>
          <w:lang w:eastAsia="en-GB"/>
          <w14:ligatures w14:val="none"/>
        </w:rPr>
      </w:pPr>
    </w:p>
    <w:p w14:paraId="3264BD95" w14:textId="77777777" w:rsidR="00E447B8" w:rsidRDefault="00E447B8">
      <w:pPr>
        <w:rPr>
          <w:rFonts w:ascii=".SFUI-Regular" w:hAnsi=".SFUI-Regular" w:cs="Times New Roman"/>
          <w:color w:val="000000"/>
          <w:kern w:val="0"/>
          <w:sz w:val="26"/>
          <w:szCs w:val="26"/>
          <w:lang w:eastAsia="en-GB"/>
          <w14:ligatures w14:val="none"/>
        </w:rPr>
      </w:pPr>
    </w:p>
    <w:p w14:paraId="224045AA" w14:textId="77777777" w:rsidR="00E447B8" w:rsidRDefault="00E447B8">
      <w:pPr>
        <w:rPr>
          <w:rFonts w:ascii=".SFUI-Regular" w:hAnsi=".SFUI-Regular" w:cs="Times New Roman"/>
          <w:color w:val="000000"/>
          <w:kern w:val="0"/>
          <w:sz w:val="26"/>
          <w:szCs w:val="26"/>
          <w:lang w:eastAsia="en-GB"/>
          <w14:ligatures w14:val="none"/>
        </w:rPr>
      </w:pPr>
    </w:p>
    <w:p w14:paraId="31F119A6" w14:textId="77777777" w:rsidR="00A254FC" w:rsidRDefault="00A254FC">
      <w:pPr>
        <w:rPr>
          <w:rFonts w:ascii=".SFUI-Regular" w:hAnsi=".SFUI-Regular" w:cs="Times New Roman"/>
          <w:color w:val="000000"/>
          <w:kern w:val="0"/>
          <w:sz w:val="26"/>
          <w:szCs w:val="26"/>
          <w:lang w:eastAsia="en-GB"/>
          <w14:ligatures w14:val="none"/>
        </w:rPr>
      </w:pPr>
    </w:p>
    <w:p w14:paraId="6D331AF9" w14:textId="77777777" w:rsidR="00A254FC" w:rsidRDefault="00A254FC">
      <w:pPr>
        <w:rPr>
          <w:rFonts w:ascii=".SFUI-Regular" w:hAnsi=".SFUI-Regular" w:cs="Times New Roman"/>
          <w:color w:val="000000"/>
          <w:kern w:val="0"/>
          <w:sz w:val="26"/>
          <w:szCs w:val="26"/>
          <w:lang w:eastAsia="en-GB"/>
          <w14:ligatures w14:val="none"/>
        </w:rPr>
      </w:pPr>
    </w:p>
    <w:p w14:paraId="51AFDE5D" w14:textId="77777777" w:rsidR="00A254FC" w:rsidRDefault="00A254FC">
      <w:pPr>
        <w:rPr>
          <w:rFonts w:ascii=".SFUI-Regular" w:hAnsi=".SFUI-Regular" w:cs="Times New Roman"/>
          <w:color w:val="000000"/>
          <w:kern w:val="0"/>
          <w:sz w:val="26"/>
          <w:szCs w:val="26"/>
          <w:lang w:eastAsia="en-GB"/>
          <w14:ligatures w14:val="none"/>
        </w:rPr>
      </w:pPr>
    </w:p>
    <w:p w14:paraId="0CB65C03" w14:textId="77777777" w:rsidR="00A254FC" w:rsidRDefault="00A254FC">
      <w:pPr>
        <w:rPr>
          <w:rFonts w:ascii=".SFUI-Regular" w:hAnsi=".SFUI-Regular" w:cs="Times New Roman"/>
          <w:color w:val="000000"/>
          <w:kern w:val="0"/>
          <w:sz w:val="26"/>
          <w:szCs w:val="26"/>
          <w:lang w:eastAsia="en-GB"/>
          <w14:ligatures w14:val="none"/>
        </w:rPr>
      </w:pPr>
    </w:p>
    <w:p w14:paraId="242EB045" w14:textId="77777777" w:rsidR="00A254FC" w:rsidRDefault="00A254FC">
      <w:pPr>
        <w:rPr>
          <w:rFonts w:ascii=".SFUI-Regular" w:hAnsi=".SFUI-Regular" w:cs="Times New Roman"/>
          <w:color w:val="000000"/>
          <w:kern w:val="0"/>
          <w:sz w:val="26"/>
          <w:szCs w:val="26"/>
          <w:lang w:eastAsia="en-GB"/>
          <w14:ligatures w14:val="none"/>
        </w:rPr>
      </w:pPr>
    </w:p>
    <w:p w14:paraId="13FB19F7" w14:textId="77777777" w:rsidR="00A254FC" w:rsidRDefault="00A254FC">
      <w:pPr>
        <w:rPr>
          <w:rFonts w:ascii=".SFUI-Regular" w:hAnsi=".SFUI-Regular" w:cs="Times New Roman"/>
          <w:color w:val="000000"/>
          <w:kern w:val="0"/>
          <w:sz w:val="26"/>
          <w:szCs w:val="26"/>
          <w:lang w:eastAsia="en-GB"/>
          <w14:ligatures w14:val="none"/>
        </w:rPr>
      </w:pPr>
    </w:p>
    <w:p w14:paraId="17BE69D9" w14:textId="77777777" w:rsidR="00A254FC" w:rsidRDefault="00A254FC">
      <w:pPr>
        <w:rPr>
          <w:rFonts w:ascii=".SFUI-Regular" w:hAnsi=".SFUI-Regular" w:cs="Times New Roman"/>
          <w:color w:val="000000"/>
          <w:kern w:val="0"/>
          <w:sz w:val="26"/>
          <w:szCs w:val="26"/>
          <w:lang w:eastAsia="en-GB"/>
          <w14:ligatures w14:val="none"/>
        </w:rPr>
      </w:pPr>
    </w:p>
    <w:p w14:paraId="429BB1B0" w14:textId="77777777" w:rsidR="00A254FC" w:rsidRDefault="00A254FC">
      <w:pPr>
        <w:rPr>
          <w:rFonts w:ascii=".SFUI-Regular" w:hAnsi=".SFUI-Regular" w:cs="Times New Roman"/>
          <w:color w:val="000000"/>
          <w:kern w:val="0"/>
          <w:sz w:val="26"/>
          <w:szCs w:val="26"/>
          <w:lang w:eastAsia="en-GB"/>
          <w14:ligatures w14:val="none"/>
        </w:rPr>
      </w:pPr>
    </w:p>
    <w:p w14:paraId="79920B33" w14:textId="77777777" w:rsidR="00C04E52" w:rsidRDefault="00C04E52">
      <w:pPr>
        <w:rPr>
          <w:rFonts w:ascii=".SFUI-Regular" w:hAnsi=".SFUI-Regular" w:cs="Times New Roman"/>
          <w:color w:val="000000"/>
          <w:kern w:val="0"/>
          <w:sz w:val="26"/>
          <w:szCs w:val="26"/>
          <w:lang w:eastAsia="en-GB"/>
          <w14:ligatures w14:val="none"/>
        </w:rPr>
      </w:pPr>
    </w:p>
    <w:p w14:paraId="15E867B2" w14:textId="77777777" w:rsidR="00A254FC" w:rsidRDefault="00A254FC">
      <w:pPr>
        <w:rPr>
          <w:rFonts w:ascii=".SFUI-Regular" w:hAnsi=".SFUI-Regular" w:cs="Times New Roman" w:hint="eastAsia"/>
          <w:color w:val="000000"/>
          <w:kern w:val="0"/>
          <w:sz w:val="26"/>
          <w:szCs w:val="26"/>
          <w:lang w:eastAsia="en-GB"/>
          <w14:ligatures w14:val="none"/>
        </w:rPr>
      </w:pPr>
    </w:p>
    <w:p w14:paraId="592AEDCC" w14:textId="47DA9F67" w:rsidR="00EE525C" w:rsidRPr="00EE525C" w:rsidRDefault="00A9536A" w:rsidP="00EE525C">
      <w:pPr>
        <w:spacing w:after="255" w:line="240" w:lineRule="auto"/>
        <w:divId w:val="1555042702"/>
        <w:rPr>
          <w:rFonts w:asciiTheme="majorHAnsi" w:hAnsiTheme="majorHAnsi" w:cs="Times New Roman"/>
          <w:b/>
          <w:bCs/>
          <w:color w:val="000000"/>
          <w:kern w:val="0"/>
          <w:sz w:val="26"/>
          <w:szCs w:val="26"/>
          <w:u w:val="single"/>
          <w:lang w:eastAsia="en-GB"/>
          <w14:ligatures w14:val="none"/>
        </w:rPr>
      </w:pPr>
      <w:r w:rsidRPr="00A9536A">
        <w:rPr>
          <w:rFonts w:asciiTheme="majorHAnsi" w:hAnsiTheme="majorHAnsi" w:cs="Times New Roman"/>
          <w:b/>
          <w:bCs/>
          <w:color w:val="000000"/>
          <w:kern w:val="0"/>
          <w:sz w:val="26"/>
          <w:szCs w:val="26"/>
          <w:u w:val="single"/>
          <w:lang w:eastAsia="en-GB"/>
          <w14:ligatures w14:val="none"/>
        </w:rPr>
        <w:lastRenderedPageBreak/>
        <w:t>Reference list -</w:t>
      </w:r>
    </w:p>
    <w:p w14:paraId="5EF194AF"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Beyond Autism (2021). Beyond autism impact. https://www.beyondautism.org.uk/wp-content/uploads/2020/09/Functional-use-of-ear-defenders-.pdf.</w:t>
      </w:r>
    </w:p>
    <w:p w14:paraId="74E1D4CA"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CAST (2024). The UDL guidelines. [online] CAST UDL GUIDELINES. Available at: https://udlguidelines.cast.org/.</w:t>
      </w:r>
    </w:p>
    <w:p w14:paraId="16AD33B5"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Caws, A. (2015). The Benefits of Ear Defenders for Sensory Integration. [online] Sensory Direct Blog. Available at: https://www.sensorydirect.com/blog/the-benefits-of-ear-defenders-for-sensory-integration/.</w:t>
      </w:r>
    </w:p>
    <w:p w14:paraId="0DA57701"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 xml:space="preserve">Cornell University (2024). Universal Design for Learning | </w:t>
      </w:r>
      <w:proofErr w:type="spellStart"/>
      <w:r w:rsidRPr="00EE525C">
        <w:rPr>
          <w:rFonts w:cs="Times New Roman"/>
          <w:color w:val="000000"/>
          <w:kern w:val="0"/>
          <w:sz w:val="20"/>
          <w:szCs w:val="20"/>
          <w:lang w:eastAsia="en-GB"/>
          <w14:ligatures w14:val="none"/>
        </w:rPr>
        <w:t>Center</w:t>
      </w:r>
      <w:proofErr w:type="spellEnd"/>
      <w:r w:rsidRPr="00EE525C">
        <w:rPr>
          <w:rFonts w:cs="Times New Roman"/>
          <w:color w:val="000000"/>
          <w:kern w:val="0"/>
          <w:sz w:val="20"/>
          <w:szCs w:val="20"/>
          <w:lang w:eastAsia="en-GB"/>
          <w14:ligatures w14:val="none"/>
        </w:rPr>
        <w:t xml:space="preserve"> for Teaching Innovation. [online] Cornell.edu. Available at: https://teaching.cornell.edu/teaching-resources/universal-design-learning.</w:t>
      </w:r>
    </w:p>
    <w:p w14:paraId="1FD32972"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Disability Wales (2022). Know Your Rights Your guide to the Additional Learning Needs Education Tribunal (Wales) Act 2018. [online] Available at: https://www.disabilitywales.org/wp-content/uploads/2022/03/8.-Know-your-rights-Additional-Learning-Needs-Tribunal.pdf.</w:t>
      </w:r>
    </w:p>
    <w:p w14:paraId="02E9CA37"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Earpiece Online (2024). What Do Ear Defenders do for Autism. What Do Ear Defenders do for Autism. Available at: https://www.earpieceonline.co.uk/blog/post/what-do-ear-defenders-do-for-autism.</w:t>
      </w:r>
    </w:p>
    <w:p w14:paraId="5DFF649D"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 xml:space="preserve">ESTYN (2023). An inclusive and nurturing environment for all children - </w:t>
      </w:r>
      <w:proofErr w:type="spellStart"/>
      <w:r w:rsidRPr="00EE525C">
        <w:rPr>
          <w:rFonts w:cs="Times New Roman"/>
          <w:color w:val="000000"/>
          <w:kern w:val="0"/>
          <w:sz w:val="20"/>
          <w:szCs w:val="20"/>
          <w:lang w:eastAsia="en-GB"/>
          <w14:ligatures w14:val="none"/>
        </w:rPr>
        <w:t>Estyn</w:t>
      </w:r>
      <w:proofErr w:type="spellEnd"/>
      <w:r w:rsidRPr="00EE525C">
        <w:rPr>
          <w:rFonts w:cs="Times New Roman"/>
          <w:color w:val="000000"/>
          <w:kern w:val="0"/>
          <w:sz w:val="20"/>
          <w:szCs w:val="20"/>
          <w:lang w:eastAsia="en-GB"/>
          <w14:ligatures w14:val="none"/>
        </w:rPr>
        <w:t xml:space="preserve">. [online] </w:t>
      </w:r>
      <w:proofErr w:type="spellStart"/>
      <w:r w:rsidRPr="00EE525C">
        <w:rPr>
          <w:rFonts w:cs="Times New Roman"/>
          <w:color w:val="000000"/>
          <w:kern w:val="0"/>
          <w:sz w:val="20"/>
          <w:szCs w:val="20"/>
          <w:lang w:eastAsia="en-GB"/>
          <w14:ligatures w14:val="none"/>
        </w:rPr>
        <w:t>Estyn</w:t>
      </w:r>
      <w:proofErr w:type="spellEnd"/>
      <w:r w:rsidRPr="00EE525C">
        <w:rPr>
          <w:rFonts w:cs="Times New Roman"/>
          <w:color w:val="000000"/>
          <w:kern w:val="0"/>
          <w:sz w:val="20"/>
          <w:szCs w:val="20"/>
          <w:lang w:eastAsia="en-GB"/>
          <w14:ligatures w14:val="none"/>
        </w:rPr>
        <w:t>. Available at: https://estyn.gov.wales/improvement-resources/an-inclusive-and-nurturing-environment-for-all-children/.</w:t>
      </w:r>
    </w:p>
    <w:p w14:paraId="29C3C390"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Florian, L. and Black-Hawkins, K. (2011). Exploring Inclusive Pedagogy. British Educational Research Journal, 37(5), pp.813–828.</w:t>
      </w:r>
    </w:p>
    <w:p w14:paraId="563244B3"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proofErr w:type="spellStart"/>
      <w:r w:rsidRPr="00EE525C">
        <w:rPr>
          <w:rFonts w:cs="Times New Roman"/>
          <w:color w:val="000000"/>
          <w:kern w:val="0"/>
          <w:sz w:val="20"/>
          <w:szCs w:val="20"/>
          <w:lang w:eastAsia="en-GB"/>
          <w14:ligatures w14:val="none"/>
        </w:rPr>
        <w:t>Hodkinson</w:t>
      </w:r>
      <w:proofErr w:type="spellEnd"/>
      <w:r w:rsidRPr="00EE525C">
        <w:rPr>
          <w:rFonts w:cs="Times New Roman"/>
          <w:color w:val="000000"/>
          <w:kern w:val="0"/>
          <w:sz w:val="20"/>
          <w:szCs w:val="20"/>
          <w:lang w:eastAsia="en-GB"/>
          <w14:ligatures w14:val="none"/>
        </w:rPr>
        <w:t>, A. (2022). International Issues in SEND and Inclusion. Taylor &amp; Francis.</w:t>
      </w:r>
    </w:p>
    <w:p w14:paraId="61827B9D"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proofErr w:type="spellStart"/>
      <w:r w:rsidRPr="00EE525C">
        <w:rPr>
          <w:rFonts w:cs="Times New Roman"/>
          <w:color w:val="000000"/>
          <w:kern w:val="0"/>
          <w:sz w:val="20"/>
          <w:szCs w:val="20"/>
          <w:lang w:eastAsia="en-GB"/>
          <w14:ligatures w14:val="none"/>
        </w:rPr>
        <w:t>Hodkinson</w:t>
      </w:r>
      <w:proofErr w:type="spellEnd"/>
      <w:r w:rsidRPr="00EE525C">
        <w:rPr>
          <w:rFonts w:cs="Times New Roman"/>
          <w:color w:val="000000"/>
          <w:kern w:val="0"/>
          <w:sz w:val="20"/>
          <w:szCs w:val="20"/>
          <w:lang w:eastAsia="en-GB"/>
          <w14:ligatures w14:val="none"/>
        </w:rPr>
        <w:t>, A. (2024). Key Issues in Special Educational Needs, Disability and Inclusion. SAGE Publications Limited.</w:t>
      </w:r>
    </w:p>
    <w:p w14:paraId="65CD2826"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 xml:space="preserve">Khalsa, S.S. and </w:t>
      </w:r>
      <w:proofErr w:type="spellStart"/>
      <w:r w:rsidRPr="00EE525C">
        <w:rPr>
          <w:rFonts w:cs="Times New Roman"/>
          <w:color w:val="000000"/>
          <w:kern w:val="0"/>
          <w:sz w:val="20"/>
          <w:szCs w:val="20"/>
          <w:lang w:eastAsia="en-GB"/>
          <w14:ligatures w14:val="none"/>
        </w:rPr>
        <w:t>Miyake</w:t>
      </w:r>
      <w:proofErr w:type="spellEnd"/>
      <w:r w:rsidRPr="00EE525C">
        <w:rPr>
          <w:rFonts w:cs="Times New Roman"/>
          <w:color w:val="000000"/>
          <w:kern w:val="0"/>
          <w:sz w:val="20"/>
          <w:szCs w:val="20"/>
          <w:lang w:eastAsia="en-GB"/>
          <w14:ligatures w14:val="none"/>
        </w:rPr>
        <w:t>, Y. (2005). Inclusive classroom : a practical guide for educators. Tucson, Az: Good Year Books.</w:t>
      </w:r>
    </w:p>
    <w:p w14:paraId="0A8A2C26"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 xml:space="preserve">Knight, C. and Crick, T. (2024). Inclusive Education in Wales: Interpreting Discourses of Values and Practice Using Critical Policy Analysis. ECNU Review of Education, [online] 5(2), p.209653112110398. </w:t>
      </w:r>
      <w:proofErr w:type="spellStart"/>
      <w:r w:rsidRPr="00EE525C">
        <w:rPr>
          <w:rFonts w:cs="Times New Roman"/>
          <w:color w:val="000000"/>
          <w:kern w:val="0"/>
          <w:sz w:val="20"/>
          <w:szCs w:val="20"/>
          <w:lang w:eastAsia="en-GB"/>
          <w14:ligatures w14:val="none"/>
        </w:rPr>
        <w:t>doi:https</w:t>
      </w:r>
      <w:proofErr w:type="spellEnd"/>
      <w:r w:rsidRPr="00EE525C">
        <w:rPr>
          <w:rFonts w:cs="Times New Roman"/>
          <w:color w:val="000000"/>
          <w:kern w:val="0"/>
          <w:sz w:val="20"/>
          <w:szCs w:val="20"/>
          <w:lang w:eastAsia="en-GB"/>
          <w14:ligatures w14:val="none"/>
        </w:rPr>
        <w:t>://doi.org/10.1177/20965311211039858.</w:t>
      </w:r>
    </w:p>
    <w:p w14:paraId="71CC6852" w14:textId="29220FC8"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lastRenderedPageBreak/>
        <w:t xml:space="preserve">Learning Resources (2023). Calming Corner Ideas for your Classroom. [online] Learning Resources UK. Available at: https://www.learningresources.co.uk/blog/calming-corner-ideas-for-your-classroom/?srsltid=AfmBOooSLiylxSlzzKOF0z_o9giSSp7P79I5vARYNYPPhRR3iIXP9un1 </w:t>
      </w:r>
    </w:p>
    <w:p w14:paraId="49CB0CAC"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Maslow, A. (1943). A Theory of Human Motivation. Psychological Review, pp.370–396.</w:t>
      </w:r>
    </w:p>
    <w:p w14:paraId="0DB1F821"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proofErr w:type="spellStart"/>
      <w:r w:rsidRPr="00EE525C">
        <w:rPr>
          <w:rFonts w:cs="Times New Roman"/>
          <w:color w:val="000000"/>
          <w:kern w:val="0"/>
          <w:sz w:val="20"/>
          <w:szCs w:val="20"/>
          <w:lang w:eastAsia="en-GB"/>
          <w14:ligatures w14:val="none"/>
        </w:rPr>
        <w:t>Mastropieri</w:t>
      </w:r>
      <w:proofErr w:type="spellEnd"/>
      <w:r w:rsidRPr="00EE525C">
        <w:rPr>
          <w:rFonts w:cs="Times New Roman"/>
          <w:color w:val="000000"/>
          <w:kern w:val="0"/>
          <w:sz w:val="20"/>
          <w:szCs w:val="20"/>
          <w:lang w:eastAsia="en-GB"/>
          <w14:ligatures w14:val="none"/>
        </w:rPr>
        <w:t>, M.A. and Scruggs, T.E. (2018). The inclusive classroom: Strategies for effective differentiated instruction. 6th ed. London: Pearson.</w:t>
      </w:r>
    </w:p>
    <w:p w14:paraId="7F88D510"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McLeod, S. (2025). Maslow’s Hierarchy of Needs. [online] Simply Psychology. Available at: https://www.simplypsychology.org/maslow.html.</w:t>
      </w:r>
    </w:p>
    <w:p w14:paraId="3F62C72A"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 xml:space="preserve">Metz, A.E., </w:t>
      </w:r>
      <w:proofErr w:type="spellStart"/>
      <w:r w:rsidRPr="00EE525C">
        <w:rPr>
          <w:rFonts w:cs="Times New Roman"/>
          <w:color w:val="000000"/>
          <w:kern w:val="0"/>
          <w:sz w:val="20"/>
          <w:szCs w:val="20"/>
          <w:lang w:eastAsia="en-GB"/>
          <w14:ligatures w14:val="none"/>
        </w:rPr>
        <w:t>Boling</w:t>
      </w:r>
      <w:proofErr w:type="spellEnd"/>
      <w:r w:rsidRPr="00EE525C">
        <w:rPr>
          <w:rFonts w:cs="Times New Roman"/>
          <w:color w:val="000000"/>
          <w:kern w:val="0"/>
          <w:sz w:val="20"/>
          <w:szCs w:val="20"/>
          <w:lang w:eastAsia="en-GB"/>
          <w14:ligatures w14:val="none"/>
        </w:rPr>
        <w:t xml:space="preserve">, D., </w:t>
      </w:r>
      <w:proofErr w:type="spellStart"/>
      <w:r w:rsidRPr="00EE525C">
        <w:rPr>
          <w:rFonts w:cs="Times New Roman"/>
          <w:color w:val="000000"/>
          <w:kern w:val="0"/>
          <w:sz w:val="20"/>
          <w:szCs w:val="20"/>
          <w:lang w:eastAsia="en-GB"/>
          <w14:ligatures w14:val="none"/>
        </w:rPr>
        <w:t>DeVore</w:t>
      </w:r>
      <w:proofErr w:type="spellEnd"/>
      <w:r w:rsidRPr="00EE525C">
        <w:rPr>
          <w:rFonts w:cs="Times New Roman"/>
          <w:color w:val="000000"/>
          <w:kern w:val="0"/>
          <w:sz w:val="20"/>
          <w:szCs w:val="20"/>
          <w:lang w:eastAsia="en-GB"/>
          <w14:ligatures w14:val="none"/>
        </w:rPr>
        <w:t xml:space="preserve">, A. and </w:t>
      </w:r>
      <w:proofErr w:type="spellStart"/>
      <w:r w:rsidRPr="00EE525C">
        <w:rPr>
          <w:rFonts w:cs="Times New Roman"/>
          <w:color w:val="000000"/>
          <w:kern w:val="0"/>
          <w:sz w:val="20"/>
          <w:szCs w:val="20"/>
          <w:lang w:eastAsia="en-GB"/>
          <w14:ligatures w14:val="none"/>
        </w:rPr>
        <w:t>Holladay</w:t>
      </w:r>
      <w:proofErr w:type="spellEnd"/>
      <w:r w:rsidRPr="00EE525C">
        <w:rPr>
          <w:rFonts w:cs="Times New Roman"/>
          <w:color w:val="000000"/>
          <w:kern w:val="0"/>
          <w:sz w:val="20"/>
          <w:szCs w:val="20"/>
          <w:lang w:eastAsia="en-GB"/>
          <w14:ligatures w14:val="none"/>
        </w:rPr>
        <w:t xml:space="preserve">, H. (2019). Dunn’s Model of Sensory Processing: An Investigation of the Axes of the Four-Quadrant Model in Healthy Adults. Brain Sciences, 9(2), p.35. </w:t>
      </w:r>
      <w:proofErr w:type="spellStart"/>
      <w:r w:rsidRPr="00EE525C">
        <w:rPr>
          <w:rFonts w:cs="Times New Roman"/>
          <w:color w:val="000000"/>
          <w:kern w:val="0"/>
          <w:sz w:val="20"/>
          <w:szCs w:val="20"/>
          <w:lang w:eastAsia="en-GB"/>
          <w14:ligatures w14:val="none"/>
        </w:rPr>
        <w:t>doi:https</w:t>
      </w:r>
      <w:proofErr w:type="spellEnd"/>
      <w:r w:rsidRPr="00EE525C">
        <w:rPr>
          <w:rFonts w:cs="Times New Roman"/>
          <w:color w:val="000000"/>
          <w:kern w:val="0"/>
          <w:sz w:val="20"/>
          <w:szCs w:val="20"/>
          <w:lang w:eastAsia="en-GB"/>
          <w14:ligatures w14:val="none"/>
        </w:rPr>
        <w:t>://doi.org/10.3390/brainsci9020035.</w:t>
      </w:r>
    </w:p>
    <w:p w14:paraId="4B7F75F1"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NHS East London (2017). Occupational Therapy Service for Children Specialist Children’s and Young People’s Services Classroom Sensory Corner. [online] Available at: https://www.elft.nhs.uk/sites/default/files/2024-02/Sensory%20Corner%20in%20a%20Classroom%20Final.pdf.</w:t>
      </w:r>
    </w:p>
    <w:p w14:paraId="73DC76AA"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proofErr w:type="spellStart"/>
      <w:r w:rsidRPr="00EE525C">
        <w:rPr>
          <w:rFonts w:cs="Times New Roman"/>
          <w:color w:val="000000"/>
          <w:kern w:val="0"/>
          <w:sz w:val="20"/>
          <w:szCs w:val="20"/>
          <w:lang w:eastAsia="en-GB"/>
          <w14:ligatures w14:val="none"/>
        </w:rPr>
        <w:t>Sobel</w:t>
      </w:r>
      <w:proofErr w:type="spellEnd"/>
      <w:r w:rsidRPr="00EE525C">
        <w:rPr>
          <w:rFonts w:cs="Times New Roman"/>
          <w:color w:val="000000"/>
          <w:kern w:val="0"/>
          <w:sz w:val="20"/>
          <w:szCs w:val="20"/>
          <w:lang w:eastAsia="en-GB"/>
          <w14:ligatures w14:val="none"/>
        </w:rPr>
        <w:t>, D. and Alston, S. (2021). The Inclusive Classroom : A new approach to differentiation. London: Bloomsbury Education.</w:t>
      </w:r>
    </w:p>
    <w:p w14:paraId="6BC148F9"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 xml:space="preserve">Tomlinson, S. (2018). Inclusive Education Isn’t Dead, It Just Smells Funny. S.L.: </w:t>
      </w:r>
      <w:proofErr w:type="spellStart"/>
      <w:r w:rsidRPr="00EE525C">
        <w:rPr>
          <w:rFonts w:cs="Times New Roman"/>
          <w:color w:val="000000"/>
          <w:kern w:val="0"/>
          <w:sz w:val="20"/>
          <w:szCs w:val="20"/>
          <w:lang w:eastAsia="en-GB"/>
          <w14:ligatures w14:val="none"/>
        </w:rPr>
        <w:t>Routledge</w:t>
      </w:r>
      <w:proofErr w:type="spellEnd"/>
      <w:r w:rsidRPr="00EE525C">
        <w:rPr>
          <w:rFonts w:cs="Times New Roman"/>
          <w:color w:val="000000"/>
          <w:kern w:val="0"/>
          <w:sz w:val="20"/>
          <w:szCs w:val="20"/>
          <w:lang w:eastAsia="en-GB"/>
          <w14:ligatures w14:val="none"/>
        </w:rPr>
        <w:t>.</w:t>
      </w:r>
    </w:p>
    <w:p w14:paraId="711963FA"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UNICEF (2022). The Convention on the Rights of the child: the Children’s Version. [online] UNICEF. Available at: https://www.unicef.org/child-rights-convention/convention-text-childrens-version.</w:t>
      </w:r>
    </w:p>
    <w:p w14:paraId="761D60D5"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proofErr w:type="spellStart"/>
      <w:r w:rsidRPr="00EE525C">
        <w:rPr>
          <w:rFonts w:cs="Times New Roman"/>
          <w:color w:val="000000"/>
          <w:kern w:val="0"/>
          <w:sz w:val="20"/>
          <w:szCs w:val="20"/>
          <w:lang w:eastAsia="en-GB"/>
          <w14:ligatures w14:val="none"/>
        </w:rPr>
        <w:t>Vygotsky</w:t>
      </w:r>
      <w:proofErr w:type="spellEnd"/>
      <w:r w:rsidRPr="00EE525C">
        <w:rPr>
          <w:rFonts w:cs="Times New Roman"/>
          <w:color w:val="000000"/>
          <w:kern w:val="0"/>
          <w:sz w:val="20"/>
          <w:szCs w:val="20"/>
          <w:lang w:eastAsia="en-GB"/>
          <w14:ligatures w14:val="none"/>
        </w:rPr>
        <w:t>, L. (1978). Mind in society: the Development of Higher Psychological Processes. Cambridge: Harvard University Press.</w:t>
      </w:r>
    </w:p>
    <w:p w14:paraId="6018C4B0"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 xml:space="preserve">Ware, J. (2019). Autonomy, rights and children with special educational needs: the distinctiveness of Wales. International Journal of Inclusive Education, [online] 23(5), pp.507–518. </w:t>
      </w:r>
      <w:proofErr w:type="spellStart"/>
      <w:r w:rsidRPr="00EE525C">
        <w:rPr>
          <w:rFonts w:cs="Times New Roman"/>
          <w:color w:val="000000"/>
          <w:kern w:val="0"/>
          <w:sz w:val="20"/>
          <w:szCs w:val="20"/>
          <w:lang w:eastAsia="en-GB"/>
          <w14:ligatures w14:val="none"/>
        </w:rPr>
        <w:t>doi:https</w:t>
      </w:r>
      <w:proofErr w:type="spellEnd"/>
      <w:r w:rsidRPr="00EE525C">
        <w:rPr>
          <w:rFonts w:cs="Times New Roman"/>
          <w:color w:val="000000"/>
          <w:kern w:val="0"/>
          <w:sz w:val="20"/>
          <w:szCs w:val="20"/>
          <w:lang w:eastAsia="en-GB"/>
          <w14:ligatures w14:val="none"/>
        </w:rPr>
        <w:t>://doi.org/10.1080/13603116.2019.1580928.</w:t>
      </w:r>
    </w:p>
    <w:p w14:paraId="313E70C6"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Welsh Government (2017). Professional Standards for Teaching and Leadership. [online] </w:t>
      </w:r>
      <w:proofErr w:type="spellStart"/>
      <w:r w:rsidRPr="00EE525C">
        <w:rPr>
          <w:rFonts w:cs="Times New Roman"/>
          <w:color w:val="000000"/>
          <w:kern w:val="0"/>
          <w:sz w:val="20"/>
          <w:szCs w:val="20"/>
          <w:lang w:eastAsia="en-GB"/>
          <w14:ligatures w14:val="none"/>
        </w:rPr>
        <w:t>Hwb</w:t>
      </w:r>
      <w:proofErr w:type="spellEnd"/>
      <w:r w:rsidRPr="00EE525C">
        <w:rPr>
          <w:rFonts w:cs="Times New Roman"/>
          <w:color w:val="000000"/>
          <w:kern w:val="0"/>
          <w:sz w:val="20"/>
          <w:szCs w:val="20"/>
          <w:lang w:eastAsia="en-GB"/>
          <w14:ligatures w14:val="none"/>
        </w:rPr>
        <w:t>. Welsh Government. Available at: https://hwb.gov.wales/api/storage/19bc948b-8a3f-41e0-944a-7bf2cadf7d18/professional-standards-for-teaching-and-leadership-interactive-pdf-for-pc.pdf.</w:t>
      </w:r>
    </w:p>
    <w:p w14:paraId="437937CB"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lastRenderedPageBreak/>
        <w:t>Welsh Government (2018). Additional learning needs (ALN) transformation programme. [online] Available at: https://www.gov.wales/sites/default/files/publications/2018-09/additional-learning-needs-aln-transformation-programme-v2.pdf.</w:t>
      </w:r>
    </w:p>
    <w:p w14:paraId="1C5E34C0"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Welsh Government (2021). Additional Learning Needs and Education Tribunal (Wales) Act. [online] GOV.WALES. Available at: https://www.gov.wales/additional-learning-needs-and-education-tribunal-wales-act.</w:t>
      </w:r>
    </w:p>
    <w:p w14:paraId="651A6098" w14:textId="77777777" w:rsidR="00EE525C" w:rsidRPr="00EE525C" w:rsidRDefault="00EE525C" w:rsidP="00EE525C">
      <w:pPr>
        <w:spacing w:after="240" w:line="360" w:lineRule="atLeast"/>
        <w:divId w:val="1390348820"/>
        <w:rPr>
          <w:rFonts w:cs="Times New Roman"/>
          <w:color w:val="000000"/>
          <w:kern w:val="0"/>
          <w:sz w:val="20"/>
          <w:szCs w:val="20"/>
          <w:lang w:eastAsia="en-GB"/>
          <w14:ligatures w14:val="none"/>
        </w:rPr>
      </w:pPr>
      <w:r w:rsidRPr="00EE525C">
        <w:rPr>
          <w:rFonts w:cs="Times New Roman"/>
          <w:color w:val="000000"/>
          <w:kern w:val="0"/>
          <w:sz w:val="20"/>
          <w:szCs w:val="20"/>
          <w:lang w:eastAsia="en-GB"/>
          <w14:ligatures w14:val="none"/>
        </w:rPr>
        <w:t xml:space="preserve">Welsh Government (2022). Curriculum for Wales . [online] </w:t>
      </w:r>
      <w:proofErr w:type="spellStart"/>
      <w:r w:rsidRPr="00EE525C">
        <w:rPr>
          <w:rFonts w:cs="Times New Roman"/>
          <w:color w:val="000000"/>
          <w:kern w:val="0"/>
          <w:sz w:val="20"/>
          <w:szCs w:val="20"/>
          <w:lang w:eastAsia="en-GB"/>
          <w14:ligatures w14:val="none"/>
        </w:rPr>
        <w:t>hwb.gov.wales</w:t>
      </w:r>
      <w:proofErr w:type="spellEnd"/>
      <w:r w:rsidRPr="00EE525C">
        <w:rPr>
          <w:rFonts w:cs="Times New Roman"/>
          <w:color w:val="000000"/>
          <w:kern w:val="0"/>
          <w:sz w:val="20"/>
          <w:szCs w:val="20"/>
          <w:lang w:eastAsia="en-GB"/>
          <w14:ligatures w14:val="none"/>
        </w:rPr>
        <w:t>. Available at: https://hwb.gov.wales/curriculum-for-wales.</w:t>
      </w:r>
    </w:p>
    <w:p w14:paraId="747AE1E0" w14:textId="77777777" w:rsidR="00A9080A" w:rsidRPr="00A9080A" w:rsidRDefault="00A9080A" w:rsidP="00A9080A">
      <w:pPr>
        <w:spacing w:after="255" w:line="240" w:lineRule="auto"/>
        <w:divId w:val="1555042702"/>
        <w:rPr>
          <w:rFonts w:asciiTheme="majorHAnsi" w:hAnsiTheme="majorHAnsi" w:cs="Times New Roman"/>
          <w:b/>
          <w:bCs/>
          <w:color w:val="000000"/>
          <w:kern w:val="0"/>
          <w:sz w:val="26"/>
          <w:szCs w:val="26"/>
          <w:lang w:eastAsia="en-GB"/>
          <w14:ligatures w14:val="none"/>
        </w:rPr>
      </w:pPr>
    </w:p>
    <w:p w14:paraId="29383926" w14:textId="77777777" w:rsidR="00A9080A" w:rsidRPr="00A9080A" w:rsidRDefault="00A9080A" w:rsidP="00A9080A">
      <w:pPr>
        <w:spacing w:after="255" w:line="240" w:lineRule="auto"/>
        <w:divId w:val="1555042702"/>
        <w:rPr>
          <w:rFonts w:ascii=".AppleSystemUIFont" w:hAnsi=".AppleSystemUIFont" w:cs="Times New Roman"/>
          <w:color w:val="000000"/>
          <w:kern w:val="0"/>
          <w:sz w:val="26"/>
          <w:szCs w:val="26"/>
          <w:lang w:eastAsia="en-GB"/>
          <w14:ligatures w14:val="none"/>
        </w:rPr>
      </w:pPr>
    </w:p>
    <w:p w14:paraId="6CF53A7F" w14:textId="77777777" w:rsidR="00A9080A" w:rsidRPr="00A9080A" w:rsidRDefault="00A9080A" w:rsidP="00A9080A">
      <w:pPr>
        <w:spacing w:after="255" w:line="240" w:lineRule="auto"/>
        <w:divId w:val="1555042702"/>
        <w:rPr>
          <w:rFonts w:ascii=".AppleSystemUIFont" w:hAnsi=".AppleSystemUIFont" w:cs="Times New Roman"/>
          <w:color w:val="000000"/>
          <w:kern w:val="0"/>
          <w:sz w:val="26"/>
          <w:szCs w:val="26"/>
          <w:lang w:eastAsia="en-GB"/>
          <w14:ligatures w14:val="none"/>
        </w:rPr>
      </w:pPr>
    </w:p>
    <w:p w14:paraId="16D21639" w14:textId="77777777" w:rsidR="00A9080A" w:rsidRPr="00A9080A" w:rsidRDefault="00A9080A" w:rsidP="00A9080A">
      <w:pPr>
        <w:spacing w:after="255" w:line="240" w:lineRule="auto"/>
        <w:divId w:val="1555042702"/>
        <w:rPr>
          <w:rFonts w:ascii=".AppleSystemUIFont" w:hAnsi=".AppleSystemUIFont" w:cs="Times New Roman"/>
          <w:color w:val="000000"/>
          <w:kern w:val="0"/>
          <w:sz w:val="26"/>
          <w:szCs w:val="26"/>
          <w:lang w:eastAsia="en-GB"/>
          <w14:ligatures w14:val="none"/>
        </w:rPr>
      </w:pPr>
    </w:p>
    <w:p w14:paraId="14AB3465" w14:textId="77777777" w:rsidR="00A9080A" w:rsidRPr="00A9080A" w:rsidRDefault="00A9080A" w:rsidP="00A9080A">
      <w:pPr>
        <w:spacing w:after="255" w:line="240" w:lineRule="auto"/>
        <w:divId w:val="1555042702"/>
        <w:rPr>
          <w:rFonts w:ascii=".AppleSystemUIFont" w:hAnsi=".AppleSystemUIFont" w:cs="Times New Roman"/>
          <w:color w:val="000000"/>
          <w:kern w:val="0"/>
          <w:sz w:val="26"/>
          <w:szCs w:val="26"/>
          <w:lang w:eastAsia="en-GB"/>
          <w14:ligatures w14:val="none"/>
        </w:rPr>
      </w:pPr>
    </w:p>
    <w:p w14:paraId="0705B633" w14:textId="77777777" w:rsidR="00A9080A" w:rsidRPr="00A9080A" w:rsidRDefault="00A9080A" w:rsidP="00A9080A">
      <w:pPr>
        <w:spacing w:after="255" w:line="240" w:lineRule="auto"/>
        <w:divId w:val="1555042702"/>
        <w:rPr>
          <w:rFonts w:ascii=".AppleSystemUIFont" w:hAnsi=".AppleSystemUIFont" w:cs="Times New Roman"/>
          <w:color w:val="000000"/>
          <w:kern w:val="0"/>
          <w:sz w:val="26"/>
          <w:szCs w:val="26"/>
          <w:lang w:eastAsia="en-GB"/>
          <w14:ligatures w14:val="none"/>
        </w:rPr>
      </w:pPr>
    </w:p>
    <w:p w14:paraId="012B7C27" w14:textId="77777777" w:rsidR="00A9080A" w:rsidRPr="00A9080A" w:rsidRDefault="00A9080A" w:rsidP="00A9080A">
      <w:pPr>
        <w:spacing w:after="255" w:line="240" w:lineRule="auto"/>
        <w:divId w:val="1555042702"/>
        <w:rPr>
          <w:rFonts w:ascii=".AppleSystemUIFont" w:hAnsi=".AppleSystemUIFont" w:cs="Times New Roman"/>
          <w:color w:val="000000"/>
          <w:kern w:val="0"/>
          <w:sz w:val="26"/>
          <w:szCs w:val="26"/>
          <w:lang w:eastAsia="en-GB"/>
          <w14:ligatures w14:val="none"/>
        </w:rPr>
      </w:pPr>
    </w:p>
    <w:p w14:paraId="7C468B6D" w14:textId="77777777" w:rsidR="00A9080A" w:rsidRPr="00A9080A" w:rsidRDefault="00A9080A" w:rsidP="00A9080A">
      <w:pPr>
        <w:spacing w:after="255" w:line="240" w:lineRule="auto"/>
        <w:divId w:val="1555042702"/>
        <w:rPr>
          <w:rFonts w:ascii=".AppleSystemUIFont" w:hAnsi=".AppleSystemUIFont" w:cs="Times New Roman"/>
          <w:color w:val="000000"/>
          <w:kern w:val="0"/>
          <w:sz w:val="26"/>
          <w:szCs w:val="26"/>
          <w:lang w:eastAsia="en-GB"/>
          <w14:ligatures w14:val="none"/>
        </w:rPr>
      </w:pPr>
    </w:p>
    <w:p w14:paraId="395FDBB2" w14:textId="77777777" w:rsidR="00A9080A" w:rsidRPr="00A9080A" w:rsidRDefault="00A9080A" w:rsidP="00A9080A">
      <w:pPr>
        <w:spacing w:after="255" w:line="240" w:lineRule="auto"/>
        <w:divId w:val="1555042702"/>
        <w:rPr>
          <w:rFonts w:ascii=".AppleSystemUIFont" w:hAnsi=".AppleSystemUIFont" w:cs="Times New Roman"/>
          <w:color w:val="000000"/>
          <w:kern w:val="0"/>
          <w:sz w:val="26"/>
          <w:szCs w:val="26"/>
          <w:lang w:eastAsia="en-GB"/>
          <w14:ligatures w14:val="none"/>
        </w:rPr>
      </w:pPr>
    </w:p>
    <w:p w14:paraId="2D7C0DB6" w14:textId="77777777" w:rsidR="00A9080A" w:rsidRPr="00A9080A" w:rsidRDefault="00A9080A" w:rsidP="00A9080A">
      <w:pPr>
        <w:spacing w:after="255" w:line="240" w:lineRule="auto"/>
        <w:divId w:val="1555042702"/>
        <w:rPr>
          <w:rFonts w:ascii=".AppleSystemUIFont" w:hAnsi=".AppleSystemUIFont" w:cs="Times New Roman"/>
          <w:color w:val="000000"/>
          <w:kern w:val="0"/>
          <w:sz w:val="26"/>
          <w:szCs w:val="26"/>
          <w:lang w:eastAsia="en-GB"/>
          <w14:ligatures w14:val="none"/>
        </w:rPr>
      </w:pPr>
    </w:p>
    <w:p w14:paraId="0B26D4FD" w14:textId="77777777" w:rsidR="00A9080A" w:rsidRPr="00A9080A" w:rsidRDefault="00A9080A" w:rsidP="00A9080A">
      <w:pPr>
        <w:spacing w:after="255" w:line="240" w:lineRule="auto"/>
        <w:divId w:val="1555042702"/>
        <w:rPr>
          <w:rFonts w:ascii=".AppleSystemUIFont" w:hAnsi=".AppleSystemUIFont" w:cs="Times New Roman"/>
          <w:color w:val="000000"/>
          <w:kern w:val="0"/>
          <w:sz w:val="26"/>
          <w:szCs w:val="26"/>
          <w:lang w:eastAsia="en-GB"/>
          <w14:ligatures w14:val="none"/>
        </w:rPr>
      </w:pPr>
    </w:p>
    <w:p w14:paraId="3E8B7AF7" w14:textId="77777777" w:rsidR="000E2E7E" w:rsidRPr="000E2E7E" w:rsidRDefault="000E2E7E" w:rsidP="00D163BC">
      <w:pPr>
        <w:rPr>
          <w:sz w:val="52"/>
          <w:szCs w:val="52"/>
        </w:rPr>
      </w:pPr>
    </w:p>
    <w:sectPr w:rsidR="000E2E7E" w:rsidRPr="000E2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Calibri">
    <w:panose1 w:val="020F0502020204030204"/>
    <w:charset w:val="00"/>
    <w:family w:val="swiss"/>
    <w:pitch w:val="variable"/>
    <w:sig w:usb0="E4002EFF" w:usb1="C200ACFF" w:usb2="00000009" w:usb3="00000000" w:csb0="000001FF" w:csb1="00000000"/>
  </w:font>
  <w:font w:name=".SFUI-Regular">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F026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EC715E"/>
    <w:multiLevelType w:val="hybridMultilevel"/>
    <w:tmpl w:val="2CDAF41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D359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CE7F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E450B3"/>
    <w:multiLevelType w:val="hybridMultilevel"/>
    <w:tmpl w:val="C89A35A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5380070">
    <w:abstractNumId w:val="1"/>
  </w:num>
  <w:num w:numId="2" w16cid:durableId="644745782">
    <w:abstractNumId w:val="4"/>
  </w:num>
  <w:num w:numId="3" w16cid:durableId="1798521334">
    <w:abstractNumId w:val="3"/>
  </w:num>
  <w:num w:numId="4" w16cid:durableId="1213424927">
    <w:abstractNumId w:val="2"/>
  </w:num>
  <w:num w:numId="5" w16cid:durableId="355619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44299"/>
    <w:rsid w:val="00044682"/>
    <w:rsid w:val="0007085A"/>
    <w:rsid w:val="000E2E7E"/>
    <w:rsid w:val="00121BB2"/>
    <w:rsid w:val="001675AC"/>
    <w:rsid w:val="00180C17"/>
    <w:rsid w:val="00191CFB"/>
    <w:rsid w:val="001E698E"/>
    <w:rsid w:val="001F1157"/>
    <w:rsid w:val="00202DCC"/>
    <w:rsid w:val="00371AC6"/>
    <w:rsid w:val="00372668"/>
    <w:rsid w:val="003A7750"/>
    <w:rsid w:val="00403714"/>
    <w:rsid w:val="00504994"/>
    <w:rsid w:val="00510D18"/>
    <w:rsid w:val="00521E92"/>
    <w:rsid w:val="00604703"/>
    <w:rsid w:val="0066720D"/>
    <w:rsid w:val="00756B32"/>
    <w:rsid w:val="00784CE2"/>
    <w:rsid w:val="007E150B"/>
    <w:rsid w:val="00873531"/>
    <w:rsid w:val="008C14C1"/>
    <w:rsid w:val="008F0B48"/>
    <w:rsid w:val="00925B54"/>
    <w:rsid w:val="009361FD"/>
    <w:rsid w:val="00965B69"/>
    <w:rsid w:val="009A3BAF"/>
    <w:rsid w:val="009D31A8"/>
    <w:rsid w:val="00A00090"/>
    <w:rsid w:val="00A254FC"/>
    <w:rsid w:val="00A9080A"/>
    <w:rsid w:val="00A9536A"/>
    <w:rsid w:val="00AB5565"/>
    <w:rsid w:val="00C0493E"/>
    <w:rsid w:val="00C04E52"/>
    <w:rsid w:val="00C10EDE"/>
    <w:rsid w:val="00C81CA6"/>
    <w:rsid w:val="00CD29DA"/>
    <w:rsid w:val="00D05290"/>
    <w:rsid w:val="00D07602"/>
    <w:rsid w:val="00D163BC"/>
    <w:rsid w:val="00DE4506"/>
    <w:rsid w:val="00DF09B3"/>
    <w:rsid w:val="00E447B8"/>
    <w:rsid w:val="00E5184C"/>
    <w:rsid w:val="00EA3D62"/>
    <w:rsid w:val="00EE525C"/>
    <w:rsid w:val="00F66413"/>
    <w:rsid w:val="00FD72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61FD"/>
    <w:rPr>
      <w:color w:val="467886" w:themeColor="hyperlink"/>
      <w:u w:val="single"/>
    </w:rPr>
  </w:style>
  <w:style w:type="character" w:customStyle="1" w:styleId="s1">
    <w:name w:val="s1"/>
    <w:basedOn w:val="DefaultParagraphFont"/>
    <w:rsid w:val="00925B54"/>
    <w:rPr>
      <w:rFonts w:ascii="Helvetica" w:hAnsi="Helvetica" w:hint="default"/>
      <w:b w:val="0"/>
      <w:bCs w:val="0"/>
      <w:i w:val="0"/>
      <w:iCs w:val="0"/>
      <w:sz w:val="18"/>
      <w:szCs w:val="18"/>
    </w:rPr>
  </w:style>
  <w:style w:type="paragraph" w:customStyle="1" w:styleId="li1">
    <w:name w:val="li1"/>
    <w:basedOn w:val="Normal"/>
    <w:rsid w:val="00925B54"/>
    <w:pPr>
      <w:spacing w:after="0" w:line="240" w:lineRule="auto"/>
    </w:pPr>
    <w:rPr>
      <w:rFonts w:ascii="Helvetica" w:hAnsi="Helvetica" w:cs="Times New Roman"/>
      <w:kern w:val="0"/>
      <w:sz w:val="18"/>
      <w:szCs w:val="18"/>
      <w:lang w:eastAsia="en-GB"/>
      <w14:ligatures w14:val="none"/>
    </w:rPr>
  </w:style>
  <w:style w:type="paragraph" w:customStyle="1" w:styleId="p1">
    <w:name w:val="p1"/>
    <w:basedOn w:val="Normal"/>
    <w:rsid w:val="00A9080A"/>
    <w:pPr>
      <w:spacing w:after="255" w:line="240" w:lineRule="auto"/>
    </w:pPr>
    <w:rPr>
      <w:rFonts w:ascii=".AppleSystemUIFont" w:hAnsi=".AppleSystemUIFont" w:cs="Times New Roman"/>
      <w:color w:val="000000"/>
      <w:kern w:val="0"/>
      <w:sz w:val="26"/>
      <w:szCs w:val="26"/>
      <w:lang w:eastAsia="en-GB"/>
      <w14:ligatures w14:val="none"/>
    </w:rPr>
  </w:style>
  <w:style w:type="paragraph" w:customStyle="1" w:styleId="p2">
    <w:name w:val="p2"/>
    <w:basedOn w:val="Normal"/>
    <w:rsid w:val="00A9080A"/>
    <w:pPr>
      <w:spacing w:after="255" w:line="240" w:lineRule="auto"/>
    </w:pPr>
    <w:rPr>
      <w:rFonts w:ascii=".AppleSystemUIFont" w:hAnsi=".AppleSystemUIFont" w:cs="Times New Roman"/>
      <w:color w:val="000000"/>
      <w:kern w:val="0"/>
      <w:sz w:val="26"/>
      <w:szCs w:val="26"/>
      <w:lang w:eastAsia="en-GB"/>
      <w14:ligatures w14:val="none"/>
    </w:rPr>
  </w:style>
  <w:style w:type="character" w:customStyle="1" w:styleId="apple-converted-space">
    <w:name w:val="apple-converted-space"/>
    <w:basedOn w:val="DefaultParagraphFont"/>
    <w:rsid w:val="00A9080A"/>
  </w:style>
  <w:style w:type="paragraph" w:styleId="NormalWeb">
    <w:name w:val="Normal (Web)"/>
    <w:basedOn w:val="Normal"/>
    <w:uiPriority w:val="99"/>
    <w:unhideWhenUsed/>
    <w:rsid w:val="00EE525C"/>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792123">
      <w:bodyDiv w:val="1"/>
      <w:marLeft w:val="0"/>
      <w:marRight w:val="0"/>
      <w:marTop w:val="0"/>
      <w:marBottom w:val="0"/>
      <w:divBdr>
        <w:top w:val="none" w:sz="0" w:space="0" w:color="auto"/>
        <w:left w:val="none" w:sz="0" w:space="0" w:color="auto"/>
        <w:bottom w:val="none" w:sz="0" w:space="0" w:color="auto"/>
        <w:right w:val="none" w:sz="0" w:space="0" w:color="auto"/>
      </w:divBdr>
    </w:div>
    <w:div w:id="273831268">
      <w:bodyDiv w:val="1"/>
      <w:marLeft w:val="0"/>
      <w:marRight w:val="0"/>
      <w:marTop w:val="0"/>
      <w:marBottom w:val="0"/>
      <w:divBdr>
        <w:top w:val="none" w:sz="0" w:space="0" w:color="auto"/>
        <w:left w:val="none" w:sz="0" w:space="0" w:color="auto"/>
        <w:bottom w:val="none" w:sz="0" w:space="0" w:color="auto"/>
        <w:right w:val="none" w:sz="0" w:space="0" w:color="auto"/>
      </w:divBdr>
    </w:div>
    <w:div w:id="920412818">
      <w:bodyDiv w:val="1"/>
      <w:marLeft w:val="0"/>
      <w:marRight w:val="0"/>
      <w:marTop w:val="0"/>
      <w:marBottom w:val="0"/>
      <w:divBdr>
        <w:top w:val="none" w:sz="0" w:space="0" w:color="auto"/>
        <w:left w:val="none" w:sz="0" w:space="0" w:color="auto"/>
        <w:bottom w:val="none" w:sz="0" w:space="0" w:color="auto"/>
        <w:right w:val="none" w:sz="0" w:space="0" w:color="auto"/>
      </w:divBdr>
    </w:div>
    <w:div w:id="1536960489">
      <w:bodyDiv w:val="1"/>
      <w:marLeft w:val="0"/>
      <w:marRight w:val="0"/>
      <w:marTop w:val="0"/>
      <w:marBottom w:val="0"/>
      <w:divBdr>
        <w:top w:val="none" w:sz="0" w:space="0" w:color="auto"/>
        <w:left w:val="none" w:sz="0" w:space="0" w:color="auto"/>
        <w:bottom w:val="none" w:sz="0" w:space="0" w:color="auto"/>
        <w:right w:val="none" w:sz="0" w:space="0" w:color="auto"/>
      </w:divBdr>
    </w:div>
    <w:div w:id="1555042702">
      <w:bodyDiv w:val="1"/>
      <w:marLeft w:val="0"/>
      <w:marRight w:val="0"/>
      <w:marTop w:val="0"/>
      <w:marBottom w:val="0"/>
      <w:divBdr>
        <w:top w:val="none" w:sz="0" w:space="0" w:color="auto"/>
        <w:left w:val="none" w:sz="0" w:space="0" w:color="auto"/>
        <w:bottom w:val="none" w:sz="0" w:space="0" w:color="auto"/>
        <w:right w:val="none" w:sz="0" w:space="0" w:color="auto"/>
      </w:divBdr>
      <w:divsChild>
        <w:div w:id="644048145">
          <w:marLeft w:val="0"/>
          <w:marRight w:val="0"/>
          <w:marTop w:val="0"/>
          <w:marBottom w:val="0"/>
          <w:divBdr>
            <w:top w:val="none" w:sz="0" w:space="0" w:color="auto"/>
            <w:left w:val="none" w:sz="0" w:space="0" w:color="auto"/>
            <w:bottom w:val="none" w:sz="0" w:space="0" w:color="auto"/>
            <w:right w:val="none" w:sz="0" w:space="0" w:color="auto"/>
          </w:divBdr>
          <w:divsChild>
            <w:div w:id="139034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4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mybib.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rammarly.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2621</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Charlotte Howell (2308966)</cp:lastModifiedBy>
  <cp:revision>30</cp:revision>
  <dcterms:created xsi:type="dcterms:W3CDTF">2025-06-30T10:05:00Z</dcterms:created>
  <dcterms:modified xsi:type="dcterms:W3CDTF">2025-06-30T10:24:00Z</dcterms:modified>
</cp:coreProperties>
</file>