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AB0D5" w14:textId="3521599B" w:rsidR="001121FA" w:rsidRPr="001121FA" w:rsidRDefault="001121FA" w:rsidP="001121FA">
      <w:pPr>
        <w:spacing w:after="0" w:line="240" w:lineRule="auto"/>
        <w:rPr>
          <w:rFonts w:ascii="Times New Roman" w:eastAsia="Times New Roman" w:hAnsi="Times New Roman" w:cs="Times New Roman"/>
          <w:kern w:val="0"/>
          <w:lang w:eastAsia="en-GB"/>
          <w14:ligatures w14:val="none"/>
        </w:rPr>
      </w:pPr>
    </w:p>
    <w:p w14:paraId="6B2EA987" w14:textId="77777777" w:rsidR="001121FA" w:rsidRPr="001121FA" w:rsidRDefault="001121FA" w:rsidP="001121F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121FA">
        <w:rPr>
          <w:rFonts w:ascii="Times New Roman" w:eastAsia="Times New Roman" w:hAnsi="Times New Roman" w:cs="Times New Roman"/>
          <w:b/>
          <w:bCs/>
          <w:kern w:val="36"/>
          <w:sz w:val="48"/>
          <w:szCs w:val="48"/>
          <w:lang w:eastAsia="en-GB"/>
          <w14:ligatures w14:val="none"/>
        </w:rPr>
        <w:t>Future People Management Strategy for BrightWave Services Ltd</w:t>
      </w:r>
    </w:p>
    <w:p w14:paraId="782A8B30"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32AA6E7" w14:textId="77777777" w:rsidR="001121FA" w:rsidRPr="001121FA" w:rsidRDefault="001121FA" w:rsidP="001121F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121FA">
        <w:rPr>
          <w:rFonts w:ascii="Times New Roman" w:eastAsia="Times New Roman" w:hAnsi="Times New Roman" w:cs="Times New Roman"/>
          <w:b/>
          <w:bCs/>
          <w:kern w:val="0"/>
          <w:sz w:val="36"/>
          <w:szCs w:val="36"/>
          <w:lang w:eastAsia="en-GB"/>
          <w14:ligatures w14:val="none"/>
        </w:rPr>
        <w:t>Introduction</w:t>
      </w:r>
    </w:p>
    <w:p w14:paraId="6651A62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55F6BB9"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BrightWave Services is now at a point where it must take a closer look at how it manages its people and how its current approach affects both staff and clients. The company grew quickly after winning several large public sector contracts, and while this growth was positive from a business perspective, it placed pressure on systems and managers that were not prepared for a much larger workforce (Torrington et al., 2020). BrightWave now has around 350 employees spread across different sites, and many frontline managers were promoted because they were skilled technically, not because they had strong people management abilities. This is a common pattern in operational service industries, but it creates problems when managers are expected to lead teams without the right preparation (Armstrong and Taylor, 2020).</w:t>
      </w:r>
    </w:p>
    <w:p w14:paraId="18B47E56"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F5F72D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As a result, staff report several concerns about the workplace. They describe the culture as task driven and low in recognition, and many say they do not feel valued. Turnover is high, particularly in cleaning teams, and younger employees feel uncertain about career paths. Supervisors say they avoid performance conversations because they do not want conflict or do not know how to give feedback. New staff say that their induction was limited and that they were left unsure about expectations. All of these issues affect morale, performance and service consistency, which in turn influences relationships with clients (CIPD, 2021). The aim of this report is to evaluate the roles and skills managers need, apply relevant theories to BrightWave’s situation, analyse how culture influences behaviour and provide suggestions that could help create a more positive and productive organisation.</w:t>
      </w:r>
    </w:p>
    <w:p w14:paraId="77943716" w14:textId="41FC693F" w:rsidR="001121FA" w:rsidRPr="001121FA" w:rsidRDefault="001121FA" w:rsidP="001121FA">
      <w:pPr>
        <w:spacing w:after="0" w:line="240" w:lineRule="auto"/>
        <w:rPr>
          <w:rFonts w:ascii="Times New Roman" w:eastAsia="Times New Roman" w:hAnsi="Times New Roman" w:cs="Times New Roman"/>
          <w:kern w:val="0"/>
          <w:lang w:eastAsia="en-GB"/>
          <w14:ligatures w14:val="none"/>
        </w:rPr>
      </w:pPr>
    </w:p>
    <w:p w14:paraId="0C12370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1D536D9" w14:textId="77777777" w:rsidR="001121FA" w:rsidRPr="001121FA" w:rsidRDefault="001121FA" w:rsidP="001121F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121FA">
        <w:rPr>
          <w:rFonts w:ascii="Times New Roman" w:eastAsia="Times New Roman" w:hAnsi="Times New Roman" w:cs="Times New Roman"/>
          <w:b/>
          <w:bCs/>
          <w:kern w:val="0"/>
          <w:sz w:val="36"/>
          <w:szCs w:val="36"/>
          <w:lang w:eastAsia="en-GB"/>
          <w14:ligatures w14:val="none"/>
        </w:rPr>
        <w:t>1. Managerial Roles and Skills Required to Manage Performance</w:t>
      </w:r>
    </w:p>
    <w:p w14:paraId="5BA5E49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6406DA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Managers at BrightWave play a central role in how employees experience their work and how well services are delivered to clients. Mintzberg’s view of managerial work highlights </w:t>
      </w:r>
      <w:r w:rsidRPr="001121FA">
        <w:rPr>
          <w:rFonts w:ascii="Times New Roman" w:eastAsia="Times New Roman" w:hAnsi="Times New Roman" w:cs="Times New Roman"/>
          <w:kern w:val="0"/>
          <w:lang w:eastAsia="en-GB"/>
          <w14:ligatures w14:val="none"/>
        </w:rPr>
        <w:lastRenderedPageBreak/>
        <w:t>three key areas: interpersonal, informational and decisional roles (Thomson, 2024). These roles help explain where BrightWave managers are struggling.</w:t>
      </w:r>
    </w:p>
    <w:p w14:paraId="70BC250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CE4F9D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The interpersonal role involves communicating with employees, supporting them and dealing with conflict when necessary. At BrightWave, this role is weakened because many managers avoid performance conversations. One supervisor admitted that they knew a cleaner was not completing their tasks, but instead of raising the issue, they did the extra work themselves. This response is common when managers lack confidence or do not feel comfortable challenging long serving staff (Hutchinson, 2013). Avoidance reduces fairness, increases workload for stronger performers and creates tension within teams (Marchington et al., 2025).</w:t>
      </w:r>
    </w:p>
    <w:p w14:paraId="7752BDB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C462B38"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The informational role also appears weak. Clear communication is important during induction because it helps new employees understand expectations and feel part of the organisation. At BrightWave, many new workers say they were not told about career pathways or performance standards. Younger employees especially report this lack of clarity. Good onboarding improves the psychological contract and supports commitment (Picardi, 2020; Taylor and Woodhams, 2022). When information is missing, staff can become disengaged early in their employment.</w:t>
      </w:r>
    </w:p>
    <w:p w14:paraId="6AF4CD4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C74C12A"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The decisional role is equally important. Managers must decide when to address underperformance, how to distribute workloads fairly and how to support staff development. At BrightWave, these decisions are often delayed. When problems are ignored, inconsistency grows and frustration increases. McKinsey research stresses that early and fair decisions in performance management strengthen service quality and reduce long term issues (McKinsey and Company, 2020). BrightWave’s reluctance to do this puts pressure on teams and increases client complaints.</w:t>
      </w:r>
    </w:p>
    <w:p w14:paraId="362338F5"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4CDA89"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To manage performance effectively, managers need a set of people focused skills. They need confidence in having honest conversations, as well as emotional intelligence to understand how employees may react (Rees, 2015). Coaching skills allow managers to guide staff rather than simply directing them. Leadership theories show that the behaviour of managers influences how staff feel and how they perform (Mullins and McLean, 2019). By improving communication skills, feedback skills and conflict management capabilities, managers at BrightWave would be better equipped to support their teams and deal with performance issues fairly and consistently.</w:t>
      </w:r>
    </w:p>
    <w:p w14:paraId="1F6870D8"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4BDD55B"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Armstrong (2025) argues that good performance management depends on regular communication, clear expectations and ongoing support. These elements are not consistently present at BrightWave, but they could be developed through targeted managerial training. </w:t>
      </w:r>
      <w:r w:rsidRPr="001121FA">
        <w:rPr>
          <w:rFonts w:ascii="Times New Roman" w:eastAsia="Times New Roman" w:hAnsi="Times New Roman" w:cs="Times New Roman"/>
          <w:kern w:val="0"/>
          <w:lang w:eastAsia="en-GB"/>
          <w14:ligatures w14:val="none"/>
        </w:rPr>
        <w:lastRenderedPageBreak/>
        <w:t>This is important because line managers influence employee engagement more directly than formal HR procedures (Taylor and CIPD, 2025). For these reasons, managerial development should be a central part of BrightWave’s future people strategy.</w:t>
      </w:r>
    </w:p>
    <w:p w14:paraId="01AEBF7B" w14:textId="1FA04FE8" w:rsidR="001121FA" w:rsidRPr="001121FA" w:rsidRDefault="001121FA" w:rsidP="001121FA">
      <w:pPr>
        <w:spacing w:after="0" w:line="240" w:lineRule="auto"/>
        <w:rPr>
          <w:rFonts w:ascii="Times New Roman" w:eastAsia="Times New Roman" w:hAnsi="Times New Roman" w:cs="Times New Roman"/>
          <w:kern w:val="0"/>
          <w:lang w:eastAsia="en-GB"/>
          <w14:ligatures w14:val="none"/>
        </w:rPr>
      </w:pPr>
    </w:p>
    <w:p w14:paraId="27F486BC" w14:textId="77777777" w:rsidR="001121FA" w:rsidRPr="001121FA" w:rsidRDefault="001121FA" w:rsidP="001121F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121FA">
        <w:rPr>
          <w:rFonts w:ascii="Times New Roman" w:eastAsia="Times New Roman" w:hAnsi="Times New Roman" w:cs="Times New Roman"/>
          <w:b/>
          <w:bCs/>
          <w:kern w:val="0"/>
          <w:sz w:val="36"/>
          <w:szCs w:val="36"/>
          <w:lang w:eastAsia="en-GB"/>
          <w14:ligatures w14:val="none"/>
        </w:rPr>
        <w:t>2. Applying People Management Theories to BrightWave’s Situation</w:t>
      </w:r>
    </w:p>
    <w:p w14:paraId="6AE1A4DA"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D7E25C5"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Several theories help explain why BrightWave is experiencing these challenges and what changes might improve the organisation.</w:t>
      </w:r>
    </w:p>
    <w:p w14:paraId="1B7BEA09"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BCE0B4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Herzberg’s Two Factor Theory draws a distinction between hygiene factors, which prevent dissatisfaction, and motivators, which encourage engagement. At BrightWave, hygiene factors are not functioning well. Staff see workload allocation as unfair, communication is inconsistent and induction is unclear. Motivators such as recognition and development opportunities are limited. Herzberg’s theory suggests that engagement cannot grow in such conditions (Mitie, 2022). Research in facilities management also shows that recognition and career pathways strongly support retention (Compass Group, 2021), which reinforces the relevance of Herzberg’s ideas.</w:t>
      </w:r>
    </w:p>
    <w:p w14:paraId="2A944D0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65B1CDF"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Self Determination Theory adds further insight. This theory states that people need autonomy, competence and relatedness to feel motivated. At BrightWave, autonomy is low because tasks are tightly controlled, competence is uncertain because feedback rarely happens and relatedness is weak because staff work at separate sites with little contact. These conditions reduce motivation (Gallup, 2019). Many BrightWave employees describe exactly these experiences in staff surveys, which suggests that the organisation is not meeting these basic psychological needs.</w:t>
      </w:r>
    </w:p>
    <w:p w14:paraId="406F540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9F67EA9"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Performance management theory also helps explain the current issues. Armstrong’s performance cycle involves planning, reviewing and developing performance (Armstrong, 2025). BrightWave focuses heavily on planning through schedules and task lists. However, the reviewing and developing stages are weak or absent. Managers do not feel confident having regular conversations, so performance management becomes a one way flow of instructions rather than a dialogue. CIPD research warns that when performance management is reduced to paperwork, it loses its value and does not support development (CIPD, 2022).</w:t>
      </w:r>
    </w:p>
    <w:p w14:paraId="5065DA2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E6E21CA"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The psychological contract is another important concept. This refers to the unwritten expectations between employees and employers. When new staff join BrightWave, they </w:t>
      </w:r>
      <w:r w:rsidRPr="001121FA">
        <w:rPr>
          <w:rFonts w:ascii="Times New Roman" w:eastAsia="Times New Roman" w:hAnsi="Times New Roman" w:cs="Times New Roman"/>
          <w:kern w:val="0"/>
          <w:lang w:eastAsia="en-GB"/>
          <w14:ligatures w14:val="none"/>
        </w:rPr>
        <w:lastRenderedPageBreak/>
        <w:t>expect communication, support and fair treatment. When they do not receive these things, they feel disappointed, and this increases the likelihood of leaving (Picardi, 2020). Many employees at BrightWave say they feel invisible or not recognised, which suggests a breach in the psychological contract early in their employment.</w:t>
      </w:r>
    </w:p>
    <w:p w14:paraId="1213419D"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7C8E7D9"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Organisational behaviour theories also help explain how culture influences behaviour. Brooks (2018) argues that people learn what is normal from the behaviour of managers and colleagues. At BrightWave, the normal behaviour appears to focus on tasks rather than people. Mullins and McLean (2019) highlight that leaders influence the climate through their daily actions, and this aligns with BrightWave’s challenge where leaders’ focus on efficiency has shaped a culture that values numbers more than recognition.</w:t>
      </w:r>
    </w:p>
    <w:p w14:paraId="4173321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B54A5E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Schein’s cultural model helps describe the deeper levels of culture at BrightWave. Artefacts include schedules, limited collaboration and rare praise. Espoused values include pragmatism and results. Underlying assumptions suggest that talking about people issues slows the work (Schein, 2017; Denison, 2020). These assumptions discourage people centred behaviour and reinforce old habits.</w:t>
      </w:r>
    </w:p>
    <w:p w14:paraId="796D155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8D95C16"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McGregor’s Theory X and Theory Y offers another lens. BrightWave’s approach leans towards Theory X, which assumes workers need close supervision. However, research shows that employees perform better when organisations adopt a Theory Y mindset that emphasises trust and development (Yadav, 2021). If BrightWave shifted its approach, engagement would likely improve.</w:t>
      </w:r>
    </w:p>
    <w:p w14:paraId="75AEA6F5"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8480595"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External expectations also shape the organisation. The UK Government’s Social Value Model urges suppliers to show commitment to wellbeing, equality and fair work (UK Government, 2021). Organisations like Amey (2022) and Serco (2020) show that strong people practices strengthen client confidence. This indicates that improving people management is not only good for staff but also important for BrightWave’s competitive position.</w:t>
      </w:r>
    </w:p>
    <w:p w14:paraId="0E0AF348" w14:textId="46046548" w:rsidR="001121FA" w:rsidRPr="001121FA" w:rsidRDefault="001121FA" w:rsidP="001121FA">
      <w:pPr>
        <w:spacing w:after="0" w:line="240" w:lineRule="auto"/>
        <w:rPr>
          <w:rFonts w:ascii="Times New Roman" w:eastAsia="Times New Roman" w:hAnsi="Times New Roman" w:cs="Times New Roman"/>
          <w:kern w:val="0"/>
          <w:lang w:eastAsia="en-GB"/>
          <w14:ligatures w14:val="none"/>
        </w:rPr>
      </w:pPr>
    </w:p>
    <w:p w14:paraId="5523D5F1" w14:textId="77777777" w:rsidR="001121FA" w:rsidRPr="001121FA" w:rsidRDefault="001121FA" w:rsidP="001121F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1121FA">
        <w:rPr>
          <w:rFonts w:ascii="Times New Roman" w:eastAsia="Times New Roman" w:hAnsi="Times New Roman" w:cs="Times New Roman"/>
          <w:b/>
          <w:bCs/>
          <w:kern w:val="0"/>
          <w:sz w:val="36"/>
          <w:szCs w:val="36"/>
          <w:lang w:eastAsia="en-GB"/>
          <w14:ligatures w14:val="none"/>
        </w:rPr>
        <w:t>3. How Organisational Culture Influences People Management</w:t>
      </w:r>
    </w:p>
    <w:p w14:paraId="5AD34EA6"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77D16CF"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Culture plays a major role in how an organisation functions. At BrightWave, employees describe the culture as task driven, numbers first and low in recognition. This type of culture influences the behaviour of managers and shapes how staff experience their work. Armstrong </w:t>
      </w:r>
      <w:r w:rsidRPr="001121FA">
        <w:rPr>
          <w:rFonts w:ascii="Times New Roman" w:eastAsia="Times New Roman" w:hAnsi="Times New Roman" w:cs="Times New Roman"/>
          <w:kern w:val="0"/>
          <w:lang w:eastAsia="en-GB"/>
          <w14:ligatures w14:val="none"/>
        </w:rPr>
        <w:lastRenderedPageBreak/>
        <w:t>and Taylor (2020) argue that culture influences what managers believe is important. At BrightWave, the focus on tasks means that recognising staff or giving feedback feels less urgent, even though these actions support performance.</w:t>
      </w:r>
    </w:p>
    <w:p w14:paraId="14E1019B"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7075B45"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The dispersed nature of the work also reinforces isolation. Many employees work alone at separate sites, which makes communication difficult. Interserve found in its Quality Conversations Programme that dispersed teams need structured communication routines to maintain connection and consistency (Interserve, 2019). BrightWave does not yet have such routines, which leads each site to develop its own informal practices.</w:t>
      </w:r>
    </w:p>
    <w:p w14:paraId="1045363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A3EA9A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The culture also shows resistance to change. Suggestions about wellbeing initiatives or flexible schedules are met with doubt. This happens in organisations where people believe that anything not related to tasks is a distraction (Serco, 2020). This limits space for new ideas that could improve staff experience.</w:t>
      </w:r>
    </w:p>
    <w:p w14:paraId="60FEA62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43850FA"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Recognition is another area shaped by culture. Many managers at BrightWave rarely express appreciation, not because they do not value staff, but because recognition has never been part of the organisation’s habits. Yet simple appreciation has been shown to improve morale and retention in similar environments (Compass Group, 2021). This suggests that BrightWave’s culture is preventing easy and effective practices from taking root.</w:t>
      </w:r>
    </w:p>
    <w:p w14:paraId="1F874C8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48EC7DB"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Finally, leadership behaviour is essential for cultural change. Kautish (2021) explains that leaders shape culture through repeated everyday actions. If leaders demonstrate interest in people, communicate openly and reinforce the importance of recognition, managers are more likely to follow. Over time, these behaviours can shift BrightWave’s culture towards a more balanced approach where people and performance support each other.</w:t>
      </w:r>
    </w:p>
    <w:p w14:paraId="1495F1FB" w14:textId="31AE4D81" w:rsidR="001121FA" w:rsidRPr="001121FA" w:rsidRDefault="001121FA" w:rsidP="001121FA">
      <w:pPr>
        <w:spacing w:after="0" w:line="240" w:lineRule="auto"/>
        <w:rPr>
          <w:rFonts w:ascii="Times New Roman" w:eastAsia="Times New Roman" w:hAnsi="Times New Roman" w:cs="Times New Roman"/>
          <w:kern w:val="0"/>
          <w:lang w:eastAsia="en-GB"/>
          <w14:ligatures w14:val="none"/>
        </w:rPr>
      </w:pPr>
    </w:p>
    <w:p w14:paraId="5770E05B" w14:textId="77777777" w:rsidR="001121FA" w:rsidRPr="001121FA" w:rsidRDefault="001121FA" w:rsidP="001121F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121FA">
        <w:rPr>
          <w:rFonts w:ascii="Times New Roman" w:eastAsia="Times New Roman" w:hAnsi="Times New Roman" w:cs="Times New Roman"/>
          <w:b/>
          <w:bCs/>
          <w:kern w:val="36"/>
          <w:sz w:val="48"/>
          <w:szCs w:val="48"/>
          <w:lang w:eastAsia="en-GB"/>
          <w14:ligatures w14:val="none"/>
        </w:rPr>
        <w:t>Recommendations</w:t>
      </w:r>
    </w:p>
    <w:p w14:paraId="205BE96A"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1163FA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BrightWave can take several practical steps over the next three years to improve managerial practice, performance and culture. First, managerial training should be prioritised. Training should focus on communication, feedback, conflict resolution and coaching. Scenario based training improves confidence and prepares managers for real conversations (McKinsey and Company, 2020).</w:t>
      </w:r>
    </w:p>
    <w:p w14:paraId="4D93DF3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CE68DF5"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lastRenderedPageBreak/>
        <w:t>Second, performance management should move towards regular conversations. Monthly check ins create space for recognition, clarification and early action on concerns. CIPD guidance shows that frequent dialogue builds trust and strengthens performance (CIPD, 2022).</w:t>
      </w:r>
    </w:p>
    <w:p w14:paraId="73E0BA8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F61CF87"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Third, induction must be improved. Providing a clear welcome guide, explaining expectations and offering a buddy can help new employees settle in more quickly. Strong induction supports the psychological contract and reduces turnover (Picardi, 2020).</w:t>
      </w:r>
    </w:p>
    <w:p w14:paraId="36631DC6"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37A0375"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Fourth, staff engagement should be supported through small daily actions. Weekly updates, brief wellbeing checks and simple appreciation messages can help employees feel valued. Evidence from Amey (2022) and Compass Group (2021) shows that micro recognition has a strong impact in operational sectors.</w:t>
      </w:r>
    </w:p>
    <w:p w14:paraId="4AE360C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0042110"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Fifth, collaboration across sites should be strengthened. Regular virtual meetings, shared communication platforms and opportunities for supervisors to exchange ideas can help reduce inconsistency. Mitie (2022) found that when cross site communication improves, service quality improves too.</w:t>
      </w:r>
    </w:p>
    <w:p w14:paraId="09751ED5"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D2C97CF"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Finally, leadership behaviour must support cultural change. Leaders should be visible, approachable and clear about expectations. Their behaviour will set the tone for the rest of the organisation (Kautish, 2021). By showing genuine interest in people, leaders can help create a culture where staff feel respected and supported.</w:t>
      </w:r>
    </w:p>
    <w:p w14:paraId="62C8D68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DDA323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These recommendations will improve productivity and profitability. Lower turnover reduces recruitment costs, stronger engagement improves reliability and better people practices align with client expectations of social value (UK Government, 2021). Good people management supports better service outcomes, which helps BrightWave protect and grow its contracts (Serco, 2020).</w:t>
      </w:r>
    </w:p>
    <w:p w14:paraId="46C60F0C" w14:textId="06E0193F" w:rsidR="001121FA" w:rsidRPr="001121FA" w:rsidRDefault="001121FA" w:rsidP="001121FA">
      <w:pPr>
        <w:spacing w:after="0" w:line="240" w:lineRule="auto"/>
        <w:rPr>
          <w:rFonts w:ascii="Times New Roman" w:eastAsia="Times New Roman" w:hAnsi="Times New Roman" w:cs="Times New Roman"/>
          <w:kern w:val="0"/>
          <w:lang w:eastAsia="en-GB"/>
          <w14:ligatures w14:val="none"/>
        </w:rPr>
      </w:pPr>
    </w:p>
    <w:p w14:paraId="373C24BD" w14:textId="77777777" w:rsidR="001121FA" w:rsidRPr="001121FA" w:rsidRDefault="001121FA" w:rsidP="001121F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121FA">
        <w:rPr>
          <w:rFonts w:ascii="Times New Roman" w:eastAsia="Times New Roman" w:hAnsi="Times New Roman" w:cs="Times New Roman"/>
          <w:b/>
          <w:bCs/>
          <w:kern w:val="36"/>
          <w:sz w:val="48"/>
          <w:szCs w:val="48"/>
          <w:lang w:eastAsia="en-GB"/>
          <w14:ligatures w14:val="none"/>
        </w:rPr>
        <w:t>Conclusion</w:t>
      </w:r>
    </w:p>
    <w:p w14:paraId="195A3749"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507B014" w14:textId="5F46458B"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BrightWave’s challenges have developed over time due to rapid growth, limited managerial preparation and a culture that prioritises tasks over people. However, these challenges can be addressed. By strengthening managerial skills, improving communication, building regular </w:t>
      </w:r>
      <w:r w:rsidRPr="001121FA">
        <w:rPr>
          <w:rFonts w:ascii="Times New Roman" w:eastAsia="Times New Roman" w:hAnsi="Times New Roman" w:cs="Times New Roman"/>
          <w:kern w:val="0"/>
          <w:lang w:eastAsia="en-GB"/>
          <w14:ligatures w14:val="none"/>
        </w:rPr>
        <w:lastRenderedPageBreak/>
        <w:t>performance routines and supporting new employees more effectively, BrightWave can create a more positive and productive working environment. Cultural change will take time, but small consistent actions from leaders and managers can help shift behaviour. These improvements will support staff wellbeing, reduce turnover and help deliver a more consistent service for clients. In a sector that values fair work and strong people practices, BrightWave will benefit from investing in its people. When staff feel supported and valued, performance improves and long-term success becomes more achievable.</w:t>
      </w:r>
    </w:p>
    <w:p w14:paraId="31BD7B42" w14:textId="77777777" w:rsidR="001121FA" w:rsidRDefault="001121FA" w:rsidP="001121F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5628A05" w14:textId="77777777" w:rsidR="001121FA" w:rsidRDefault="001121FA" w:rsidP="001121F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F177D9B" w14:textId="10B01E2E" w:rsidR="001121FA" w:rsidRPr="001121FA" w:rsidRDefault="001121FA" w:rsidP="001121F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1121FA">
        <w:rPr>
          <w:rFonts w:ascii="Times New Roman" w:eastAsia="Times New Roman" w:hAnsi="Times New Roman" w:cs="Times New Roman"/>
          <w:b/>
          <w:bCs/>
          <w:kern w:val="36"/>
          <w:sz w:val="48"/>
          <w:szCs w:val="48"/>
          <w:lang w:eastAsia="en-GB"/>
          <w14:ligatures w14:val="none"/>
        </w:rPr>
        <w:t xml:space="preserve">Reference </w:t>
      </w:r>
      <w:r>
        <w:rPr>
          <w:rFonts w:ascii="Times New Roman" w:eastAsia="Times New Roman" w:hAnsi="Times New Roman" w:cs="Times New Roman"/>
          <w:b/>
          <w:bCs/>
          <w:kern w:val="36"/>
          <w:sz w:val="48"/>
          <w:szCs w:val="48"/>
          <w:lang w:eastAsia="en-GB"/>
          <w14:ligatures w14:val="none"/>
        </w:rPr>
        <w:t>List</w:t>
      </w:r>
    </w:p>
    <w:p w14:paraId="133A527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F79763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Amey (2022) </w:t>
      </w:r>
      <w:r w:rsidRPr="001121FA">
        <w:rPr>
          <w:rFonts w:ascii="Times New Roman" w:eastAsia="Times New Roman" w:hAnsi="Times New Roman" w:cs="Times New Roman"/>
          <w:i/>
          <w:iCs/>
          <w:kern w:val="0"/>
          <w:lang w:eastAsia="en-GB"/>
          <w14:ligatures w14:val="none"/>
        </w:rPr>
        <w:t>Social value report 2022</w:t>
      </w:r>
      <w:r w:rsidRPr="001121FA">
        <w:rPr>
          <w:rFonts w:ascii="Times New Roman" w:eastAsia="Times New Roman" w:hAnsi="Times New Roman" w:cs="Times New Roman"/>
          <w:kern w:val="0"/>
          <w:lang w:eastAsia="en-GB"/>
          <w14:ligatures w14:val="none"/>
        </w:rPr>
        <w:t>. Available at: https://www.amey.co.uk (Accessed: 10 November 2025).</w:t>
      </w:r>
    </w:p>
    <w:p w14:paraId="31B81808"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E7EC9C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Armstrong, M. (2025) </w:t>
      </w:r>
      <w:r w:rsidRPr="001121FA">
        <w:rPr>
          <w:rFonts w:ascii="Times New Roman" w:eastAsia="Times New Roman" w:hAnsi="Times New Roman" w:cs="Times New Roman"/>
          <w:i/>
          <w:iCs/>
          <w:kern w:val="0"/>
          <w:lang w:eastAsia="en-GB"/>
          <w14:ligatures w14:val="none"/>
        </w:rPr>
        <w:t>How to manage people: fast, effective management skills that really get results</w:t>
      </w:r>
      <w:r w:rsidRPr="001121FA">
        <w:rPr>
          <w:rFonts w:ascii="Times New Roman" w:eastAsia="Times New Roman" w:hAnsi="Times New Roman" w:cs="Times New Roman"/>
          <w:kern w:val="0"/>
          <w:lang w:eastAsia="en-GB"/>
          <w14:ligatures w14:val="none"/>
        </w:rPr>
        <w:t>. 6th edn. London: Kogan Page.</w:t>
      </w:r>
    </w:p>
    <w:p w14:paraId="610F3C6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08CC097"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Armstrong, M. and Taylor, S. (2020) </w:t>
      </w:r>
      <w:r w:rsidRPr="001121FA">
        <w:rPr>
          <w:rFonts w:ascii="Times New Roman" w:eastAsia="Times New Roman" w:hAnsi="Times New Roman" w:cs="Times New Roman"/>
          <w:i/>
          <w:iCs/>
          <w:kern w:val="0"/>
          <w:lang w:eastAsia="en-GB"/>
          <w14:ligatures w14:val="none"/>
        </w:rPr>
        <w:t>Armstrong’s handbook of human resource management practice</w:t>
      </w:r>
      <w:r w:rsidRPr="001121FA">
        <w:rPr>
          <w:rFonts w:ascii="Times New Roman" w:eastAsia="Times New Roman" w:hAnsi="Times New Roman" w:cs="Times New Roman"/>
          <w:kern w:val="0"/>
          <w:lang w:eastAsia="en-GB"/>
          <w14:ligatures w14:val="none"/>
        </w:rPr>
        <w:t>. London: Kogan Page.</w:t>
      </w:r>
    </w:p>
    <w:p w14:paraId="52C528C9"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0BA8F3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Brooks, I. (2018) </w:t>
      </w:r>
      <w:r w:rsidRPr="001121FA">
        <w:rPr>
          <w:rFonts w:ascii="Times New Roman" w:eastAsia="Times New Roman" w:hAnsi="Times New Roman" w:cs="Times New Roman"/>
          <w:i/>
          <w:iCs/>
          <w:kern w:val="0"/>
          <w:lang w:eastAsia="en-GB"/>
          <w14:ligatures w14:val="none"/>
        </w:rPr>
        <w:t>Organisational behaviour: individuals, groups and organisation</w:t>
      </w:r>
      <w:r w:rsidRPr="001121FA">
        <w:rPr>
          <w:rFonts w:ascii="Times New Roman" w:eastAsia="Times New Roman" w:hAnsi="Times New Roman" w:cs="Times New Roman"/>
          <w:kern w:val="0"/>
          <w:lang w:eastAsia="en-GB"/>
          <w14:ligatures w14:val="none"/>
        </w:rPr>
        <w:t>. 5th edn. Harlow: Pearson.</w:t>
      </w:r>
    </w:p>
    <w:p w14:paraId="401630C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E59909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CIPD (2021) </w:t>
      </w:r>
      <w:r w:rsidRPr="001121FA">
        <w:rPr>
          <w:rFonts w:ascii="Times New Roman" w:eastAsia="Times New Roman" w:hAnsi="Times New Roman" w:cs="Times New Roman"/>
          <w:i/>
          <w:iCs/>
          <w:kern w:val="0"/>
          <w:lang w:eastAsia="en-GB"/>
          <w14:ligatures w14:val="none"/>
        </w:rPr>
        <w:t>Good work index 2021</w:t>
      </w:r>
      <w:r w:rsidRPr="001121FA">
        <w:rPr>
          <w:rFonts w:ascii="Times New Roman" w:eastAsia="Times New Roman" w:hAnsi="Times New Roman" w:cs="Times New Roman"/>
          <w:kern w:val="0"/>
          <w:lang w:eastAsia="en-GB"/>
          <w14:ligatures w14:val="none"/>
        </w:rPr>
        <w:t>. London: CIPD. Available at: https://www.cipd.org (Accessed: 12 November 2025).</w:t>
      </w:r>
    </w:p>
    <w:p w14:paraId="3D0DC6D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4918D27"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CIPD (2022) </w:t>
      </w:r>
      <w:r w:rsidRPr="001121FA">
        <w:rPr>
          <w:rFonts w:ascii="Times New Roman" w:eastAsia="Times New Roman" w:hAnsi="Times New Roman" w:cs="Times New Roman"/>
          <w:i/>
          <w:iCs/>
          <w:kern w:val="0"/>
          <w:lang w:eastAsia="en-GB"/>
          <w14:ligatures w14:val="none"/>
        </w:rPr>
        <w:t>Performance management: factsheet</w:t>
      </w:r>
      <w:r w:rsidRPr="001121FA">
        <w:rPr>
          <w:rFonts w:ascii="Times New Roman" w:eastAsia="Times New Roman" w:hAnsi="Times New Roman" w:cs="Times New Roman"/>
          <w:kern w:val="0"/>
          <w:lang w:eastAsia="en-GB"/>
          <w14:ligatures w14:val="none"/>
        </w:rPr>
        <w:t>. London: CIPD. Available at: https://www.cipd.org (Accessed: 18 November 2025).</w:t>
      </w:r>
    </w:p>
    <w:p w14:paraId="6EE0FEB6"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8987B6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lastRenderedPageBreak/>
        <w:t xml:space="preserve">Compass Group (2021) </w:t>
      </w:r>
      <w:r w:rsidRPr="001121FA">
        <w:rPr>
          <w:rFonts w:ascii="Times New Roman" w:eastAsia="Times New Roman" w:hAnsi="Times New Roman" w:cs="Times New Roman"/>
          <w:i/>
          <w:iCs/>
          <w:kern w:val="0"/>
          <w:lang w:eastAsia="en-GB"/>
          <w14:ligatures w14:val="none"/>
        </w:rPr>
        <w:t>Annual review 2021</w:t>
      </w:r>
      <w:r w:rsidRPr="001121FA">
        <w:rPr>
          <w:rFonts w:ascii="Times New Roman" w:eastAsia="Times New Roman" w:hAnsi="Times New Roman" w:cs="Times New Roman"/>
          <w:kern w:val="0"/>
          <w:lang w:eastAsia="en-GB"/>
          <w14:ligatures w14:val="none"/>
        </w:rPr>
        <w:t>. Available at: https://www.compass-group.com (Accessed: 8 November 2025).</w:t>
      </w:r>
    </w:p>
    <w:p w14:paraId="1CC254C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63AA7D6"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Denison, D.R. (2020) </w:t>
      </w:r>
      <w:r w:rsidRPr="001121FA">
        <w:rPr>
          <w:rFonts w:ascii="Times New Roman" w:eastAsia="Times New Roman" w:hAnsi="Times New Roman" w:cs="Times New Roman"/>
          <w:i/>
          <w:iCs/>
          <w:kern w:val="0"/>
          <w:lang w:eastAsia="en-GB"/>
          <w14:ligatures w14:val="none"/>
        </w:rPr>
        <w:t>Denison model of organisational culture: research overview</w:t>
      </w:r>
      <w:r w:rsidRPr="001121FA">
        <w:rPr>
          <w:rFonts w:ascii="Times New Roman" w:eastAsia="Times New Roman" w:hAnsi="Times New Roman" w:cs="Times New Roman"/>
          <w:kern w:val="0"/>
          <w:lang w:eastAsia="en-GB"/>
          <w14:ligatures w14:val="none"/>
        </w:rPr>
        <w:t>. Available at: https://www.denisonconsulting.com (Accessed: 16 November 2025).</w:t>
      </w:r>
    </w:p>
    <w:p w14:paraId="7345A54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1E20A7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Gallup (2019) </w:t>
      </w:r>
      <w:r w:rsidRPr="001121FA">
        <w:rPr>
          <w:rFonts w:ascii="Times New Roman" w:eastAsia="Times New Roman" w:hAnsi="Times New Roman" w:cs="Times New Roman"/>
          <w:i/>
          <w:iCs/>
          <w:kern w:val="0"/>
          <w:lang w:eastAsia="en-GB"/>
          <w14:ligatures w14:val="none"/>
        </w:rPr>
        <w:t>State of the global workplace</w:t>
      </w:r>
      <w:r w:rsidRPr="001121FA">
        <w:rPr>
          <w:rFonts w:ascii="Times New Roman" w:eastAsia="Times New Roman" w:hAnsi="Times New Roman" w:cs="Times New Roman"/>
          <w:kern w:val="0"/>
          <w:lang w:eastAsia="en-GB"/>
          <w14:ligatures w14:val="none"/>
        </w:rPr>
        <w:t>. Washington, DC: Gallup. Available at: https://www.gallup.com (Accessed: 9 November 2025).</w:t>
      </w:r>
    </w:p>
    <w:p w14:paraId="67B7DB6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369FC4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Hutchinson, S. (2013) </w:t>
      </w:r>
      <w:r w:rsidRPr="001121FA">
        <w:rPr>
          <w:rFonts w:ascii="Times New Roman" w:eastAsia="Times New Roman" w:hAnsi="Times New Roman" w:cs="Times New Roman"/>
          <w:i/>
          <w:iCs/>
          <w:kern w:val="0"/>
          <w:lang w:eastAsia="en-GB"/>
          <w14:ligatures w14:val="none"/>
        </w:rPr>
        <w:t>Performance management</w:t>
      </w:r>
      <w:r w:rsidRPr="001121FA">
        <w:rPr>
          <w:rFonts w:ascii="Times New Roman" w:eastAsia="Times New Roman" w:hAnsi="Times New Roman" w:cs="Times New Roman"/>
          <w:kern w:val="0"/>
          <w:lang w:eastAsia="en-GB"/>
          <w14:ligatures w14:val="none"/>
        </w:rPr>
        <w:t>. London: CIPD.</w:t>
      </w:r>
    </w:p>
    <w:p w14:paraId="63FF15AA"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BEF029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Interserve (2019) </w:t>
      </w:r>
      <w:r w:rsidRPr="001121FA">
        <w:rPr>
          <w:rFonts w:ascii="Times New Roman" w:eastAsia="Times New Roman" w:hAnsi="Times New Roman" w:cs="Times New Roman"/>
          <w:i/>
          <w:iCs/>
          <w:kern w:val="0"/>
          <w:lang w:eastAsia="en-GB"/>
          <w14:ligatures w14:val="none"/>
        </w:rPr>
        <w:t>Quality Conversations Programme: improving service consistency</w:t>
      </w:r>
      <w:r w:rsidRPr="001121FA">
        <w:rPr>
          <w:rFonts w:ascii="Times New Roman" w:eastAsia="Times New Roman" w:hAnsi="Times New Roman" w:cs="Times New Roman"/>
          <w:kern w:val="0"/>
          <w:lang w:eastAsia="en-GB"/>
          <w14:ligatures w14:val="none"/>
        </w:rPr>
        <w:t>. Available at: https://www.interserve.com (Accessed: 14 November 2025).</w:t>
      </w:r>
    </w:p>
    <w:p w14:paraId="2B43EB1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79DE78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Kautish, S.K. (ed.) (2021) </w:t>
      </w:r>
      <w:r w:rsidRPr="001121FA">
        <w:rPr>
          <w:rFonts w:ascii="Times New Roman" w:eastAsia="Times New Roman" w:hAnsi="Times New Roman" w:cs="Times New Roman"/>
          <w:i/>
          <w:iCs/>
          <w:kern w:val="0"/>
          <w:lang w:eastAsia="en-GB"/>
          <w14:ligatures w14:val="none"/>
        </w:rPr>
        <w:t>Using strategy analytics to measure corporate performance and business value creation</w:t>
      </w:r>
      <w:r w:rsidRPr="001121FA">
        <w:rPr>
          <w:rFonts w:ascii="Times New Roman" w:eastAsia="Times New Roman" w:hAnsi="Times New Roman" w:cs="Times New Roman"/>
          <w:kern w:val="0"/>
          <w:lang w:eastAsia="en-GB"/>
          <w14:ligatures w14:val="none"/>
        </w:rPr>
        <w:t>. Hershey, Pennsylvania: IGI Global.</w:t>
      </w:r>
    </w:p>
    <w:p w14:paraId="2FC92082"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1F0E09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Marchington, M., Wilkinson, A., Donnelly, R. and Kynighou, A. (2025) </w:t>
      </w:r>
      <w:r w:rsidRPr="001121FA">
        <w:rPr>
          <w:rFonts w:ascii="Times New Roman" w:eastAsia="Times New Roman" w:hAnsi="Times New Roman" w:cs="Times New Roman"/>
          <w:i/>
          <w:iCs/>
          <w:kern w:val="0"/>
          <w:lang w:eastAsia="en-GB"/>
          <w14:ligatures w14:val="none"/>
        </w:rPr>
        <w:t>Human resource management at work: the definitive guide</w:t>
      </w:r>
      <w:r w:rsidRPr="001121FA">
        <w:rPr>
          <w:rFonts w:ascii="Times New Roman" w:eastAsia="Times New Roman" w:hAnsi="Times New Roman" w:cs="Times New Roman"/>
          <w:kern w:val="0"/>
          <w:lang w:eastAsia="en-GB"/>
          <w14:ligatures w14:val="none"/>
        </w:rPr>
        <w:t>. London: Kogan Page.</w:t>
      </w:r>
    </w:p>
    <w:p w14:paraId="20E5A228"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48A981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McKinsey &amp; Company (2020) </w:t>
      </w:r>
      <w:r w:rsidRPr="001121FA">
        <w:rPr>
          <w:rFonts w:ascii="Times New Roman" w:eastAsia="Times New Roman" w:hAnsi="Times New Roman" w:cs="Times New Roman"/>
          <w:i/>
          <w:iCs/>
          <w:kern w:val="0"/>
          <w:lang w:eastAsia="en-GB"/>
          <w14:ligatures w14:val="none"/>
        </w:rPr>
        <w:t>Performance management that drives results</w:t>
      </w:r>
      <w:r w:rsidRPr="001121FA">
        <w:rPr>
          <w:rFonts w:ascii="Times New Roman" w:eastAsia="Times New Roman" w:hAnsi="Times New Roman" w:cs="Times New Roman"/>
          <w:kern w:val="0"/>
          <w:lang w:eastAsia="en-GB"/>
          <w14:ligatures w14:val="none"/>
        </w:rPr>
        <w:t>. Available at: https://www.mckinsey.com (Accessed: 19 November 2025).</w:t>
      </w:r>
    </w:p>
    <w:p w14:paraId="73F8C59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9C08CD8"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Mitie (2022) </w:t>
      </w:r>
      <w:r w:rsidRPr="001121FA">
        <w:rPr>
          <w:rFonts w:ascii="Times New Roman" w:eastAsia="Times New Roman" w:hAnsi="Times New Roman" w:cs="Times New Roman"/>
          <w:i/>
          <w:iCs/>
          <w:kern w:val="0"/>
          <w:lang w:eastAsia="en-GB"/>
          <w14:ligatures w14:val="none"/>
        </w:rPr>
        <w:t>Annual report and accounts 2022</w:t>
      </w:r>
      <w:r w:rsidRPr="001121FA">
        <w:rPr>
          <w:rFonts w:ascii="Times New Roman" w:eastAsia="Times New Roman" w:hAnsi="Times New Roman" w:cs="Times New Roman"/>
          <w:kern w:val="0"/>
          <w:lang w:eastAsia="en-GB"/>
          <w14:ligatures w14:val="none"/>
        </w:rPr>
        <w:t>. Available at: https://www.mitie.com (Accessed: 11 November 2025).</w:t>
      </w:r>
    </w:p>
    <w:p w14:paraId="5AE7F849"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02CDCBE"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Mullins, L.J. and McLean, J.E. (2019) </w:t>
      </w:r>
      <w:r w:rsidRPr="001121FA">
        <w:rPr>
          <w:rFonts w:ascii="Times New Roman" w:eastAsia="Times New Roman" w:hAnsi="Times New Roman" w:cs="Times New Roman"/>
          <w:i/>
          <w:iCs/>
          <w:kern w:val="0"/>
          <w:lang w:eastAsia="en-GB"/>
          <w14:ligatures w14:val="none"/>
        </w:rPr>
        <w:t>Organisational behaviour in the workplace</w:t>
      </w:r>
      <w:r w:rsidRPr="001121FA">
        <w:rPr>
          <w:rFonts w:ascii="Times New Roman" w:eastAsia="Times New Roman" w:hAnsi="Times New Roman" w:cs="Times New Roman"/>
          <w:kern w:val="0"/>
          <w:lang w:eastAsia="en-GB"/>
          <w14:ligatures w14:val="none"/>
        </w:rPr>
        <w:t>. 12th edn. Harlow: Pearson.</w:t>
      </w:r>
    </w:p>
    <w:p w14:paraId="241D1EC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C332D50"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lastRenderedPageBreak/>
        <w:t xml:space="preserve">Picardi, C.A. (2020) </w:t>
      </w:r>
      <w:r w:rsidRPr="001121FA">
        <w:rPr>
          <w:rFonts w:ascii="Times New Roman" w:eastAsia="Times New Roman" w:hAnsi="Times New Roman" w:cs="Times New Roman"/>
          <w:i/>
          <w:iCs/>
          <w:kern w:val="0"/>
          <w:lang w:eastAsia="en-GB"/>
          <w14:ligatures w14:val="none"/>
        </w:rPr>
        <w:t>Recruitment and selection: strategies for workforce planning and assessment</w:t>
      </w:r>
      <w:r w:rsidRPr="001121FA">
        <w:rPr>
          <w:rFonts w:ascii="Times New Roman" w:eastAsia="Times New Roman" w:hAnsi="Times New Roman" w:cs="Times New Roman"/>
          <w:kern w:val="0"/>
          <w:lang w:eastAsia="en-GB"/>
          <w14:ligatures w14:val="none"/>
        </w:rPr>
        <w:t>. Los Angeles, California: SAGE.</w:t>
      </w:r>
    </w:p>
    <w:p w14:paraId="225E083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C6D072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Schein, E.H. (2017) </w:t>
      </w:r>
      <w:r w:rsidRPr="001121FA">
        <w:rPr>
          <w:rFonts w:ascii="Times New Roman" w:eastAsia="Times New Roman" w:hAnsi="Times New Roman" w:cs="Times New Roman"/>
          <w:i/>
          <w:iCs/>
          <w:kern w:val="0"/>
          <w:lang w:eastAsia="en-GB"/>
          <w14:ligatures w14:val="none"/>
        </w:rPr>
        <w:t>Organizational culture and leadership</w:t>
      </w:r>
      <w:r w:rsidRPr="001121FA">
        <w:rPr>
          <w:rFonts w:ascii="Times New Roman" w:eastAsia="Times New Roman" w:hAnsi="Times New Roman" w:cs="Times New Roman"/>
          <w:kern w:val="0"/>
          <w:lang w:eastAsia="en-GB"/>
          <w14:ligatures w14:val="none"/>
        </w:rPr>
        <w:t>. 5th edn. Hoboken, NJ: John Wiley &amp; Sons.</w:t>
      </w:r>
    </w:p>
    <w:p w14:paraId="4DB77A3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D797A6"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Serco (2020) </w:t>
      </w:r>
      <w:r w:rsidRPr="001121FA">
        <w:rPr>
          <w:rFonts w:ascii="Times New Roman" w:eastAsia="Times New Roman" w:hAnsi="Times New Roman" w:cs="Times New Roman"/>
          <w:i/>
          <w:iCs/>
          <w:kern w:val="0"/>
          <w:lang w:eastAsia="en-GB"/>
          <w14:ligatures w14:val="none"/>
        </w:rPr>
        <w:t>Workforce insights and development update</w:t>
      </w:r>
      <w:r w:rsidRPr="001121FA">
        <w:rPr>
          <w:rFonts w:ascii="Times New Roman" w:eastAsia="Times New Roman" w:hAnsi="Times New Roman" w:cs="Times New Roman"/>
          <w:kern w:val="0"/>
          <w:lang w:eastAsia="en-GB"/>
          <w14:ligatures w14:val="none"/>
        </w:rPr>
        <w:t>. Available at: https://www.serco.com (Accessed: 15 November 2025).</w:t>
      </w:r>
    </w:p>
    <w:p w14:paraId="73E179B8"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C076D7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Taylor, S. and Woodhams, C. (2022) </w:t>
      </w:r>
      <w:r w:rsidRPr="001121FA">
        <w:rPr>
          <w:rFonts w:ascii="Times New Roman" w:eastAsia="Times New Roman" w:hAnsi="Times New Roman" w:cs="Times New Roman"/>
          <w:i/>
          <w:iCs/>
          <w:kern w:val="0"/>
          <w:lang w:eastAsia="en-GB"/>
          <w14:ligatures w14:val="none"/>
        </w:rPr>
        <w:t>Human resource management: people and organisations</w:t>
      </w:r>
      <w:r w:rsidRPr="001121FA">
        <w:rPr>
          <w:rFonts w:ascii="Times New Roman" w:eastAsia="Times New Roman" w:hAnsi="Times New Roman" w:cs="Times New Roman"/>
          <w:kern w:val="0"/>
          <w:lang w:eastAsia="en-GB"/>
          <w14:ligatures w14:val="none"/>
        </w:rPr>
        <w:t>. London: Kogan Page.</w:t>
      </w:r>
    </w:p>
    <w:p w14:paraId="33FE93F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87E631C"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Taylor, S. and CIPD (2025) </w:t>
      </w:r>
      <w:r w:rsidRPr="001121FA">
        <w:rPr>
          <w:rFonts w:ascii="Times New Roman" w:eastAsia="Times New Roman" w:hAnsi="Times New Roman" w:cs="Times New Roman"/>
          <w:i/>
          <w:iCs/>
          <w:kern w:val="0"/>
          <w:lang w:eastAsia="en-GB"/>
          <w14:ligatures w14:val="none"/>
        </w:rPr>
        <w:t>Resourcing and talent management: the theory and practice of recruiting and developing a workforce</w:t>
      </w:r>
      <w:r w:rsidRPr="001121FA">
        <w:rPr>
          <w:rFonts w:ascii="Times New Roman" w:eastAsia="Times New Roman" w:hAnsi="Times New Roman" w:cs="Times New Roman"/>
          <w:kern w:val="0"/>
          <w:lang w:eastAsia="en-GB"/>
          <w14:ligatures w14:val="none"/>
        </w:rPr>
        <w:t>. 9th edn. London: Kogan Page.</w:t>
      </w:r>
    </w:p>
    <w:p w14:paraId="33AD0BDA"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0AC8C8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Taylor, S., Woodhams, C. and CIPD (2022) </w:t>
      </w:r>
      <w:r w:rsidRPr="001121FA">
        <w:rPr>
          <w:rFonts w:ascii="Times New Roman" w:eastAsia="Times New Roman" w:hAnsi="Times New Roman" w:cs="Times New Roman"/>
          <w:i/>
          <w:iCs/>
          <w:kern w:val="0"/>
          <w:lang w:eastAsia="en-GB"/>
          <w14:ligatures w14:val="none"/>
        </w:rPr>
        <w:t>Human resource management: people and organisations</w:t>
      </w:r>
      <w:r w:rsidRPr="001121FA">
        <w:rPr>
          <w:rFonts w:ascii="Times New Roman" w:eastAsia="Times New Roman" w:hAnsi="Times New Roman" w:cs="Times New Roman"/>
          <w:kern w:val="0"/>
          <w:lang w:eastAsia="en-GB"/>
          <w14:ligatures w14:val="none"/>
        </w:rPr>
        <w:t>. 3rd edn. London: Kogan Page.</w:t>
      </w:r>
    </w:p>
    <w:p w14:paraId="4696F054"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8E9A96"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Thomson, B. (2024) </w:t>
      </w:r>
      <w:r w:rsidRPr="001121FA">
        <w:rPr>
          <w:rFonts w:ascii="Times New Roman" w:eastAsia="Times New Roman" w:hAnsi="Times New Roman" w:cs="Times New Roman"/>
          <w:i/>
          <w:iCs/>
          <w:kern w:val="0"/>
          <w:lang w:eastAsia="en-GB"/>
          <w14:ligatures w14:val="none"/>
        </w:rPr>
        <w:t>Management from A to Z and back again: 52 ideas, tools and models for managing people</w:t>
      </w:r>
      <w:r w:rsidRPr="001121FA">
        <w:rPr>
          <w:rFonts w:ascii="Times New Roman" w:eastAsia="Times New Roman" w:hAnsi="Times New Roman" w:cs="Times New Roman"/>
          <w:kern w:val="0"/>
          <w:lang w:eastAsia="en-GB"/>
          <w14:ligatures w14:val="none"/>
        </w:rPr>
        <w:t>. St Albans: Critical Publishing.</w:t>
      </w:r>
    </w:p>
    <w:p w14:paraId="24CD3EB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0EAC9BD"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Torrington, D., Hall, L., Taylor, S. and Atkinson, C. (2020) </w:t>
      </w:r>
      <w:r w:rsidRPr="001121FA">
        <w:rPr>
          <w:rFonts w:ascii="Times New Roman" w:eastAsia="Times New Roman" w:hAnsi="Times New Roman" w:cs="Times New Roman"/>
          <w:i/>
          <w:iCs/>
          <w:kern w:val="0"/>
          <w:lang w:eastAsia="en-GB"/>
          <w14:ligatures w14:val="none"/>
        </w:rPr>
        <w:t>Human resource management</w:t>
      </w:r>
      <w:r w:rsidRPr="001121FA">
        <w:rPr>
          <w:rFonts w:ascii="Times New Roman" w:eastAsia="Times New Roman" w:hAnsi="Times New Roman" w:cs="Times New Roman"/>
          <w:kern w:val="0"/>
          <w:lang w:eastAsia="en-GB"/>
          <w14:ligatures w14:val="none"/>
        </w:rPr>
        <w:t>. 11th edn. Harlow: Pearson Education Limited.</w:t>
      </w:r>
    </w:p>
    <w:p w14:paraId="7A4A55C3"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0C90EA8"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UK Government (2021) </w:t>
      </w:r>
      <w:r w:rsidRPr="001121FA">
        <w:rPr>
          <w:rFonts w:ascii="Times New Roman" w:eastAsia="Times New Roman" w:hAnsi="Times New Roman" w:cs="Times New Roman"/>
          <w:i/>
          <w:iCs/>
          <w:kern w:val="0"/>
          <w:lang w:eastAsia="en-GB"/>
          <w14:ligatures w14:val="none"/>
        </w:rPr>
        <w:t>The Social Value Model</w:t>
      </w:r>
      <w:r w:rsidRPr="001121FA">
        <w:rPr>
          <w:rFonts w:ascii="Times New Roman" w:eastAsia="Times New Roman" w:hAnsi="Times New Roman" w:cs="Times New Roman"/>
          <w:kern w:val="0"/>
          <w:lang w:eastAsia="en-GB"/>
          <w14:ligatures w14:val="none"/>
        </w:rPr>
        <w:t>. London: Cabinet Office. Available at: https://www.gov.uk/government/publications/social-value-model (Accessed: 7 November 2025).</w:t>
      </w:r>
    </w:p>
    <w:p w14:paraId="0C43FD67"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5D1F01" w14:textId="77777777" w:rsidR="001121FA" w:rsidRPr="001121FA" w:rsidRDefault="001121FA" w:rsidP="001121FA">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1FA">
        <w:rPr>
          <w:rFonts w:ascii="Times New Roman" w:eastAsia="Times New Roman" w:hAnsi="Times New Roman" w:cs="Times New Roman"/>
          <w:kern w:val="0"/>
          <w:lang w:eastAsia="en-GB"/>
          <w14:ligatures w14:val="none"/>
        </w:rPr>
        <w:t xml:space="preserve">Yadav, R. (2021) </w:t>
      </w:r>
      <w:r w:rsidRPr="001121FA">
        <w:rPr>
          <w:rFonts w:ascii="Times New Roman" w:eastAsia="Times New Roman" w:hAnsi="Times New Roman" w:cs="Times New Roman"/>
          <w:i/>
          <w:iCs/>
          <w:kern w:val="0"/>
          <w:lang w:eastAsia="en-GB"/>
          <w14:ligatures w14:val="none"/>
        </w:rPr>
        <w:t>Critical issues on changing dynamics in employee relations and workforce diversity</w:t>
      </w:r>
      <w:r w:rsidRPr="001121FA">
        <w:rPr>
          <w:rFonts w:ascii="Times New Roman" w:eastAsia="Times New Roman" w:hAnsi="Times New Roman" w:cs="Times New Roman"/>
          <w:kern w:val="0"/>
          <w:lang w:eastAsia="en-GB"/>
          <w14:ligatures w14:val="none"/>
        </w:rPr>
        <w:t>. Hershey, Pennsylvania: IGI Global.</w:t>
      </w:r>
    </w:p>
    <w:p w14:paraId="04E76188" w14:textId="77777777" w:rsidR="00DD6DF8" w:rsidRDefault="00DD6DF8"/>
    <w:sectPr w:rsidR="00DD6D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A2096B"/>
    <w:multiLevelType w:val="multilevel"/>
    <w:tmpl w:val="FAEE2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766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DFC"/>
    <w:rsid w:val="001121FA"/>
    <w:rsid w:val="003B7711"/>
    <w:rsid w:val="004B16C4"/>
    <w:rsid w:val="00525D22"/>
    <w:rsid w:val="006D2057"/>
    <w:rsid w:val="0087248B"/>
    <w:rsid w:val="00B36DFC"/>
    <w:rsid w:val="00B948DF"/>
    <w:rsid w:val="00C20C19"/>
    <w:rsid w:val="00DD6DF8"/>
    <w:rsid w:val="00F51183"/>
    <w:rsid w:val="00F74495"/>
    <w:rsid w:val="00FD2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14B36"/>
  <w15:chartTrackingRefBased/>
  <w15:docId w15:val="{97F1E581-D31D-5345-92C6-91222C9DD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D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6D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6D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D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D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D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6D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6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6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6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6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DFC"/>
    <w:rPr>
      <w:rFonts w:eastAsiaTheme="majorEastAsia" w:cstheme="majorBidi"/>
      <w:color w:val="272727" w:themeColor="text1" w:themeTint="D8"/>
    </w:rPr>
  </w:style>
  <w:style w:type="paragraph" w:styleId="Title">
    <w:name w:val="Title"/>
    <w:basedOn w:val="Normal"/>
    <w:next w:val="Normal"/>
    <w:link w:val="TitleChar"/>
    <w:uiPriority w:val="10"/>
    <w:qFormat/>
    <w:rsid w:val="00B36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DFC"/>
    <w:pPr>
      <w:spacing w:before="160"/>
      <w:jc w:val="center"/>
    </w:pPr>
    <w:rPr>
      <w:i/>
      <w:iCs/>
      <w:color w:val="404040" w:themeColor="text1" w:themeTint="BF"/>
    </w:rPr>
  </w:style>
  <w:style w:type="character" w:customStyle="1" w:styleId="QuoteChar">
    <w:name w:val="Quote Char"/>
    <w:basedOn w:val="DefaultParagraphFont"/>
    <w:link w:val="Quote"/>
    <w:uiPriority w:val="29"/>
    <w:rsid w:val="00B36DFC"/>
    <w:rPr>
      <w:i/>
      <w:iCs/>
      <w:color w:val="404040" w:themeColor="text1" w:themeTint="BF"/>
    </w:rPr>
  </w:style>
  <w:style w:type="paragraph" w:styleId="ListParagraph">
    <w:name w:val="List Paragraph"/>
    <w:basedOn w:val="Normal"/>
    <w:uiPriority w:val="34"/>
    <w:qFormat/>
    <w:rsid w:val="00B36DFC"/>
    <w:pPr>
      <w:ind w:left="720"/>
      <w:contextualSpacing/>
    </w:pPr>
  </w:style>
  <w:style w:type="character" w:styleId="IntenseEmphasis">
    <w:name w:val="Intense Emphasis"/>
    <w:basedOn w:val="DefaultParagraphFont"/>
    <w:uiPriority w:val="21"/>
    <w:qFormat/>
    <w:rsid w:val="00B36DFC"/>
    <w:rPr>
      <w:i/>
      <w:iCs/>
      <w:color w:val="0F4761" w:themeColor="accent1" w:themeShade="BF"/>
    </w:rPr>
  </w:style>
  <w:style w:type="paragraph" w:styleId="IntenseQuote">
    <w:name w:val="Intense Quote"/>
    <w:basedOn w:val="Normal"/>
    <w:next w:val="Normal"/>
    <w:link w:val="IntenseQuoteChar"/>
    <w:uiPriority w:val="30"/>
    <w:qFormat/>
    <w:rsid w:val="00B36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DFC"/>
    <w:rPr>
      <w:i/>
      <w:iCs/>
      <w:color w:val="0F4761" w:themeColor="accent1" w:themeShade="BF"/>
    </w:rPr>
  </w:style>
  <w:style w:type="character" w:styleId="IntenseReference">
    <w:name w:val="Intense Reference"/>
    <w:basedOn w:val="DefaultParagraphFont"/>
    <w:uiPriority w:val="32"/>
    <w:qFormat/>
    <w:rsid w:val="00B36DFC"/>
    <w:rPr>
      <w:b/>
      <w:bCs/>
      <w:smallCaps/>
      <w:color w:val="0F4761" w:themeColor="accent1" w:themeShade="BF"/>
      <w:spacing w:val="5"/>
    </w:rPr>
  </w:style>
  <w:style w:type="character" w:customStyle="1" w:styleId="s1">
    <w:name w:val="s1"/>
    <w:basedOn w:val="DefaultParagraphFont"/>
    <w:rsid w:val="00B36DFC"/>
  </w:style>
  <w:style w:type="paragraph" w:customStyle="1" w:styleId="p2">
    <w:name w:val="p2"/>
    <w:basedOn w:val="Normal"/>
    <w:rsid w:val="00B36DF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B36DF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1121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1121FA"/>
  </w:style>
  <w:style w:type="character" w:customStyle="1" w:styleId="s3">
    <w:name w:val="s3"/>
    <w:basedOn w:val="DefaultParagraphFont"/>
    <w:rsid w:val="001121FA"/>
  </w:style>
  <w:style w:type="paragraph" w:customStyle="1" w:styleId="p4">
    <w:name w:val="p4"/>
    <w:basedOn w:val="Normal"/>
    <w:rsid w:val="001121F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12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TotalTime>
  <Pages>9</Pages>
  <Words>2669</Words>
  <Characters>15219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Tutuiu Florina</dc:creator>
  <cp:keywords/>
  <dc:description/>
  <cp:lastModifiedBy>Tutuiu Florina</cp:lastModifiedBy>
  <cp:revision>2</cp:revision>
  <dcterms:created xsi:type="dcterms:W3CDTF">2025-12-10T21:11:00Z</dcterms:created>
  <dcterms:modified xsi:type="dcterms:W3CDTF">2025-12-11T16:21:00Z</dcterms:modified>
</cp:coreProperties>
</file>