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07262"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r w:rsidRPr="00D27EFA">
        <w:rPr>
          <w:rFonts w:ascii="Roboto" w:eastAsia="Times New Roman" w:hAnsi="Roboto" w:cs="Times New Roman"/>
          <w:color w:val="283041"/>
          <w:kern w:val="0"/>
          <w:sz w:val="21"/>
          <w:szCs w:val="21"/>
          <w:lang w:eastAsia="en-GB"/>
          <w14:ligatures w14:val="none"/>
        </w:rPr>
        <w:br/>
      </w:r>
    </w:p>
    <w:p w14:paraId="00B0ED1C" w14:textId="77777777" w:rsidR="00D27EFA" w:rsidRDefault="00D27EFA" w:rsidP="00D27EF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331943E0" w14:textId="01D1F90A"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6B4DB71F"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r w:rsidRPr="00D27EFA">
        <w:rPr>
          <w:rFonts w:ascii="Roboto" w:eastAsia="Times New Roman" w:hAnsi="Roboto" w:cs="Times New Roman"/>
          <w:color w:val="283041"/>
          <w:kern w:val="0"/>
          <w:sz w:val="21"/>
          <w:szCs w:val="21"/>
          <w:lang w:eastAsia="en-GB"/>
          <w14:ligatures w14:val="none"/>
        </w:rPr>
        <w:br/>
      </w:r>
    </w:p>
    <w:p w14:paraId="37986D64"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4FDB4041" w14:textId="77310F86"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5A57EB6D" w14:textId="77777777" w:rsidR="006D10E6" w:rsidRDefault="006D10E6" w:rsidP="006D10E6">
      <w:pPr>
        <w:shd w:val="clear" w:color="auto" w:fill="FFFFFF"/>
        <w:tabs>
          <w:tab w:val="left" w:pos="6876"/>
        </w:tabs>
        <w:spacing w:after="0" w:line="240" w:lineRule="auto"/>
        <w:jc w:val="center"/>
        <w:rPr>
          <w:rFonts w:ascii="Roboto" w:eastAsia="Times New Roman" w:hAnsi="Roboto" w:cs="Times New Roman"/>
          <w:color w:val="283041"/>
          <w:kern w:val="0"/>
          <w:sz w:val="21"/>
          <w:szCs w:val="21"/>
          <w:lang w:eastAsia="en-GB"/>
          <w14:ligatures w14:val="none"/>
        </w:rPr>
      </w:pPr>
    </w:p>
    <w:p w14:paraId="3952D26C"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Course:</w:t>
      </w:r>
      <w:r w:rsidRPr="00024AB1">
        <w:rPr>
          <w:rFonts w:ascii="Arial" w:eastAsia="Times New Roman" w:hAnsi="Arial" w:cs="Arial"/>
          <w:kern w:val="0"/>
          <w:lang w:eastAsia="en-GB"/>
          <w14:ligatures w14:val="none"/>
        </w:rPr>
        <w:t xml:space="preserve"> BSc (Hons) Health and Social Care</w:t>
      </w:r>
    </w:p>
    <w:p w14:paraId="395F5639"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Module:</w:t>
      </w:r>
      <w:r w:rsidRPr="00024AB1">
        <w:rPr>
          <w:rFonts w:ascii="Arial" w:eastAsia="Times New Roman" w:hAnsi="Arial" w:cs="Arial"/>
          <w:kern w:val="0"/>
          <w:lang w:eastAsia="en-GB"/>
          <w14:ligatures w14:val="none"/>
        </w:rPr>
        <w:t xml:space="preserve"> Independent Project (BMHP6020_BIRM)</w:t>
      </w:r>
    </w:p>
    <w:p w14:paraId="197B8C25"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Component 1:</w:t>
      </w:r>
      <w:r w:rsidRPr="00024AB1">
        <w:rPr>
          <w:rFonts w:ascii="Arial" w:eastAsia="Times New Roman" w:hAnsi="Arial" w:cs="Arial"/>
          <w:kern w:val="0"/>
          <w:lang w:eastAsia="en-GB"/>
          <w14:ligatures w14:val="none"/>
        </w:rPr>
        <w:t xml:space="preserve"> Element 1 - Project Proposal </w:t>
      </w:r>
    </w:p>
    <w:p w14:paraId="33BC2D33"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Student ID:</w:t>
      </w:r>
      <w:r w:rsidRPr="00024AB1">
        <w:rPr>
          <w:rFonts w:ascii="Arial" w:eastAsia="Times New Roman" w:hAnsi="Arial" w:cs="Arial"/>
          <w:kern w:val="0"/>
          <w:lang w:eastAsia="en-GB"/>
          <w14:ligatures w14:val="none"/>
        </w:rPr>
        <w:t xml:space="preserve"> 2328179 </w:t>
      </w:r>
    </w:p>
    <w:p w14:paraId="551EDB7D"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Student Name:</w:t>
      </w:r>
      <w:r w:rsidRPr="00024AB1">
        <w:rPr>
          <w:rFonts w:ascii="Arial" w:eastAsia="Times New Roman" w:hAnsi="Arial" w:cs="Arial"/>
          <w:kern w:val="0"/>
          <w:lang w:eastAsia="en-GB"/>
          <w14:ligatures w14:val="none"/>
        </w:rPr>
        <w:t xml:space="preserve"> Precious Lewis </w:t>
      </w:r>
    </w:p>
    <w:p w14:paraId="0C02ACA8"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53686B30"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5771CFA2"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1902C571"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069F7BEC"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555F5A8B"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0DBDE3C6"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1C405A55"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15409D12"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43B20CFB"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08B15379"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36839C90"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6BDAB953"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675187F2"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520842BD"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541DB652"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71C33F53"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2F6C2266" w14:textId="77777777" w:rsidR="00024AB1" w:rsidRDefault="00024AB1" w:rsidP="00024AB1">
      <w:pPr>
        <w:spacing w:after="100" w:afterAutospacing="1" w:line="240" w:lineRule="auto"/>
        <w:outlineLvl w:val="3"/>
        <w:rPr>
          <w:rFonts w:ascii="Arial" w:eastAsia="Times New Roman" w:hAnsi="Arial" w:cs="Arial"/>
          <w:b/>
          <w:bCs/>
          <w:kern w:val="0"/>
          <w:lang w:eastAsia="en-GB"/>
          <w14:ligatures w14:val="none"/>
        </w:rPr>
      </w:pPr>
    </w:p>
    <w:p w14:paraId="1BD71BB6" w14:textId="1AA6F02B"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The Rising Prevalence of Attention Deficit Hyperactivity Disorder (ADHD)</w:t>
      </w:r>
    </w:p>
    <w:p w14:paraId="264ECBAB"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Aim</w:t>
      </w:r>
    </w:p>
    <w:p w14:paraId="37E81B97"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This thematic report aims to explore the underlying causes behind the rise in ADHD diagnoses. To uncover the disorder's root causes, we will examine contributing factors, including reduced stigma, broader diagnostic criteria, and digital-era pressures on executive function (Brown Health, 2024). This surge is driving workplace demands for neuroinclusion while straining healthcare systems through clinical bottlenecks, assessment backlogs, and persistent medication shortages (Staley et al., 2024). </w:t>
      </w:r>
    </w:p>
    <w:p w14:paraId="5E7739BC"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Objectives</w:t>
      </w:r>
    </w:p>
    <w:p w14:paraId="1EEEBEE2" w14:textId="77777777" w:rsidR="00024AB1" w:rsidRPr="00024AB1" w:rsidRDefault="00024AB1" w:rsidP="00024AB1">
      <w:pPr>
        <w:numPr>
          <w:ilvl w:val="0"/>
          <w:numId w:val="18"/>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Define and examine ADHD, alongside current trends in diagnosis and prevalence. </w:t>
      </w:r>
    </w:p>
    <w:p w14:paraId="481DB8EC" w14:textId="77777777" w:rsidR="00024AB1" w:rsidRPr="00024AB1" w:rsidRDefault="00024AB1" w:rsidP="00024AB1">
      <w:pPr>
        <w:numPr>
          <w:ilvl w:val="0"/>
          <w:numId w:val="18"/>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Analyse current literature, evidence, and data relating to the factors associated with the rising prevalence of ADHD and its impact on individuals and health and social care services. </w:t>
      </w:r>
    </w:p>
    <w:p w14:paraId="374C00E3" w14:textId="77777777" w:rsidR="00024AB1" w:rsidRPr="00024AB1" w:rsidRDefault="00024AB1" w:rsidP="00024AB1">
      <w:pPr>
        <w:numPr>
          <w:ilvl w:val="0"/>
          <w:numId w:val="18"/>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Evaluate the findings using thematic analysis to identify recurring themes relating to diagnosis, environmental influences, and service pressures. </w:t>
      </w:r>
    </w:p>
    <w:p w14:paraId="79CAE56B" w14:textId="77777777" w:rsidR="00024AB1" w:rsidRPr="00024AB1" w:rsidRDefault="00024AB1" w:rsidP="00024AB1">
      <w:pPr>
        <w:numPr>
          <w:ilvl w:val="0"/>
          <w:numId w:val="18"/>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Provide evidence-based recommendations for relevant health and social care professionals, service providers, and policymakers to improve support and service provision. </w:t>
      </w:r>
    </w:p>
    <w:p w14:paraId="77D03BB8"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Background</w:t>
      </w:r>
    </w:p>
    <w:p w14:paraId="0A8FF9CF" w14:textId="0546CBF0"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According to the ICD-11, </w:t>
      </w:r>
      <w:r w:rsidRPr="00024AB1">
        <w:rPr>
          <w:rFonts w:ascii="Arial" w:eastAsia="Times New Roman" w:hAnsi="Arial" w:cs="Arial"/>
          <w:kern w:val="0"/>
          <w:lang w:eastAsia="en-GB"/>
          <w14:ligatures w14:val="none"/>
        </w:rPr>
        <w:t>attention deficit hyperactivity disorder</w:t>
      </w:r>
      <w:r w:rsidRPr="00024AB1">
        <w:rPr>
          <w:rFonts w:ascii="Arial" w:eastAsia="Times New Roman" w:hAnsi="Arial" w:cs="Arial"/>
          <w:kern w:val="0"/>
          <w:lang w:eastAsia="en-GB"/>
          <w14:ligatures w14:val="none"/>
        </w:rPr>
        <w:t xml:space="preserve"> (ADHD) falls under neurodevelopmental disorders code 6A05 (NHS England, 2025). ADHD is characterised by persistent patterns of inattention, hyperactivity, and impulsivity that impact daily functioning. Evidence demonstrates that clinical diagnoses and population prevalence have risen significantly across the UK in recent years (ADHD UK, 2026). This surge matters profoundly for health and social care because it places unprecedented pressures on assessment and treatment pathways, resulting in extensive waiting lists and delayed interventions for individuals (Private ADHD UK, 2026). Consequently, service users often face critical support gaps and secondary challenges while navigating stretched clinical services. This dissertation will explore the underlying factors contributing to these diagnostic trends and evaluate their systemic impacts on UK healthcare infrastructure. </w:t>
      </w:r>
    </w:p>
    <w:p w14:paraId="506F2655"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Rationale</w:t>
      </w:r>
    </w:p>
    <w:p w14:paraId="531E6431" w14:textId="1367863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Attention Deficit Hyperactivity Disorder (ADHD) is increasingly acknowledged</w:t>
      </w:r>
      <w:r>
        <w:rPr>
          <w:rFonts w:ascii="Arial" w:eastAsia="Times New Roman" w:hAnsi="Arial" w:cs="Arial"/>
          <w:kern w:val="0"/>
          <w:lang w:eastAsia="en-GB"/>
          <w14:ligatures w14:val="none"/>
        </w:rPr>
        <w:t xml:space="preserve"> </w:t>
      </w:r>
      <w:r w:rsidRPr="00024AB1">
        <w:rPr>
          <w:rFonts w:ascii="Arial" w:eastAsia="Times New Roman" w:hAnsi="Arial" w:cs="Arial"/>
          <w:kern w:val="0"/>
          <w:lang w:eastAsia="en-GB"/>
          <w14:ligatures w14:val="none"/>
        </w:rPr>
        <w:t xml:space="preserve">a trend reflected by growing personal and familial experiences within our communities. A substantial proportion of individuals are now receiving diagnoses later in life, often in adulthood aged 30 and over (ADHD UK, 2026). This late recognition means many go </w:t>
      </w:r>
      <w:r w:rsidRPr="00024AB1">
        <w:rPr>
          <w:rFonts w:ascii="Arial" w:eastAsia="Times New Roman" w:hAnsi="Arial" w:cs="Arial"/>
          <w:kern w:val="0"/>
          <w:lang w:eastAsia="en-GB"/>
          <w14:ligatures w14:val="none"/>
        </w:rPr>
        <w:lastRenderedPageBreak/>
        <w:t xml:space="preserve">without prompt interventions, frequently facing critical support gaps only after their symptoms have escalated or created secondary challenges over time (ADHD UK, 2025). Individuals seeking formal assessment often face extensive backlogs, with hundreds of thousands of people left on prolonged waiting lists for an ADHD diagnosis. These systemic delays mean that patients frequently endure years of uncertainty without access to clinical support or targeted interventions (Private ADHD UK, 2026). </w:t>
      </w:r>
    </w:p>
    <w:p w14:paraId="4FF6996C"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Methods</w:t>
      </w:r>
    </w:p>
    <w:p w14:paraId="4268941C"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This study uses a rigorous secondary research approach, drawing on peer-reviewed journal articles, national health policy documents, and epidemiological reports. The search will include databases such as PubMed, relevant government websites, and Google Scholar. </w:t>
      </w:r>
    </w:p>
    <w:p w14:paraId="4106C1C6"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Search terms used:</w:t>
      </w:r>
    </w:p>
    <w:p w14:paraId="3B44AD56" w14:textId="77777777" w:rsidR="00024AB1" w:rsidRPr="00024AB1" w:rsidRDefault="00024AB1" w:rsidP="00024AB1">
      <w:pPr>
        <w:numPr>
          <w:ilvl w:val="0"/>
          <w:numId w:val="19"/>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AND "diagnosis" </w:t>
      </w:r>
    </w:p>
    <w:p w14:paraId="54BA7F01" w14:textId="77777777" w:rsidR="00024AB1" w:rsidRPr="00024AB1" w:rsidRDefault="00024AB1" w:rsidP="00024AB1">
      <w:pPr>
        <w:numPr>
          <w:ilvl w:val="0"/>
          <w:numId w:val="19"/>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prevalence" AND "UK" </w:t>
      </w:r>
    </w:p>
    <w:p w14:paraId="11A71D23" w14:textId="77777777" w:rsidR="00024AB1" w:rsidRPr="00024AB1" w:rsidRDefault="00024AB1" w:rsidP="00024AB1">
      <w:pPr>
        <w:numPr>
          <w:ilvl w:val="0"/>
          <w:numId w:val="19"/>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AND "healthcare services" </w:t>
      </w:r>
    </w:p>
    <w:p w14:paraId="53157E09" w14:textId="77777777" w:rsidR="00024AB1" w:rsidRPr="00024AB1" w:rsidRDefault="00024AB1" w:rsidP="00024AB1">
      <w:pPr>
        <w:numPr>
          <w:ilvl w:val="0"/>
          <w:numId w:val="19"/>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AND "assessment waiting times" </w:t>
      </w:r>
    </w:p>
    <w:p w14:paraId="7A91138E"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Inclusion criteria will comprise peer-reviewed studies, UK-focused health policy documents, and empirical research published within the last ten years focusing on ADHD diagnosis and healthcare delivery. Exclusion criteria will include non-English language papers, studies focusing exclusively on pediatric populations outside Western healthcare contexts, and non-peer-reviewed opinion pieces. Sources will be evaluated using the CRAAP approach (Currency, Relevance, Authority, Accuracy, and Purpose). To align with module guidance, the analytical process will use thematic analysis to code and synthesise recurring patterns across the literature. </w:t>
      </w:r>
    </w:p>
    <w:p w14:paraId="2AA82B31"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The study will maintain research integrity through transparent reporting, accurate referencing, and faithful representation of evidence, strictly ensuring appropriate paraphrasing and the complete avoidance of plagiarism. All research activities will adhere to the University of Wales Trinity Saint David (UWTSD) Research Ethics and Integrity Policy. </w:t>
      </w:r>
    </w:p>
    <w:p w14:paraId="108DD357" w14:textId="77777777"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Resources</w:t>
      </w:r>
    </w:p>
    <w:p w14:paraId="2BF17099"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UWTSD Library physical and electronic resources </w:t>
      </w:r>
    </w:p>
    <w:p w14:paraId="687955B4"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UWTSD Library staff support and Study Skills guidance </w:t>
      </w:r>
    </w:p>
    <w:p w14:paraId="11D9B61B"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Lecturer support and feedback </w:t>
      </w:r>
    </w:p>
    <w:p w14:paraId="682BE9DF"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Google Scholar and academic databases (PubMed, CINAHL) </w:t>
      </w:r>
    </w:p>
    <w:p w14:paraId="77B7F576"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Official government and NHS publications (e.g., NHS England, Office for National Statistics) </w:t>
      </w:r>
    </w:p>
    <w:p w14:paraId="6750ADD2" w14:textId="77777777" w:rsidR="00024AB1" w:rsidRPr="00024AB1" w:rsidRDefault="00024AB1" w:rsidP="00024AB1">
      <w:pPr>
        <w:numPr>
          <w:ilvl w:val="0"/>
          <w:numId w:val="20"/>
        </w:num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Credible UK charity organisations (e.g., ADHD UK, Mind) </w:t>
      </w:r>
    </w:p>
    <w:p w14:paraId="236F68E4"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1F58B634"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611A75C2"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1D29382B" w14:textId="29529B3F"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15"/>
        <w:gridCol w:w="3763"/>
        <w:gridCol w:w="1932"/>
      </w:tblGrid>
      <w:tr w:rsidR="00024AB1" w:rsidRPr="00024AB1" w14:paraId="0D3D2DD9"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5C8C28"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Task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79BFC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Focus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BE5E8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b/>
                <w:bCs/>
                <w:kern w:val="0"/>
                <w:lang w:eastAsia="en-GB"/>
                <w14:ligatures w14:val="none"/>
              </w:rPr>
              <w:t>Completion Date</w:t>
            </w:r>
          </w:p>
        </w:tc>
      </w:tr>
      <w:tr w:rsidR="00024AB1" w:rsidRPr="00024AB1" w14:paraId="0DF2CCE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14984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Project proposal and refinement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22A958"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Proposal finalisation and ethical review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C76ECF"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October 2026</w:t>
            </w:r>
          </w:p>
        </w:tc>
      </w:tr>
      <w:tr w:rsidR="00024AB1" w:rsidRPr="00024AB1" w14:paraId="7B0F8EA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AA6067"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Chapter 1: Introduction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411DA5"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Background, context, and research rationale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1B0EB1"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November 2026</w:t>
            </w:r>
          </w:p>
        </w:tc>
      </w:tr>
      <w:tr w:rsidR="00024AB1" w:rsidRPr="00024AB1" w14:paraId="734E620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E00A9D"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Chapter 2: Literature Review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03E535"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Critical analysis of definitions, diagnosis trends, and historical background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7CD04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December 2026</w:t>
            </w:r>
          </w:p>
        </w:tc>
      </w:tr>
      <w:tr w:rsidR="00024AB1" w:rsidRPr="00024AB1" w14:paraId="6E66CD0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1439C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Chapter 3: Methodology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F8816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Search strategy, database selection, and thematic analysis framework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88E931"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January 2027</w:t>
            </w:r>
          </w:p>
        </w:tc>
      </w:tr>
      <w:tr w:rsidR="00024AB1" w:rsidRPr="00024AB1" w14:paraId="35498B0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D533CD"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Academic Poster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3135C9"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Visual summary of research design and methods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E932AA"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February 2027</w:t>
            </w:r>
          </w:p>
        </w:tc>
      </w:tr>
      <w:tr w:rsidR="00024AB1" w:rsidRPr="00024AB1" w14:paraId="2CF2FEA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66B11A"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Chapter 4: Findings and Discussion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A5296F"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Thematic evaluation of service pressures, diagnostic rise, and impacts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334BE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February 2027</w:t>
            </w:r>
          </w:p>
        </w:tc>
      </w:tr>
      <w:tr w:rsidR="00024AB1" w:rsidRPr="00024AB1" w14:paraId="2D6192E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205FE8"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Chapter 5: Recommendations and Conclusion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0BF7D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Evidence-based proposals for policymakers and final synthesis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2F9B3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March 2027</w:t>
            </w:r>
          </w:p>
        </w:tc>
      </w:tr>
      <w:tr w:rsidR="00024AB1" w:rsidRPr="00024AB1" w14:paraId="7F7D969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E45B3"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Feedback and proofreading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D48EF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Lecturer feedback integration, peer support review, and proofreading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7D5047"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March 2027</w:t>
            </w:r>
          </w:p>
        </w:tc>
      </w:tr>
      <w:tr w:rsidR="00024AB1" w:rsidRPr="00024AB1" w14:paraId="6702E60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084202"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Final submission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D8FE1A"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Fine-tune and submit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98E7D6" w14:textId="77777777" w:rsidR="00024AB1" w:rsidRPr="00024AB1" w:rsidRDefault="00024AB1" w:rsidP="00024AB1">
            <w:pPr>
              <w:spacing w:after="0"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March 2027</w:t>
            </w:r>
          </w:p>
        </w:tc>
      </w:tr>
    </w:tbl>
    <w:p w14:paraId="3AF58372"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753F0928" w14:textId="702AF492"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Self-Reflection as a Researcher</w:t>
      </w:r>
    </w:p>
    <w:p w14:paraId="0E4F3E58" w14:textId="77777777" w:rsidR="00024AB1" w:rsidRPr="00024AB1" w:rsidRDefault="00024AB1" w:rsidP="00024AB1">
      <w:pPr>
        <w:spacing w:after="100" w:afterAutospacing="1" w:line="240" w:lineRule="auto"/>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The researcher’s strengths include strong organisation, effective time management, and a keen academic interest in neurodiversity within health and social care. A potential challenge may be critically evaluating conflicting evidence surrounding the precise reasons for the increased prevalence of ADHD diagnoses. I will manage this challenge through rigorous source evaluation using the CRAAP framework, systematic thematic comparison, regular engagement with lecturer feedback, and utilisation of UWTSD Library and support services. </w:t>
      </w:r>
    </w:p>
    <w:p w14:paraId="46F50665"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3191D46F"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130CE146" w14:textId="77777777" w:rsidR="00DE786C" w:rsidRDefault="00DE786C" w:rsidP="00024AB1">
      <w:pPr>
        <w:spacing w:after="100" w:afterAutospacing="1" w:line="240" w:lineRule="auto"/>
        <w:outlineLvl w:val="3"/>
        <w:rPr>
          <w:rFonts w:ascii="Arial" w:eastAsia="Times New Roman" w:hAnsi="Arial" w:cs="Arial"/>
          <w:b/>
          <w:bCs/>
          <w:kern w:val="0"/>
          <w:lang w:eastAsia="en-GB"/>
          <w14:ligatures w14:val="none"/>
        </w:rPr>
      </w:pPr>
    </w:p>
    <w:p w14:paraId="11175E5C" w14:textId="428F6B1C" w:rsidR="00024AB1" w:rsidRPr="00024AB1" w:rsidRDefault="00024AB1" w:rsidP="00024AB1">
      <w:pPr>
        <w:spacing w:after="100" w:afterAutospacing="1" w:line="240" w:lineRule="auto"/>
        <w:outlineLvl w:val="3"/>
        <w:rPr>
          <w:rFonts w:ascii="Arial" w:eastAsia="Times New Roman" w:hAnsi="Arial" w:cs="Arial"/>
          <w:b/>
          <w:bCs/>
          <w:kern w:val="0"/>
          <w:lang w:eastAsia="en-GB"/>
          <w14:ligatures w14:val="none"/>
        </w:rPr>
      </w:pPr>
      <w:r w:rsidRPr="00024AB1">
        <w:rPr>
          <w:rFonts w:ascii="Arial" w:eastAsia="Times New Roman" w:hAnsi="Arial" w:cs="Arial"/>
          <w:b/>
          <w:bCs/>
          <w:kern w:val="0"/>
          <w:lang w:eastAsia="en-GB"/>
          <w14:ligatures w14:val="none"/>
        </w:rPr>
        <w:t>References</w:t>
      </w:r>
    </w:p>
    <w:p w14:paraId="488B9F3A"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UK, 2025. </w:t>
      </w:r>
      <w:r w:rsidRPr="00024AB1">
        <w:rPr>
          <w:rFonts w:ascii="Arial" w:eastAsia="Times New Roman" w:hAnsi="Arial" w:cs="Arial"/>
          <w:i/>
          <w:iCs/>
          <w:kern w:val="0"/>
          <w:lang w:eastAsia="en-GB"/>
          <w14:ligatures w14:val="none"/>
        </w:rPr>
        <w:t>Adult ADHD diagnosis waiting times in the UK</w:t>
      </w:r>
      <w:r w:rsidRPr="00024AB1">
        <w:rPr>
          <w:rFonts w:ascii="Arial" w:eastAsia="Times New Roman" w:hAnsi="Arial" w:cs="Arial"/>
          <w:kern w:val="0"/>
          <w:lang w:eastAsia="en-GB"/>
          <w14:ligatures w14:val="none"/>
        </w:rPr>
        <w:t xml:space="preserve">. London: ADHD UK. </w:t>
      </w:r>
    </w:p>
    <w:p w14:paraId="2F684991"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ADHD UK, 2026. </w:t>
      </w:r>
      <w:r w:rsidRPr="00024AB1">
        <w:rPr>
          <w:rFonts w:ascii="Arial" w:eastAsia="Times New Roman" w:hAnsi="Arial" w:cs="Arial"/>
          <w:i/>
          <w:iCs/>
          <w:kern w:val="0"/>
          <w:lang w:eastAsia="en-GB"/>
          <w14:ligatures w14:val="none"/>
        </w:rPr>
        <w:t>Understanding ADHD: prevalence and late diagnosis in adults</w:t>
      </w:r>
      <w:r w:rsidRPr="00024AB1">
        <w:rPr>
          <w:rFonts w:ascii="Arial" w:eastAsia="Times New Roman" w:hAnsi="Arial" w:cs="Arial"/>
          <w:kern w:val="0"/>
          <w:lang w:eastAsia="en-GB"/>
          <w14:ligatures w14:val="none"/>
        </w:rPr>
        <w:t xml:space="preserve">. London: ADHD UK. </w:t>
      </w:r>
    </w:p>
    <w:p w14:paraId="4EDAFCD1"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Booth, A., Sutton, A. and Papaioannou, D., 2016. </w:t>
      </w:r>
      <w:r w:rsidRPr="00024AB1">
        <w:rPr>
          <w:rFonts w:ascii="Arial" w:eastAsia="Times New Roman" w:hAnsi="Arial" w:cs="Arial"/>
          <w:i/>
          <w:iCs/>
          <w:kern w:val="0"/>
          <w:lang w:eastAsia="en-GB"/>
          <w14:ligatures w14:val="none"/>
        </w:rPr>
        <w:t>Systematic approaches to a successful literature review</w:t>
      </w:r>
      <w:r w:rsidRPr="00024AB1">
        <w:rPr>
          <w:rFonts w:ascii="Arial" w:eastAsia="Times New Roman" w:hAnsi="Arial" w:cs="Arial"/>
          <w:kern w:val="0"/>
          <w:lang w:eastAsia="en-GB"/>
          <w14:ligatures w14:val="none"/>
        </w:rPr>
        <w:t xml:space="preserve">. 2nd ed. London: SAGE Publications. </w:t>
      </w:r>
    </w:p>
    <w:p w14:paraId="4221C028"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Brown Health, 2024. </w:t>
      </w:r>
      <w:r w:rsidRPr="00024AB1">
        <w:rPr>
          <w:rFonts w:ascii="Arial" w:eastAsia="Times New Roman" w:hAnsi="Arial" w:cs="Arial"/>
          <w:i/>
          <w:iCs/>
          <w:kern w:val="0"/>
          <w:lang w:eastAsia="en-GB"/>
          <w14:ligatures w14:val="none"/>
        </w:rPr>
        <w:t>Digital-era pressures and executive function in neurodivergent adults</w:t>
      </w:r>
      <w:r w:rsidRPr="00024AB1">
        <w:rPr>
          <w:rFonts w:ascii="Arial" w:eastAsia="Times New Roman" w:hAnsi="Arial" w:cs="Arial"/>
          <w:kern w:val="0"/>
          <w:lang w:eastAsia="en-GB"/>
          <w14:ligatures w14:val="none"/>
        </w:rPr>
        <w:t xml:space="preserve">. Providence: Brown University Health. </w:t>
      </w:r>
    </w:p>
    <w:p w14:paraId="23D59D64" w14:textId="2077B8E9"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Maki, P.M. and Jaff, N.Z., 2022. Brain fog in menopause: a health care professional’s guide for decision-making and patient counselling on cognitive symptoms. </w:t>
      </w:r>
      <w:r w:rsidRPr="00024AB1">
        <w:rPr>
          <w:rFonts w:ascii="Arial" w:eastAsia="Times New Roman" w:hAnsi="Arial" w:cs="Arial"/>
          <w:i/>
          <w:iCs/>
          <w:kern w:val="0"/>
          <w:lang w:eastAsia="en-GB"/>
          <w14:ligatures w14:val="none"/>
        </w:rPr>
        <w:t>Climacteric</w:t>
      </w:r>
      <w:r w:rsidRPr="00024AB1">
        <w:rPr>
          <w:rFonts w:ascii="Arial" w:eastAsia="Times New Roman" w:hAnsi="Arial" w:cs="Arial"/>
          <w:kern w:val="0"/>
          <w:lang w:eastAsia="en-GB"/>
          <w14:ligatures w14:val="none"/>
        </w:rPr>
        <w:t xml:space="preserve">, 25(6), pp. 570–578. Available at: </w:t>
      </w:r>
      <w:hyperlink r:id="rId5" w:tgtFrame="_blank" w:history="1">
        <w:r w:rsidRPr="00024AB1">
          <w:rPr>
            <w:rFonts w:ascii="Arial" w:eastAsia="Times New Roman" w:hAnsi="Arial" w:cs="Arial"/>
            <w:color w:val="0000FF"/>
            <w:kern w:val="0"/>
            <w:u w:val="single"/>
            <w:lang w:eastAsia="en-GB"/>
            <w14:ligatures w14:val="none"/>
          </w:rPr>
          <w:t>https://doi.org/10.1080/13697137.2022.2113444</w:t>
        </w:r>
      </w:hyperlink>
      <w:r w:rsidR="00743DAC">
        <w:rPr>
          <w:rFonts w:ascii="Arial" w:eastAsia="Times New Roman" w:hAnsi="Arial" w:cs="Arial"/>
          <w:kern w:val="0"/>
          <w:lang w:eastAsia="en-GB"/>
          <w14:ligatures w14:val="none"/>
        </w:rPr>
        <w:t xml:space="preserve"> (Accessed 10th October 2026).</w:t>
      </w:r>
    </w:p>
    <w:p w14:paraId="5503DD85"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Private ADHD UK, 2026. </w:t>
      </w:r>
      <w:r w:rsidRPr="00024AB1">
        <w:rPr>
          <w:rFonts w:ascii="Arial" w:eastAsia="Times New Roman" w:hAnsi="Arial" w:cs="Arial"/>
          <w:i/>
          <w:iCs/>
          <w:kern w:val="0"/>
          <w:lang w:eastAsia="en-GB"/>
          <w14:ligatures w14:val="none"/>
        </w:rPr>
        <w:t>The impact of healthcare backlogs on adult ADHD assessments</w:t>
      </w:r>
      <w:r w:rsidRPr="00024AB1">
        <w:rPr>
          <w:rFonts w:ascii="Arial" w:eastAsia="Times New Roman" w:hAnsi="Arial" w:cs="Arial"/>
          <w:kern w:val="0"/>
          <w:lang w:eastAsia="en-GB"/>
          <w14:ligatures w14:val="none"/>
        </w:rPr>
        <w:t xml:space="preserve">. Manchester: Private ADHD UK. </w:t>
      </w:r>
    </w:p>
    <w:p w14:paraId="10560924" w14:textId="77777777"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Staley, K., et al., 2024. Clinical bottlenecks and medication shortages in UK neurodiversity services. </w:t>
      </w:r>
      <w:r w:rsidRPr="00024AB1">
        <w:rPr>
          <w:rFonts w:ascii="Arial" w:eastAsia="Times New Roman" w:hAnsi="Arial" w:cs="Arial"/>
          <w:i/>
          <w:iCs/>
          <w:kern w:val="0"/>
          <w:lang w:eastAsia="en-GB"/>
          <w14:ligatures w14:val="none"/>
        </w:rPr>
        <w:t>Journal of Health Services Research &amp; Policy</w:t>
      </w:r>
      <w:r w:rsidRPr="00024AB1">
        <w:rPr>
          <w:rFonts w:ascii="Arial" w:eastAsia="Times New Roman" w:hAnsi="Arial" w:cs="Arial"/>
          <w:kern w:val="0"/>
          <w:lang w:eastAsia="en-GB"/>
          <w14:ligatures w14:val="none"/>
        </w:rPr>
        <w:t xml:space="preserve">, 29(3), pp. 145–152. </w:t>
      </w:r>
    </w:p>
    <w:p w14:paraId="4FA96B0A" w14:textId="520338AF" w:rsidR="00024AB1" w:rsidRPr="00024AB1" w:rsidRDefault="00024AB1" w:rsidP="00DE786C">
      <w:pPr>
        <w:spacing w:after="100" w:afterAutospacing="1" w:line="240" w:lineRule="auto"/>
        <w:ind w:left="360"/>
        <w:rPr>
          <w:rFonts w:ascii="Arial" w:eastAsia="Times New Roman" w:hAnsi="Arial" w:cs="Arial"/>
          <w:kern w:val="0"/>
          <w:lang w:eastAsia="en-GB"/>
          <w14:ligatures w14:val="none"/>
        </w:rPr>
      </w:pPr>
      <w:r w:rsidRPr="00024AB1">
        <w:rPr>
          <w:rFonts w:ascii="Arial" w:eastAsia="Times New Roman" w:hAnsi="Arial" w:cs="Arial"/>
          <w:kern w:val="0"/>
          <w:lang w:eastAsia="en-GB"/>
          <w14:ligatures w14:val="none"/>
        </w:rPr>
        <w:t xml:space="preserve">UK Research Integrity Office (UKRIO), 2025. </w:t>
      </w:r>
      <w:r w:rsidRPr="00024AB1">
        <w:rPr>
          <w:rFonts w:ascii="Arial" w:eastAsia="Times New Roman" w:hAnsi="Arial" w:cs="Arial"/>
          <w:i/>
          <w:iCs/>
          <w:kern w:val="0"/>
          <w:lang w:eastAsia="en-GB"/>
          <w14:ligatures w14:val="none"/>
        </w:rPr>
        <w:t>Code of practice for research: promoting good practice and preventing misconduct</w:t>
      </w:r>
      <w:r w:rsidRPr="00024AB1">
        <w:rPr>
          <w:rFonts w:ascii="Arial" w:eastAsia="Times New Roman" w:hAnsi="Arial" w:cs="Arial"/>
          <w:kern w:val="0"/>
          <w:lang w:eastAsia="en-GB"/>
          <w14:ligatures w14:val="none"/>
        </w:rPr>
        <w:t xml:space="preserve">. London: UKRIO. </w:t>
      </w:r>
      <w:hyperlink r:id="rId6" w:history="1">
        <w:r w:rsidR="00726F3A" w:rsidRPr="00816B10">
          <w:rPr>
            <w:rStyle w:val="Hyperlink"/>
          </w:rPr>
          <w:t>https://ukrio.org/ukrio-resources/publications/code-of-practice-for-research/</w:t>
        </w:r>
      </w:hyperlink>
      <w:r w:rsidR="00726F3A">
        <w:t xml:space="preserve"> </w:t>
      </w:r>
      <w:r w:rsidR="00351B6E">
        <w:t xml:space="preserve">           </w:t>
      </w:r>
      <w:proofErr w:type="gramStart"/>
      <w:r w:rsidR="00351B6E">
        <w:t xml:space="preserve">   </w:t>
      </w:r>
      <w:r w:rsidR="00726F3A">
        <w:t>(</w:t>
      </w:r>
      <w:proofErr w:type="gramEnd"/>
      <w:r w:rsidR="00726F3A">
        <w:t xml:space="preserve"> Accessed</w:t>
      </w:r>
      <w:r w:rsidR="005115C4">
        <w:t xml:space="preserve"> 12</w:t>
      </w:r>
      <w:r w:rsidR="005115C4" w:rsidRPr="005115C4">
        <w:rPr>
          <w:vertAlign w:val="superscript"/>
        </w:rPr>
        <w:t>th</w:t>
      </w:r>
      <w:r w:rsidR="005115C4">
        <w:t xml:space="preserve"> October 2026</w:t>
      </w:r>
      <w:r w:rsidR="00351B6E">
        <w:t>).</w:t>
      </w:r>
    </w:p>
    <w:p w14:paraId="5C857EAF" w14:textId="77777777" w:rsidR="006D10E6" w:rsidRPr="0025205B" w:rsidRDefault="006D10E6" w:rsidP="00DE786C">
      <w:pPr>
        <w:shd w:val="clear" w:color="auto" w:fill="FFFFFF"/>
        <w:tabs>
          <w:tab w:val="left" w:pos="6876"/>
        </w:tabs>
        <w:spacing w:after="0" w:line="240" w:lineRule="auto"/>
        <w:rPr>
          <w:rFonts w:ascii="Arial" w:eastAsia="Times New Roman" w:hAnsi="Arial" w:cs="Arial"/>
          <w:color w:val="283041"/>
          <w:kern w:val="0"/>
          <w:sz w:val="22"/>
          <w:szCs w:val="22"/>
          <w:lang w:eastAsia="en-GB"/>
          <w14:ligatures w14:val="none"/>
        </w:rPr>
      </w:pPr>
    </w:p>
    <w:p w14:paraId="2E653BD6" w14:textId="77777777" w:rsidR="006D10E6" w:rsidRPr="006D10E6" w:rsidRDefault="006D10E6" w:rsidP="00DE786C">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2AE66585" w14:textId="77777777" w:rsidR="00D27EFA" w:rsidRPr="0025205B" w:rsidRDefault="00D27EFA" w:rsidP="00D27EFA">
      <w:pPr>
        <w:shd w:val="clear" w:color="auto" w:fill="FFFFFF"/>
        <w:spacing w:after="0" w:line="240" w:lineRule="auto"/>
        <w:rPr>
          <w:rFonts w:ascii="Arial" w:eastAsia="Times New Roman" w:hAnsi="Arial" w:cs="Arial"/>
          <w:color w:val="283041"/>
          <w:kern w:val="0"/>
          <w:sz w:val="22"/>
          <w:szCs w:val="22"/>
          <w:lang w:eastAsia="en-GB"/>
          <w14:ligatures w14:val="none"/>
        </w:rPr>
      </w:pPr>
    </w:p>
    <w:p w14:paraId="758C4BED" w14:textId="77777777" w:rsid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00638EEB" w14:textId="77777777" w:rsid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55F351CB"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44AA5C7C"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74B4C957" w14:textId="77777777" w:rsid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2E6717FF" w14:textId="77777777" w:rsidR="00D27EFA" w:rsidRPr="00D27EFA" w:rsidRDefault="00D27EFA" w:rsidP="00D27EFA">
      <w:pPr>
        <w:shd w:val="clear" w:color="auto" w:fill="FFFFFF"/>
        <w:spacing w:after="0" w:line="240" w:lineRule="auto"/>
        <w:rPr>
          <w:rFonts w:ascii="Roboto" w:eastAsia="Times New Roman" w:hAnsi="Roboto" w:cs="Times New Roman"/>
          <w:color w:val="283041"/>
          <w:kern w:val="0"/>
          <w:sz w:val="21"/>
          <w:szCs w:val="21"/>
          <w:lang w:eastAsia="en-GB"/>
          <w14:ligatures w14:val="none"/>
        </w:rPr>
      </w:pPr>
    </w:p>
    <w:p w14:paraId="07F47E79" w14:textId="77777777" w:rsidR="00D27EFA" w:rsidRDefault="00D27EFA"/>
    <w:sectPr w:rsidR="00D27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023C"/>
    <w:multiLevelType w:val="multilevel"/>
    <w:tmpl w:val="A8647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45B29"/>
    <w:multiLevelType w:val="multilevel"/>
    <w:tmpl w:val="F89E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3288C"/>
    <w:multiLevelType w:val="multilevel"/>
    <w:tmpl w:val="86027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04323"/>
    <w:multiLevelType w:val="multilevel"/>
    <w:tmpl w:val="C41E4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35BE5"/>
    <w:multiLevelType w:val="multilevel"/>
    <w:tmpl w:val="5ACCA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92C3E"/>
    <w:multiLevelType w:val="multilevel"/>
    <w:tmpl w:val="066CE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8A6595"/>
    <w:multiLevelType w:val="multilevel"/>
    <w:tmpl w:val="A7F0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654DD4"/>
    <w:multiLevelType w:val="multilevel"/>
    <w:tmpl w:val="16BE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553885"/>
    <w:multiLevelType w:val="multilevel"/>
    <w:tmpl w:val="264C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C900A1"/>
    <w:multiLevelType w:val="multilevel"/>
    <w:tmpl w:val="BDB0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4D7818"/>
    <w:multiLevelType w:val="multilevel"/>
    <w:tmpl w:val="20A4A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376AF0"/>
    <w:multiLevelType w:val="multilevel"/>
    <w:tmpl w:val="7006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DC0044"/>
    <w:multiLevelType w:val="multilevel"/>
    <w:tmpl w:val="AEBE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783BFD"/>
    <w:multiLevelType w:val="multilevel"/>
    <w:tmpl w:val="4AC0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107D2A"/>
    <w:multiLevelType w:val="multilevel"/>
    <w:tmpl w:val="167C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F76D4A"/>
    <w:multiLevelType w:val="multilevel"/>
    <w:tmpl w:val="EB943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0C41E1"/>
    <w:multiLevelType w:val="multilevel"/>
    <w:tmpl w:val="100C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783345"/>
    <w:multiLevelType w:val="multilevel"/>
    <w:tmpl w:val="444ED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6E18E5"/>
    <w:multiLevelType w:val="multilevel"/>
    <w:tmpl w:val="61A0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5E2391"/>
    <w:multiLevelType w:val="multilevel"/>
    <w:tmpl w:val="39BE9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351FAA"/>
    <w:multiLevelType w:val="multilevel"/>
    <w:tmpl w:val="C4CC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2951532">
    <w:abstractNumId w:val="5"/>
  </w:num>
  <w:num w:numId="2" w16cid:durableId="1542979651">
    <w:abstractNumId w:val="19"/>
  </w:num>
  <w:num w:numId="3" w16cid:durableId="1669551403">
    <w:abstractNumId w:val="0"/>
  </w:num>
  <w:num w:numId="4" w16cid:durableId="749425429">
    <w:abstractNumId w:val="6"/>
  </w:num>
  <w:num w:numId="5" w16cid:durableId="1987197711">
    <w:abstractNumId w:val="3"/>
  </w:num>
  <w:num w:numId="6" w16cid:durableId="383868864">
    <w:abstractNumId w:val="18"/>
  </w:num>
  <w:num w:numId="7" w16cid:durableId="790905648">
    <w:abstractNumId w:val="20"/>
  </w:num>
  <w:num w:numId="8" w16cid:durableId="430004703">
    <w:abstractNumId w:val="17"/>
  </w:num>
  <w:num w:numId="9" w16cid:durableId="2066441123">
    <w:abstractNumId w:val="1"/>
  </w:num>
  <w:num w:numId="10" w16cid:durableId="1843465743">
    <w:abstractNumId w:val="13"/>
  </w:num>
  <w:num w:numId="11" w16cid:durableId="240411265">
    <w:abstractNumId w:val="16"/>
  </w:num>
  <w:num w:numId="12" w16cid:durableId="2021200447">
    <w:abstractNumId w:val="11"/>
  </w:num>
  <w:num w:numId="13" w16cid:durableId="1639189126">
    <w:abstractNumId w:val="8"/>
  </w:num>
  <w:num w:numId="14" w16cid:durableId="1996755994">
    <w:abstractNumId w:val="7"/>
  </w:num>
  <w:num w:numId="15" w16cid:durableId="2119131871">
    <w:abstractNumId w:val="10"/>
  </w:num>
  <w:num w:numId="16" w16cid:durableId="1685593887">
    <w:abstractNumId w:val="15"/>
  </w:num>
  <w:num w:numId="17" w16cid:durableId="1391997565">
    <w:abstractNumId w:val="9"/>
  </w:num>
  <w:num w:numId="18" w16cid:durableId="2044791199">
    <w:abstractNumId w:val="4"/>
  </w:num>
  <w:num w:numId="19" w16cid:durableId="1124731423">
    <w:abstractNumId w:val="12"/>
  </w:num>
  <w:num w:numId="20" w16cid:durableId="361562513">
    <w:abstractNumId w:val="2"/>
  </w:num>
  <w:num w:numId="21" w16cid:durableId="10363931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FA"/>
    <w:rsid w:val="00024AB1"/>
    <w:rsid w:val="00070E59"/>
    <w:rsid w:val="00127E35"/>
    <w:rsid w:val="0025205B"/>
    <w:rsid w:val="002E78B4"/>
    <w:rsid w:val="00351B6E"/>
    <w:rsid w:val="003B1AF1"/>
    <w:rsid w:val="00480047"/>
    <w:rsid w:val="005115C4"/>
    <w:rsid w:val="006D10E6"/>
    <w:rsid w:val="00703A1F"/>
    <w:rsid w:val="00726F3A"/>
    <w:rsid w:val="00733A22"/>
    <w:rsid w:val="00743DAC"/>
    <w:rsid w:val="00970DF1"/>
    <w:rsid w:val="00A21884"/>
    <w:rsid w:val="00A4153C"/>
    <w:rsid w:val="00A50E17"/>
    <w:rsid w:val="00D27EFA"/>
    <w:rsid w:val="00D773E5"/>
    <w:rsid w:val="00D9327B"/>
    <w:rsid w:val="00DE7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BA5A"/>
  <w15:chartTrackingRefBased/>
  <w15:docId w15:val="{1F56080D-84FC-4325-AC39-0BCED4795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EFA"/>
    <w:rPr>
      <w:rFonts w:eastAsiaTheme="majorEastAsia" w:cstheme="majorBidi"/>
      <w:color w:val="272727" w:themeColor="text1" w:themeTint="D8"/>
    </w:rPr>
  </w:style>
  <w:style w:type="paragraph" w:styleId="Title">
    <w:name w:val="Title"/>
    <w:basedOn w:val="Normal"/>
    <w:next w:val="Normal"/>
    <w:link w:val="TitleChar"/>
    <w:uiPriority w:val="10"/>
    <w:qFormat/>
    <w:rsid w:val="00D27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EFA"/>
    <w:pPr>
      <w:spacing w:before="160"/>
      <w:jc w:val="center"/>
    </w:pPr>
    <w:rPr>
      <w:i/>
      <w:iCs/>
      <w:color w:val="404040" w:themeColor="text1" w:themeTint="BF"/>
    </w:rPr>
  </w:style>
  <w:style w:type="character" w:customStyle="1" w:styleId="QuoteChar">
    <w:name w:val="Quote Char"/>
    <w:basedOn w:val="DefaultParagraphFont"/>
    <w:link w:val="Quote"/>
    <w:uiPriority w:val="29"/>
    <w:rsid w:val="00D27EFA"/>
    <w:rPr>
      <w:i/>
      <w:iCs/>
      <w:color w:val="404040" w:themeColor="text1" w:themeTint="BF"/>
    </w:rPr>
  </w:style>
  <w:style w:type="paragraph" w:styleId="ListParagraph">
    <w:name w:val="List Paragraph"/>
    <w:basedOn w:val="Normal"/>
    <w:uiPriority w:val="34"/>
    <w:qFormat/>
    <w:rsid w:val="00D27EFA"/>
    <w:pPr>
      <w:ind w:left="720"/>
      <w:contextualSpacing/>
    </w:pPr>
  </w:style>
  <w:style w:type="character" w:styleId="IntenseEmphasis">
    <w:name w:val="Intense Emphasis"/>
    <w:basedOn w:val="DefaultParagraphFont"/>
    <w:uiPriority w:val="21"/>
    <w:qFormat/>
    <w:rsid w:val="00D27EFA"/>
    <w:rPr>
      <w:i/>
      <w:iCs/>
      <w:color w:val="0F4761" w:themeColor="accent1" w:themeShade="BF"/>
    </w:rPr>
  </w:style>
  <w:style w:type="paragraph" w:styleId="IntenseQuote">
    <w:name w:val="Intense Quote"/>
    <w:basedOn w:val="Normal"/>
    <w:next w:val="Normal"/>
    <w:link w:val="IntenseQuoteChar"/>
    <w:uiPriority w:val="30"/>
    <w:qFormat/>
    <w:rsid w:val="00D27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EFA"/>
    <w:rPr>
      <w:i/>
      <w:iCs/>
      <w:color w:val="0F4761" w:themeColor="accent1" w:themeShade="BF"/>
    </w:rPr>
  </w:style>
  <w:style w:type="character" w:styleId="IntenseReference">
    <w:name w:val="Intense Reference"/>
    <w:basedOn w:val="DefaultParagraphFont"/>
    <w:uiPriority w:val="32"/>
    <w:qFormat/>
    <w:rsid w:val="00D27EFA"/>
    <w:rPr>
      <w:b/>
      <w:bCs/>
      <w:smallCaps/>
      <w:color w:val="0F4761" w:themeColor="accent1" w:themeShade="BF"/>
      <w:spacing w:val="5"/>
    </w:rPr>
  </w:style>
  <w:style w:type="paragraph" w:styleId="NormalWeb">
    <w:name w:val="Normal (Web)"/>
    <w:basedOn w:val="Normal"/>
    <w:uiPriority w:val="99"/>
    <w:semiHidden/>
    <w:unhideWhenUsed/>
    <w:rsid w:val="00D27E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26F3A"/>
    <w:rPr>
      <w:color w:val="467886" w:themeColor="hyperlink"/>
      <w:u w:val="single"/>
    </w:rPr>
  </w:style>
  <w:style w:type="character" w:styleId="UnresolvedMention">
    <w:name w:val="Unresolved Mention"/>
    <w:basedOn w:val="DefaultParagraphFont"/>
    <w:uiPriority w:val="99"/>
    <w:semiHidden/>
    <w:unhideWhenUsed/>
    <w:rsid w:val="00726F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rio.org/ukrio-resources/publications/code-of-practice-for-research/" TargetMode="External"/><Relationship Id="rId5" Type="http://schemas.openxmlformats.org/officeDocument/2006/relationships/hyperlink" Target="https://www.google.com/search?q=https://doi.org/10.1080/13697137.2022.211344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263</TotalTime>
  <Pages>5</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20</cp:revision>
  <dcterms:created xsi:type="dcterms:W3CDTF">2026-10-19T09:50:00Z</dcterms:created>
  <dcterms:modified xsi:type="dcterms:W3CDTF">2026-10-20T14:34:00Z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a2f15384-3f17-4a0e-9d6b-ad1130684e72</vt:lpwstr>
  </property>
</Properties>
</file>