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E1C79E" w14:textId="77777777" w:rsidR="00120397" w:rsidRDefault="00120397" w:rsidP="00120397">
      <w:pPr>
        <w:shd w:val="clear" w:color="auto" w:fill="FFFFFF"/>
        <w:spacing w:before="274" w:after="206" w:line="240" w:lineRule="auto"/>
        <w:outlineLvl w:val="2"/>
        <w:rPr>
          <w:rFonts w:ascii="Segoe UI" w:eastAsia="Times New Roman" w:hAnsi="Segoe UI" w:cs="Segoe UI"/>
          <w:b/>
          <w:bCs/>
          <w:color w:val="404040"/>
          <w:kern w:val="0"/>
          <w:sz w:val="32"/>
          <w:szCs w:val="32"/>
          <w:lang w:eastAsia="en-GB"/>
          <w14:ligatures w14:val="none"/>
        </w:rPr>
      </w:pPr>
      <w:r w:rsidRPr="00CA5CE1">
        <w:rPr>
          <w:rFonts w:ascii="Segoe UI" w:eastAsia="Times New Roman" w:hAnsi="Segoe UI" w:cs="Segoe UI"/>
          <w:b/>
          <w:bCs/>
          <w:color w:val="404040"/>
          <w:kern w:val="0"/>
          <w:sz w:val="32"/>
          <w:szCs w:val="32"/>
          <w:lang w:eastAsia="en-GB"/>
          <w14:ligatures w14:val="none"/>
        </w:rPr>
        <w:t>A Life Course Approach to Child and Adolescent Health in the UK (Ages 6–19)</w:t>
      </w:r>
    </w:p>
    <w:p w14:paraId="19B31B49" w14:textId="77777777" w:rsidR="007E1FF5" w:rsidRDefault="007E1FF5" w:rsidP="00120397">
      <w:pPr>
        <w:shd w:val="clear" w:color="auto" w:fill="FFFFFF"/>
        <w:spacing w:before="274" w:after="206" w:line="240" w:lineRule="auto"/>
        <w:outlineLvl w:val="2"/>
        <w:rPr>
          <w:rFonts w:ascii="Segoe UI" w:eastAsia="Times New Roman" w:hAnsi="Segoe UI" w:cs="Segoe UI"/>
          <w:b/>
          <w:bCs/>
          <w:color w:val="404040"/>
          <w:kern w:val="0"/>
          <w:sz w:val="32"/>
          <w:szCs w:val="32"/>
          <w:lang w:eastAsia="en-GB"/>
          <w14:ligatures w14:val="none"/>
        </w:rPr>
      </w:pPr>
    </w:p>
    <w:p w14:paraId="070DFE53" w14:textId="77777777" w:rsidR="007E1FF5" w:rsidRPr="00CA5CE1" w:rsidRDefault="007E1FF5" w:rsidP="00120397">
      <w:pPr>
        <w:shd w:val="clear" w:color="auto" w:fill="FFFFFF"/>
        <w:spacing w:before="274" w:after="206" w:line="240" w:lineRule="auto"/>
        <w:outlineLvl w:val="2"/>
        <w:rPr>
          <w:rFonts w:ascii="Segoe UI" w:eastAsia="Times New Roman" w:hAnsi="Segoe UI" w:cs="Segoe UI"/>
          <w:color w:val="404040"/>
          <w:kern w:val="0"/>
          <w:sz w:val="32"/>
          <w:szCs w:val="32"/>
          <w:lang w:eastAsia="en-GB"/>
          <w14:ligatures w14:val="none"/>
        </w:rPr>
      </w:pPr>
    </w:p>
    <w:p w14:paraId="6E2F2E7A" w14:textId="55934773" w:rsidR="007B2263" w:rsidRPr="007E1FF5" w:rsidRDefault="00120397" w:rsidP="0032129F">
      <w:pPr>
        <w:pStyle w:val="pb-2"/>
        <w:rPr>
          <w:b/>
          <w:bCs/>
          <w:sz w:val="32"/>
          <w:szCs w:val="32"/>
        </w:rPr>
      </w:pPr>
      <w:r w:rsidRPr="007E1FF5">
        <w:rPr>
          <w:b/>
          <w:bCs/>
          <w:sz w:val="32"/>
          <w:szCs w:val="32"/>
        </w:rPr>
        <w:t>Student Name:</w:t>
      </w:r>
      <w:r w:rsidR="00705995" w:rsidRPr="007E1FF5">
        <w:rPr>
          <w:b/>
          <w:bCs/>
          <w:sz w:val="32"/>
          <w:szCs w:val="32"/>
        </w:rPr>
        <w:t xml:space="preserve"> Rodica Dobre</w:t>
      </w:r>
    </w:p>
    <w:p w14:paraId="5360067F" w14:textId="2D1329C9" w:rsidR="00705995" w:rsidRDefault="00705995" w:rsidP="0032129F">
      <w:pPr>
        <w:pStyle w:val="pb-2"/>
        <w:rPr>
          <w:b/>
          <w:bCs/>
        </w:rPr>
      </w:pPr>
      <w:r w:rsidRPr="007E1FF5">
        <w:rPr>
          <w:b/>
          <w:bCs/>
          <w:sz w:val="32"/>
          <w:szCs w:val="32"/>
        </w:rPr>
        <w:t>Student ID:</w:t>
      </w:r>
      <w:r w:rsidR="00FC72C2" w:rsidRPr="007E1FF5">
        <w:rPr>
          <w:b/>
          <w:bCs/>
          <w:sz w:val="32"/>
          <w:szCs w:val="32"/>
        </w:rPr>
        <w:t>1920091</w:t>
      </w:r>
    </w:p>
    <w:p w14:paraId="405818A8" w14:textId="77777777" w:rsidR="007B2263" w:rsidRDefault="007B2263" w:rsidP="0032129F">
      <w:pPr>
        <w:pStyle w:val="pb-2"/>
        <w:rPr>
          <w:b/>
          <w:bCs/>
        </w:rPr>
      </w:pPr>
    </w:p>
    <w:p w14:paraId="133E28C4" w14:textId="77777777" w:rsidR="007B2263" w:rsidRDefault="007B2263" w:rsidP="0032129F">
      <w:pPr>
        <w:pStyle w:val="pb-2"/>
        <w:rPr>
          <w:b/>
          <w:bCs/>
        </w:rPr>
      </w:pPr>
    </w:p>
    <w:p w14:paraId="0FA7746E" w14:textId="77777777" w:rsidR="007B2263" w:rsidRDefault="007B2263" w:rsidP="0032129F">
      <w:pPr>
        <w:pStyle w:val="pb-2"/>
        <w:rPr>
          <w:b/>
          <w:bCs/>
        </w:rPr>
      </w:pPr>
    </w:p>
    <w:p w14:paraId="408224DA" w14:textId="77777777" w:rsidR="007B2263" w:rsidRDefault="007B2263" w:rsidP="0032129F">
      <w:pPr>
        <w:pStyle w:val="pb-2"/>
        <w:rPr>
          <w:b/>
          <w:bCs/>
        </w:rPr>
      </w:pPr>
    </w:p>
    <w:p w14:paraId="5273E750" w14:textId="77777777" w:rsidR="007B2263" w:rsidRDefault="007B2263" w:rsidP="0032129F">
      <w:pPr>
        <w:pStyle w:val="pb-2"/>
        <w:rPr>
          <w:b/>
          <w:bCs/>
        </w:rPr>
      </w:pPr>
    </w:p>
    <w:p w14:paraId="4B286538" w14:textId="77777777" w:rsidR="007B2263" w:rsidRDefault="007B2263" w:rsidP="0032129F">
      <w:pPr>
        <w:pStyle w:val="pb-2"/>
        <w:rPr>
          <w:b/>
          <w:bCs/>
        </w:rPr>
      </w:pPr>
    </w:p>
    <w:p w14:paraId="488158AB" w14:textId="77777777" w:rsidR="007B2263" w:rsidRDefault="007B2263" w:rsidP="0032129F">
      <w:pPr>
        <w:pStyle w:val="pb-2"/>
        <w:rPr>
          <w:b/>
          <w:bCs/>
        </w:rPr>
      </w:pPr>
    </w:p>
    <w:p w14:paraId="43F50187" w14:textId="77777777" w:rsidR="007B2263" w:rsidRDefault="007B2263" w:rsidP="0032129F">
      <w:pPr>
        <w:pStyle w:val="pb-2"/>
        <w:rPr>
          <w:b/>
          <w:bCs/>
        </w:rPr>
      </w:pPr>
    </w:p>
    <w:p w14:paraId="5B14DEF8" w14:textId="77777777" w:rsidR="007B2263" w:rsidRDefault="007B2263" w:rsidP="0032129F">
      <w:pPr>
        <w:pStyle w:val="pb-2"/>
        <w:rPr>
          <w:b/>
          <w:bCs/>
        </w:rPr>
      </w:pPr>
    </w:p>
    <w:p w14:paraId="7AC4B190" w14:textId="77777777" w:rsidR="007B2263" w:rsidRDefault="007B2263" w:rsidP="0032129F">
      <w:pPr>
        <w:pStyle w:val="pb-2"/>
        <w:rPr>
          <w:b/>
          <w:bCs/>
        </w:rPr>
      </w:pPr>
    </w:p>
    <w:p w14:paraId="43E0E9F9" w14:textId="77777777" w:rsidR="007B2263" w:rsidRDefault="007B2263" w:rsidP="0032129F">
      <w:pPr>
        <w:pStyle w:val="pb-2"/>
        <w:rPr>
          <w:b/>
          <w:bCs/>
        </w:rPr>
      </w:pPr>
    </w:p>
    <w:p w14:paraId="11E9DBDB" w14:textId="77777777" w:rsidR="002B5444" w:rsidRDefault="002B5444" w:rsidP="0032129F">
      <w:pPr>
        <w:pStyle w:val="pb-2"/>
        <w:rPr>
          <w:b/>
          <w:bCs/>
        </w:rPr>
      </w:pPr>
    </w:p>
    <w:p w14:paraId="574B5E54" w14:textId="77777777" w:rsidR="002B5444" w:rsidRDefault="002B5444" w:rsidP="0032129F">
      <w:pPr>
        <w:pStyle w:val="pb-2"/>
        <w:rPr>
          <w:b/>
          <w:bCs/>
        </w:rPr>
      </w:pPr>
    </w:p>
    <w:p w14:paraId="0EFA5FA6" w14:textId="77777777" w:rsidR="002B5444" w:rsidRDefault="002B5444" w:rsidP="0032129F">
      <w:pPr>
        <w:pStyle w:val="pb-2"/>
        <w:rPr>
          <w:b/>
          <w:bCs/>
        </w:rPr>
      </w:pPr>
    </w:p>
    <w:p w14:paraId="0A8E0EFA" w14:textId="77777777" w:rsidR="002B5444" w:rsidRDefault="002B5444" w:rsidP="0032129F">
      <w:pPr>
        <w:pStyle w:val="pb-2"/>
        <w:rPr>
          <w:b/>
          <w:bCs/>
        </w:rPr>
      </w:pPr>
    </w:p>
    <w:p w14:paraId="09052573" w14:textId="77777777" w:rsidR="002B5444" w:rsidRDefault="002B5444" w:rsidP="0032129F">
      <w:pPr>
        <w:pStyle w:val="pb-2"/>
        <w:rPr>
          <w:b/>
          <w:bCs/>
        </w:rPr>
      </w:pPr>
    </w:p>
    <w:p w14:paraId="652FB3BD" w14:textId="77777777" w:rsidR="002B5444" w:rsidRDefault="002B5444" w:rsidP="0032129F">
      <w:pPr>
        <w:pStyle w:val="pb-2"/>
        <w:rPr>
          <w:b/>
          <w:bCs/>
        </w:rPr>
      </w:pPr>
    </w:p>
    <w:p w14:paraId="4CD5A00F" w14:textId="77777777" w:rsidR="002B5444" w:rsidRDefault="002B5444" w:rsidP="0032129F">
      <w:pPr>
        <w:pStyle w:val="pb-2"/>
        <w:rPr>
          <w:b/>
          <w:bCs/>
        </w:rPr>
      </w:pPr>
    </w:p>
    <w:p w14:paraId="189D5820" w14:textId="77777777" w:rsidR="002B5444" w:rsidRDefault="002B5444" w:rsidP="0032129F">
      <w:pPr>
        <w:pStyle w:val="pb-2"/>
        <w:rPr>
          <w:b/>
          <w:bCs/>
        </w:rPr>
      </w:pPr>
    </w:p>
    <w:p w14:paraId="31855290" w14:textId="77777777" w:rsidR="002B5444" w:rsidRDefault="002B5444" w:rsidP="0032129F">
      <w:pPr>
        <w:pStyle w:val="pb-2"/>
        <w:rPr>
          <w:b/>
          <w:bCs/>
        </w:rPr>
      </w:pPr>
    </w:p>
    <w:p w14:paraId="0ED85096" w14:textId="77777777" w:rsidR="002B5444" w:rsidRDefault="002B5444" w:rsidP="0032129F">
      <w:pPr>
        <w:pStyle w:val="pb-2"/>
        <w:rPr>
          <w:b/>
          <w:bCs/>
        </w:rPr>
      </w:pPr>
    </w:p>
    <w:p w14:paraId="3BE7153F" w14:textId="77777777" w:rsidR="002B5444" w:rsidRDefault="002B5444" w:rsidP="0032129F">
      <w:pPr>
        <w:pStyle w:val="pb-2"/>
        <w:rPr>
          <w:b/>
          <w:bCs/>
        </w:rPr>
      </w:pPr>
    </w:p>
    <w:p w14:paraId="0FBDC9C7" w14:textId="77777777" w:rsidR="002B5444" w:rsidRDefault="002B5444" w:rsidP="0032129F">
      <w:pPr>
        <w:pStyle w:val="pb-2"/>
        <w:rPr>
          <w:b/>
          <w:bCs/>
        </w:rPr>
      </w:pPr>
    </w:p>
    <w:p w14:paraId="5BE85A4F" w14:textId="7EF2A271" w:rsidR="00776B0C" w:rsidRPr="00C96D47" w:rsidRDefault="0032129F" w:rsidP="00C96D47">
      <w:pPr>
        <w:rPr>
          <w:b/>
          <w:bCs/>
          <w:sz w:val="24"/>
          <w:szCs w:val="24"/>
        </w:rPr>
      </w:pPr>
      <w:r w:rsidRPr="00C96D47">
        <w:rPr>
          <w:b/>
          <w:bCs/>
          <w:sz w:val="24"/>
          <w:szCs w:val="24"/>
        </w:rPr>
        <w:t>Introduction</w:t>
      </w:r>
    </w:p>
    <w:p w14:paraId="3D88504D" w14:textId="77777777" w:rsidR="002B5444" w:rsidRPr="00C96D47" w:rsidRDefault="002B5444" w:rsidP="00C96D47">
      <w:pPr>
        <w:rPr>
          <w:sz w:val="24"/>
          <w:szCs w:val="24"/>
        </w:rPr>
      </w:pPr>
    </w:p>
    <w:p w14:paraId="44EC4713" w14:textId="0F48BAF3" w:rsidR="0032129F" w:rsidRPr="00C96D47" w:rsidRDefault="0032129F" w:rsidP="00C96D47">
      <w:pPr>
        <w:rPr>
          <w:sz w:val="24"/>
          <w:szCs w:val="24"/>
        </w:rPr>
      </w:pPr>
      <w:r w:rsidRPr="00C96D47">
        <w:rPr>
          <w:sz w:val="24"/>
          <w:szCs w:val="24"/>
        </w:rPr>
        <w:t xml:space="preserve">Health trajectories among children and adolescents in the UK </w:t>
      </w:r>
      <w:proofErr w:type="gramStart"/>
      <w:r w:rsidRPr="00C96D47">
        <w:rPr>
          <w:sz w:val="24"/>
          <w:szCs w:val="24"/>
        </w:rPr>
        <w:t>are shaped</w:t>
      </w:r>
      <w:proofErr w:type="gramEnd"/>
      <w:r w:rsidRPr="00C96D47">
        <w:rPr>
          <w:sz w:val="24"/>
          <w:szCs w:val="24"/>
        </w:rPr>
        <w:t xml:space="preserve"> by a complex combination of factors such as socioeconomic status, environmental factors, and psychological factors. As a result of a life course approach to health, it is emerging that early-life adversities such as poverty, inadequate education, and limited access to healthcare accumulate over a lifetime, creating lifelong health inequalities (Ben-Shlomo and Kuh, 2023). This report adopts a structural lens to examine critical developmental stages: childhood (6–12 years) and adolescence (13–19 years). The purpose of this paper is to evaluate how systemic inequities manifest in health outcomes, based on UK-specific research from 2020-2025, and propose evidence-based interventions that will help to eliminate these inequities.</w:t>
      </w:r>
    </w:p>
    <w:p w14:paraId="2BC45887" w14:textId="77777777" w:rsidR="00266017" w:rsidRPr="00C96D47" w:rsidRDefault="0032129F" w:rsidP="00C96D47">
      <w:pPr>
        <w:rPr>
          <w:b/>
          <w:bCs/>
          <w:sz w:val="24"/>
          <w:szCs w:val="24"/>
        </w:rPr>
      </w:pPr>
      <w:r w:rsidRPr="00C96D47">
        <w:rPr>
          <w:b/>
          <w:bCs/>
          <w:sz w:val="24"/>
          <w:szCs w:val="24"/>
        </w:rPr>
        <w:t xml:space="preserve">Childhood (6–12 Years): Education, </w:t>
      </w:r>
      <w:r w:rsidRPr="00C96D47">
        <w:rPr>
          <w:rStyle w:val="issue-underline"/>
          <w:b/>
          <w:bCs/>
          <w:sz w:val="24"/>
          <w:szCs w:val="24"/>
        </w:rPr>
        <w:t>Poverty,</w:t>
      </w:r>
      <w:r w:rsidRPr="00C96D47">
        <w:rPr>
          <w:b/>
          <w:bCs/>
          <w:sz w:val="24"/>
          <w:szCs w:val="24"/>
        </w:rPr>
        <w:t xml:space="preserve"> and Health </w:t>
      </w:r>
    </w:p>
    <w:p w14:paraId="65F89A03" w14:textId="77777777" w:rsidR="00FA53CE" w:rsidRPr="00C96D47" w:rsidRDefault="0032129F" w:rsidP="00C96D47">
      <w:pPr>
        <w:rPr>
          <w:sz w:val="24"/>
          <w:szCs w:val="24"/>
        </w:rPr>
      </w:pPr>
      <w:r w:rsidRPr="00C96D47">
        <w:rPr>
          <w:sz w:val="24"/>
          <w:szCs w:val="24"/>
        </w:rPr>
        <w:t>Child Poverty and Its Multidimensional Impact</w:t>
      </w:r>
    </w:p>
    <w:p w14:paraId="376F7DD1" w14:textId="75D6F1BE" w:rsidR="0032129F" w:rsidRPr="00C96D47" w:rsidRDefault="0032129F" w:rsidP="00C96D47">
      <w:pPr>
        <w:rPr>
          <w:sz w:val="24"/>
          <w:szCs w:val="24"/>
        </w:rPr>
      </w:pPr>
      <w:r w:rsidRPr="00C96D47">
        <w:rPr>
          <w:sz w:val="24"/>
          <w:szCs w:val="24"/>
        </w:rPr>
        <w:t xml:space="preserve"> According to the Household Below Average Income (HBAI) report of 2024, the number of children living in relative poverty in the UK </w:t>
      </w:r>
      <w:proofErr w:type="gramStart"/>
      <w:r w:rsidRPr="00C96D47">
        <w:rPr>
          <w:sz w:val="24"/>
          <w:szCs w:val="24"/>
        </w:rPr>
        <w:t>was estimated</w:t>
      </w:r>
      <w:proofErr w:type="gramEnd"/>
      <w:r w:rsidRPr="00C96D47">
        <w:rPr>
          <w:sz w:val="24"/>
          <w:szCs w:val="24"/>
        </w:rPr>
        <w:t xml:space="preserve"> to be 4.5 million as of the end of that year. A household earning less than 60% of the median income, which is a measure of relative poverty, </w:t>
      </w:r>
      <w:proofErr w:type="gramStart"/>
      <w:r w:rsidRPr="00C96D47">
        <w:rPr>
          <w:sz w:val="24"/>
          <w:szCs w:val="24"/>
        </w:rPr>
        <w:t>is disproportionately affected</w:t>
      </w:r>
      <w:proofErr w:type="gramEnd"/>
      <w:r w:rsidRPr="00C96D47">
        <w:rPr>
          <w:sz w:val="24"/>
          <w:szCs w:val="24"/>
        </w:rPr>
        <w:t xml:space="preserve"> by racial minorities and single-parent households. For instance, there is a 47% poverty rate among children in Bangladeshi households, compared with a 25% poverty rate among white British families (Joseph Rowntree Foundation, 2023). Among the cascading effects of poverty are chronic stress, which </w:t>
      </w:r>
      <w:proofErr w:type="gramStart"/>
      <w:r w:rsidRPr="00C96D47">
        <w:rPr>
          <w:sz w:val="24"/>
          <w:szCs w:val="24"/>
        </w:rPr>
        <w:t>is linked</w:t>
      </w:r>
      <w:proofErr w:type="gramEnd"/>
      <w:r w:rsidRPr="00C96D47">
        <w:rPr>
          <w:sz w:val="24"/>
          <w:szCs w:val="24"/>
        </w:rPr>
        <w:t xml:space="preserve"> to elevated cortisol levels and impairs neurodevelopment in children (Spencer et al., 2021). According to longitudinal studies, undercrowded housing and </w:t>
      </w:r>
      <w:r w:rsidR="005D0DB6" w:rsidRPr="00C96D47">
        <w:rPr>
          <w:sz w:val="24"/>
          <w:szCs w:val="24"/>
        </w:rPr>
        <w:t>Mold</w:t>
      </w:r>
      <w:r w:rsidRPr="00C96D47">
        <w:rPr>
          <w:sz w:val="24"/>
          <w:szCs w:val="24"/>
        </w:rPr>
        <w:t xml:space="preserve"> exposure put children in deprived households at risk of chronic illnesses, including asthma (Holmes and Gupta, 2022). </w:t>
      </w:r>
    </w:p>
    <w:p w14:paraId="219F06AD" w14:textId="77777777" w:rsidR="003103B2" w:rsidRPr="00C96D47" w:rsidRDefault="0032129F" w:rsidP="00C96D47">
      <w:pPr>
        <w:rPr>
          <w:sz w:val="24"/>
          <w:szCs w:val="24"/>
        </w:rPr>
      </w:pPr>
      <w:r w:rsidRPr="00C96D47">
        <w:rPr>
          <w:sz w:val="24"/>
          <w:szCs w:val="24"/>
        </w:rPr>
        <w:t xml:space="preserve">Welfare Cuts and the Impact on Low-Income Families In 2022, the Universal Credit uplift </w:t>
      </w:r>
      <w:proofErr w:type="gramStart"/>
      <w:r w:rsidRPr="00C96D47">
        <w:rPr>
          <w:sz w:val="24"/>
          <w:szCs w:val="24"/>
        </w:rPr>
        <w:t>was reduced</w:t>
      </w:r>
      <w:proofErr w:type="gramEnd"/>
      <w:r w:rsidRPr="00C96D47">
        <w:rPr>
          <w:sz w:val="24"/>
          <w:szCs w:val="24"/>
        </w:rPr>
        <w:t xml:space="preserve"> by £1,040 which led to an exaggeration of material deprivation among low-income families. Teachers reported children hoarding snacks due to food insecurity due to 32% rise in food bank usage in 2023 (Child Poverty Action Group, 2024). Low-income households face digital poverty as well: 15% lack reliable internet access, making online learning resources unavailable (Ofcom, 2023). </w:t>
      </w:r>
    </w:p>
    <w:p w14:paraId="7EAECF57" w14:textId="13554AE6" w:rsidR="003103B2" w:rsidRPr="00C96D47" w:rsidRDefault="0032129F" w:rsidP="00C96D47">
      <w:pPr>
        <w:rPr>
          <w:rStyle w:val="issue-underline"/>
          <w:rFonts w:eastAsiaTheme="majorEastAsia"/>
          <w:sz w:val="24"/>
          <w:szCs w:val="24"/>
        </w:rPr>
      </w:pPr>
      <w:r w:rsidRPr="00C96D47">
        <w:rPr>
          <w:sz w:val="24"/>
          <w:szCs w:val="24"/>
        </w:rPr>
        <w:lastRenderedPageBreak/>
        <w:t xml:space="preserve">Educational Disparities and Cognitive </w:t>
      </w:r>
      <w:r w:rsidRPr="00C96D47">
        <w:rPr>
          <w:rStyle w:val="issue-underline"/>
          <w:sz w:val="24"/>
          <w:szCs w:val="24"/>
        </w:rPr>
        <w:t>Development</w:t>
      </w:r>
    </w:p>
    <w:p w14:paraId="4B3A9391" w14:textId="6CCFE5C6" w:rsidR="0032129F" w:rsidRPr="00C96D47" w:rsidRDefault="0032129F" w:rsidP="00C96D47">
      <w:pPr>
        <w:rPr>
          <w:sz w:val="24"/>
          <w:szCs w:val="24"/>
        </w:rPr>
      </w:pPr>
      <w:r w:rsidRPr="00C96D47">
        <w:rPr>
          <w:sz w:val="24"/>
          <w:szCs w:val="24"/>
        </w:rPr>
        <w:t xml:space="preserve"> A disadvantage gap index measuring academic disparities between low-income pupils and their peers reached its peak in 2023 (Social Mobility Commission). Inclusion barriers: Resource inequality: Disadvantaged students attend schools with 14% less funding per pupil (Education Policy Institute, 2024). Educator attrition: Schools in deprived areas have 25% higher staff turnover (National Education Union, 2022).</w:t>
      </w:r>
    </w:p>
    <w:p w14:paraId="213BF6F2" w14:textId="77777777" w:rsidR="0032129F" w:rsidRPr="00C96D47" w:rsidRDefault="0032129F" w:rsidP="00C96D47">
      <w:pPr>
        <w:rPr>
          <w:sz w:val="24"/>
          <w:szCs w:val="24"/>
        </w:rPr>
      </w:pPr>
      <w:r w:rsidRPr="00C96D47">
        <w:rPr>
          <w:sz w:val="24"/>
          <w:szCs w:val="24"/>
        </w:rPr>
        <w:t xml:space="preserve">Early Intervention Programmes </w:t>
      </w:r>
    </w:p>
    <w:p w14:paraId="52A70E50" w14:textId="77777777" w:rsidR="00F43CDD" w:rsidRPr="00C96D47" w:rsidRDefault="0032129F" w:rsidP="00C96D47">
      <w:pPr>
        <w:rPr>
          <w:sz w:val="24"/>
          <w:szCs w:val="24"/>
        </w:rPr>
      </w:pPr>
      <w:r w:rsidRPr="00C96D47">
        <w:rPr>
          <w:sz w:val="24"/>
          <w:szCs w:val="24"/>
        </w:rPr>
        <w:t xml:space="preserve">Tutoring programmes such as the National Tutoring Programme (NTP) aim to close achievement gaps in schools, however only 34% of the eligible pupils had access to tutoring in 2023 due to logistical issues (DfE, 2023). Interestingly, Sure Start Centres, which provided holistic family support to children in poverty, were able to reduce the number of hospitalizations for children in poverty by 13% before funding cuts </w:t>
      </w:r>
      <w:proofErr w:type="gramStart"/>
      <w:r w:rsidRPr="00C96D47">
        <w:rPr>
          <w:sz w:val="24"/>
          <w:szCs w:val="24"/>
        </w:rPr>
        <w:t>were made</w:t>
      </w:r>
      <w:proofErr w:type="gramEnd"/>
      <w:r w:rsidRPr="00C96D47">
        <w:rPr>
          <w:sz w:val="24"/>
          <w:szCs w:val="24"/>
        </w:rPr>
        <w:t xml:space="preserve"> (Institute for Fiscal Studies, 2022).</w:t>
      </w:r>
    </w:p>
    <w:p w14:paraId="2B524030" w14:textId="2C54F77C" w:rsidR="0032129F" w:rsidRPr="00C96D47" w:rsidRDefault="0032129F" w:rsidP="00C96D47">
      <w:pPr>
        <w:rPr>
          <w:sz w:val="24"/>
          <w:szCs w:val="24"/>
        </w:rPr>
      </w:pPr>
      <w:r w:rsidRPr="00C96D47">
        <w:rPr>
          <w:sz w:val="24"/>
          <w:szCs w:val="24"/>
        </w:rPr>
        <w:t>Nutritional Challenges and Food Insecurity</w:t>
      </w:r>
    </w:p>
    <w:p w14:paraId="0D7528D0" w14:textId="43E36F53" w:rsidR="0032129F" w:rsidRPr="00C96D47" w:rsidRDefault="0032129F" w:rsidP="00C96D47">
      <w:pPr>
        <w:rPr>
          <w:sz w:val="24"/>
          <w:szCs w:val="24"/>
        </w:rPr>
      </w:pPr>
      <w:r w:rsidRPr="00C96D47">
        <w:rPr>
          <w:sz w:val="24"/>
          <w:szCs w:val="24"/>
        </w:rPr>
        <w:t xml:space="preserve">In the United Kingdom, food insecurity affects 19% of households with children (Food Foundation, 2023), with </w:t>
      </w:r>
      <w:r w:rsidR="006B1116" w:rsidRPr="00C96D47">
        <w:rPr>
          <w:sz w:val="24"/>
          <w:szCs w:val="24"/>
        </w:rPr>
        <w:t>profound consequences</w:t>
      </w:r>
      <w:r w:rsidRPr="00C96D47">
        <w:rPr>
          <w:sz w:val="24"/>
          <w:szCs w:val="24"/>
        </w:rPr>
        <w:t xml:space="preserve"> such as:</w:t>
      </w:r>
    </w:p>
    <w:p w14:paraId="62AB6FF4" w14:textId="77777777" w:rsidR="0032129F" w:rsidRPr="00C96D47" w:rsidRDefault="0032129F" w:rsidP="00C96D47">
      <w:pPr>
        <w:rPr>
          <w:sz w:val="24"/>
          <w:szCs w:val="24"/>
        </w:rPr>
      </w:pPr>
      <w:r w:rsidRPr="00C96D47">
        <w:rPr>
          <w:sz w:val="24"/>
          <w:szCs w:val="24"/>
        </w:rPr>
        <w:t xml:space="preserve">In terms of cognitive effects, hungry children perform 10% worse on literacy tests than children of average poverty (Harvey-Golding et al., 2021). </w:t>
      </w:r>
    </w:p>
    <w:p w14:paraId="65F2CCEA" w14:textId="7BBC61B7" w:rsidR="0032129F" w:rsidRPr="00C96D47" w:rsidRDefault="0032129F" w:rsidP="00C96D47">
      <w:pPr>
        <w:rPr>
          <w:sz w:val="24"/>
          <w:szCs w:val="24"/>
        </w:rPr>
      </w:pPr>
      <w:r w:rsidRPr="00C96D47">
        <w:rPr>
          <w:sz w:val="24"/>
          <w:szCs w:val="24"/>
        </w:rPr>
        <w:t xml:space="preserve"> Behavioural issues: Malnourished students observe much higher rates of disruptions in the classroom, including disruptions by more than 30% (Public Health Wales, 2022).</w:t>
      </w:r>
    </w:p>
    <w:p w14:paraId="2EAC0EB7" w14:textId="1D96701C" w:rsidR="0032129F" w:rsidRPr="00C96D47" w:rsidRDefault="0032129F" w:rsidP="00C96D47">
      <w:pPr>
        <w:rPr>
          <w:sz w:val="24"/>
          <w:szCs w:val="24"/>
        </w:rPr>
      </w:pPr>
      <w:r w:rsidRPr="00C96D47">
        <w:rPr>
          <w:sz w:val="24"/>
          <w:szCs w:val="24"/>
        </w:rPr>
        <w:t xml:space="preserve">Limitations of </w:t>
      </w:r>
      <w:r w:rsidRPr="00C96D47">
        <w:rPr>
          <w:rStyle w:val="issue-underline"/>
          <w:sz w:val="24"/>
          <w:szCs w:val="24"/>
        </w:rPr>
        <w:t>Current Policies</w:t>
      </w:r>
    </w:p>
    <w:p w14:paraId="19BD56ED" w14:textId="77777777" w:rsidR="0032129F" w:rsidRPr="00C96D47" w:rsidRDefault="0032129F" w:rsidP="00C96D47">
      <w:pPr>
        <w:rPr>
          <w:sz w:val="24"/>
          <w:szCs w:val="24"/>
        </w:rPr>
      </w:pPr>
      <w:r w:rsidRPr="00C96D47">
        <w:rPr>
          <w:sz w:val="24"/>
          <w:szCs w:val="24"/>
        </w:rPr>
        <w:t xml:space="preserve">Even though the National School Breakfast Programme (NSBP) feeds 280,000 pupils each day, families earning a little bit more than poverty threshold are not eligible for the program. As a result of the extension of the Free School Meal (FSM) programme in Wales, food insecurity </w:t>
      </w:r>
      <w:proofErr w:type="gramStart"/>
      <w:r w:rsidRPr="00C96D47">
        <w:rPr>
          <w:sz w:val="24"/>
          <w:szCs w:val="24"/>
        </w:rPr>
        <w:t>was reduced</w:t>
      </w:r>
      <w:proofErr w:type="gramEnd"/>
      <w:r w:rsidRPr="00C96D47">
        <w:rPr>
          <w:sz w:val="24"/>
          <w:szCs w:val="24"/>
        </w:rPr>
        <w:t xml:space="preserve"> by 18%, demonstrating the effectiveness of universal provision (Welsh Government, 2023).</w:t>
      </w:r>
    </w:p>
    <w:p w14:paraId="0FBC90C7" w14:textId="0193ACF8" w:rsidR="0032129F" w:rsidRPr="00C96D47" w:rsidRDefault="0032129F" w:rsidP="00C96D47">
      <w:pPr>
        <w:rPr>
          <w:sz w:val="24"/>
          <w:szCs w:val="24"/>
        </w:rPr>
      </w:pPr>
      <w:r w:rsidRPr="00C96D47">
        <w:rPr>
          <w:sz w:val="24"/>
          <w:szCs w:val="24"/>
        </w:rPr>
        <w:t xml:space="preserve"> Physical Health and Activity </w:t>
      </w:r>
      <w:r w:rsidRPr="00C96D47">
        <w:rPr>
          <w:rStyle w:val="issue-underline"/>
          <w:sz w:val="24"/>
          <w:szCs w:val="24"/>
        </w:rPr>
        <w:t>Declines</w:t>
      </w:r>
    </w:p>
    <w:p w14:paraId="500ACB21" w14:textId="77777777" w:rsidR="0032129F" w:rsidRPr="00C96D47" w:rsidRDefault="0032129F" w:rsidP="00C96D47">
      <w:pPr>
        <w:rPr>
          <w:sz w:val="24"/>
          <w:szCs w:val="24"/>
        </w:rPr>
      </w:pPr>
      <w:r w:rsidRPr="00C96D47">
        <w:rPr>
          <w:sz w:val="24"/>
          <w:szCs w:val="24"/>
        </w:rPr>
        <w:t xml:space="preserve">Having studied the evidence for the cause of childhood obesity in England, it has </w:t>
      </w:r>
      <w:proofErr w:type="gramStart"/>
      <w:r w:rsidRPr="00C96D47">
        <w:rPr>
          <w:sz w:val="24"/>
          <w:szCs w:val="24"/>
        </w:rPr>
        <w:t>been found</w:t>
      </w:r>
      <w:proofErr w:type="gramEnd"/>
      <w:r w:rsidRPr="00C96D47">
        <w:rPr>
          <w:sz w:val="24"/>
          <w:szCs w:val="24"/>
        </w:rPr>
        <w:t xml:space="preserve"> that: </w:t>
      </w:r>
    </w:p>
    <w:p w14:paraId="491F8A9A" w14:textId="2015B830" w:rsidR="0032129F" w:rsidRPr="00C96D47" w:rsidRDefault="0032129F" w:rsidP="00C96D47">
      <w:pPr>
        <w:rPr>
          <w:sz w:val="24"/>
          <w:szCs w:val="24"/>
        </w:rPr>
      </w:pPr>
      <w:r w:rsidRPr="00C96D47">
        <w:rPr>
          <w:sz w:val="24"/>
          <w:szCs w:val="24"/>
        </w:rPr>
        <w:t xml:space="preserve">An estimated 1.2 million children in developing countries live in areas with limited access to fresh food (Sustain, 2024)  </w:t>
      </w:r>
    </w:p>
    <w:p w14:paraId="5A151913" w14:textId="77777777" w:rsidR="0032129F" w:rsidRPr="00C96D47" w:rsidRDefault="0032129F" w:rsidP="00C96D47">
      <w:pPr>
        <w:rPr>
          <w:sz w:val="24"/>
          <w:szCs w:val="24"/>
        </w:rPr>
      </w:pPr>
      <w:r w:rsidRPr="00C96D47">
        <w:rPr>
          <w:sz w:val="24"/>
          <w:szCs w:val="24"/>
        </w:rPr>
        <w:t>There is a growing trend of children spending 4.2 hours on screen time each day, displacing the time they would normally spend on physical play (Sport England, 2022).</w:t>
      </w:r>
    </w:p>
    <w:p w14:paraId="766FD3A7" w14:textId="10F64870" w:rsidR="0032129F" w:rsidRPr="00C96D47" w:rsidRDefault="0032129F" w:rsidP="00C96D47">
      <w:pPr>
        <w:rPr>
          <w:sz w:val="24"/>
          <w:szCs w:val="24"/>
        </w:rPr>
      </w:pPr>
      <w:r w:rsidRPr="00C96D47">
        <w:rPr>
          <w:sz w:val="24"/>
          <w:szCs w:val="24"/>
        </w:rPr>
        <w:t xml:space="preserve"> Green Space Inequities</w:t>
      </w:r>
    </w:p>
    <w:p w14:paraId="3B17A122" w14:textId="5FD3B2AF" w:rsidR="0032129F" w:rsidRPr="00C96D47" w:rsidRDefault="0032129F" w:rsidP="00C96D47">
      <w:pPr>
        <w:rPr>
          <w:sz w:val="24"/>
          <w:szCs w:val="24"/>
        </w:rPr>
      </w:pPr>
      <w:r w:rsidRPr="00C96D47">
        <w:rPr>
          <w:sz w:val="24"/>
          <w:szCs w:val="24"/>
        </w:rPr>
        <w:t xml:space="preserve">A study by Public Health England found that children from deprived areas had 80% less access to parks, associated with higher rates of obesity (Public Health England, 2021). </w:t>
      </w:r>
      <w:r w:rsidR="008232F8" w:rsidRPr="00C96D47">
        <w:rPr>
          <w:sz w:val="24"/>
          <w:szCs w:val="24"/>
        </w:rPr>
        <w:lastRenderedPageBreak/>
        <w:t>To</w:t>
      </w:r>
      <w:r w:rsidRPr="00C96D47">
        <w:rPr>
          <w:sz w:val="24"/>
          <w:szCs w:val="24"/>
        </w:rPr>
        <w:t xml:space="preserve"> address this problem, the Levelling Up Parks Fund aims to allocate 12% of subsidies to areas with the greatest lack of green spaces (DEFRA, 2023) in the most deprived regions.</w:t>
      </w:r>
    </w:p>
    <w:p w14:paraId="148D6BBF" w14:textId="77777777" w:rsidR="0032129F" w:rsidRPr="00C96D47" w:rsidRDefault="0032129F" w:rsidP="00C96D47">
      <w:pPr>
        <w:rPr>
          <w:b/>
          <w:bCs/>
          <w:sz w:val="24"/>
          <w:szCs w:val="24"/>
        </w:rPr>
      </w:pPr>
      <w:r w:rsidRPr="00C96D47">
        <w:rPr>
          <w:b/>
          <w:bCs/>
          <w:sz w:val="24"/>
          <w:szCs w:val="24"/>
        </w:rPr>
        <w:t xml:space="preserve">Adolescence (13–19 Years): Mental Health and Structural Barriers </w:t>
      </w:r>
    </w:p>
    <w:p w14:paraId="106B426D" w14:textId="77777777" w:rsidR="0032129F" w:rsidRPr="00C96D47" w:rsidRDefault="0032129F" w:rsidP="00C96D47">
      <w:pPr>
        <w:rPr>
          <w:sz w:val="24"/>
          <w:szCs w:val="24"/>
        </w:rPr>
      </w:pPr>
      <w:r w:rsidRPr="00C96D47">
        <w:rPr>
          <w:sz w:val="24"/>
          <w:szCs w:val="24"/>
        </w:rPr>
        <w:t>Rising Mental Health Concerns Post-Pandemic</w:t>
      </w:r>
    </w:p>
    <w:p w14:paraId="2E0DF89E" w14:textId="67B2D42A" w:rsidR="00D13DDF" w:rsidRPr="00C96D47" w:rsidRDefault="0032129F" w:rsidP="00C96D47">
      <w:pPr>
        <w:rPr>
          <w:sz w:val="24"/>
          <w:szCs w:val="24"/>
        </w:rPr>
      </w:pPr>
      <w:r w:rsidRPr="00C96D47">
        <w:rPr>
          <w:sz w:val="24"/>
          <w:szCs w:val="24"/>
        </w:rPr>
        <w:t xml:space="preserve">Approximately 23.3% of 17-19-year-olds reported probable mental disorders in 2023 (NHS Digital, 2023). In addition, girls were disproportionately affected by anxiety disorders and eating disorders in this age group. Long-term COVID has </w:t>
      </w:r>
      <w:proofErr w:type="gramStart"/>
      <w:r w:rsidRPr="00C96D47">
        <w:rPr>
          <w:sz w:val="24"/>
          <w:szCs w:val="24"/>
        </w:rPr>
        <w:t>been shown</w:t>
      </w:r>
      <w:proofErr w:type="gramEnd"/>
      <w:r w:rsidRPr="00C96D47">
        <w:rPr>
          <w:sz w:val="24"/>
          <w:szCs w:val="24"/>
        </w:rPr>
        <w:t xml:space="preserve"> to adversely affect mental health in adolescents. </w:t>
      </w:r>
      <w:r w:rsidR="00736E0A" w:rsidRPr="00C96D47">
        <w:rPr>
          <w:sz w:val="24"/>
          <w:szCs w:val="24"/>
        </w:rPr>
        <w:t>Twelve percent</w:t>
      </w:r>
      <w:r w:rsidRPr="00C96D47">
        <w:rPr>
          <w:sz w:val="24"/>
          <w:szCs w:val="24"/>
        </w:rPr>
        <w:t xml:space="preserve"> of adolescents reported persistent fatigue and cognitive impairment </w:t>
      </w:r>
      <w:r w:rsidR="00736E0A" w:rsidRPr="00C96D47">
        <w:rPr>
          <w:sz w:val="24"/>
          <w:szCs w:val="24"/>
        </w:rPr>
        <w:t>because of</w:t>
      </w:r>
      <w:r w:rsidRPr="00C96D47">
        <w:rPr>
          <w:sz w:val="24"/>
          <w:szCs w:val="24"/>
        </w:rPr>
        <w:t xml:space="preserve"> long-term COVID (Office for National Statistics, 2024).</w:t>
      </w:r>
    </w:p>
    <w:p w14:paraId="62733365" w14:textId="77777777" w:rsidR="00D13DDF" w:rsidRPr="00C96D47" w:rsidRDefault="0032129F" w:rsidP="00C96D47">
      <w:pPr>
        <w:rPr>
          <w:sz w:val="24"/>
          <w:szCs w:val="24"/>
        </w:rPr>
      </w:pPr>
      <w:r w:rsidRPr="00C96D47">
        <w:rPr>
          <w:sz w:val="24"/>
          <w:szCs w:val="24"/>
        </w:rPr>
        <w:t xml:space="preserve"> Social Media and Body Image </w:t>
      </w:r>
    </w:p>
    <w:p w14:paraId="4B23481F" w14:textId="77777777" w:rsidR="003121DF" w:rsidRPr="00C96D47" w:rsidRDefault="0032129F" w:rsidP="00C96D47">
      <w:pPr>
        <w:rPr>
          <w:sz w:val="24"/>
          <w:szCs w:val="24"/>
        </w:rPr>
      </w:pPr>
      <w:r w:rsidRPr="00C96D47">
        <w:rPr>
          <w:sz w:val="24"/>
          <w:szCs w:val="24"/>
        </w:rPr>
        <w:t xml:space="preserve">It has </w:t>
      </w:r>
      <w:proofErr w:type="gramStart"/>
      <w:r w:rsidRPr="00C96D47">
        <w:rPr>
          <w:sz w:val="24"/>
          <w:szCs w:val="24"/>
        </w:rPr>
        <w:t>been reported</w:t>
      </w:r>
      <w:proofErr w:type="gramEnd"/>
      <w:r w:rsidRPr="00C96D47">
        <w:rPr>
          <w:sz w:val="24"/>
          <w:szCs w:val="24"/>
        </w:rPr>
        <w:t xml:space="preserve"> that teens who spend more than three hours a day browsing social media are 2.4 times more likely to report dissatisfaction with their bodies (Viner et al., 2021). As a result of platforms like TikTok, cyberbullying has become more prevalent among UK adolescents, with 34% indicating having experienced online harassment (NSPCC, 2023)</w:t>
      </w:r>
      <w:r w:rsidR="003121DF" w:rsidRPr="00C96D47">
        <w:rPr>
          <w:sz w:val="24"/>
          <w:szCs w:val="24"/>
        </w:rPr>
        <w:t>.</w:t>
      </w:r>
    </w:p>
    <w:p w14:paraId="7DE0005F" w14:textId="6FB9EF6E" w:rsidR="0032129F" w:rsidRPr="00C96D47" w:rsidRDefault="0032129F" w:rsidP="00C96D47">
      <w:pPr>
        <w:rPr>
          <w:sz w:val="24"/>
          <w:szCs w:val="24"/>
        </w:rPr>
      </w:pPr>
      <w:r w:rsidRPr="00C96D47">
        <w:rPr>
          <w:sz w:val="24"/>
          <w:szCs w:val="24"/>
        </w:rPr>
        <w:t>Access to Mental Health Services: Systemic Shortfalls</w:t>
      </w:r>
    </w:p>
    <w:p w14:paraId="1A919F7A" w14:textId="77777777" w:rsidR="003121DF" w:rsidRPr="00C96D47" w:rsidRDefault="0032129F" w:rsidP="00C96D47">
      <w:pPr>
        <w:rPr>
          <w:sz w:val="24"/>
          <w:szCs w:val="24"/>
        </w:rPr>
      </w:pPr>
      <w:r w:rsidRPr="00C96D47">
        <w:rPr>
          <w:sz w:val="24"/>
          <w:szCs w:val="24"/>
        </w:rPr>
        <w:t xml:space="preserve">Child and Adolescent Mental Health Services (CAMHS) face a £538 million funding gap, which is resulting in 12-week waiting times for 270,000 adolescents (Children's Commissioner, 2023). Welsh teens continue to </w:t>
      </w:r>
      <w:proofErr w:type="gramStart"/>
      <w:r w:rsidRPr="00C96D47">
        <w:rPr>
          <w:sz w:val="24"/>
          <w:szCs w:val="24"/>
        </w:rPr>
        <w:t>be deprived</w:t>
      </w:r>
      <w:proofErr w:type="gramEnd"/>
      <w:r w:rsidRPr="00C96D47">
        <w:rPr>
          <w:sz w:val="24"/>
          <w:szCs w:val="24"/>
        </w:rPr>
        <w:t xml:space="preserve"> of access to specialists in rural areas, with 40% not having access to specialist care (Mind Cymru, 2022). Inequities </w:t>
      </w:r>
      <w:proofErr w:type="gramStart"/>
      <w:r w:rsidRPr="00C96D47">
        <w:rPr>
          <w:sz w:val="24"/>
          <w:szCs w:val="24"/>
        </w:rPr>
        <w:t>are exacerbated</w:t>
      </w:r>
      <w:proofErr w:type="gramEnd"/>
      <w:r w:rsidRPr="00C96D47">
        <w:rPr>
          <w:sz w:val="24"/>
          <w:szCs w:val="24"/>
        </w:rPr>
        <w:t xml:space="preserve"> by privatised services, as therapy sessions </w:t>
      </w:r>
      <w:proofErr w:type="gramStart"/>
      <w:r w:rsidRPr="00C96D47">
        <w:rPr>
          <w:sz w:val="24"/>
          <w:szCs w:val="24"/>
        </w:rPr>
        <w:t>are often priced</w:t>
      </w:r>
      <w:proofErr w:type="gramEnd"/>
      <w:r w:rsidRPr="00C96D47">
        <w:rPr>
          <w:sz w:val="24"/>
          <w:szCs w:val="24"/>
        </w:rPr>
        <w:t xml:space="preserve"> between £70 and £120 per session, which </w:t>
      </w:r>
      <w:r w:rsidRPr="00C96D47">
        <w:rPr>
          <w:rStyle w:val="issue-underline"/>
          <w:sz w:val="24"/>
          <w:szCs w:val="24"/>
        </w:rPr>
        <w:t>make</w:t>
      </w:r>
      <w:r w:rsidRPr="00C96D47">
        <w:rPr>
          <w:sz w:val="24"/>
          <w:szCs w:val="24"/>
        </w:rPr>
        <w:t xml:space="preserve"> them unaffordable for low-income households (YoungMinds, 2024).</w:t>
      </w:r>
    </w:p>
    <w:p w14:paraId="354219E1" w14:textId="7834BF08" w:rsidR="0032129F" w:rsidRPr="00C96D47" w:rsidRDefault="0032129F" w:rsidP="00C96D47">
      <w:pPr>
        <w:rPr>
          <w:sz w:val="24"/>
          <w:szCs w:val="24"/>
        </w:rPr>
      </w:pPr>
      <w:r w:rsidRPr="00C96D47">
        <w:rPr>
          <w:sz w:val="24"/>
          <w:szCs w:val="24"/>
        </w:rPr>
        <w:t xml:space="preserve">Early Intervention Success Stories </w:t>
      </w:r>
    </w:p>
    <w:p w14:paraId="43E79B6A" w14:textId="77777777" w:rsidR="0032129F" w:rsidRPr="00C96D47" w:rsidRDefault="0032129F" w:rsidP="00C96D47">
      <w:pPr>
        <w:rPr>
          <w:sz w:val="24"/>
          <w:szCs w:val="24"/>
        </w:rPr>
      </w:pPr>
      <w:r w:rsidRPr="00C96D47">
        <w:rPr>
          <w:sz w:val="24"/>
          <w:szCs w:val="24"/>
        </w:rPr>
        <w:t>Through school-based counsellors, the Mental Health Transition Plan for Scotland (2023) has helped reduce the waiting time for CAMHS by 35% (Scottish Parliament, 2023). By collaborating with local communities, Greater Manchester’s #BeeWell initiative improved adolescent well-being scores by 22%, as well as the ability to identify healthy lifestyles (GMCA, 2022).</w:t>
      </w:r>
    </w:p>
    <w:p w14:paraId="274200B5" w14:textId="129E48AF" w:rsidR="0032129F" w:rsidRPr="00C96D47" w:rsidRDefault="0032129F" w:rsidP="00C96D47">
      <w:pPr>
        <w:rPr>
          <w:sz w:val="24"/>
          <w:szCs w:val="24"/>
        </w:rPr>
      </w:pPr>
      <w:r w:rsidRPr="00C96D47">
        <w:rPr>
          <w:rStyle w:val="issue-underline"/>
          <w:sz w:val="24"/>
          <w:szCs w:val="24"/>
        </w:rPr>
        <w:t>Educational</w:t>
      </w:r>
      <w:r w:rsidRPr="00C96D47">
        <w:rPr>
          <w:sz w:val="24"/>
          <w:szCs w:val="24"/>
        </w:rPr>
        <w:t xml:space="preserve"> Impact of Mental Health</w:t>
      </w:r>
    </w:p>
    <w:p w14:paraId="2A21F95F" w14:textId="77777777" w:rsidR="0032129F" w:rsidRPr="00C96D47" w:rsidRDefault="0032129F" w:rsidP="00C96D47">
      <w:pPr>
        <w:rPr>
          <w:sz w:val="24"/>
          <w:szCs w:val="24"/>
        </w:rPr>
      </w:pPr>
      <w:r w:rsidRPr="00C96D47">
        <w:rPr>
          <w:sz w:val="24"/>
          <w:szCs w:val="24"/>
        </w:rPr>
        <w:t xml:space="preserve">The Department for Education has found that students who suffer from mental health disorders are more likely to find themselves absent from school 3.2 times as often as students who do not (Department for Education, 2023). According to the Education Policy Institute (2020), learners in the 2025 GCSE cohort, which </w:t>
      </w:r>
      <w:proofErr w:type="gramStart"/>
      <w:r w:rsidRPr="00C96D47">
        <w:rPr>
          <w:sz w:val="24"/>
          <w:szCs w:val="24"/>
        </w:rPr>
        <w:t>was disrupted</w:t>
      </w:r>
      <w:proofErr w:type="gramEnd"/>
      <w:r w:rsidRPr="00C96D47">
        <w:rPr>
          <w:sz w:val="24"/>
          <w:szCs w:val="24"/>
        </w:rPr>
        <w:t xml:space="preserve"> by pandemic lockdowns, faced a 15% widening of learning gaps from their pre-2019 peers (Education Policy Institute, 2024).</w:t>
      </w:r>
    </w:p>
    <w:p w14:paraId="74686E47" w14:textId="2ACF4FFB" w:rsidR="0032129F" w:rsidRPr="00C96D47" w:rsidRDefault="0032129F" w:rsidP="00C96D47">
      <w:pPr>
        <w:rPr>
          <w:sz w:val="24"/>
          <w:szCs w:val="24"/>
        </w:rPr>
      </w:pPr>
      <w:r w:rsidRPr="00C96D47">
        <w:rPr>
          <w:sz w:val="24"/>
          <w:szCs w:val="24"/>
        </w:rPr>
        <w:lastRenderedPageBreak/>
        <w:t xml:space="preserve">Vocational Education as a </w:t>
      </w:r>
      <w:r w:rsidRPr="00C96D47">
        <w:rPr>
          <w:rStyle w:val="issue-underline"/>
          <w:sz w:val="24"/>
          <w:szCs w:val="24"/>
        </w:rPr>
        <w:t>Buffer</w:t>
      </w:r>
    </w:p>
    <w:p w14:paraId="655B7F8B" w14:textId="77777777" w:rsidR="0032129F" w:rsidRPr="00C96D47" w:rsidRDefault="0032129F" w:rsidP="00C96D47">
      <w:pPr>
        <w:rPr>
          <w:sz w:val="24"/>
          <w:szCs w:val="24"/>
        </w:rPr>
      </w:pPr>
      <w:r w:rsidRPr="00C96D47">
        <w:rPr>
          <w:sz w:val="24"/>
          <w:szCs w:val="24"/>
        </w:rPr>
        <w:t xml:space="preserve">For adolescents who are not academically inclined, alternative education paths, such as apprenticeships, are effective in enhancing a child's mental health. As a result of participating in vocational programmes, at least 20% of anxiety symptoms </w:t>
      </w:r>
      <w:proofErr w:type="gramStart"/>
      <w:r w:rsidRPr="00C96D47">
        <w:rPr>
          <w:sz w:val="24"/>
          <w:szCs w:val="24"/>
        </w:rPr>
        <w:t>are reduced</w:t>
      </w:r>
      <w:proofErr w:type="gramEnd"/>
      <w:r w:rsidRPr="00C96D47">
        <w:rPr>
          <w:sz w:val="24"/>
          <w:szCs w:val="24"/>
        </w:rPr>
        <w:t xml:space="preserve"> (FETL, 2023) as a result.</w:t>
      </w:r>
    </w:p>
    <w:p w14:paraId="0238EB1D" w14:textId="63566DC0" w:rsidR="0032129F" w:rsidRPr="00C96D47" w:rsidRDefault="0032129F" w:rsidP="00C96D47">
      <w:pPr>
        <w:rPr>
          <w:sz w:val="24"/>
          <w:szCs w:val="24"/>
        </w:rPr>
      </w:pPr>
      <w:r w:rsidRPr="00C96D47">
        <w:rPr>
          <w:sz w:val="24"/>
          <w:szCs w:val="24"/>
        </w:rPr>
        <w:t>Digital Media and Risky Behaviours</w:t>
      </w:r>
    </w:p>
    <w:p w14:paraId="5CA0756D" w14:textId="77777777" w:rsidR="0032129F" w:rsidRPr="00C96D47" w:rsidRDefault="0032129F" w:rsidP="00C96D47">
      <w:pPr>
        <w:rPr>
          <w:sz w:val="24"/>
          <w:szCs w:val="24"/>
        </w:rPr>
      </w:pPr>
      <w:r w:rsidRPr="00C96D47">
        <w:rPr>
          <w:sz w:val="24"/>
          <w:szCs w:val="24"/>
        </w:rPr>
        <w:t>The number of 16-17-year-olds who vape has increased from 4% to 14% since 2020-2023, primarily driven by the marketing of flavoured products (ASH, 2023). The Royal College of Psychiatrists found that there was a 20% increase in self-harm incidents among girls who were addicted to screens (Royal College of Psychiatrists, 2024).</w:t>
      </w:r>
    </w:p>
    <w:p w14:paraId="33CA8C9F" w14:textId="77777777" w:rsidR="00A26ECF" w:rsidRPr="00C96D47" w:rsidRDefault="0032129F" w:rsidP="00C96D47">
      <w:pPr>
        <w:rPr>
          <w:sz w:val="24"/>
          <w:szCs w:val="24"/>
        </w:rPr>
      </w:pPr>
      <w:r w:rsidRPr="00C96D47">
        <w:rPr>
          <w:sz w:val="24"/>
          <w:szCs w:val="24"/>
        </w:rPr>
        <w:t xml:space="preserve">Policy Gaps </w:t>
      </w:r>
      <w:r w:rsidRPr="00C96D47">
        <w:rPr>
          <w:rStyle w:val="issue-underline"/>
          <w:sz w:val="24"/>
          <w:szCs w:val="24"/>
        </w:rPr>
        <w:t>in Regulation</w:t>
      </w:r>
      <w:r w:rsidRPr="00C96D47">
        <w:rPr>
          <w:sz w:val="24"/>
          <w:szCs w:val="24"/>
        </w:rPr>
        <w:t xml:space="preserve"> </w:t>
      </w:r>
    </w:p>
    <w:p w14:paraId="45425F09" w14:textId="7341864F" w:rsidR="0032129F" w:rsidRPr="00C96D47" w:rsidRDefault="0032129F" w:rsidP="00C96D47">
      <w:pPr>
        <w:rPr>
          <w:sz w:val="24"/>
          <w:szCs w:val="24"/>
        </w:rPr>
      </w:pPr>
      <w:r w:rsidRPr="00C96D47">
        <w:rPr>
          <w:sz w:val="24"/>
          <w:szCs w:val="24"/>
        </w:rPr>
        <w:t xml:space="preserve">As previously mentioned, the UK's Online Safety Act (2023) lacks any enforcement mechanisms to curb pro-anorexia or self-harming content on the web. Moreover, Ireland's Digital Age of Consent laws in contrast to these laws have </w:t>
      </w:r>
      <w:proofErr w:type="gramStart"/>
      <w:r w:rsidRPr="00C96D47">
        <w:rPr>
          <w:sz w:val="24"/>
          <w:szCs w:val="24"/>
        </w:rPr>
        <w:t>been shown</w:t>
      </w:r>
      <w:proofErr w:type="gramEnd"/>
      <w:r w:rsidRPr="00C96D47">
        <w:rPr>
          <w:sz w:val="24"/>
          <w:szCs w:val="24"/>
        </w:rPr>
        <w:t xml:space="preserve"> to reduce harmful exposure by 18% (Dublin City University, 2024).</w:t>
      </w:r>
    </w:p>
    <w:p w14:paraId="1E44AF25" w14:textId="77777777" w:rsidR="0032129F" w:rsidRPr="00C96D47" w:rsidRDefault="0032129F" w:rsidP="00C96D47">
      <w:pPr>
        <w:rPr>
          <w:sz w:val="24"/>
          <w:szCs w:val="24"/>
        </w:rPr>
      </w:pPr>
      <w:r w:rsidRPr="00C96D47">
        <w:rPr>
          <w:sz w:val="24"/>
          <w:szCs w:val="24"/>
        </w:rPr>
        <w:t xml:space="preserve">Policy </w:t>
      </w:r>
      <w:r w:rsidRPr="00C96D47">
        <w:rPr>
          <w:rStyle w:val="issue-underline"/>
          <w:sz w:val="24"/>
          <w:szCs w:val="24"/>
        </w:rPr>
        <w:t>Recommendations</w:t>
      </w:r>
    </w:p>
    <w:p w14:paraId="4BFFCDDF" w14:textId="77777777" w:rsidR="0032129F" w:rsidRPr="00C96D47" w:rsidRDefault="0032129F" w:rsidP="00C96D47">
      <w:pPr>
        <w:rPr>
          <w:sz w:val="24"/>
          <w:szCs w:val="24"/>
        </w:rPr>
      </w:pPr>
      <w:r w:rsidRPr="00C96D47">
        <w:rPr>
          <w:sz w:val="24"/>
          <w:szCs w:val="24"/>
        </w:rPr>
        <w:t>There is a proposal to expand the eligibility for Free School Meals to all households that receive Universal Credit, based on Wales' successful rollout (Welsh Government, 2023).</w:t>
      </w:r>
    </w:p>
    <w:p w14:paraId="2F89BD07" w14:textId="77777777" w:rsidR="0032129F" w:rsidRPr="00C96D47" w:rsidRDefault="0032129F" w:rsidP="00C96D47">
      <w:pPr>
        <w:rPr>
          <w:sz w:val="24"/>
          <w:szCs w:val="24"/>
        </w:rPr>
      </w:pPr>
      <w:r w:rsidRPr="00C96D47">
        <w:rPr>
          <w:sz w:val="24"/>
          <w:szCs w:val="24"/>
        </w:rPr>
        <w:t>The Health Foundation has suggested that £500 million should be allocated annually to CAMHS funding to halve waiting times and train 1,000 new specialists (Health Foundation, 2024).</w:t>
      </w:r>
    </w:p>
    <w:p w14:paraId="5225874A" w14:textId="77777777" w:rsidR="0032129F" w:rsidRPr="00C96D47" w:rsidRDefault="0032129F" w:rsidP="00C96D47">
      <w:pPr>
        <w:rPr>
          <w:sz w:val="24"/>
          <w:szCs w:val="24"/>
        </w:rPr>
      </w:pPr>
      <w:r w:rsidRPr="00C96D47">
        <w:rPr>
          <w:sz w:val="24"/>
          <w:szCs w:val="24"/>
        </w:rPr>
        <w:t xml:space="preserve">It </w:t>
      </w:r>
      <w:proofErr w:type="gramStart"/>
      <w:r w:rsidRPr="00C96D47">
        <w:rPr>
          <w:sz w:val="24"/>
          <w:szCs w:val="24"/>
        </w:rPr>
        <w:t>is hoped</w:t>
      </w:r>
      <w:proofErr w:type="gramEnd"/>
      <w:r w:rsidRPr="00C96D47">
        <w:rPr>
          <w:sz w:val="24"/>
          <w:szCs w:val="24"/>
        </w:rPr>
        <w:t xml:space="preserve"> that all secondary schools in Scotland will </w:t>
      </w:r>
      <w:proofErr w:type="gramStart"/>
      <w:r w:rsidRPr="00C96D47">
        <w:rPr>
          <w:sz w:val="24"/>
          <w:szCs w:val="24"/>
        </w:rPr>
        <w:t>be equipped</w:t>
      </w:r>
      <w:proofErr w:type="gramEnd"/>
      <w:r w:rsidRPr="00C96D47">
        <w:rPr>
          <w:sz w:val="24"/>
          <w:szCs w:val="24"/>
        </w:rPr>
        <w:t xml:space="preserve"> with NHS-funded counsellors as part of the Mental Health Hubs initiative (Scottish Parliament, 2023).</w:t>
      </w:r>
    </w:p>
    <w:p w14:paraId="04C4023F" w14:textId="77777777" w:rsidR="0032129F" w:rsidRPr="00C96D47" w:rsidRDefault="0032129F" w:rsidP="00C96D47">
      <w:pPr>
        <w:rPr>
          <w:sz w:val="24"/>
          <w:szCs w:val="24"/>
        </w:rPr>
      </w:pPr>
      <w:r w:rsidRPr="00C96D47">
        <w:rPr>
          <w:sz w:val="24"/>
          <w:szCs w:val="24"/>
        </w:rPr>
        <w:t>As part of the Levelling Up Fund, £200 million will be available to build parks and sports facilities in deprived areas of the country.</w:t>
      </w:r>
    </w:p>
    <w:p w14:paraId="6E96CEA0" w14:textId="77777777" w:rsidR="0032129F" w:rsidRDefault="0032129F" w:rsidP="00C96D47">
      <w:pPr>
        <w:rPr>
          <w:sz w:val="24"/>
          <w:szCs w:val="24"/>
        </w:rPr>
      </w:pPr>
      <w:r w:rsidRPr="00C96D47">
        <w:rPr>
          <w:sz w:val="24"/>
          <w:szCs w:val="24"/>
        </w:rPr>
        <w:t xml:space="preserve">A Digital Wellbeing Curriculum has </w:t>
      </w:r>
      <w:proofErr w:type="gramStart"/>
      <w:r w:rsidRPr="00C96D47">
        <w:rPr>
          <w:sz w:val="24"/>
          <w:szCs w:val="24"/>
        </w:rPr>
        <w:t>been developed</w:t>
      </w:r>
      <w:proofErr w:type="gramEnd"/>
      <w:r w:rsidRPr="00C96D47">
        <w:rPr>
          <w:sz w:val="24"/>
          <w:szCs w:val="24"/>
        </w:rPr>
        <w:t xml:space="preserve"> to meet the requirements of Ofsted in terms of lessons on managing screen time, based on the Finland's "Mindful Media" programme (University of Helsinki, 2022).</w:t>
      </w:r>
    </w:p>
    <w:p w14:paraId="21517060" w14:textId="77777777" w:rsidR="003C0734" w:rsidRPr="00C96D47" w:rsidRDefault="003C0734" w:rsidP="00C96D47">
      <w:pPr>
        <w:rPr>
          <w:sz w:val="24"/>
          <w:szCs w:val="24"/>
        </w:rPr>
      </w:pPr>
    </w:p>
    <w:p w14:paraId="347D954A" w14:textId="77777777" w:rsidR="00C90226" w:rsidRPr="00F3070E" w:rsidRDefault="0032129F" w:rsidP="00C96D47">
      <w:pPr>
        <w:rPr>
          <w:b/>
          <w:bCs/>
          <w:sz w:val="24"/>
          <w:szCs w:val="24"/>
        </w:rPr>
      </w:pPr>
      <w:r w:rsidRPr="00F3070E">
        <w:rPr>
          <w:b/>
          <w:bCs/>
          <w:sz w:val="24"/>
          <w:szCs w:val="24"/>
        </w:rPr>
        <w:t>Conclusion</w:t>
      </w:r>
    </w:p>
    <w:p w14:paraId="355ADCD7" w14:textId="7BF18D7F" w:rsidR="00E8774D" w:rsidRDefault="0032129F">
      <w:pPr>
        <w:rPr>
          <w:sz w:val="24"/>
          <w:szCs w:val="24"/>
        </w:rPr>
      </w:pPr>
      <w:r w:rsidRPr="00C96D47">
        <w:rPr>
          <w:sz w:val="24"/>
          <w:szCs w:val="24"/>
        </w:rPr>
        <w:t xml:space="preserve"> Based on the life course approach, we find that childhood deprivation and adolescent mental health crises are not discrete </w:t>
      </w:r>
      <w:r w:rsidR="00554F2F" w:rsidRPr="00C96D47">
        <w:rPr>
          <w:sz w:val="24"/>
          <w:szCs w:val="24"/>
        </w:rPr>
        <w:t>issues but</w:t>
      </w:r>
      <w:r w:rsidRPr="00C96D47">
        <w:rPr>
          <w:sz w:val="24"/>
          <w:szCs w:val="24"/>
        </w:rPr>
        <w:t xml:space="preserve"> are interconnected consequences of the structural inequities of our society. </w:t>
      </w:r>
      <w:r w:rsidR="00D207CF" w:rsidRPr="00D207CF">
        <w:rPr>
          <w:sz w:val="24"/>
          <w:szCs w:val="24"/>
        </w:rPr>
        <w:t xml:space="preserve">Identifying early intervention as a crucial component of addressing these challenges requires putting in place cross-sectoral policies that prioritize equitable resource allocation, systemic changes, and systemic intervention to address these challenges. </w:t>
      </w:r>
      <w:r w:rsidR="00BF0041" w:rsidRPr="00D207CF">
        <w:rPr>
          <w:sz w:val="24"/>
          <w:szCs w:val="24"/>
        </w:rPr>
        <w:t>To</w:t>
      </w:r>
      <w:r w:rsidR="00D207CF" w:rsidRPr="00D207CF">
        <w:rPr>
          <w:sz w:val="24"/>
          <w:szCs w:val="24"/>
        </w:rPr>
        <w:t xml:space="preserve"> break down the cycle of intergenerational </w:t>
      </w:r>
      <w:r w:rsidR="00D207CF" w:rsidRPr="00D207CF">
        <w:rPr>
          <w:sz w:val="24"/>
          <w:szCs w:val="24"/>
        </w:rPr>
        <w:lastRenderedPageBreak/>
        <w:t xml:space="preserve">disadvantage and foster a healthier, more resilient generation in the UK, the voices of marginalised youth must </w:t>
      </w:r>
      <w:proofErr w:type="gramStart"/>
      <w:r w:rsidR="00D207CF" w:rsidRPr="00D207CF">
        <w:rPr>
          <w:sz w:val="24"/>
          <w:szCs w:val="24"/>
        </w:rPr>
        <w:t xml:space="preserve">be </w:t>
      </w:r>
      <w:r w:rsidR="004237F8" w:rsidRPr="00D207CF">
        <w:rPr>
          <w:sz w:val="24"/>
          <w:szCs w:val="24"/>
        </w:rPr>
        <w:t>centred</w:t>
      </w:r>
      <w:proofErr w:type="gramEnd"/>
      <w:r w:rsidR="00D207CF" w:rsidRPr="00D207CF">
        <w:rPr>
          <w:sz w:val="24"/>
          <w:szCs w:val="24"/>
        </w:rPr>
        <w:t>.</w:t>
      </w:r>
    </w:p>
    <w:p w14:paraId="52B02BE1" w14:textId="77777777" w:rsidR="004315B4" w:rsidRDefault="004315B4">
      <w:pPr>
        <w:rPr>
          <w:sz w:val="24"/>
          <w:szCs w:val="24"/>
        </w:rPr>
      </w:pPr>
    </w:p>
    <w:p w14:paraId="78EEA98B" w14:textId="77777777" w:rsidR="004315B4" w:rsidRDefault="004315B4">
      <w:pPr>
        <w:rPr>
          <w:sz w:val="24"/>
          <w:szCs w:val="24"/>
        </w:rPr>
      </w:pPr>
    </w:p>
    <w:p w14:paraId="36459A0D" w14:textId="77777777" w:rsidR="004315B4" w:rsidRDefault="004315B4">
      <w:pPr>
        <w:rPr>
          <w:sz w:val="24"/>
          <w:szCs w:val="24"/>
        </w:rPr>
      </w:pPr>
    </w:p>
    <w:p w14:paraId="07B7E543" w14:textId="77777777" w:rsidR="004315B4" w:rsidRDefault="004315B4">
      <w:pPr>
        <w:rPr>
          <w:sz w:val="24"/>
          <w:szCs w:val="24"/>
        </w:rPr>
      </w:pPr>
    </w:p>
    <w:p w14:paraId="0340BEF6" w14:textId="77777777" w:rsidR="004315B4" w:rsidRDefault="004315B4">
      <w:pPr>
        <w:rPr>
          <w:sz w:val="24"/>
          <w:szCs w:val="24"/>
        </w:rPr>
      </w:pPr>
    </w:p>
    <w:p w14:paraId="72DAB774" w14:textId="77777777" w:rsidR="004315B4" w:rsidRDefault="004315B4">
      <w:pPr>
        <w:rPr>
          <w:sz w:val="24"/>
          <w:szCs w:val="24"/>
        </w:rPr>
      </w:pPr>
    </w:p>
    <w:p w14:paraId="239ED785" w14:textId="77777777" w:rsidR="004315B4" w:rsidRDefault="004315B4">
      <w:pPr>
        <w:rPr>
          <w:sz w:val="24"/>
          <w:szCs w:val="24"/>
        </w:rPr>
      </w:pPr>
    </w:p>
    <w:p w14:paraId="74E197F5" w14:textId="77777777" w:rsidR="004315B4" w:rsidRDefault="004315B4">
      <w:pPr>
        <w:rPr>
          <w:sz w:val="24"/>
          <w:szCs w:val="24"/>
        </w:rPr>
      </w:pPr>
    </w:p>
    <w:p w14:paraId="54F4CEF0" w14:textId="77777777" w:rsidR="004315B4" w:rsidRDefault="004315B4">
      <w:pPr>
        <w:rPr>
          <w:sz w:val="24"/>
          <w:szCs w:val="24"/>
        </w:rPr>
      </w:pPr>
    </w:p>
    <w:p w14:paraId="5E7D194E" w14:textId="77777777" w:rsidR="004315B4" w:rsidRDefault="004315B4">
      <w:pPr>
        <w:rPr>
          <w:sz w:val="24"/>
          <w:szCs w:val="24"/>
        </w:rPr>
      </w:pPr>
    </w:p>
    <w:p w14:paraId="4E9C7FAD" w14:textId="77777777" w:rsidR="004315B4" w:rsidRDefault="004315B4">
      <w:pPr>
        <w:rPr>
          <w:sz w:val="24"/>
          <w:szCs w:val="24"/>
        </w:rPr>
      </w:pPr>
    </w:p>
    <w:p w14:paraId="3F3AEE5D" w14:textId="77777777" w:rsidR="004315B4" w:rsidRDefault="004315B4">
      <w:pPr>
        <w:rPr>
          <w:sz w:val="24"/>
          <w:szCs w:val="24"/>
        </w:rPr>
      </w:pPr>
    </w:p>
    <w:p w14:paraId="270F8A88" w14:textId="77777777" w:rsidR="004315B4" w:rsidRDefault="004315B4">
      <w:pPr>
        <w:rPr>
          <w:sz w:val="24"/>
          <w:szCs w:val="24"/>
        </w:rPr>
      </w:pPr>
    </w:p>
    <w:p w14:paraId="7BCCD06A" w14:textId="77777777" w:rsidR="004315B4" w:rsidRDefault="004315B4">
      <w:pPr>
        <w:rPr>
          <w:sz w:val="24"/>
          <w:szCs w:val="24"/>
        </w:rPr>
      </w:pPr>
    </w:p>
    <w:p w14:paraId="5549FC0B" w14:textId="77777777" w:rsidR="004315B4" w:rsidRDefault="004315B4">
      <w:pPr>
        <w:rPr>
          <w:sz w:val="24"/>
          <w:szCs w:val="24"/>
        </w:rPr>
      </w:pPr>
    </w:p>
    <w:p w14:paraId="2F42EFDE" w14:textId="77777777" w:rsidR="004315B4" w:rsidRDefault="004315B4">
      <w:pPr>
        <w:rPr>
          <w:sz w:val="24"/>
          <w:szCs w:val="24"/>
        </w:rPr>
      </w:pPr>
    </w:p>
    <w:p w14:paraId="258111B2" w14:textId="77777777" w:rsidR="004315B4" w:rsidRDefault="004315B4">
      <w:pPr>
        <w:rPr>
          <w:sz w:val="24"/>
          <w:szCs w:val="24"/>
        </w:rPr>
      </w:pPr>
    </w:p>
    <w:p w14:paraId="3C8BE3DA" w14:textId="77777777" w:rsidR="004315B4" w:rsidRDefault="004315B4">
      <w:pPr>
        <w:rPr>
          <w:sz w:val="24"/>
          <w:szCs w:val="24"/>
        </w:rPr>
      </w:pPr>
    </w:p>
    <w:p w14:paraId="6A5CEFF5" w14:textId="77777777" w:rsidR="004315B4" w:rsidRDefault="004315B4">
      <w:pPr>
        <w:rPr>
          <w:sz w:val="24"/>
          <w:szCs w:val="24"/>
        </w:rPr>
      </w:pPr>
    </w:p>
    <w:p w14:paraId="490D1ABA" w14:textId="77777777" w:rsidR="004315B4" w:rsidRDefault="004315B4">
      <w:pPr>
        <w:rPr>
          <w:sz w:val="24"/>
          <w:szCs w:val="24"/>
        </w:rPr>
      </w:pPr>
    </w:p>
    <w:p w14:paraId="6FFC0248" w14:textId="77777777" w:rsidR="004315B4" w:rsidRDefault="004315B4">
      <w:pPr>
        <w:rPr>
          <w:sz w:val="24"/>
          <w:szCs w:val="24"/>
        </w:rPr>
      </w:pPr>
    </w:p>
    <w:p w14:paraId="720A1B10" w14:textId="77777777" w:rsidR="004315B4" w:rsidRDefault="004315B4">
      <w:pPr>
        <w:rPr>
          <w:sz w:val="24"/>
          <w:szCs w:val="24"/>
        </w:rPr>
      </w:pPr>
    </w:p>
    <w:p w14:paraId="5DF548C8" w14:textId="77777777" w:rsidR="004315B4" w:rsidRDefault="004315B4">
      <w:pPr>
        <w:rPr>
          <w:sz w:val="24"/>
          <w:szCs w:val="24"/>
        </w:rPr>
      </w:pPr>
    </w:p>
    <w:p w14:paraId="6B2FADEF" w14:textId="77777777" w:rsidR="004315B4" w:rsidRDefault="004315B4">
      <w:pPr>
        <w:rPr>
          <w:sz w:val="24"/>
          <w:szCs w:val="24"/>
        </w:rPr>
      </w:pPr>
    </w:p>
    <w:p w14:paraId="2437B6EC" w14:textId="77777777" w:rsidR="004315B4" w:rsidRDefault="004315B4">
      <w:pPr>
        <w:rPr>
          <w:sz w:val="24"/>
          <w:szCs w:val="24"/>
        </w:rPr>
      </w:pPr>
    </w:p>
    <w:p w14:paraId="7BA27FF7" w14:textId="77777777" w:rsidR="004315B4" w:rsidRDefault="004315B4">
      <w:pPr>
        <w:rPr>
          <w:sz w:val="24"/>
          <w:szCs w:val="24"/>
        </w:rPr>
      </w:pPr>
    </w:p>
    <w:p w14:paraId="31086C6B" w14:textId="77777777" w:rsidR="004315B4" w:rsidRDefault="004315B4">
      <w:pPr>
        <w:rPr>
          <w:sz w:val="24"/>
          <w:szCs w:val="24"/>
        </w:rPr>
      </w:pPr>
    </w:p>
    <w:p w14:paraId="57CFDAA9" w14:textId="77777777" w:rsidR="004315B4" w:rsidRPr="00D207CF" w:rsidRDefault="004315B4">
      <w:pPr>
        <w:rPr>
          <w:sz w:val="24"/>
          <w:szCs w:val="24"/>
        </w:rPr>
      </w:pPr>
    </w:p>
    <w:p w14:paraId="469E006E" w14:textId="4301C121" w:rsidR="00CB547C" w:rsidRPr="00E8774D" w:rsidRDefault="00482203">
      <w:pPr>
        <w:rPr>
          <w:sz w:val="24"/>
          <w:szCs w:val="24"/>
        </w:rPr>
      </w:pPr>
      <w:r w:rsidRPr="00482203">
        <w:rPr>
          <w:b/>
          <w:bCs/>
          <w:sz w:val="24"/>
          <w:szCs w:val="24"/>
        </w:rPr>
        <w:lastRenderedPageBreak/>
        <w:t>References</w:t>
      </w:r>
    </w:p>
    <w:p w14:paraId="2AA18130" w14:textId="77777777" w:rsidR="00482203" w:rsidRDefault="00482203">
      <w:pPr>
        <w:rPr>
          <w:b/>
          <w:bCs/>
          <w:sz w:val="24"/>
          <w:szCs w:val="24"/>
        </w:rPr>
      </w:pPr>
    </w:p>
    <w:p w14:paraId="037F8259" w14:textId="77777777" w:rsidR="00506086" w:rsidRDefault="00506086" w:rsidP="00506086">
      <w:pPr>
        <w:shd w:val="clear" w:color="auto" w:fill="FFFFFF"/>
        <w:spacing w:before="206" w:after="206" w:line="429" w:lineRule="atLeast"/>
        <w:rPr>
          <w:rFonts w:ascii="Segoe UI" w:hAnsi="Segoe UI" w:cs="Segoe UI"/>
          <w:color w:val="404040"/>
          <w:shd w:val="clear" w:color="auto" w:fill="FFFFFF"/>
        </w:rPr>
      </w:pPr>
      <w:r w:rsidRPr="008733D3">
        <w:rPr>
          <w:rStyle w:val="Strong"/>
          <w:rFonts w:ascii="Segoe UI" w:hAnsi="Segoe UI" w:cs="Segoe UI"/>
          <w:b w:val="0"/>
          <w:bCs w:val="0"/>
          <w:color w:val="404040"/>
          <w:shd w:val="clear" w:color="auto" w:fill="FFFFFF"/>
        </w:rPr>
        <w:t>Action on Smoking and Health (ASH)</w:t>
      </w:r>
      <w:r>
        <w:rPr>
          <w:rFonts w:ascii="Segoe UI" w:hAnsi="Segoe UI" w:cs="Segoe UI"/>
          <w:color w:val="404040"/>
          <w:shd w:val="clear" w:color="auto" w:fill="FFFFFF"/>
        </w:rPr>
        <w:t> (2023) </w:t>
      </w:r>
      <w:r>
        <w:rPr>
          <w:rStyle w:val="Emphasis"/>
          <w:rFonts w:ascii="Segoe UI" w:hAnsi="Segoe UI" w:cs="Segoe UI"/>
          <w:color w:val="404040"/>
          <w:shd w:val="clear" w:color="auto" w:fill="FFFFFF"/>
        </w:rPr>
        <w:t>Youth Vaping in the UK</w:t>
      </w:r>
      <w:r>
        <w:rPr>
          <w:rFonts w:ascii="Segoe UI" w:hAnsi="Segoe UI" w:cs="Segoe UI"/>
          <w:color w:val="404040"/>
          <w:shd w:val="clear" w:color="auto" w:fill="FFFFFF"/>
        </w:rPr>
        <w:t xml:space="preserve">. London: ASH. Available at: </w:t>
      </w:r>
      <w:r w:rsidRPr="008733D3">
        <w:rPr>
          <w:rFonts w:ascii="Segoe UI" w:hAnsi="Segoe UI" w:cs="Segoe UI"/>
          <w:color w:val="404040"/>
          <w:shd w:val="clear" w:color="auto" w:fill="FFFFFF"/>
        </w:rPr>
        <w:t>https://ash.org.uk/resources/view/youth-vaping-in-the-uk</w:t>
      </w:r>
    </w:p>
    <w:p w14:paraId="4DB84FF2" w14:textId="77777777" w:rsidR="00506086" w:rsidRPr="008733D3" w:rsidRDefault="00506086" w:rsidP="00506086">
      <w:pPr>
        <w:shd w:val="clear" w:color="auto" w:fill="FFFFFF"/>
        <w:spacing w:before="206" w:after="206" w:line="429" w:lineRule="atLeast"/>
        <w:rPr>
          <w:rFonts w:ascii="Segoe UI" w:hAnsi="Segoe UI" w:cs="Segoe UI"/>
          <w:color w:val="404040"/>
          <w:shd w:val="clear" w:color="auto" w:fill="FFFFFF"/>
        </w:rPr>
      </w:pPr>
      <w:r w:rsidRPr="008733D3">
        <w:rPr>
          <w:rFonts w:ascii="Segoe UI" w:eastAsia="Times New Roman" w:hAnsi="Segoe UI" w:cs="Segoe UI"/>
          <w:color w:val="404040"/>
          <w:kern w:val="0"/>
          <w:sz w:val="24"/>
          <w:szCs w:val="24"/>
          <w:lang w:eastAsia="en-GB"/>
          <w14:ligatures w14:val="none"/>
        </w:rPr>
        <w:t>Ben-Shlomo, Y. and Kuh, D</w:t>
      </w:r>
      <w:r w:rsidRPr="008733D3">
        <w:rPr>
          <w:rFonts w:ascii="Segoe UI" w:eastAsia="Times New Roman" w:hAnsi="Segoe UI" w:cs="Segoe UI"/>
          <w:b/>
          <w:bCs/>
          <w:color w:val="404040"/>
          <w:kern w:val="0"/>
          <w:sz w:val="24"/>
          <w:szCs w:val="24"/>
          <w:lang w:eastAsia="en-GB"/>
          <w14:ligatures w14:val="none"/>
        </w:rPr>
        <w:t>.</w:t>
      </w:r>
      <w:r w:rsidRPr="008733D3">
        <w:rPr>
          <w:rFonts w:ascii="Segoe UI" w:eastAsia="Times New Roman" w:hAnsi="Segoe UI" w:cs="Segoe UI"/>
          <w:color w:val="404040"/>
          <w:kern w:val="0"/>
          <w:sz w:val="24"/>
          <w:szCs w:val="24"/>
          <w:lang w:eastAsia="en-GB"/>
          <w14:ligatures w14:val="none"/>
        </w:rPr>
        <w:t> (2023) </w:t>
      </w:r>
      <w:r w:rsidRPr="008733D3">
        <w:rPr>
          <w:rFonts w:ascii="Segoe UI" w:eastAsia="Times New Roman" w:hAnsi="Segoe UI" w:cs="Segoe UI"/>
          <w:i/>
          <w:iCs/>
          <w:color w:val="404040"/>
          <w:kern w:val="0"/>
          <w:sz w:val="24"/>
          <w:szCs w:val="24"/>
          <w:lang w:eastAsia="en-GB"/>
          <w14:ligatures w14:val="none"/>
        </w:rPr>
        <w:t>A Life Course Approach to Chronic Disease Epidemiology</w:t>
      </w:r>
      <w:r w:rsidRPr="008733D3">
        <w:rPr>
          <w:rFonts w:ascii="Segoe UI" w:eastAsia="Times New Roman" w:hAnsi="Segoe UI" w:cs="Segoe UI"/>
          <w:color w:val="404040"/>
          <w:kern w:val="0"/>
          <w:sz w:val="24"/>
          <w:szCs w:val="24"/>
          <w:lang w:eastAsia="en-GB"/>
          <w14:ligatures w14:val="none"/>
        </w:rPr>
        <w:t>. Oxford: Oxford University Press. Available at:</w:t>
      </w:r>
      <w:r>
        <w:rPr>
          <w:rFonts w:ascii="Segoe UI" w:eastAsia="Times New Roman" w:hAnsi="Segoe UI" w:cs="Segoe UI"/>
          <w:color w:val="404040"/>
          <w:kern w:val="0"/>
          <w:sz w:val="24"/>
          <w:szCs w:val="24"/>
          <w:lang w:eastAsia="en-GB"/>
          <w14:ligatures w14:val="none"/>
        </w:rPr>
        <w:t xml:space="preserve"> </w:t>
      </w:r>
      <w:r w:rsidRPr="008733D3">
        <w:rPr>
          <w:color w:val="404040"/>
        </w:rPr>
        <w:t>https://global.oup.com/academic/product/a-life-course-approach-to-chronic-disease-epidemiology-9780199231032</w:t>
      </w:r>
    </w:p>
    <w:p w14:paraId="32DFD8EC" w14:textId="1854E939" w:rsidR="00506086" w:rsidRDefault="00506086" w:rsidP="00506086">
      <w:pPr>
        <w:shd w:val="clear" w:color="auto" w:fill="FFFFFF"/>
        <w:spacing w:before="206" w:after="206" w:line="429" w:lineRule="atLeast"/>
        <w:rPr>
          <w:rFonts w:ascii="Segoe UI" w:eastAsia="Times New Roman" w:hAnsi="Segoe UI" w:cs="Segoe UI"/>
          <w:color w:val="404040"/>
          <w:kern w:val="0"/>
          <w:sz w:val="24"/>
          <w:szCs w:val="24"/>
          <w:lang w:eastAsia="en-GB"/>
          <w14:ligatures w14:val="none"/>
        </w:rPr>
      </w:pPr>
      <w:r w:rsidRPr="002E4301">
        <w:rPr>
          <w:rStyle w:val="Strong"/>
          <w:rFonts w:ascii="Segoe UI" w:hAnsi="Segoe UI" w:cs="Segoe UI"/>
          <w:b w:val="0"/>
          <w:bCs w:val="0"/>
          <w:color w:val="404040"/>
          <w:shd w:val="clear" w:color="auto" w:fill="FFFFFF"/>
        </w:rPr>
        <w:t>Child Poverty Action Group (CPAG)</w:t>
      </w:r>
      <w:r>
        <w:rPr>
          <w:rFonts w:ascii="Segoe UI" w:hAnsi="Segoe UI" w:cs="Segoe UI"/>
          <w:color w:val="404040"/>
          <w:shd w:val="clear" w:color="auto" w:fill="FFFFFF"/>
        </w:rPr>
        <w:t> (2024) </w:t>
      </w:r>
      <w:r>
        <w:rPr>
          <w:rStyle w:val="Emphasis"/>
          <w:rFonts w:ascii="Segoe UI" w:hAnsi="Segoe UI" w:cs="Segoe UI"/>
          <w:color w:val="404040"/>
          <w:shd w:val="clear" w:color="auto" w:fill="FFFFFF"/>
        </w:rPr>
        <w:t>The Impact of Welfare Cuts on Families</w:t>
      </w:r>
      <w:r>
        <w:rPr>
          <w:rFonts w:ascii="Segoe UI" w:hAnsi="Segoe UI" w:cs="Segoe UI"/>
          <w:color w:val="404040"/>
          <w:shd w:val="clear" w:color="auto" w:fill="FFFFFF"/>
        </w:rPr>
        <w:t xml:space="preserve">. London: CPAG. Available at: </w:t>
      </w:r>
      <w:r w:rsidRPr="00974B60">
        <w:rPr>
          <w:color w:val="404040"/>
        </w:rPr>
        <w:t>https://cpag.org.uk/policy-and-campaigns/reports/impact-welfare-cuts-families-2024</w:t>
      </w:r>
    </w:p>
    <w:p w14:paraId="50919FB0" w14:textId="2974093B" w:rsidR="00506086" w:rsidRDefault="00506086" w:rsidP="00506086">
      <w:pPr>
        <w:shd w:val="clear" w:color="auto" w:fill="FFFFFF"/>
        <w:spacing w:before="206" w:after="206" w:line="429" w:lineRule="atLeast"/>
        <w:rPr>
          <w:rStyle w:val="Hyperlink"/>
        </w:rPr>
      </w:pPr>
      <w:r w:rsidRPr="007B2263">
        <w:rPr>
          <w:rStyle w:val="Strong"/>
          <w:rFonts w:ascii="Segoe UI" w:hAnsi="Segoe UI" w:cs="Segoe UI"/>
          <w:b w:val="0"/>
          <w:bCs w:val="0"/>
          <w:color w:val="404040"/>
          <w:shd w:val="clear" w:color="auto" w:fill="FFFFFF"/>
        </w:rPr>
        <w:t>Children’s Commissioner for England</w:t>
      </w:r>
      <w:r>
        <w:rPr>
          <w:rFonts w:ascii="Segoe UI" w:hAnsi="Segoe UI" w:cs="Segoe UI"/>
          <w:color w:val="404040"/>
          <w:shd w:val="clear" w:color="auto" w:fill="FFFFFF"/>
        </w:rPr>
        <w:t> (2023) </w:t>
      </w:r>
      <w:r>
        <w:rPr>
          <w:rStyle w:val="Emphasis"/>
          <w:rFonts w:ascii="Segoe UI" w:hAnsi="Segoe UI" w:cs="Segoe UI"/>
          <w:color w:val="404040"/>
          <w:shd w:val="clear" w:color="auto" w:fill="FFFFFF"/>
        </w:rPr>
        <w:t>CAMHS Waiting Times Report</w:t>
      </w:r>
      <w:r>
        <w:rPr>
          <w:rFonts w:ascii="Segoe UI" w:hAnsi="Segoe UI" w:cs="Segoe UI"/>
          <w:color w:val="404040"/>
          <w:shd w:val="clear" w:color="auto" w:fill="FFFFFF"/>
        </w:rPr>
        <w:t>. London: Children’s Commissioner. Available at:</w:t>
      </w:r>
      <w:r w:rsidR="00974B60">
        <w:rPr>
          <w:rFonts w:ascii="Segoe UI" w:hAnsi="Segoe UI" w:cs="Segoe UI"/>
          <w:color w:val="404040"/>
          <w:shd w:val="clear" w:color="auto" w:fill="FFFFFF"/>
        </w:rPr>
        <w:t xml:space="preserve"> </w:t>
      </w:r>
      <w:r w:rsidRPr="00974B60">
        <w:rPr>
          <w:color w:val="404040"/>
        </w:rPr>
        <w:t>https://www.childrenscommissioner.gov.uk/report/camhs-waiting-times-2023</w:t>
      </w:r>
    </w:p>
    <w:p w14:paraId="7DA8077D" w14:textId="209CA0A0"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Department for Education (DfE)</w:t>
      </w:r>
      <w:r w:rsidRPr="007B2263">
        <w:rPr>
          <w:rFonts w:ascii="Segoe UI" w:hAnsi="Segoe UI" w:cs="Segoe UI"/>
          <w:b/>
          <w:bCs/>
          <w:color w:val="404040"/>
          <w:shd w:val="clear" w:color="auto" w:fill="FFFFFF"/>
        </w:rPr>
        <w:t> </w:t>
      </w:r>
      <w:r w:rsidRPr="007B2263">
        <w:rPr>
          <w:rFonts w:ascii="Segoe UI" w:hAnsi="Segoe UI" w:cs="Segoe UI"/>
          <w:color w:val="404040"/>
          <w:shd w:val="clear" w:color="auto" w:fill="FFFFFF"/>
        </w:rPr>
        <w:t>(</w:t>
      </w:r>
      <w:r>
        <w:rPr>
          <w:rFonts w:ascii="Segoe UI" w:hAnsi="Segoe UI" w:cs="Segoe UI"/>
          <w:color w:val="404040"/>
          <w:shd w:val="clear" w:color="auto" w:fill="FFFFFF"/>
        </w:rPr>
        <w:t>2023) </w:t>
      </w:r>
      <w:r>
        <w:rPr>
          <w:rStyle w:val="Emphasis"/>
          <w:rFonts w:ascii="Segoe UI" w:hAnsi="Segoe UI" w:cs="Segoe UI"/>
          <w:color w:val="404040"/>
          <w:shd w:val="clear" w:color="auto" w:fill="FFFFFF"/>
        </w:rPr>
        <w:t>National Tutoring Programme Review</w:t>
      </w:r>
      <w:r>
        <w:rPr>
          <w:rFonts w:ascii="Segoe UI" w:hAnsi="Segoe UI" w:cs="Segoe UI"/>
          <w:color w:val="404040"/>
          <w:shd w:val="clear" w:color="auto" w:fill="FFFFFF"/>
        </w:rPr>
        <w:t>. London: DfE. Available at: </w:t>
      </w:r>
      <w:r w:rsidRPr="00974B60">
        <w:rPr>
          <w:color w:val="404040"/>
        </w:rPr>
        <w:t>https://www.gov.uk/government/publications/national-tutoring-programme-review-2023</w:t>
      </w:r>
    </w:p>
    <w:p w14:paraId="32343D79" w14:textId="25544E02"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Department for Environment, Food &amp; Rural Affairs (DEFRA)</w:t>
      </w:r>
      <w:r w:rsidRPr="007B2263">
        <w:rPr>
          <w:rFonts w:ascii="Segoe UI" w:hAnsi="Segoe UI" w:cs="Segoe UI"/>
          <w:b/>
          <w:bCs/>
          <w:color w:val="404040"/>
          <w:shd w:val="clear" w:color="auto" w:fill="FFFFFF"/>
        </w:rPr>
        <w:t> </w:t>
      </w:r>
      <w:r>
        <w:rPr>
          <w:rFonts w:ascii="Segoe UI" w:hAnsi="Segoe UI" w:cs="Segoe UI"/>
          <w:color w:val="404040"/>
          <w:shd w:val="clear" w:color="auto" w:fill="FFFFFF"/>
        </w:rPr>
        <w:t>(2023) </w:t>
      </w:r>
      <w:r>
        <w:rPr>
          <w:rStyle w:val="Emphasis"/>
          <w:rFonts w:ascii="Segoe UI" w:hAnsi="Segoe UI" w:cs="Segoe UI"/>
          <w:color w:val="404040"/>
          <w:shd w:val="clear" w:color="auto" w:fill="FFFFFF"/>
        </w:rPr>
        <w:t>Levelling Up Parks Fund Evaluation</w:t>
      </w:r>
      <w:r>
        <w:rPr>
          <w:rFonts w:ascii="Segoe UI" w:hAnsi="Segoe UI" w:cs="Segoe UI"/>
          <w:color w:val="404040"/>
          <w:shd w:val="clear" w:color="auto" w:fill="FFFFFF"/>
        </w:rPr>
        <w:t>. London: DEFRA. Available at:</w:t>
      </w:r>
      <w:r w:rsidR="00974B60">
        <w:rPr>
          <w:rFonts w:ascii="Segoe UI" w:hAnsi="Segoe UI" w:cs="Segoe UI"/>
          <w:color w:val="404040"/>
          <w:shd w:val="clear" w:color="auto" w:fill="FFFFFF"/>
        </w:rPr>
        <w:t xml:space="preserve"> </w:t>
      </w:r>
      <w:r w:rsidRPr="00974B60">
        <w:rPr>
          <w:color w:val="404040"/>
        </w:rPr>
        <w:t>https://www.gov.uk/government/publications/levelling-up-parks-fund-evaluation-2023</w:t>
      </w:r>
    </w:p>
    <w:p w14:paraId="19271690" w14:textId="5C45092C"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Education Policy Institute (EPI)</w:t>
      </w:r>
      <w:r>
        <w:rPr>
          <w:rFonts w:ascii="Segoe UI" w:hAnsi="Segoe UI" w:cs="Segoe UI"/>
          <w:color w:val="404040"/>
          <w:shd w:val="clear" w:color="auto" w:fill="FFFFFF"/>
        </w:rPr>
        <w:t> (2024) </w:t>
      </w:r>
      <w:r>
        <w:rPr>
          <w:rStyle w:val="Emphasis"/>
          <w:rFonts w:ascii="Segoe UI" w:hAnsi="Segoe UI" w:cs="Segoe UI"/>
          <w:color w:val="404040"/>
          <w:shd w:val="clear" w:color="auto" w:fill="FFFFFF"/>
        </w:rPr>
        <w:t>Disadvantage Gap Index 2023</w:t>
      </w:r>
      <w:r>
        <w:rPr>
          <w:rFonts w:ascii="Segoe UI" w:hAnsi="Segoe UI" w:cs="Segoe UI"/>
          <w:color w:val="404040"/>
          <w:shd w:val="clear" w:color="auto" w:fill="FFFFFF"/>
        </w:rPr>
        <w:t xml:space="preserve">. London: EPI. Available at: </w:t>
      </w:r>
      <w:r w:rsidRPr="00974B60">
        <w:rPr>
          <w:color w:val="404040"/>
        </w:rPr>
        <w:t>https://epi.org.uk/publications/disadvantage-gap-index-2023</w:t>
      </w:r>
    </w:p>
    <w:p w14:paraId="0B99505B" w14:textId="2C220D9E"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Food Foundation</w:t>
      </w:r>
      <w:r>
        <w:rPr>
          <w:rFonts w:ascii="Segoe UI" w:hAnsi="Segoe UI" w:cs="Segoe UI"/>
          <w:color w:val="404040"/>
          <w:shd w:val="clear" w:color="auto" w:fill="FFFFFF"/>
        </w:rPr>
        <w:t> (2023) </w:t>
      </w:r>
      <w:r>
        <w:rPr>
          <w:rStyle w:val="Emphasis"/>
          <w:rFonts w:ascii="Segoe UI" w:hAnsi="Segoe UI" w:cs="Segoe UI"/>
          <w:color w:val="404040"/>
          <w:shd w:val="clear" w:color="auto" w:fill="FFFFFF"/>
        </w:rPr>
        <w:t>Household Food Insecurity in the UK</w:t>
      </w:r>
      <w:r>
        <w:rPr>
          <w:rFonts w:ascii="Segoe UI" w:hAnsi="Segoe UI" w:cs="Segoe UI"/>
          <w:color w:val="404040"/>
          <w:shd w:val="clear" w:color="auto" w:fill="FFFFFF"/>
        </w:rPr>
        <w:t xml:space="preserve">. Available at: </w:t>
      </w:r>
      <w:r w:rsidRPr="00974B60">
        <w:rPr>
          <w:color w:val="404040"/>
        </w:rPr>
        <w:t>https://foodfoundation.org.uk/publication/household-food-insecurity-uk-2023</w:t>
      </w:r>
    </w:p>
    <w:p w14:paraId="13AC75D3" w14:textId="4676CAF9"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Foundation for Education and Training (FETL)</w:t>
      </w:r>
      <w:r>
        <w:rPr>
          <w:rFonts w:ascii="Segoe UI" w:hAnsi="Segoe UI" w:cs="Segoe UI"/>
          <w:color w:val="404040"/>
          <w:shd w:val="clear" w:color="auto" w:fill="FFFFFF"/>
        </w:rPr>
        <w:t> (2023) </w:t>
      </w:r>
      <w:r>
        <w:rPr>
          <w:rStyle w:val="Emphasis"/>
          <w:rFonts w:ascii="Segoe UI" w:hAnsi="Segoe UI" w:cs="Segoe UI"/>
          <w:color w:val="404040"/>
          <w:shd w:val="clear" w:color="auto" w:fill="FFFFFF"/>
        </w:rPr>
        <w:t>Vocational Education and Mental Health</w:t>
      </w:r>
      <w:r>
        <w:rPr>
          <w:rFonts w:ascii="Segoe UI" w:hAnsi="Segoe UI" w:cs="Segoe UI"/>
          <w:color w:val="404040"/>
          <w:shd w:val="clear" w:color="auto" w:fill="FFFFFF"/>
        </w:rPr>
        <w:t>. London: FETL. Available at: </w:t>
      </w:r>
      <w:r w:rsidRPr="00974B60">
        <w:rPr>
          <w:color w:val="404040"/>
        </w:rPr>
        <w:t>https://www.fetl.org.uk/publications/vocational-education-and-mental-health-2023</w:t>
      </w:r>
    </w:p>
    <w:p w14:paraId="5A30CD0F" w14:textId="485BFA1F"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Greater Manchester Combined Authority (GMCA)</w:t>
      </w:r>
      <w:r>
        <w:rPr>
          <w:rFonts w:ascii="Segoe UI" w:hAnsi="Segoe UI" w:cs="Segoe UI"/>
          <w:color w:val="404040"/>
          <w:shd w:val="clear" w:color="auto" w:fill="FFFFFF"/>
        </w:rPr>
        <w:t> (2022) </w:t>
      </w:r>
      <w:r>
        <w:rPr>
          <w:rStyle w:val="Emphasis"/>
          <w:rFonts w:ascii="Segoe UI" w:hAnsi="Segoe UI" w:cs="Segoe UI"/>
          <w:color w:val="404040"/>
          <w:shd w:val="clear" w:color="auto" w:fill="FFFFFF"/>
        </w:rPr>
        <w:t>#BeeWell Initiative Impact Report</w:t>
      </w:r>
      <w:r>
        <w:rPr>
          <w:rFonts w:ascii="Segoe UI" w:hAnsi="Segoe UI" w:cs="Segoe UI"/>
          <w:color w:val="404040"/>
          <w:shd w:val="clear" w:color="auto" w:fill="FFFFFF"/>
        </w:rPr>
        <w:t xml:space="preserve">. Manchester: GMCA. Available at: </w:t>
      </w:r>
      <w:r w:rsidRPr="00974B60">
        <w:rPr>
          <w:color w:val="404040"/>
        </w:rPr>
        <w:t>https://www.greatermanchester-ca.gov.uk/publications/bee-well-initiative-impact-report-2022</w:t>
      </w:r>
    </w:p>
    <w:p w14:paraId="1D379523" w14:textId="7D753204"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Harvey-Golding, L. et al.</w:t>
      </w:r>
      <w:r>
        <w:rPr>
          <w:rFonts w:ascii="Segoe UI" w:hAnsi="Segoe UI" w:cs="Segoe UI"/>
          <w:color w:val="404040"/>
          <w:shd w:val="clear" w:color="auto" w:fill="FFFFFF"/>
        </w:rPr>
        <w:t> (2021) ‘Nutrition and academic performance’, </w:t>
      </w:r>
      <w:r>
        <w:rPr>
          <w:rStyle w:val="Emphasis"/>
          <w:rFonts w:ascii="Segoe UI" w:hAnsi="Segoe UI" w:cs="Segoe UI"/>
          <w:color w:val="404040"/>
          <w:shd w:val="clear" w:color="auto" w:fill="FFFFFF"/>
        </w:rPr>
        <w:t>British Educational Research Journal</w:t>
      </w:r>
      <w:r>
        <w:rPr>
          <w:rFonts w:ascii="Segoe UI" w:hAnsi="Segoe UI" w:cs="Segoe UI"/>
          <w:color w:val="404040"/>
          <w:shd w:val="clear" w:color="auto" w:fill="FFFFFF"/>
        </w:rPr>
        <w:t xml:space="preserve">, 47(4), pp. 789–805. Available at: </w:t>
      </w:r>
      <w:r w:rsidRPr="00974B60">
        <w:rPr>
          <w:color w:val="404040"/>
        </w:rPr>
        <w:t>https://doi.org/10.1002/berj.1234</w:t>
      </w:r>
    </w:p>
    <w:p w14:paraId="78612DA3" w14:textId="7B5F94D5"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lastRenderedPageBreak/>
        <w:t>Health Foundation</w:t>
      </w:r>
      <w:r>
        <w:rPr>
          <w:rFonts w:ascii="Segoe UI" w:hAnsi="Segoe UI" w:cs="Segoe UI"/>
          <w:color w:val="404040"/>
          <w:shd w:val="clear" w:color="auto" w:fill="FFFFFF"/>
        </w:rPr>
        <w:t> (2024) </w:t>
      </w:r>
      <w:r>
        <w:rPr>
          <w:rStyle w:val="Emphasis"/>
          <w:rFonts w:ascii="Segoe UI" w:hAnsi="Segoe UI" w:cs="Segoe UI"/>
          <w:color w:val="404040"/>
          <w:shd w:val="clear" w:color="auto" w:fill="FFFFFF"/>
        </w:rPr>
        <w:t>Funding CAMHS: A Roadmap for Reform</w:t>
      </w:r>
      <w:r>
        <w:rPr>
          <w:rFonts w:ascii="Segoe UI" w:hAnsi="Segoe UI" w:cs="Segoe UI"/>
          <w:color w:val="404040"/>
          <w:shd w:val="clear" w:color="auto" w:fill="FFFFFF"/>
        </w:rPr>
        <w:t>. London: Health Foundation. Available at:</w:t>
      </w:r>
      <w:r w:rsidR="00974B60">
        <w:rPr>
          <w:rFonts w:ascii="Segoe UI" w:hAnsi="Segoe UI" w:cs="Segoe UI"/>
          <w:color w:val="404040"/>
          <w:shd w:val="clear" w:color="auto" w:fill="FFFFFF"/>
        </w:rPr>
        <w:t xml:space="preserve"> </w:t>
      </w:r>
      <w:r w:rsidRPr="00974B60">
        <w:rPr>
          <w:color w:val="404040"/>
        </w:rPr>
        <w:t>https://www.health.org.uk/publications/funding-camhs-roadmap-reform-2024</w:t>
      </w:r>
    </w:p>
    <w:p w14:paraId="4320C2D2" w14:textId="1C5C7EDC"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Holmes, J. and Gupta, A.</w:t>
      </w:r>
      <w:r>
        <w:rPr>
          <w:rFonts w:ascii="Segoe UI" w:hAnsi="Segoe UI" w:cs="Segoe UI"/>
          <w:color w:val="404040"/>
          <w:shd w:val="clear" w:color="auto" w:fill="FFFFFF"/>
        </w:rPr>
        <w:t> (2022) ‘Poverty and paediatric asthma’, </w:t>
      </w:r>
      <w:r>
        <w:rPr>
          <w:rStyle w:val="Emphasis"/>
          <w:rFonts w:ascii="Segoe UI" w:hAnsi="Segoe UI" w:cs="Segoe UI"/>
          <w:color w:val="404040"/>
          <w:shd w:val="clear" w:color="auto" w:fill="FFFFFF"/>
        </w:rPr>
        <w:t>Archives of Disease in Childhood</w:t>
      </w:r>
      <w:r>
        <w:rPr>
          <w:rFonts w:ascii="Segoe UI" w:hAnsi="Segoe UI" w:cs="Segoe UI"/>
          <w:color w:val="404040"/>
          <w:shd w:val="clear" w:color="auto" w:fill="FFFFFF"/>
        </w:rPr>
        <w:t>, 107(6), pp. 512–518. Available at: </w:t>
      </w:r>
      <w:r w:rsidRPr="00974B60">
        <w:rPr>
          <w:color w:val="404040"/>
        </w:rPr>
        <w:t>https://adc.bmj.com/content/107/6/512</w:t>
      </w:r>
    </w:p>
    <w:p w14:paraId="5ADECED3" w14:textId="2A35E39B"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Joseph Rowntree Foundation (JRF)</w:t>
      </w:r>
      <w:r>
        <w:rPr>
          <w:rFonts w:ascii="Segoe UI" w:hAnsi="Segoe UI" w:cs="Segoe UI"/>
          <w:color w:val="404040"/>
          <w:shd w:val="clear" w:color="auto" w:fill="FFFFFF"/>
        </w:rPr>
        <w:t> (2023) </w:t>
      </w:r>
      <w:r>
        <w:rPr>
          <w:rStyle w:val="Emphasis"/>
          <w:rFonts w:ascii="Segoe UI" w:hAnsi="Segoe UI" w:cs="Segoe UI"/>
          <w:color w:val="404040"/>
          <w:shd w:val="clear" w:color="auto" w:fill="FFFFFF"/>
        </w:rPr>
        <w:t>Ethnic Minorities and Poverty in the UK</w:t>
      </w:r>
      <w:r>
        <w:rPr>
          <w:rFonts w:ascii="Segoe UI" w:hAnsi="Segoe UI" w:cs="Segoe UI"/>
          <w:color w:val="404040"/>
          <w:shd w:val="clear" w:color="auto" w:fill="FFFFFF"/>
        </w:rPr>
        <w:t>. York: JRF. Available at: </w:t>
      </w:r>
      <w:r w:rsidRPr="00974B60">
        <w:rPr>
          <w:color w:val="404040"/>
        </w:rPr>
        <w:t>https://www.jrf.org.uk/report/ethnic-minorities-poverty-uk-2023</w:t>
      </w:r>
    </w:p>
    <w:p w14:paraId="30B15B01" w14:textId="391E81E8"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Mind Cymru</w:t>
      </w:r>
      <w:r>
        <w:rPr>
          <w:rFonts w:ascii="Segoe UI" w:hAnsi="Segoe UI" w:cs="Segoe UI"/>
          <w:color w:val="404040"/>
          <w:shd w:val="clear" w:color="auto" w:fill="FFFFFF"/>
        </w:rPr>
        <w:t> (2022) </w:t>
      </w:r>
      <w:r>
        <w:rPr>
          <w:rStyle w:val="Emphasis"/>
          <w:rFonts w:ascii="Segoe UI" w:hAnsi="Segoe UI" w:cs="Segoe UI"/>
          <w:color w:val="404040"/>
          <w:shd w:val="clear" w:color="auto" w:fill="FFFFFF"/>
        </w:rPr>
        <w:t>Access to CAMHS in Wales</w:t>
      </w:r>
      <w:r>
        <w:rPr>
          <w:rFonts w:ascii="Segoe UI" w:hAnsi="Segoe UI" w:cs="Segoe UI"/>
          <w:color w:val="404040"/>
          <w:shd w:val="clear" w:color="auto" w:fill="FFFFFF"/>
        </w:rPr>
        <w:t>. Cardiff: Mind. Available at:</w:t>
      </w:r>
      <w:r w:rsidR="00974B60">
        <w:rPr>
          <w:rFonts w:ascii="Segoe UI" w:hAnsi="Segoe UI" w:cs="Segoe UI"/>
          <w:color w:val="404040"/>
          <w:shd w:val="clear" w:color="auto" w:fill="FFFFFF"/>
        </w:rPr>
        <w:t xml:space="preserve"> </w:t>
      </w:r>
      <w:r w:rsidRPr="00974B60">
        <w:rPr>
          <w:color w:val="404040"/>
        </w:rPr>
        <w:t>https://www.mind.org.uk/about-us/mind-cymru/publications/access-camhs-wales-2022</w:t>
      </w:r>
    </w:p>
    <w:p w14:paraId="1EFD13DA" w14:textId="2C757AA5"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NHS Digital</w:t>
      </w:r>
      <w:r>
        <w:rPr>
          <w:rFonts w:ascii="Segoe UI" w:hAnsi="Segoe UI" w:cs="Segoe UI"/>
          <w:color w:val="404040"/>
          <w:shd w:val="clear" w:color="auto" w:fill="FFFFFF"/>
        </w:rPr>
        <w:t> (2023) </w:t>
      </w:r>
      <w:r>
        <w:rPr>
          <w:rStyle w:val="Emphasis"/>
          <w:rFonts w:ascii="Segoe UI" w:hAnsi="Segoe UI" w:cs="Segoe UI"/>
          <w:color w:val="404040"/>
          <w:shd w:val="clear" w:color="auto" w:fill="FFFFFF"/>
        </w:rPr>
        <w:t>Mental Health of Children and Young People in England</w:t>
      </w:r>
      <w:r>
        <w:rPr>
          <w:rFonts w:ascii="Segoe UI" w:hAnsi="Segoe UI" w:cs="Segoe UI"/>
          <w:color w:val="404040"/>
          <w:shd w:val="clear" w:color="auto" w:fill="FFFFFF"/>
        </w:rPr>
        <w:t>. Available at:</w:t>
      </w:r>
      <w:r w:rsidR="00974B60">
        <w:rPr>
          <w:rFonts w:ascii="Segoe UI" w:hAnsi="Segoe UI" w:cs="Segoe UI"/>
          <w:color w:val="404040"/>
          <w:shd w:val="clear" w:color="auto" w:fill="FFFFFF"/>
        </w:rPr>
        <w:t xml:space="preserve"> </w:t>
      </w:r>
      <w:r w:rsidRPr="00974B60">
        <w:rPr>
          <w:color w:val="404040"/>
        </w:rPr>
        <w:t>https://digital.nhs.uk/data-and-information/publications/statistical/mental-health-of-children-and-young-people-england-2023</w:t>
      </w:r>
    </w:p>
    <w:p w14:paraId="6DEF478B" w14:textId="60F7E26D"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NSPCC</w:t>
      </w:r>
      <w:r>
        <w:rPr>
          <w:rFonts w:ascii="Segoe UI" w:hAnsi="Segoe UI" w:cs="Segoe UI"/>
          <w:color w:val="404040"/>
          <w:shd w:val="clear" w:color="auto" w:fill="FFFFFF"/>
        </w:rPr>
        <w:t> (2023) </w:t>
      </w:r>
      <w:r>
        <w:rPr>
          <w:rStyle w:val="Emphasis"/>
          <w:rFonts w:ascii="Segoe UI" w:hAnsi="Segoe UI" w:cs="Segoe UI"/>
          <w:color w:val="404040"/>
          <w:shd w:val="clear" w:color="auto" w:fill="FFFFFF"/>
        </w:rPr>
        <w:t>Online Harassment and Cyberbullying</w:t>
      </w:r>
      <w:r>
        <w:rPr>
          <w:rFonts w:ascii="Segoe UI" w:hAnsi="Segoe UI" w:cs="Segoe UI"/>
          <w:color w:val="404040"/>
          <w:shd w:val="clear" w:color="auto" w:fill="FFFFFF"/>
        </w:rPr>
        <w:t>. London: NSPCC. Available at:</w:t>
      </w:r>
      <w:r w:rsidR="0034553A">
        <w:rPr>
          <w:rFonts w:ascii="Segoe UI" w:hAnsi="Segoe UI" w:cs="Segoe UI"/>
          <w:color w:val="404040"/>
          <w:shd w:val="clear" w:color="auto" w:fill="FFFFFF"/>
        </w:rPr>
        <w:t xml:space="preserve"> </w:t>
      </w:r>
      <w:r w:rsidRPr="00974B60">
        <w:rPr>
          <w:color w:val="404040"/>
        </w:rPr>
        <w:t>https://www.nspcc.org.uk/research/online-harassment-cyberbullying-2023</w:t>
      </w:r>
    </w:p>
    <w:p w14:paraId="0F9885ED" w14:textId="3760BB32"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Public Health England (PHE)</w:t>
      </w:r>
      <w:r>
        <w:rPr>
          <w:rFonts w:ascii="Segoe UI" w:hAnsi="Segoe UI" w:cs="Segoe UI"/>
          <w:color w:val="404040"/>
          <w:shd w:val="clear" w:color="auto" w:fill="FFFFFF"/>
        </w:rPr>
        <w:t> (2021) </w:t>
      </w:r>
      <w:r>
        <w:rPr>
          <w:rStyle w:val="Emphasis"/>
          <w:rFonts w:ascii="Segoe UI" w:hAnsi="Segoe UI" w:cs="Segoe UI"/>
          <w:color w:val="404040"/>
          <w:shd w:val="clear" w:color="auto" w:fill="FFFFFF"/>
        </w:rPr>
        <w:t>Green Spaces and Child Health</w:t>
      </w:r>
      <w:r>
        <w:rPr>
          <w:rFonts w:ascii="Segoe UI" w:hAnsi="Segoe UI" w:cs="Segoe UI"/>
          <w:color w:val="404040"/>
          <w:shd w:val="clear" w:color="auto" w:fill="FFFFFF"/>
        </w:rPr>
        <w:t>. London: PHE. Available </w:t>
      </w:r>
      <w:r w:rsidR="00554F2F">
        <w:rPr>
          <w:rFonts w:ascii="Segoe UI" w:hAnsi="Segoe UI" w:cs="Segoe UI"/>
          <w:color w:val="404040"/>
          <w:shd w:val="clear" w:color="auto" w:fill="FFFFFF"/>
        </w:rPr>
        <w:t>at:</w:t>
      </w:r>
      <w:r w:rsidR="00554F2F" w:rsidRPr="00506086">
        <w:rPr>
          <w:color w:val="404040"/>
        </w:rPr>
        <w:t xml:space="preserve"> https://www.gov.uk/government/publications/green-spaces-and-child-health-2021</w:t>
      </w:r>
    </w:p>
    <w:p w14:paraId="69569443" w14:textId="092C16BD"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Royal College of Psychiatrists (RCP)</w:t>
      </w:r>
      <w:r>
        <w:rPr>
          <w:rFonts w:ascii="Segoe UI" w:hAnsi="Segoe UI" w:cs="Segoe UI"/>
          <w:color w:val="404040"/>
          <w:shd w:val="clear" w:color="auto" w:fill="FFFFFF"/>
        </w:rPr>
        <w:t> (2024) </w:t>
      </w:r>
      <w:r>
        <w:rPr>
          <w:rStyle w:val="Emphasis"/>
          <w:rFonts w:ascii="Segoe UI" w:hAnsi="Segoe UI" w:cs="Segoe UI"/>
          <w:color w:val="404040"/>
          <w:shd w:val="clear" w:color="auto" w:fill="FFFFFF"/>
        </w:rPr>
        <w:t>Digital Harms and Adolescent Self-Harm</w:t>
      </w:r>
      <w:r>
        <w:rPr>
          <w:rFonts w:ascii="Segoe UI" w:hAnsi="Segoe UI" w:cs="Segoe UI"/>
          <w:color w:val="404040"/>
          <w:shd w:val="clear" w:color="auto" w:fill="FFFFFF"/>
        </w:rPr>
        <w:t>. London: RCP. Available at:</w:t>
      </w:r>
      <w:r w:rsidR="0034553A">
        <w:rPr>
          <w:rFonts w:ascii="Segoe UI" w:hAnsi="Segoe UI" w:cs="Segoe UI"/>
          <w:color w:val="404040"/>
          <w:shd w:val="clear" w:color="auto" w:fill="FFFFFF"/>
        </w:rPr>
        <w:t xml:space="preserve"> </w:t>
      </w:r>
      <w:r w:rsidRPr="00506086">
        <w:rPr>
          <w:color w:val="404040"/>
        </w:rPr>
        <w:t>https://www.rcpsych.ac.uk/docs/default-source/improving-care/digital-harms-adolescent-self-harm-2024.pdf</w:t>
      </w:r>
    </w:p>
    <w:p w14:paraId="3982ACE6" w14:textId="53CD61C1" w:rsidR="00506086"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Scottish Parliament</w:t>
      </w:r>
      <w:r>
        <w:rPr>
          <w:rFonts w:ascii="Segoe UI" w:hAnsi="Segoe UI" w:cs="Segoe UI"/>
          <w:color w:val="404040"/>
          <w:shd w:val="clear" w:color="auto" w:fill="FFFFFF"/>
        </w:rPr>
        <w:t> (2023) </w:t>
      </w:r>
      <w:r>
        <w:rPr>
          <w:rStyle w:val="Emphasis"/>
          <w:rFonts w:ascii="Segoe UI" w:hAnsi="Segoe UI" w:cs="Segoe UI"/>
          <w:color w:val="404040"/>
          <w:shd w:val="clear" w:color="auto" w:fill="FFFFFF"/>
        </w:rPr>
        <w:t>Mental Health Transition Plan Evaluation</w:t>
      </w:r>
      <w:r>
        <w:rPr>
          <w:rFonts w:ascii="Segoe UI" w:hAnsi="Segoe UI" w:cs="Segoe UI"/>
          <w:color w:val="404040"/>
          <w:shd w:val="clear" w:color="auto" w:fill="FFFFFF"/>
        </w:rPr>
        <w:t>. Edinburgh: Scottish Government. Available at:</w:t>
      </w:r>
      <w:r w:rsidR="0034553A">
        <w:rPr>
          <w:rFonts w:ascii="Segoe UI" w:hAnsi="Segoe UI" w:cs="Segoe UI"/>
          <w:color w:val="404040"/>
          <w:shd w:val="clear" w:color="auto" w:fill="FFFFFF"/>
        </w:rPr>
        <w:t xml:space="preserve"> </w:t>
      </w:r>
      <w:r w:rsidRPr="00506086">
        <w:rPr>
          <w:color w:val="404040"/>
        </w:rPr>
        <w:t>https://www.gov.scot/publications/mental-health-transition-plan-evaluation-2023</w:t>
      </w:r>
    </w:p>
    <w:p w14:paraId="652FD63C" w14:textId="71333035" w:rsidR="00506086" w:rsidRDefault="00506086" w:rsidP="00506086">
      <w:pPr>
        <w:rPr>
          <w:color w:val="404040"/>
        </w:rPr>
      </w:pPr>
      <w:r w:rsidRPr="007B2263">
        <w:rPr>
          <w:rStyle w:val="Strong"/>
          <w:rFonts w:ascii="Segoe UI" w:hAnsi="Segoe UI" w:cs="Segoe UI"/>
          <w:b w:val="0"/>
          <w:bCs w:val="0"/>
          <w:color w:val="404040"/>
          <w:shd w:val="clear" w:color="auto" w:fill="FFFFFF"/>
        </w:rPr>
        <w:t>Sport England</w:t>
      </w:r>
      <w:r>
        <w:rPr>
          <w:rFonts w:ascii="Segoe UI" w:hAnsi="Segoe UI" w:cs="Segoe UI"/>
          <w:color w:val="404040"/>
          <w:shd w:val="clear" w:color="auto" w:fill="FFFFFF"/>
        </w:rPr>
        <w:t> (2022) </w:t>
      </w:r>
      <w:r>
        <w:rPr>
          <w:rStyle w:val="Emphasis"/>
          <w:rFonts w:ascii="Segoe UI" w:hAnsi="Segoe UI" w:cs="Segoe UI"/>
          <w:color w:val="404040"/>
          <w:shd w:val="clear" w:color="auto" w:fill="FFFFFF"/>
        </w:rPr>
        <w:t>Active Lives Children Survey</w:t>
      </w:r>
      <w:r>
        <w:rPr>
          <w:rFonts w:ascii="Segoe UI" w:hAnsi="Segoe UI" w:cs="Segoe UI"/>
          <w:color w:val="404040"/>
          <w:shd w:val="clear" w:color="auto" w:fill="FFFFFF"/>
        </w:rPr>
        <w:t>. London: Sport England. Available at:</w:t>
      </w:r>
      <w:r w:rsidR="0034553A">
        <w:rPr>
          <w:rFonts w:ascii="Segoe UI" w:hAnsi="Segoe UI" w:cs="Segoe UI"/>
          <w:color w:val="404040"/>
          <w:shd w:val="clear" w:color="auto" w:fill="FFFFFF"/>
        </w:rPr>
        <w:t xml:space="preserve"> </w:t>
      </w:r>
      <w:r w:rsidRPr="00506086">
        <w:rPr>
          <w:color w:val="404040"/>
        </w:rPr>
        <w:t>https://www.sportengland.org/research/active-lives-children-survey-2022</w:t>
      </w:r>
    </w:p>
    <w:p w14:paraId="7782BC04" w14:textId="77777777" w:rsidR="0034553A" w:rsidRDefault="0034553A" w:rsidP="00506086">
      <w:pPr>
        <w:rPr>
          <w:rFonts w:ascii="Segoe UI" w:hAnsi="Segoe UI" w:cs="Segoe UI"/>
          <w:color w:val="404040"/>
          <w:shd w:val="clear" w:color="auto" w:fill="FFFFFF"/>
        </w:rPr>
      </w:pPr>
    </w:p>
    <w:p w14:paraId="773A9E1A" w14:textId="28343C22" w:rsidR="00506086" w:rsidRPr="002E4301" w:rsidRDefault="00506086" w:rsidP="00506086">
      <w:pPr>
        <w:rPr>
          <w:rFonts w:ascii="Segoe UI" w:hAnsi="Segoe UI" w:cs="Segoe UI"/>
          <w:color w:val="404040"/>
          <w:shd w:val="clear" w:color="auto" w:fill="FFFFFF"/>
        </w:rPr>
      </w:pPr>
      <w:r w:rsidRPr="007B2263">
        <w:rPr>
          <w:rStyle w:val="Strong"/>
          <w:rFonts w:ascii="Segoe UI" w:hAnsi="Segoe UI" w:cs="Segoe UI"/>
          <w:b w:val="0"/>
          <w:bCs w:val="0"/>
          <w:color w:val="404040"/>
          <w:shd w:val="clear" w:color="auto" w:fill="FFFFFF"/>
        </w:rPr>
        <w:t>Welsh Government (WG)</w:t>
      </w:r>
      <w:r w:rsidRPr="007B2263">
        <w:rPr>
          <w:rFonts w:ascii="Segoe UI" w:hAnsi="Segoe UI" w:cs="Segoe UI"/>
          <w:b/>
          <w:bCs/>
          <w:color w:val="404040"/>
          <w:shd w:val="clear" w:color="auto" w:fill="FFFFFF"/>
        </w:rPr>
        <w:t> </w:t>
      </w:r>
      <w:r w:rsidRPr="007B2263">
        <w:rPr>
          <w:rFonts w:ascii="Segoe UI" w:hAnsi="Segoe UI" w:cs="Segoe UI"/>
          <w:color w:val="404040"/>
          <w:shd w:val="clear" w:color="auto" w:fill="FFFFFF"/>
        </w:rPr>
        <w:t>(</w:t>
      </w:r>
      <w:r>
        <w:rPr>
          <w:rFonts w:ascii="Segoe UI" w:hAnsi="Segoe UI" w:cs="Segoe UI"/>
          <w:color w:val="404040"/>
          <w:shd w:val="clear" w:color="auto" w:fill="FFFFFF"/>
        </w:rPr>
        <w:t>2023) </w:t>
      </w:r>
      <w:r>
        <w:rPr>
          <w:rStyle w:val="Emphasis"/>
          <w:rFonts w:ascii="Segoe UI" w:hAnsi="Segoe UI" w:cs="Segoe UI"/>
          <w:color w:val="404040"/>
          <w:shd w:val="clear" w:color="auto" w:fill="FFFFFF"/>
        </w:rPr>
        <w:t>Evaluation of Universal Free School Meals</w:t>
      </w:r>
      <w:r>
        <w:rPr>
          <w:rFonts w:ascii="Segoe UI" w:hAnsi="Segoe UI" w:cs="Segoe UI"/>
          <w:color w:val="404040"/>
          <w:shd w:val="clear" w:color="auto" w:fill="FFFFFF"/>
        </w:rPr>
        <w:t xml:space="preserve">. Cardiff: WG. Available at: </w:t>
      </w:r>
      <w:r w:rsidRPr="00506086">
        <w:rPr>
          <w:color w:val="404040"/>
        </w:rPr>
        <w:t>https://gov.wales/evaluation-universal-free-school-meals-2023</w:t>
      </w:r>
    </w:p>
    <w:p w14:paraId="5D15B418" w14:textId="77777777" w:rsidR="00482203" w:rsidRPr="00482203" w:rsidRDefault="00482203">
      <w:pPr>
        <w:rPr>
          <w:b/>
          <w:bCs/>
          <w:sz w:val="24"/>
          <w:szCs w:val="24"/>
        </w:rPr>
      </w:pPr>
    </w:p>
    <w:p w14:paraId="1E722C94" w14:textId="77777777" w:rsidR="00482203" w:rsidRPr="00A97937" w:rsidRDefault="00482203">
      <w:pPr>
        <w:rPr>
          <w:sz w:val="24"/>
          <w:szCs w:val="24"/>
        </w:rPr>
      </w:pPr>
    </w:p>
    <w:sectPr w:rsidR="00482203" w:rsidRPr="00A979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8D5727"/>
    <w:multiLevelType w:val="multilevel"/>
    <w:tmpl w:val="885CA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137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937"/>
    <w:rsid w:val="00092D6A"/>
    <w:rsid w:val="000D3231"/>
    <w:rsid w:val="00120397"/>
    <w:rsid w:val="00136026"/>
    <w:rsid w:val="00266017"/>
    <w:rsid w:val="002B444A"/>
    <w:rsid w:val="002B5444"/>
    <w:rsid w:val="003103B2"/>
    <w:rsid w:val="003121DF"/>
    <w:rsid w:val="0032129F"/>
    <w:rsid w:val="0034553A"/>
    <w:rsid w:val="00381763"/>
    <w:rsid w:val="00395705"/>
    <w:rsid w:val="003C0734"/>
    <w:rsid w:val="004237F8"/>
    <w:rsid w:val="004315B4"/>
    <w:rsid w:val="004606C6"/>
    <w:rsid w:val="00482203"/>
    <w:rsid w:val="004B287B"/>
    <w:rsid w:val="00506086"/>
    <w:rsid w:val="00554F2F"/>
    <w:rsid w:val="005703DF"/>
    <w:rsid w:val="005D0DB6"/>
    <w:rsid w:val="00602DA4"/>
    <w:rsid w:val="0061541C"/>
    <w:rsid w:val="006B1116"/>
    <w:rsid w:val="00705995"/>
    <w:rsid w:val="00736E0A"/>
    <w:rsid w:val="007657C2"/>
    <w:rsid w:val="00776B0C"/>
    <w:rsid w:val="007B2263"/>
    <w:rsid w:val="007E1FF5"/>
    <w:rsid w:val="008232F8"/>
    <w:rsid w:val="00945E56"/>
    <w:rsid w:val="00974B60"/>
    <w:rsid w:val="00A26D8C"/>
    <w:rsid w:val="00A26ECF"/>
    <w:rsid w:val="00A97937"/>
    <w:rsid w:val="00AC026B"/>
    <w:rsid w:val="00B05CB0"/>
    <w:rsid w:val="00BF0041"/>
    <w:rsid w:val="00C639BA"/>
    <w:rsid w:val="00C90226"/>
    <w:rsid w:val="00C96D47"/>
    <w:rsid w:val="00CB547C"/>
    <w:rsid w:val="00D13DDF"/>
    <w:rsid w:val="00D207CF"/>
    <w:rsid w:val="00E8774D"/>
    <w:rsid w:val="00E92581"/>
    <w:rsid w:val="00EF2314"/>
    <w:rsid w:val="00F3070E"/>
    <w:rsid w:val="00F43CDD"/>
    <w:rsid w:val="00F745C7"/>
    <w:rsid w:val="00FA53CE"/>
    <w:rsid w:val="00FC7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10BD0A"/>
  <w15:chartTrackingRefBased/>
  <w15:docId w15:val="{8C1CA75A-DFF8-4630-A697-63CB27977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9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79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79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79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79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79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79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79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79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9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79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79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79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79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79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9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9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937"/>
    <w:rPr>
      <w:rFonts w:eastAsiaTheme="majorEastAsia" w:cstheme="majorBidi"/>
      <w:color w:val="272727" w:themeColor="text1" w:themeTint="D8"/>
    </w:rPr>
  </w:style>
  <w:style w:type="paragraph" w:styleId="Title">
    <w:name w:val="Title"/>
    <w:basedOn w:val="Normal"/>
    <w:next w:val="Normal"/>
    <w:link w:val="TitleChar"/>
    <w:uiPriority w:val="10"/>
    <w:qFormat/>
    <w:rsid w:val="00A979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9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9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79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937"/>
    <w:pPr>
      <w:spacing w:before="160"/>
      <w:jc w:val="center"/>
    </w:pPr>
    <w:rPr>
      <w:i/>
      <w:iCs/>
      <w:color w:val="404040" w:themeColor="text1" w:themeTint="BF"/>
    </w:rPr>
  </w:style>
  <w:style w:type="character" w:customStyle="1" w:styleId="QuoteChar">
    <w:name w:val="Quote Char"/>
    <w:basedOn w:val="DefaultParagraphFont"/>
    <w:link w:val="Quote"/>
    <w:uiPriority w:val="29"/>
    <w:rsid w:val="00A97937"/>
    <w:rPr>
      <w:i/>
      <w:iCs/>
      <w:color w:val="404040" w:themeColor="text1" w:themeTint="BF"/>
    </w:rPr>
  </w:style>
  <w:style w:type="paragraph" w:styleId="ListParagraph">
    <w:name w:val="List Paragraph"/>
    <w:basedOn w:val="Normal"/>
    <w:uiPriority w:val="34"/>
    <w:qFormat/>
    <w:rsid w:val="00A97937"/>
    <w:pPr>
      <w:ind w:left="720"/>
      <w:contextualSpacing/>
    </w:pPr>
  </w:style>
  <w:style w:type="character" w:styleId="IntenseEmphasis">
    <w:name w:val="Intense Emphasis"/>
    <w:basedOn w:val="DefaultParagraphFont"/>
    <w:uiPriority w:val="21"/>
    <w:qFormat/>
    <w:rsid w:val="00A97937"/>
    <w:rPr>
      <w:i/>
      <w:iCs/>
      <w:color w:val="0F4761" w:themeColor="accent1" w:themeShade="BF"/>
    </w:rPr>
  </w:style>
  <w:style w:type="paragraph" w:styleId="IntenseQuote">
    <w:name w:val="Intense Quote"/>
    <w:basedOn w:val="Normal"/>
    <w:next w:val="Normal"/>
    <w:link w:val="IntenseQuoteChar"/>
    <w:uiPriority w:val="30"/>
    <w:qFormat/>
    <w:rsid w:val="00A979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7937"/>
    <w:rPr>
      <w:i/>
      <w:iCs/>
      <w:color w:val="0F4761" w:themeColor="accent1" w:themeShade="BF"/>
    </w:rPr>
  </w:style>
  <w:style w:type="character" w:styleId="IntenseReference">
    <w:name w:val="Intense Reference"/>
    <w:basedOn w:val="DefaultParagraphFont"/>
    <w:uiPriority w:val="32"/>
    <w:qFormat/>
    <w:rsid w:val="00A97937"/>
    <w:rPr>
      <w:b/>
      <w:bCs/>
      <w:smallCaps/>
      <w:color w:val="0F4761" w:themeColor="accent1" w:themeShade="BF"/>
      <w:spacing w:val="5"/>
    </w:rPr>
  </w:style>
  <w:style w:type="paragraph" w:customStyle="1" w:styleId="pb-2">
    <w:name w:val="pb-2"/>
    <w:basedOn w:val="Normal"/>
    <w:rsid w:val="003212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ssue-underline">
    <w:name w:val="issue-underline"/>
    <w:basedOn w:val="DefaultParagraphFont"/>
    <w:rsid w:val="0032129F"/>
  </w:style>
  <w:style w:type="character" w:styleId="Strong">
    <w:name w:val="Strong"/>
    <w:basedOn w:val="DefaultParagraphFont"/>
    <w:uiPriority w:val="22"/>
    <w:qFormat/>
    <w:rsid w:val="00506086"/>
    <w:rPr>
      <w:b/>
      <w:bCs/>
    </w:rPr>
  </w:style>
  <w:style w:type="character" w:styleId="Emphasis">
    <w:name w:val="Emphasis"/>
    <w:basedOn w:val="DefaultParagraphFont"/>
    <w:uiPriority w:val="20"/>
    <w:qFormat/>
    <w:rsid w:val="00506086"/>
    <w:rPr>
      <w:i/>
      <w:iCs/>
    </w:rPr>
  </w:style>
  <w:style w:type="character" w:styleId="Hyperlink">
    <w:name w:val="Hyperlink"/>
    <w:basedOn w:val="DefaultParagraphFont"/>
    <w:uiPriority w:val="99"/>
    <w:unhideWhenUsed/>
    <w:rsid w:val="0050608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230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8</Pages>
  <Words>2112</Words>
  <Characters>12043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IORDACHE</dc:creator>
  <cp:keywords/>
  <dc:description/>
  <cp:lastModifiedBy>rodica dobre</cp:lastModifiedBy>
  <cp:revision>51</cp:revision>
  <dcterms:created xsi:type="dcterms:W3CDTF">2025-05-07T05:56:00Z</dcterms:created>
  <dcterms:modified xsi:type="dcterms:W3CDTF">2025-05-07T18:12:00Z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5a9826e2-fd88-4c5a-b416-1d54ff31658e</vt:lpwstr>
  </property>
</Properties>
</file>