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5DCCC" w14:textId="082B5230" w:rsidR="003D0356" w:rsidRPr="0088057A" w:rsidRDefault="00E67180" w:rsidP="003D0356">
      <w:pPr>
        <w:pStyle w:val="paragraph"/>
        <w:shd w:val="clear" w:color="auto" w:fill="FFFFFF"/>
        <w:ind w:left="555" w:right="525"/>
        <w:jc w:val="both"/>
        <w:rPr>
          <w:rStyle w:val="normaltextrun"/>
          <w:rFonts w:ascii="Arial" w:hAnsi="Arial" w:cs="Arial"/>
          <w:b/>
          <w:bCs/>
          <w:color w:val="000000"/>
        </w:rPr>
      </w:pPr>
      <w:r w:rsidRPr="0088057A">
        <w:rPr>
          <w:rStyle w:val="normaltextrun"/>
          <w:rFonts w:ascii="Arial" w:hAnsi="Arial" w:cs="Arial"/>
          <w:b/>
          <w:bCs/>
          <w:color w:val="000000"/>
        </w:rPr>
        <w:t xml:space="preserve">DHEP Cohort 03.21 </w:t>
      </w:r>
      <w:r w:rsidR="003D0356" w:rsidRPr="0088057A">
        <w:rPr>
          <w:rStyle w:val="normaltextrun"/>
          <w:rFonts w:ascii="Arial" w:hAnsi="Arial" w:cs="Arial"/>
          <w:b/>
          <w:bCs/>
          <w:color w:val="000000"/>
        </w:rPr>
        <w:t>Academic Assignments – Sara Lewis (2031217)</w:t>
      </w:r>
    </w:p>
    <w:p w14:paraId="54E83341" w14:textId="77777777" w:rsidR="003D0356" w:rsidRPr="0088057A" w:rsidRDefault="003D0356" w:rsidP="003D0356">
      <w:pPr>
        <w:pStyle w:val="paragraph"/>
        <w:shd w:val="clear" w:color="auto" w:fill="FFFFFF"/>
        <w:ind w:left="555" w:right="525"/>
        <w:jc w:val="both"/>
        <w:rPr>
          <w:rStyle w:val="normaltextrun"/>
          <w:rFonts w:ascii="Arial" w:hAnsi="Arial" w:cs="Arial"/>
          <w:b/>
          <w:bCs/>
          <w:color w:val="000000"/>
        </w:rPr>
      </w:pPr>
    </w:p>
    <w:p w14:paraId="0FFD7E0C" w14:textId="0EA46CA2" w:rsidR="003D0356" w:rsidRPr="0088057A" w:rsidRDefault="003D0356" w:rsidP="003D0356">
      <w:pPr>
        <w:pStyle w:val="paragraph"/>
        <w:shd w:val="clear" w:color="auto" w:fill="FFFFFF"/>
        <w:ind w:left="555" w:right="525"/>
        <w:jc w:val="both"/>
        <w:rPr>
          <w:rFonts w:ascii="Arial" w:hAnsi="Arial" w:cs="Arial"/>
          <w:color w:val="000000"/>
        </w:rPr>
      </w:pPr>
      <w:r w:rsidRPr="0088057A">
        <w:rPr>
          <w:rStyle w:val="normaltextrun"/>
          <w:rFonts w:ascii="Arial" w:hAnsi="Arial" w:cs="Arial"/>
          <w:b/>
          <w:bCs/>
          <w:color w:val="000000"/>
        </w:rPr>
        <w:t>Essay one:</w:t>
      </w:r>
      <w:r w:rsidRPr="0088057A">
        <w:rPr>
          <w:rStyle w:val="eop"/>
          <w:rFonts w:ascii="Arial" w:hAnsi="Arial" w:cs="Arial"/>
          <w:color w:val="000000"/>
        </w:rPr>
        <w:t> </w:t>
      </w:r>
    </w:p>
    <w:p w14:paraId="0AD954AD" w14:textId="77777777"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color w:val="000000"/>
          <w:u w:val="single"/>
        </w:rPr>
        <w:t>Consider</w:t>
      </w:r>
      <w:r w:rsidRPr="0088057A">
        <w:rPr>
          <w:rStyle w:val="normaltextrun"/>
          <w:rFonts w:ascii="Arial" w:hAnsi="Arial" w:cs="Arial"/>
          <w:color w:val="000000"/>
        </w:rPr>
        <w:t xml:space="preserve"> the effect of professionalisation on organisational culture within </w:t>
      </w:r>
      <w:proofErr w:type="gramStart"/>
      <w:r w:rsidRPr="0088057A">
        <w:rPr>
          <w:rStyle w:val="normaltextrun"/>
          <w:rFonts w:ascii="Arial" w:hAnsi="Arial" w:cs="Arial"/>
        </w:rPr>
        <w:t>policing, and</w:t>
      </w:r>
      <w:proofErr w:type="gramEnd"/>
      <w:r w:rsidRPr="0088057A">
        <w:rPr>
          <w:rStyle w:val="normaltextrun"/>
          <w:rFonts w:ascii="Arial" w:hAnsi="Arial" w:cs="Arial"/>
        </w:rPr>
        <w:t> </w:t>
      </w:r>
      <w:r w:rsidRPr="0088057A">
        <w:rPr>
          <w:rFonts w:ascii="Arial" w:hAnsi="Arial" w:cs="Arial"/>
          <w:u w:val="single"/>
        </w:rPr>
        <w:t>examine</w:t>
      </w:r>
      <w:r w:rsidRPr="0088057A">
        <w:rPr>
          <w:rFonts w:ascii="Arial" w:hAnsi="Arial" w:cs="Arial"/>
        </w:rPr>
        <w:t> the impact on officers’ wellbeing and resilience. Your answer must be based on academic research, not personal experience.</w:t>
      </w:r>
      <w:r w:rsidRPr="0088057A">
        <w:rPr>
          <w:rStyle w:val="eop"/>
          <w:rFonts w:ascii="Arial" w:hAnsi="Arial" w:cs="Arial"/>
          <w:color w:val="000000"/>
        </w:rPr>
        <w:t> </w:t>
      </w:r>
    </w:p>
    <w:p w14:paraId="4E92264F" w14:textId="77777777"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b/>
          <w:bCs/>
          <w:color w:val="000000"/>
        </w:rPr>
        <w:t xml:space="preserve">Word limit: </w:t>
      </w:r>
      <w:r w:rsidRPr="0088057A">
        <w:rPr>
          <w:rStyle w:val="normaltextrun"/>
          <w:rFonts w:ascii="Arial" w:hAnsi="Arial" w:cs="Arial"/>
          <w:color w:val="000000"/>
        </w:rPr>
        <w:t>1000 words. </w:t>
      </w:r>
      <w:r w:rsidRPr="0088057A">
        <w:rPr>
          <w:rStyle w:val="eop"/>
          <w:rFonts w:ascii="Arial" w:hAnsi="Arial" w:cs="Arial"/>
          <w:color w:val="000000"/>
        </w:rPr>
        <w:t> </w:t>
      </w:r>
    </w:p>
    <w:p w14:paraId="57D48265" w14:textId="77777777" w:rsidR="003D0356" w:rsidRPr="0088057A" w:rsidRDefault="003D0356" w:rsidP="003D0356">
      <w:pPr>
        <w:pStyle w:val="paragraph"/>
        <w:shd w:val="clear" w:color="auto" w:fill="FFFFFF"/>
        <w:ind w:left="555" w:right="525"/>
        <w:rPr>
          <w:rFonts w:ascii="Arial" w:hAnsi="Arial" w:cs="Arial"/>
          <w:color w:val="000000"/>
        </w:rPr>
      </w:pPr>
      <w:r w:rsidRPr="0088057A">
        <w:rPr>
          <w:rFonts w:ascii="Arial" w:hAnsi="Arial" w:cs="Arial"/>
        </w:rPr>
        <w:t> </w:t>
      </w:r>
    </w:p>
    <w:p w14:paraId="0E9B4F2F" w14:textId="450F5822"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color w:val="000000"/>
        </w:rPr>
        <w:t xml:space="preserve">According to Farkas </w:t>
      </w:r>
      <w:r w:rsidR="004E22B9" w:rsidRPr="0088057A">
        <w:rPr>
          <w:rStyle w:val="normaltextrun"/>
          <w:rFonts w:ascii="Arial" w:hAnsi="Arial" w:cs="Arial"/>
          <w:color w:val="000000"/>
        </w:rPr>
        <w:t xml:space="preserve">et al </w:t>
      </w:r>
      <w:r w:rsidRPr="0088057A">
        <w:rPr>
          <w:rStyle w:val="normaltextrun"/>
          <w:rFonts w:ascii="Arial" w:hAnsi="Arial" w:cs="Arial"/>
          <w:color w:val="000000"/>
        </w:rPr>
        <w:t>(2020:77) ‘organisational culture consists of norms, values, rules, procedures, symbols, and beliefs, all organised in a system, deeply embedded in the collective conscience of the members of the organisation, thereby influencing their cognitive and affective behaviours, and even their performance in an indirect way</w:t>
      </w:r>
      <w:r w:rsidRPr="0088057A">
        <w:rPr>
          <w:rStyle w:val="normaltextrun"/>
          <w:rFonts w:ascii="Arial" w:hAnsi="Arial" w:cs="Arial"/>
        </w:rPr>
        <w:t>’. Schein (2010) states there are three levels of organisational culture, these being observational artifact, values testable by social consensus and basic assumptions. Within the police, there is ‘cop culture’ which develops in response to officers’ carrying out their duties, consisting of their view of the world and their role within it (Reiner, 1992; Waddington, 1999). This ‘cop culture’ consists of informal rules and values that are integrated into new recruits via socialisation during the recruitment and training phase, thus ensuring that officers all achieve the same goal (Reiner, 2000). Within cop culture, there are a number of key aspects such as machismo, pragmatism and mission-action-cynicism-pessimism (Reiner, 2010). These aspects are key in influencing officers with regards to their decision making, how they carry out their role and ensuring their well-being. Well-being is defined as ‘an individual’s experience of their life; and a comparison of life circumstances with social norms and values’ (Department of Health and Social Care, 2013:no page number). Within this essay, I will be discussing that changes made regarding organisational culture in policing and how these changes affected police well-being and resilience. </w:t>
      </w:r>
      <w:r w:rsidRPr="0088057A">
        <w:rPr>
          <w:rStyle w:val="eop"/>
          <w:rFonts w:ascii="Arial" w:hAnsi="Arial" w:cs="Arial"/>
          <w:color w:val="000000"/>
        </w:rPr>
        <w:t> </w:t>
      </w:r>
    </w:p>
    <w:p w14:paraId="77398687" w14:textId="77777777" w:rsidR="003D0356" w:rsidRPr="0088057A" w:rsidRDefault="003D0356" w:rsidP="003D0356">
      <w:pPr>
        <w:pStyle w:val="paragraph"/>
        <w:shd w:val="clear" w:color="auto" w:fill="FFFFFF"/>
        <w:ind w:left="555" w:right="525"/>
        <w:rPr>
          <w:rFonts w:ascii="Arial" w:hAnsi="Arial" w:cs="Arial"/>
          <w:color w:val="000000"/>
        </w:rPr>
      </w:pPr>
      <w:r w:rsidRPr="0088057A">
        <w:rPr>
          <w:rFonts w:ascii="Arial" w:hAnsi="Arial" w:cs="Arial"/>
        </w:rPr>
        <w:t> </w:t>
      </w:r>
    </w:p>
    <w:p w14:paraId="74EADBAE" w14:textId="77777777"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color w:val="000000"/>
        </w:rPr>
        <w:t>As aforementioned, ‘cop culture’ is a set of shared normalities and values within the police. Despite this, there are negatives to ‘cop culture’ including racial prejudice which is deep-seated in this culture (Reiner, 2010). In response to the negatives of ‘cop culture</w:t>
      </w:r>
      <w:r w:rsidRPr="0088057A">
        <w:rPr>
          <w:rStyle w:val="normaltextrun"/>
          <w:rFonts w:ascii="Arial" w:hAnsi="Arial" w:cs="Arial"/>
        </w:rPr>
        <w:t>’, there has been a move to professionalise the police. Professionalisation is defined as ‘the transformation of an occupation into a profession’ (Green and Gates, 2014:75). Barber (1963) notes that there are four qualities of profession, these being: a high standard of knowledge, a focus to serve the community, self-control and a shared code of ethics. The idea of professionalising the police is not new, following serious corruption in the 1970s, the commissioner of the Metropolitan Police, Robert Mark, debated that it was the decade for the police service to change from a skill to a profession (Holdaway, 2017). </w:t>
      </w:r>
      <w:r w:rsidRPr="0088057A">
        <w:rPr>
          <w:rStyle w:val="eop"/>
          <w:rFonts w:ascii="Arial" w:hAnsi="Arial" w:cs="Arial"/>
          <w:color w:val="000000"/>
        </w:rPr>
        <w:t> </w:t>
      </w:r>
    </w:p>
    <w:p w14:paraId="70FA9F1D" w14:textId="77777777" w:rsidR="003D0356" w:rsidRPr="0088057A" w:rsidRDefault="003D0356" w:rsidP="003D0356">
      <w:pPr>
        <w:pStyle w:val="paragraph"/>
        <w:shd w:val="clear" w:color="auto" w:fill="FFFFFF"/>
        <w:ind w:left="555" w:right="525"/>
        <w:rPr>
          <w:rFonts w:ascii="Arial" w:hAnsi="Arial" w:cs="Arial"/>
          <w:color w:val="000000"/>
        </w:rPr>
      </w:pPr>
      <w:r w:rsidRPr="0088057A">
        <w:rPr>
          <w:rFonts w:ascii="Arial" w:hAnsi="Arial" w:cs="Arial"/>
        </w:rPr>
        <w:t> </w:t>
      </w:r>
    </w:p>
    <w:p w14:paraId="59B713F2" w14:textId="77777777"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color w:val="000000"/>
        </w:rPr>
        <w:t xml:space="preserve">Over the years there have been several bodies that have worked to </w:t>
      </w:r>
      <w:r w:rsidRPr="0088057A">
        <w:rPr>
          <w:rStyle w:val="normaltextrun"/>
          <w:rFonts w:ascii="Arial" w:hAnsi="Arial" w:cs="Arial"/>
        </w:rPr>
        <w:t xml:space="preserve">attempt to professionalise the police including His Majesty’s Inspectorate of Constabulary and Fire &amp; Rescue Services (HMICFRS) and the Association of Chief Police Officers (ACPO), both of which incorporated the principles of practice in the police (Holdaway, 2017). More recently, the College of Policing (COP) was established, which is closely linked to the Home Office and has five aims, these being: ‘the identifying, developing and promoting ethics, values and standards of integrity’, ‘identifying, promoting and supporting practice based on evidence’ and ‘setting standards of professional practice’ (College of Policing, 2014: 8). Following the National Police Chief’s Council (NPCC) publication of the Policing Vision 2025, in which it was emphasised that there was ‘a need for consistency, accreditation and defined roles and that roles need specific skills and knowledge, </w:t>
      </w:r>
      <w:r w:rsidRPr="0088057A">
        <w:rPr>
          <w:rStyle w:val="normaltextrun"/>
          <w:rFonts w:ascii="Arial" w:hAnsi="Arial" w:cs="Arial"/>
        </w:rPr>
        <w:lastRenderedPageBreak/>
        <w:t>backed by qualifications’ the COP created a new and consistent training framework for new recruits called the Policing Education Qualifications Framework (PEQF) (College of Policing, 2020:no page number). The PEQF consists of three programmes, these being the Police Constable Degree Apprenticeship (PCDA), the Degree-holder entry programme (DHEP) and the Degree in Professional Policing (DiPP) (College of Policing, 2020).  The PCDA programme is a three-year programme, that functions as an apprenticeship that is provided by South Wales Police and other forces in collaboration with a university (College of Policing, 2020). Student officers who participate in this programme are given the opportunity to earn a degree in professional policing practice (College of Policing, 2020). Similar to the PCDA programme, the DHEP programme gives student officers the opportunity to achieve a diploma in professional policing, fully funded by the police force, this is a two-year programme unlike the PCDA’s three years (College of Policing, 2020). Both the PCDA and DHEP programmes are completed by student officers while undertaking full-time police work. The last programme, the DiPP programme is a three-year programme that is undertaken during university and provided by the university alone (College of Policing, 2020). Following the completion of this degree, students must apply to the police force of their own accord (College of Policing, 2020). </w:t>
      </w:r>
      <w:r w:rsidRPr="0088057A">
        <w:rPr>
          <w:rStyle w:val="eop"/>
          <w:rFonts w:ascii="Arial" w:hAnsi="Arial" w:cs="Arial"/>
          <w:color w:val="000000"/>
        </w:rPr>
        <w:t> </w:t>
      </w:r>
    </w:p>
    <w:p w14:paraId="5F8500DB" w14:textId="77777777" w:rsidR="003D0356" w:rsidRPr="0088057A" w:rsidRDefault="003D0356" w:rsidP="003D0356">
      <w:pPr>
        <w:pStyle w:val="paragraph"/>
        <w:shd w:val="clear" w:color="auto" w:fill="FFFFFF"/>
        <w:ind w:left="555" w:right="525"/>
        <w:rPr>
          <w:rFonts w:ascii="Arial" w:hAnsi="Arial" w:cs="Arial"/>
          <w:color w:val="000000"/>
        </w:rPr>
      </w:pPr>
      <w:r w:rsidRPr="0088057A">
        <w:rPr>
          <w:rFonts w:ascii="Arial" w:hAnsi="Arial" w:cs="Arial"/>
        </w:rPr>
        <w:t> </w:t>
      </w:r>
    </w:p>
    <w:p w14:paraId="0C7EB883" w14:textId="708E5206" w:rsidR="003D0356" w:rsidRPr="0088057A" w:rsidRDefault="003D0356" w:rsidP="003D0356">
      <w:pPr>
        <w:pStyle w:val="paragraph"/>
        <w:shd w:val="clear" w:color="auto" w:fill="FFFFFF"/>
        <w:ind w:left="555" w:right="525"/>
        <w:rPr>
          <w:rFonts w:ascii="Arial" w:hAnsi="Arial" w:cs="Arial"/>
          <w:color w:val="000000"/>
        </w:rPr>
      </w:pPr>
      <w:r w:rsidRPr="0088057A">
        <w:rPr>
          <w:rStyle w:val="normaltextrun"/>
          <w:rFonts w:ascii="Arial" w:hAnsi="Arial" w:cs="Arial"/>
          <w:color w:val="000000"/>
        </w:rPr>
        <w:t xml:space="preserve">The professionalisation of the police and its impact on officers’ wellbeing is highly debated. </w:t>
      </w:r>
      <w:r w:rsidRPr="0088057A">
        <w:rPr>
          <w:rStyle w:val="normaltextrun"/>
          <w:rFonts w:ascii="Arial" w:hAnsi="Arial" w:cs="Arial"/>
        </w:rPr>
        <w:t>The Police Federation (2019) highlights that student officers partaking in the PEQF framework by juggling their full-time job with studying for a full-time degree is have a negative impact on officers’ wellbeing and mental health. This is supported by statistical evidence as in November 2019 the was a recruitment of 28,173 student officers, however in April 2020 2,567 of these officers had left the job (Police Federation, 2022). There may be a number of reasons as to why such a large number of officers are resigning such as having to explain to their sergeants, who appear to be unaware of what is expected of them in completing the degree programmes and receiving very little support and feeling under pressure to achieve the highest marks in the degree by the university despite wishing to meet the pass grade in order to retain their job (Police Federation, 2019). Furthermore, The Police Federation (2019) noted that new recruits’ well-being is being negatively affected due to feeling worried about not fitting in with those on their team. This is because while completing the degree programmes officers are allocated study days to complete university tasks while those with more service continue to work, this can lead to student officers feeling guilty about not being with the team when needed due to numbers being low etc. (Police Federation, 2019). Therefore, suggesting that the changes made to professionalise the police negatively impact officers’ well-being and resilience.</w:t>
      </w:r>
      <w:r w:rsidRPr="0088057A">
        <w:rPr>
          <w:rStyle w:val="eop"/>
          <w:rFonts w:ascii="Arial" w:hAnsi="Arial" w:cs="Arial"/>
          <w:color w:val="000000"/>
        </w:rPr>
        <w:t> </w:t>
      </w:r>
    </w:p>
    <w:p w14:paraId="74794317" w14:textId="77777777" w:rsidR="003D0356" w:rsidRPr="0088057A" w:rsidRDefault="003D0356" w:rsidP="003D0356">
      <w:pPr>
        <w:pStyle w:val="paragraph"/>
        <w:shd w:val="clear" w:color="auto" w:fill="FFFFFF"/>
        <w:ind w:left="555" w:right="525"/>
        <w:rPr>
          <w:rFonts w:ascii="Arial" w:hAnsi="Arial" w:cs="Arial"/>
          <w:color w:val="000000"/>
        </w:rPr>
      </w:pPr>
      <w:r w:rsidRPr="0088057A">
        <w:rPr>
          <w:rFonts w:ascii="Arial" w:hAnsi="Arial" w:cs="Arial"/>
        </w:rPr>
        <w:t> </w:t>
      </w:r>
    </w:p>
    <w:p w14:paraId="6B0FD0D3" w14:textId="1EEDAF43" w:rsidR="003D0356" w:rsidRPr="0088057A" w:rsidRDefault="003D0356" w:rsidP="003D0356">
      <w:pPr>
        <w:pStyle w:val="paragraph"/>
        <w:shd w:val="clear" w:color="auto" w:fill="FFFFFF"/>
        <w:ind w:left="555" w:right="525"/>
        <w:rPr>
          <w:rStyle w:val="eop"/>
          <w:rFonts w:ascii="Arial" w:hAnsi="Arial" w:cs="Arial"/>
          <w:color w:val="000000"/>
        </w:rPr>
      </w:pPr>
      <w:r w:rsidRPr="0088057A">
        <w:rPr>
          <w:rStyle w:val="normaltextrun"/>
          <w:rFonts w:ascii="Arial" w:hAnsi="Arial" w:cs="Arial"/>
          <w:color w:val="000000"/>
        </w:rPr>
        <w:t xml:space="preserve">In conclusion, it is </w:t>
      </w:r>
      <w:r w:rsidRPr="0088057A">
        <w:rPr>
          <w:rStyle w:val="normaltextrun"/>
          <w:rFonts w:ascii="Arial" w:hAnsi="Arial" w:cs="Arial"/>
        </w:rPr>
        <w:t>apparent that the police force is needed to be professionalised to stream-line it as an organisation with the public’s interest at the forefront of their objectives. Despite this need, the current practices of professionalising the police, this being the PEQF framework although ensuring officers are professional in the duties in line with police code of ethics, evidently, there is a negative impact on officers' well-being, whereby while completing these degrees to further professionalise the police there is a risk to staff retention and employee morale. </w:t>
      </w:r>
      <w:r w:rsidRPr="0088057A">
        <w:rPr>
          <w:rStyle w:val="eop"/>
          <w:rFonts w:ascii="Arial" w:hAnsi="Arial" w:cs="Arial"/>
          <w:color w:val="000000"/>
        </w:rPr>
        <w:t> </w:t>
      </w:r>
    </w:p>
    <w:p w14:paraId="1F695337" w14:textId="26AA2F76" w:rsidR="003D0356" w:rsidRPr="0088057A" w:rsidRDefault="003D0356" w:rsidP="003D0356">
      <w:pPr>
        <w:pStyle w:val="paragraph"/>
        <w:shd w:val="clear" w:color="auto" w:fill="FFFFFF"/>
        <w:ind w:left="555" w:right="525"/>
        <w:rPr>
          <w:rStyle w:val="eop"/>
          <w:rFonts w:ascii="Arial" w:hAnsi="Arial" w:cs="Arial"/>
          <w:color w:val="000000"/>
        </w:rPr>
      </w:pPr>
    </w:p>
    <w:p w14:paraId="69EB8A78" w14:textId="00A7FE03" w:rsidR="003D0356" w:rsidRPr="0088057A" w:rsidRDefault="003D0356" w:rsidP="003D0356">
      <w:pPr>
        <w:pStyle w:val="paragraph"/>
        <w:shd w:val="clear" w:color="auto" w:fill="FFFFFF"/>
        <w:ind w:left="555" w:right="525"/>
        <w:rPr>
          <w:rStyle w:val="eop"/>
          <w:rFonts w:ascii="Arial" w:hAnsi="Arial" w:cs="Arial"/>
          <w:color w:val="000000"/>
        </w:rPr>
      </w:pPr>
      <w:r w:rsidRPr="0088057A">
        <w:rPr>
          <w:rStyle w:val="eop"/>
          <w:rFonts w:ascii="Arial" w:hAnsi="Arial" w:cs="Arial"/>
          <w:color w:val="000000"/>
        </w:rPr>
        <w:t>(1069 Words)</w:t>
      </w:r>
    </w:p>
    <w:p w14:paraId="47C86CB7" w14:textId="6EFF8816" w:rsidR="003D0356" w:rsidRPr="0088057A" w:rsidRDefault="003D0356" w:rsidP="003D0356">
      <w:pPr>
        <w:pStyle w:val="paragraph"/>
        <w:shd w:val="clear" w:color="auto" w:fill="FFFFFF"/>
        <w:ind w:left="555" w:right="525"/>
        <w:rPr>
          <w:rStyle w:val="eop"/>
          <w:rFonts w:ascii="Arial" w:hAnsi="Arial" w:cs="Arial"/>
          <w:color w:val="000000"/>
        </w:rPr>
      </w:pPr>
    </w:p>
    <w:p w14:paraId="44E218DF" w14:textId="77777777" w:rsidR="002038D8" w:rsidRPr="0088057A" w:rsidRDefault="002038D8" w:rsidP="002038D8">
      <w:pPr>
        <w:pStyle w:val="paragraph"/>
        <w:shd w:val="clear" w:color="auto" w:fill="FFFFFF"/>
        <w:ind w:left="555" w:right="525"/>
        <w:rPr>
          <w:rStyle w:val="normaltextrun"/>
          <w:rFonts w:ascii="Arial" w:hAnsi="Arial" w:cs="Arial"/>
          <w:b/>
          <w:bCs/>
          <w:color w:val="000000"/>
        </w:rPr>
      </w:pPr>
    </w:p>
    <w:p w14:paraId="06F8820B"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5C4961C9" w14:textId="77777777" w:rsidR="00CC24D9" w:rsidRPr="0088057A" w:rsidRDefault="00CC24D9" w:rsidP="00CC24D9">
      <w:pPr>
        <w:shd w:val="clear" w:color="auto" w:fill="FFFFFF"/>
        <w:spacing w:after="0" w:line="240" w:lineRule="auto"/>
        <w:ind w:right="525"/>
        <w:rPr>
          <w:rFonts w:ascii="Arial" w:eastAsia="Times New Roman" w:hAnsi="Arial" w:cs="Arial"/>
          <w:b/>
          <w:bCs/>
          <w:color w:val="000000"/>
          <w:lang w:eastAsia="en-GB"/>
        </w:rPr>
      </w:pPr>
      <w:r w:rsidRPr="0088057A">
        <w:rPr>
          <w:rFonts w:ascii="Arial" w:eastAsia="Times New Roman" w:hAnsi="Arial" w:cs="Arial"/>
          <w:b/>
          <w:bCs/>
          <w:color w:val="000000"/>
          <w:lang w:eastAsia="en-GB"/>
        </w:rPr>
        <w:lastRenderedPageBreak/>
        <w:t>Essay two:</w:t>
      </w:r>
    </w:p>
    <w:p w14:paraId="063933D7" w14:textId="4166A9C4" w:rsid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b/>
          <w:bCs/>
          <w:color w:val="000000"/>
          <w:lang w:eastAsia="en-GB"/>
        </w:rPr>
        <w:t>Counter-terrorism policing</w:t>
      </w:r>
      <w:r w:rsidRPr="00CC24D9">
        <w:rPr>
          <w:rFonts w:ascii="Arial" w:eastAsia="Times New Roman" w:hAnsi="Arial" w:cs="Arial"/>
          <w:color w:val="000000"/>
          <w:lang w:eastAsia="en-GB"/>
        </w:rPr>
        <w:t xml:space="preserve"> – </w:t>
      </w:r>
      <w:r w:rsidRPr="00CC24D9">
        <w:rPr>
          <w:rFonts w:ascii="Arial" w:eastAsia="Times New Roman" w:hAnsi="Arial" w:cs="Arial"/>
          <w:color w:val="000000"/>
          <w:u w:val="single"/>
          <w:lang w:eastAsia="en-GB"/>
        </w:rPr>
        <w:t>assess</w:t>
      </w:r>
      <w:r w:rsidRPr="00CC24D9">
        <w:rPr>
          <w:rFonts w:ascii="Arial" w:eastAsia="Times New Roman" w:hAnsi="Arial" w:cs="Arial"/>
          <w:color w:val="000000"/>
          <w:lang w:eastAsia="en-GB"/>
        </w:rPr>
        <w:t> the limits of the police’s role in investigating counter-terrorism. </w:t>
      </w:r>
    </w:p>
    <w:p w14:paraId="78A84443" w14:textId="77777777" w:rsidR="006E1E4B" w:rsidRPr="0088057A" w:rsidRDefault="006E1E4B" w:rsidP="006E1E4B">
      <w:pPr>
        <w:pStyle w:val="paragraph"/>
        <w:shd w:val="clear" w:color="auto" w:fill="FFFFFF"/>
        <w:ind w:right="525"/>
        <w:rPr>
          <w:rFonts w:ascii="Arial" w:hAnsi="Arial" w:cs="Arial"/>
          <w:color w:val="000000"/>
        </w:rPr>
      </w:pPr>
      <w:r w:rsidRPr="0088057A">
        <w:rPr>
          <w:rStyle w:val="normaltextrun"/>
          <w:rFonts w:ascii="Arial" w:hAnsi="Arial" w:cs="Arial"/>
          <w:b/>
          <w:bCs/>
          <w:color w:val="000000"/>
        </w:rPr>
        <w:t xml:space="preserve">Word limit: </w:t>
      </w:r>
      <w:r w:rsidRPr="0088057A">
        <w:rPr>
          <w:rStyle w:val="normaltextrun"/>
          <w:rFonts w:ascii="Arial" w:hAnsi="Arial" w:cs="Arial"/>
          <w:color w:val="000000"/>
        </w:rPr>
        <w:t>1000 words. </w:t>
      </w:r>
      <w:r w:rsidRPr="0088057A">
        <w:rPr>
          <w:rStyle w:val="eop"/>
          <w:rFonts w:ascii="Arial" w:hAnsi="Arial" w:cs="Arial"/>
          <w:color w:val="000000"/>
        </w:rPr>
        <w:t> </w:t>
      </w:r>
    </w:p>
    <w:p w14:paraId="1A8B9A39" w14:textId="77777777" w:rsidR="006E1E4B" w:rsidRPr="00CC24D9" w:rsidRDefault="006E1E4B" w:rsidP="00CC24D9">
      <w:pPr>
        <w:shd w:val="clear" w:color="auto" w:fill="FFFFFF"/>
        <w:spacing w:after="0" w:line="240" w:lineRule="auto"/>
        <w:ind w:right="525"/>
        <w:rPr>
          <w:rFonts w:ascii="Arial" w:eastAsia="Times New Roman" w:hAnsi="Arial" w:cs="Arial"/>
          <w:color w:val="000000"/>
          <w:lang w:eastAsia="en-GB"/>
        </w:rPr>
      </w:pPr>
    </w:p>
    <w:p w14:paraId="5B866E16"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4F3A178F"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000000"/>
          <w:lang w:eastAsia="en-GB"/>
        </w:rPr>
        <w:t>The Terrorism Act (TA) 2000 defines Terrorism as ‘</w:t>
      </w:r>
      <w:r w:rsidRPr="00CC24D9">
        <w:rPr>
          <w:rFonts w:ascii="Arial" w:eastAsia="Times New Roman" w:hAnsi="Arial" w:cs="Arial"/>
          <w:color w:val="242424"/>
          <w:lang w:eastAsia="en-GB"/>
        </w:rPr>
        <w:t>‘the use or threat designed to influence the government or an international governmental organisation or to intimidate the public or a section of the public, and the use or threat is made for the purpose of advancing a political, religious, racial or ideological cause” (Legislation.gov.uk, 2023a). </w:t>
      </w:r>
      <w:r w:rsidRPr="00CC24D9">
        <w:rPr>
          <w:rFonts w:ascii="Arial" w:eastAsia="Times New Roman" w:hAnsi="Arial" w:cs="Arial"/>
          <w:color w:val="000000"/>
          <w:lang w:eastAsia="en-GB"/>
        </w:rPr>
        <w:t> </w:t>
      </w:r>
      <w:r w:rsidRPr="00CC24D9">
        <w:rPr>
          <w:rFonts w:ascii="Arial" w:eastAsia="Times New Roman" w:hAnsi="Arial" w:cs="Arial"/>
          <w:color w:val="242424"/>
          <w:lang w:eastAsia="en-GB"/>
        </w:rPr>
        <w:t>Within the UK, there have been incidents in which terrorist attacks have occurred including, but not limited to, the 7/7 bombing in Central London which occurred on the 7th of July 2005 where four men carrying rucksacks containing explosives boarded public transport such as the London underground and a double decker bus. They detonated the explosive devices whilst on-board resulting 52 fatalities and injuring hundreds (BBC News, 2015). Furthermore, in 2017, a lone male detonated a bomb in the foyer of Manchester Arena during the Ariana Grande concert killing 22 people and injuring 116 (BBC News, 2017). Both incidents were shocking to the UK public and caused fear and upset as they were so unexpected. It is, therefore, crucial that the police work to counter terrorism (CT).   </w:t>
      </w:r>
    </w:p>
    <w:p w14:paraId="02A6B36D"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 </w:t>
      </w:r>
    </w:p>
    <w:p w14:paraId="503E1458" w14:textId="06E9757B"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Counter Terrorism Policing (2023) defines CT as ‘a collaboration of UK police forces working with the UK intelligence community to help protect the public and our national security by preventing, deterring and investigating terrorist activity’. </w:t>
      </w:r>
      <w:r w:rsidRPr="00CC24D9">
        <w:rPr>
          <w:rFonts w:ascii="Arial" w:eastAsia="Times New Roman" w:hAnsi="Arial" w:cs="Arial"/>
          <w:color w:val="000000"/>
          <w:lang w:eastAsia="en-GB"/>
        </w:rPr>
        <w:t xml:space="preserve"> The TA 2000 sets out the structure for CT powers within the UK. As aforementioned, the TA 2000 defines terrorism as well as the offences surrounding terrorism. It also sets out powers to arrest and detain terrorist suspects and search vehicles and pedestrians (Legislation.gov.uk, 2023a). Within S.44 of the act, powers to stop and search individuals and vehicles within specific zones is discussed, this allowed police officers to carry out ‘intuitive’ searches for items that may be used to commit terror offences, for example explosives (Justice, 2023). Initially this power appeared to be effective in dealing with CT as officers could search persons without reasonable suspicion to catch those responsible for terrorism before they commit these acts. However, </w:t>
      </w:r>
      <w:r w:rsidRPr="00CC24D9">
        <w:rPr>
          <w:rFonts w:ascii="Arial" w:eastAsia="Times New Roman" w:hAnsi="Arial" w:cs="Arial"/>
          <w:color w:val="242424"/>
          <w:lang w:eastAsia="en-GB"/>
        </w:rPr>
        <w:t>this power to search was severely abused with officers searching those of an ethnic minority background or ‘suspect community’ significantly more than those of a British background. As suggested by Gohill and Sidhu (2007–08), following the 9/11 attacks a large proportion of the Sikh community were targeted for S.44 searches following the misguided and mistaken association that those responsible wore turbans. This can be further supported by Justice (2023) who noted that 1/3 persons searched under S.44(2) had been of an ethnic minority background. Therefore, suggesting that officers blinded by racial bias abused the S.44 search powers to victimise those from minority backgrounds. Due to issues surrounding the abuse of these search powers they were later repealed and discontinued. Furthermore, in 2010, it was ruled by the European Court of Human Rights that S.44 violated article 8 of the Human Rights Act 1998, this being the right to respect for private life and that it did not sufficiently safeguard it from being abused by officers (Stopwatch, 2022). Despite these issues regarding S.44 searching, this act is still regarded as the basis for all CT strategies (CPS</w:t>
      </w:r>
      <w:r w:rsidR="00B21E65" w:rsidRPr="0088057A">
        <w:rPr>
          <w:rFonts w:ascii="Arial" w:eastAsia="Times New Roman" w:hAnsi="Arial" w:cs="Arial"/>
          <w:color w:val="242424"/>
          <w:lang w:eastAsia="en-GB"/>
        </w:rPr>
        <w:t>.gov.uk</w:t>
      </w:r>
      <w:r w:rsidRPr="00CC24D9">
        <w:rPr>
          <w:rFonts w:ascii="Arial" w:eastAsia="Times New Roman" w:hAnsi="Arial" w:cs="Arial"/>
          <w:color w:val="242424"/>
          <w:lang w:eastAsia="en-GB"/>
        </w:rPr>
        <w:t>, 2022</w:t>
      </w:r>
      <w:r w:rsidR="00B21E65" w:rsidRPr="0088057A">
        <w:rPr>
          <w:rFonts w:ascii="Arial" w:eastAsia="Times New Roman" w:hAnsi="Arial" w:cs="Arial"/>
          <w:color w:val="242424"/>
          <w:lang w:eastAsia="en-GB"/>
        </w:rPr>
        <w:t>a</w:t>
      </w:r>
      <w:r w:rsidRPr="00CC24D9">
        <w:rPr>
          <w:rFonts w:ascii="Arial" w:eastAsia="Times New Roman" w:hAnsi="Arial" w:cs="Arial"/>
          <w:color w:val="242424"/>
          <w:lang w:eastAsia="en-GB"/>
        </w:rPr>
        <w:t>).  </w:t>
      </w:r>
    </w:p>
    <w:p w14:paraId="789F5334"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 </w:t>
      </w:r>
    </w:p>
    <w:p w14:paraId="1347DD91"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 xml:space="preserve">In addition to the TA 2000, there are numerous other acts that focus on the CT including the Counter-Terrorism and Sentencing Act 2015 and Counter-Terrorism and Border Security Act 2019 which outlines the responsibilities to prevent those who may be vulnerable or susceptible to being radicalised into terrorism and terrorist groups (Legislation.gov.uk, 2023b).  This prevention of those likely to be drawn into terrorism links closely to the CONTEST strategy. CONTEST is the UK’s CT strategy that aims to reduce the risk of terrorism by focusing on four main areas: ‘Prevent - to stop people becoming terrorists or supporting terrorism, Pursue - to stop terrorist attacks, Protect - to strengthen our protection against a terrorist attack and Prepare - to mitigate the impact of a terrorist attack’ (HM </w:t>
      </w:r>
      <w:r w:rsidRPr="00CC24D9">
        <w:rPr>
          <w:rFonts w:ascii="Arial" w:eastAsia="Times New Roman" w:hAnsi="Arial" w:cs="Arial"/>
          <w:color w:val="242424"/>
          <w:lang w:eastAsia="en-GB"/>
        </w:rPr>
        <w:lastRenderedPageBreak/>
        <w:t>Government, 2018:8).  Within Wales, CONTEST is supported by the Wales Extremism and Counter Terrorism Unit (WECTU) which was created in 2006 to respond effectively to threats of terrorism and extremism (Wales Safer Communities, 2023). As aforementioned, the CT and Border Security Act 2019 highlights the responsibility to prevent individuals being drawn into radicalisation. A focus of CONTEST is Prevent; prevent looks to address terrorism in all its forms, organising these according to the threat they pose to the UK.  </w:t>
      </w:r>
    </w:p>
    <w:p w14:paraId="470BB7E7"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 </w:t>
      </w:r>
    </w:p>
    <w:p w14:paraId="279AE38C" w14:textId="1C5D318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Initially, the Prevent strategy appears to support those likely to fall into terrorist groups by allowing police and partner-agencies to build relations with leaders of faith, teachers and health workers, allowing them to highlight individuals they have suspicions about (BBC News, 2017</w:t>
      </w:r>
      <w:r w:rsidR="00D41A8A" w:rsidRPr="0088057A">
        <w:rPr>
          <w:rFonts w:ascii="Arial" w:eastAsia="Times New Roman" w:hAnsi="Arial" w:cs="Arial"/>
          <w:color w:val="242424"/>
          <w:lang w:eastAsia="en-GB"/>
        </w:rPr>
        <w:t>b</w:t>
      </w:r>
      <w:r w:rsidRPr="00CC24D9">
        <w:rPr>
          <w:rFonts w:ascii="Arial" w:eastAsia="Times New Roman" w:hAnsi="Arial" w:cs="Arial"/>
          <w:color w:val="242424"/>
          <w:lang w:eastAsia="en-GB"/>
        </w:rPr>
        <w:t>).  Furthermore, MP Ben Wallace, stated that ‘more than 150 attempted journeys to the Syria/Iraq conflict area were disrupted in 2015 due to the Prevent referrals (UK Parliament, 20</w:t>
      </w:r>
      <w:r w:rsidR="00D41A8A" w:rsidRPr="0088057A">
        <w:rPr>
          <w:rFonts w:ascii="Arial" w:eastAsia="Times New Roman" w:hAnsi="Arial" w:cs="Arial"/>
          <w:color w:val="242424"/>
          <w:lang w:eastAsia="en-GB"/>
        </w:rPr>
        <w:t>16</w:t>
      </w:r>
      <w:r w:rsidRPr="00CC24D9">
        <w:rPr>
          <w:rFonts w:ascii="Arial" w:eastAsia="Times New Roman" w:hAnsi="Arial" w:cs="Arial"/>
          <w:color w:val="242424"/>
          <w:lang w:eastAsia="en-GB"/>
        </w:rPr>
        <w:t>). Prevent functions highly on police community engagement. Community engagement is crucial, Kelling and Bratton (2006:1) suggest that police officers have more of an understanding of their local communities and amenities and have deep relations with those in the community. This enables connections between the police and the community who can share and develop information. Moreover, by having police officers work closely with the community as regular and established members, it allows officers to identify and prioritise those likely to fall prey to radicalisation and gather and submit possible intelligence regarding terrorist activity. According to Action Counter</w:t>
      </w:r>
      <w:r w:rsidR="00D41A8A" w:rsidRPr="0088057A">
        <w:rPr>
          <w:rFonts w:ascii="Arial" w:eastAsia="Times New Roman" w:hAnsi="Arial" w:cs="Arial"/>
          <w:color w:val="242424"/>
          <w:lang w:eastAsia="en-GB"/>
        </w:rPr>
        <w:t>s</w:t>
      </w:r>
      <w:r w:rsidRPr="00CC24D9">
        <w:rPr>
          <w:rFonts w:ascii="Arial" w:eastAsia="Times New Roman" w:hAnsi="Arial" w:cs="Arial"/>
          <w:color w:val="242424"/>
          <w:lang w:eastAsia="en-GB"/>
        </w:rPr>
        <w:t xml:space="preserve"> Terrorism (2023) signs to look out for regarding possible radicalisation include, being influenced by a group, an angry desire for change, desire for status and need for identity. However, others argue that prevent is damaging to CT as it can make those from minority backgrounds </w:t>
      </w:r>
      <w:proofErr w:type="gramStart"/>
      <w:r w:rsidRPr="00CC24D9">
        <w:rPr>
          <w:rFonts w:ascii="Arial" w:eastAsia="Times New Roman" w:hAnsi="Arial" w:cs="Arial"/>
          <w:color w:val="242424"/>
          <w:lang w:eastAsia="en-GB"/>
        </w:rPr>
        <w:t>i.e.</w:t>
      </w:r>
      <w:proofErr w:type="gramEnd"/>
      <w:r w:rsidRPr="00CC24D9">
        <w:rPr>
          <w:rFonts w:ascii="Arial" w:eastAsia="Times New Roman" w:hAnsi="Arial" w:cs="Arial"/>
          <w:color w:val="242424"/>
          <w:lang w:eastAsia="en-GB"/>
        </w:rPr>
        <w:t> Islamic background feels singled-out and more likely to be radicalised (BBC News, 2017</w:t>
      </w:r>
      <w:r w:rsidR="00D41A8A" w:rsidRPr="0088057A">
        <w:rPr>
          <w:rFonts w:ascii="Arial" w:eastAsia="Times New Roman" w:hAnsi="Arial" w:cs="Arial"/>
          <w:color w:val="242424"/>
          <w:lang w:eastAsia="en-GB"/>
        </w:rPr>
        <w:t>b</w:t>
      </w:r>
      <w:r w:rsidRPr="00CC24D9">
        <w:rPr>
          <w:rFonts w:ascii="Arial" w:eastAsia="Times New Roman" w:hAnsi="Arial" w:cs="Arial"/>
          <w:color w:val="242424"/>
          <w:lang w:eastAsia="en-GB"/>
        </w:rPr>
        <w:t>). This suggests that prevent stigmatises those from ethnic minority backgrounds resulting in the police having a poor relationship with those from ethnic minority communities.   </w:t>
      </w:r>
    </w:p>
    <w:p w14:paraId="7C184866"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  </w:t>
      </w:r>
    </w:p>
    <w:p w14:paraId="4A9E6964"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242424"/>
          <w:lang w:eastAsia="en-GB"/>
        </w:rPr>
        <w:t>In conclusion, CT is vital in protecting the UK from terror attacks from both people within the UK and outside. It is clear from reviewing the history of the UK’s CT legislation and strategies that this has been an important focus, however, in attempting to both investigate terrorism and prevent it, current strategies have fallen short into singling out whole communities from ethnic minority backgrounds. It is vital that in order to investigate terrorism and work to CT, the UK needs to develop further information and intelligence regarding acts of terrorism and not be so narrow-minded as to be blind-sided in focusing on a specific community.   </w:t>
      </w:r>
    </w:p>
    <w:p w14:paraId="3A3DF061"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000000"/>
          <w:lang w:eastAsia="en-GB"/>
        </w:rPr>
        <w:t> </w:t>
      </w:r>
    </w:p>
    <w:p w14:paraId="753B84EA"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r w:rsidRPr="00CC24D9">
        <w:rPr>
          <w:rFonts w:ascii="Arial" w:eastAsia="Times New Roman" w:hAnsi="Arial" w:cs="Arial"/>
          <w:color w:val="000000"/>
          <w:lang w:eastAsia="en-GB"/>
        </w:rPr>
        <w:t> </w:t>
      </w:r>
    </w:p>
    <w:p w14:paraId="0766F062" w14:textId="77777777" w:rsidR="00CC24D9" w:rsidRPr="00CC24D9" w:rsidRDefault="00CC24D9" w:rsidP="00CC24D9">
      <w:pPr>
        <w:spacing w:after="0" w:line="240" w:lineRule="auto"/>
        <w:rPr>
          <w:rFonts w:ascii="Arial" w:eastAsia="Times New Roman" w:hAnsi="Arial" w:cs="Arial"/>
          <w:lang w:eastAsia="en-GB"/>
        </w:rPr>
      </w:pPr>
    </w:p>
    <w:p w14:paraId="13209E52" w14:textId="597A6BEB" w:rsidR="00CC24D9" w:rsidRPr="00CC24D9" w:rsidRDefault="00CC24D9" w:rsidP="00CC24D9">
      <w:pPr>
        <w:spacing w:after="0" w:line="240" w:lineRule="auto"/>
        <w:rPr>
          <w:rFonts w:ascii="Arial" w:eastAsia="Times New Roman" w:hAnsi="Arial" w:cs="Arial"/>
          <w:lang w:eastAsia="en-GB"/>
        </w:rPr>
      </w:pPr>
      <w:r w:rsidRPr="0088057A">
        <w:rPr>
          <w:rFonts w:ascii="Arial" w:eastAsia="Times New Roman" w:hAnsi="Arial" w:cs="Arial"/>
          <w:lang w:eastAsia="en-GB"/>
        </w:rPr>
        <w:t>(1083 words)</w:t>
      </w:r>
    </w:p>
    <w:p w14:paraId="65666489"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242BD72E"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40EAB968"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07D79F61"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760A027C"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790E3C5D"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322EBC97"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4605A99F"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62491E83" w14:textId="77777777" w:rsidR="00CC24D9" w:rsidRPr="0088057A" w:rsidRDefault="00CC24D9" w:rsidP="00CC24D9">
      <w:pPr>
        <w:pStyle w:val="paragraph"/>
        <w:shd w:val="clear" w:color="auto" w:fill="FFFFFF"/>
        <w:ind w:left="555" w:right="525"/>
        <w:rPr>
          <w:rStyle w:val="normaltextrun"/>
          <w:rFonts w:ascii="Arial" w:hAnsi="Arial" w:cs="Arial"/>
          <w:b/>
          <w:bCs/>
          <w:color w:val="000000"/>
        </w:rPr>
      </w:pPr>
    </w:p>
    <w:p w14:paraId="28AE47D5"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2F7C3832"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3A783E05"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656B3126"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54919E67"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729E3818"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7ECEA4D6" w14:textId="77777777" w:rsidR="00C01F54" w:rsidRDefault="00C01F54" w:rsidP="00CC24D9">
      <w:pPr>
        <w:pStyle w:val="paragraph"/>
        <w:shd w:val="clear" w:color="auto" w:fill="FFFFFF"/>
        <w:ind w:right="525"/>
        <w:rPr>
          <w:rStyle w:val="normaltextrun"/>
          <w:rFonts w:ascii="Arial" w:hAnsi="Arial" w:cs="Arial"/>
          <w:b/>
          <w:bCs/>
          <w:color w:val="000000"/>
        </w:rPr>
      </w:pPr>
    </w:p>
    <w:p w14:paraId="4DA0ED18" w14:textId="150BBFED" w:rsidR="00CC24D9" w:rsidRPr="0088057A" w:rsidRDefault="00CC24D9" w:rsidP="00CC24D9">
      <w:pPr>
        <w:pStyle w:val="paragraph"/>
        <w:shd w:val="clear" w:color="auto" w:fill="FFFFFF"/>
        <w:ind w:right="525"/>
        <w:rPr>
          <w:rFonts w:ascii="Arial" w:hAnsi="Arial" w:cs="Arial"/>
          <w:color w:val="000000"/>
        </w:rPr>
      </w:pPr>
      <w:r w:rsidRPr="0088057A">
        <w:rPr>
          <w:rStyle w:val="normaltextrun"/>
          <w:rFonts w:ascii="Arial" w:hAnsi="Arial" w:cs="Arial"/>
          <w:b/>
          <w:bCs/>
          <w:color w:val="000000"/>
        </w:rPr>
        <w:lastRenderedPageBreak/>
        <w:t xml:space="preserve">Essay </w:t>
      </w:r>
      <w:r w:rsidRPr="0088057A">
        <w:rPr>
          <w:rStyle w:val="normaltextrun"/>
          <w:rFonts w:ascii="Arial" w:hAnsi="Arial" w:cs="Arial"/>
          <w:b/>
          <w:bCs/>
          <w:color w:val="000000"/>
        </w:rPr>
        <w:t>three</w:t>
      </w:r>
      <w:r w:rsidRPr="0088057A">
        <w:rPr>
          <w:rStyle w:val="normaltextrun"/>
          <w:rFonts w:ascii="Arial" w:hAnsi="Arial" w:cs="Arial"/>
          <w:b/>
          <w:bCs/>
          <w:color w:val="000000"/>
        </w:rPr>
        <w:t>: </w:t>
      </w:r>
      <w:r w:rsidRPr="0088057A">
        <w:rPr>
          <w:rStyle w:val="eop"/>
          <w:rFonts w:ascii="Arial" w:hAnsi="Arial" w:cs="Arial"/>
          <w:color w:val="000000"/>
        </w:rPr>
        <w:t> </w:t>
      </w:r>
    </w:p>
    <w:p w14:paraId="5A284D3C" w14:textId="2AD2F45D" w:rsidR="00CC24D9" w:rsidRPr="0088057A" w:rsidRDefault="00CC24D9" w:rsidP="00CC24D9">
      <w:pPr>
        <w:shd w:val="clear" w:color="auto" w:fill="FFFFFF"/>
        <w:spacing w:after="0" w:line="240" w:lineRule="auto"/>
        <w:ind w:right="525"/>
        <w:jc w:val="both"/>
        <w:rPr>
          <w:rFonts w:ascii="Arial" w:eastAsia="Times New Roman" w:hAnsi="Arial" w:cs="Arial"/>
          <w:color w:val="000000"/>
          <w:lang w:eastAsia="en-GB"/>
        </w:rPr>
      </w:pPr>
      <w:r w:rsidRPr="00CC24D9">
        <w:rPr>
          <w:rFonts w:ascii="Arial" w:eastAsia="Times New Roman" w:hAnsi="Arial" w:cs="Arial"/>
          <w:color w:val="000000"/>
          <w:u w:val="single"/>
          <w:lang w:eastAsia="en-GB"/>
        </w:rPr>
        <w:t>Critically evaluate</w:t>
      </w:r>
      <w:r w:rsidRPr="00CC24D9">
        <w:rPr>
          <w:rFonts w:ascii="Arial" w:eastAsia="Times New Roman" w:hAnsi="Arial" w:cs="Arial"/>
          <w:color w:val="000000"/>
          <w:lang w:eastAsia="en-GB"/>
        </w:rPr>
        <w:t> the effectiveness of crime prevention strategies in relation to Serious and Organised Crime. </w:t>
      </w:r>
    </w:p>
    <w:p w14:paraId="538D520F" w14:textId="77777777" w:rsidR="00CC24D9" w:rsidRPr="0088057A" w:rsidRDefault="00CC24D9" w:rsidP="00CC24D9">
      <w:pPr>
        <w:pStyle w:val="paragraph"/>
        <w:shd w:val="clear" w:color="auto" w:fill="FFFFFF"/>
        <w:ind w:right="525"/>
        <w:rPr>
          <w:rFonts w:ascii="Arial" w:hAnsi="Arial" w:cs="Arial"/>
          <w:color w:val="000000"/>
        </w:rPr>
      </w:pPr>
      <w:r w:rsidRPr="0088057A">
        <w:rPr>
          <w:rStyle w:val="normaltextrun"/>
          <w:rFonts w:ascii="Arial" w:hAnsi="Arial" w:cs="Arial"/>
          <w:b/>
          <w:bCs/>
          <w:color w:val="000000"/>
        </w:rPr>
        <w:t xml:space="preserve">Word limit: </w:t>
      </w:r>
      <w:r w:rsidRPr="0088057A">
        <w:rPr>
          <w:rStyle w:val="normaltextrun"/>
          <w:rFonts w:ascii="Arial" w:hAnsi="Arial" w:cs="Arial"/>
          <w:color w:val="000000"/>
        </w:rPr>
        <w:t>1000 words. </w:t>
      </w:r>
      <w:r w:rsidRPr="0088057A">
        <w:rPr>
          <w:rStyle w:val="eop"/>
          <w:rFonts w:ascii="Arial" w:hAnsi="Arial" w:cs="Arial"/>
          <w:color w:val="000000"/>
        </w:rPr>
        <w:t> </w:t>
      </w:r>
    </w:p>
    <w:p w14:paraId="79F55365" w14:textId="77777777" w:rsidR="00CC24D9" w:rsidRPr="00CC24D9" w:rsidRDefault="00CC24D9" w:rsidP="00CC24D9">
      <w:pPr>
        <w:shd w:val="clear" w:color="auto" w:fill="FFFFFF"/>
        <w:spacing w:after="0" w:line="240" w:lineRule="auto"/>
        <w:ind w:right="525"/>
        <w:jc w:val="both"/>
        <w:rPr>
          <w:rFonts w:ascii="Arial" w:eastAsia="Times New Roman" w:hAnsi="Arial" w:cs="Arial"/>
          <w:color w:val="000000"/>
          <w:u w:val="single"/>
          <w:lang w:eastAsia="en-GB"/>
        </w:rPr>
      </w:pPr>
    </w:p>
    <w:p w14:paraId="5727DE1F" w14:textId="77777777" w:rsidR="00CC24D9" w:rsidRPr="00CC24D9" w:rsidRDefault="00CC24D9" w:rsidP="00CC24D9">
      <w:pPr>
        <w:shd w:val="clear" w:color="auto" w:fill="FFFFFF"/>
        <w:spacing w:after="0" w:line="240" w:lineRule="auto"/>
        <w:ind w:left="555"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2F81379C" w14:textId="77777777" w:rsidR="00CC24D9" w:rsidRPr="00CC24D9" w:rsidRDefault="00CC24D9" w:rsidP="00CC24D9">
      <w:pPr>
        <w:shd w:val="clear" w:color="auto" w:fill="FFFFFF"/>
        <w:spacing w:after="0" w:line="240" w:lineRule="auto"/>
        <w:ind w:right="525"/>
        <w:rPr>
          <w:rFonts w:ascii="Arial" w:eastAsia="Times New Roman" w:hAnsi="Arial" w:cs="Arial"/>
          <w:lang w:eastAsia="en-GB"/>
        </w:rPr>
      </w:pPr>
      <w:r w:rsidRPr="00CC24D9">
        <w:rPr>
          <w:rFonts w:ascii="Arial" w:eastAsia="Times New Roman" w:hAnsi="Arial" w:cs="Arial"/>
          <w:color w:val="000000"/>
          <w:lang w:eastAsia="en-GB"/>
        </w:rPr>
        <w:t xml:space="preserve">‘Crime prevention involves any activity by an individual or group, public or private, which attempts to eliminate crime prior to it occurring or before any additional activity results’ (United Nations Office on Drugs and Crime, 2019: No page number). Crime prevention is an established pillar of policing, however, can be forgotten by officers (Bryant and Bryant, 2020). Crime prevention is crucial as by using strategies to target matters directly, crime can be reduced, allowing for officers to work more pro-actively with the time saved in reducing and preventing crime before it occurs (Bryant and Bryant, 2020). In 2016, The Home Office published the ‘Modern Crime Prevention Strategy’, which outlines six drivers of crime, these being opportunity – removing the opportunities for offending, character – early intervention of those more likely to commit crime due to being exposed to certain factors, the effectiveness of the criminal Justice System (CJS) – implementing the CJS as an effective deterrent, profit – making it difficult for criminals to gain financially from crime, drugs – restricting the supply of drugs, and alcohol – ensuring that the night time economy is safe without risk of becoming a victim of alcohol-related crime (The Home Office, 2016). This essay will evaluate crime </w:t>
      </w:r>
      <w:r w:rsidRPr="00CC24D9">
        <w:rPr>
          <w:rFonts w:ascii="Arial" w:eastAsia="Times New Roman" w:hAnsi="Arial" w:cs="Arial"/>
          <w:lang w:eastAsia="en-GB"/>
        </w:rPr>
        <w:t>prevention strategies in relation to serious and organised crime.  </w:t>
      </w:r>
    </w:p>
    <w:p w14:paraId="0B3F282D"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lang w:eastAsia="en-GB"/>
        </w:rPr>
        <w:t xml:space="preserve">Serious and Organised crime is where individuals or groups plan and commit criminal activities of a serious nature (Home Office, 2014). </w:t>
      </w:r>
      <w:r w:rsidRPr="00CC24D9">
        <w:rPr>
          <w:rFonts w:ascii="Arial" w:eastAsia="Times New Roman" w:hAnsi="Arial" w:cs="Arial"/>
          <w:color w:val="000000"/>
          <w:lang w:eastAsia="en-GB"/>
        </w:rPr>
        <w:t xml:space="preserve">Such crime includes child sexual exploitation and abuse, prohibited drugs, money laundering, modern slavery and cyber-crime (Home Office, 2014). The crime prevention strategies that will be discussed and evaluated within this essay </w:t>
      </w:r>
      <w:proofErr w:type="gramStart"/>
      <w:r w:rsidRPr="00CC24D9">
        <w:rPr>
          <w:rFonts w:ascii="Arial" w:eastAsia="Times New Roman" w:hAnsi="Arial" w:cs="Arial"/>
          <w:color w:val="000000"/>
          <w:lang w:eastAsia="en-GB"/>
        </w:rPr>
        <w:t>are;</w:t>
      </w:r>
      <w:proofErr w:type="gramEnd"/>
      <w:r w:rsidRPr="00CC24D9">
        <w:rPr>
          <w:rFonts w:ascii="Arial" w:eastAsia="Times New Roman" w:hAnsi="Arial" w:cs="Arial"/>
          <w:color w:val="000000"/>
          <w:lang w:eastAsia="en-GB"/>
        </w:rPr>
        <w:t xml:space="preserve"> situational crime prevention and problem-oriented policing.  </w:t>
      </w:r>
    </w:p>
    <w:p w14:paraId="10F50B49"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23BEA731" w14:textId="2BE34B3B"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xml:space="preserve">Situational Crime Prevention (SCP) strategy is linked to Felson and Cohen’s Routine Activity Theory, which relates to the concept that crime occurs when there is unification of opportunities to offend, absences of a guardian and motivated offenders (Felson and Clarke, 1998). The aim of SCP negates the reward from committing crime, and increases the risk, whereby making the commission of crime too difficult and the reward less likely (College of Policing, 2020). In 2003, Cornish and Clarke published 25 SCP techniques specifying numerous interventions for crime reduction, which are split into five subsections, these being: increasing the effort, increasing the risk, reducing the rewards, reducing provocations and removing excuses (Cornish and Clarke, 2003). </w:t>
      </w:r>
      <w:r w:rsidRPr="00CC24D9">
        <w:rPr>
          <w:rFonts w:ascii="Arial" w:eastAsia="Times New Roman" w:hAnsi="Arial" w:cs="Arial"/>
          <w:lang w:eastAsia="en-GB"/>
        </w:rPr>
        <w:t>Increasing the effort can be achieved by implementing target hardening, aiming to make it difficult to commit crime, for example, in cases of money laundering, banks have an obligation to report any transactions that may be suspected to be unusual, suggesting that the subject will have to make greater efforts in order to launder money (Soudijin, 2012). Closely linked to this is increasing the risk as just as the banks have a duty to report any unusual transactions, there is also a duty to report any cash deposits, transfers or payments above a specific amount (Soudijin,2012). </w:t>
      </w:r>
      <w:r w:rsidRPr="00CC24D9">
        <w:rPr>
          <w:rFonts w:ascii="Arial" w:eastAsia="Times New Roman" w:hAnsi="Arial" w:cs="Arial"/>
          <w:color w:val="000000"/>
          <w:lang w:eastAsia="en-GB"/>
        </w:rPr>
        <w:t>Whereby, increasing the chances of an offender being caught in the commission of a crime</w:t>
      </w:r>
      <w:r w:rsidRPr="00CC24D9">
        <w:rPr>
          <w:rFonts w:ascii="Arial" w:eastAsia="Times New Roman" w:hAnsi="Arial" w:cs="Arial"/>
          <w:color w:val="FF0000"/>
          <w:lang w:eastAsia="en-GB"/>
        </w:rPr>
        <w:t>.</w:t>
      </w:r>
      <w:r w:rsidRPr="00CC24D9">
        <w:rPr>
          <w:rFonts w:ascii="Arial" w:eastAsia="Times New Roman" w:hAnsi="Arial" w:cs="Arial"/>
          <w:color w:val="000000"/>
          <w:lang w:eastAsia="en-GB"/>
        </w:rPr>
        <w:t xml:space="preserve"> The third subsection of reducing the rewards can be attained by removing targets, for example in relation to a serious crime such as human trafficking women who have been trafficked previously, are more likely to become victims of trafficking again. By placing these women in safe houses such as women’s refuge, they can be protected and therefore reducing offenders’ chance of financial gain in the commission of such criminal activity (Cornish and Clarke, 2003). The fourth section, reducing provocations can be obtained via the reduction of emotional arousal, for example by setting controls of pornography of a violent nature, then an offence may be mitigated (Cornish and Clarke, 2003). </w:t>
      </w:r>
      <w:r w:rsidRPr="00CC24D9">
        <w:rPr>
          <w:rFonts w:ascii="Arial" w:eastAsia="Times New Roman" w:hAnsi="Arial" w:cs="Arial"/>
          <w:lang w:eastAsia="en-GB"/>
        </w:rPr>
        <w:t xml:space="preserve">Lastly, one can remove excuses by alerting </w:t>
      </w:r>
      <w:r w:rsidRPr="00CC24D9">
        <w:rPr>
          <w:rFonts w:ascii="Arial" w:eastAsia="Times New Roman" w:hAnsi="Arial" w:cs="Arial"/>
          <w:lang w:eastAsia="en-GB"/>
        </w:rPr>
        <w:lastRenderedPageBreak/>
        <w:t xml:space="preserve">offender conscience, for example, by requiring signatures for custom declarations in relation to smuggling offences (Cornish and Clarke, 2003). Cornish and Clarke enabled offenders to assess whether the reward outweighs the risk attached to committing an offence by implementing these 25 techniques. Despite this, Trasler (1986) debates that SCP techniques show a higher effectiveness and positive outcome when associated with first time offenders. Therefore, suggesting that SCP is more effective in reducing and preventing new offenders from committing crime than perpetual offenders. Furthermore, Trasler (1993) suggests that SCP </w:t>
      </w:r>
      <w:r w:rsidRPr="00CC24D9">
        <w:rPr>
          <w:rFonts w:ascii="Arial" w:eastAsia="Times New Roman" w:hAnsi="Arial" w:cs="Arial"/>
          <w:color w:val="000000"/>
          <w:lang w:eastAsia="en-GB"/>
        </w:rPr>
        <w:t>strategies is only effective in reducing crimes such as petty theft as opposed to more serious and organised crimes such as fraud. Therefore, despite SCP being effective in preventing minor crimes, it may be less effective when implemented with serious and organised crime. </w:t>
      </w:r>
    </w:p>
    <w:p w14:paraId="6420DB10"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5B80F3F7"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7D1C2DEF"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Problem Orientated Policing (POP) was developed by Goldstein in 1979 to focus and apply a range of crime prevention strategies to reduce crimes. This is done via the identification of a problem, understanding the problem, developing a formal response and considering the impacts that this response may have (College of Policing, 2017). POP focuses on developing interventions as opposed to a specific intervention, therefore, the POP approach can be applied to any form of crime and disorder (College of Policing, 2017). Suggesting that unlike SCP, POPs is effective in reducing and preventing serious and organised crime. Eck and Spelman (1987) enhanced Goldstein’s approach by creating the SARA model. This model consists of four steps, Scanning – identifying and prioritising problems, Analysis – investigating the problem, Response – developing and applying interventions and Assessment – assessing whether the interventions were effective. This model suggests that by highlighting the origins of a problem that facilitate it to exist, the response created to solve it will work effectively (College of Policing, 2017).  There are a number of studies supporting POP as effective in preventing and reducing crime for example, following a study in New Jersey, Mazerolle et al (2000) found that POP allowed for significant drop in reported violent and property crime. Furthermore, The National Research Council panel on police practices and policies noted that “There is a growing body of research evidence that problem-oriented policing is an effective approach” (NRC, 2004: 243). However, despite this, it appears that POP is not being sufficiently used by Government and that they have not invested greatly in identifying the interventions within POP that work best in combatting and reducing crime and the problems associated with it (Weisburd et al, 2008). </w:t>
      </w:r>
    </w:p>
    <w:p w14:paraId="3D1B168C"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 </w:t>
      </w:r>
    </w:p>
    <w:p w14:paraId="533CC1EA" w14:textId="77777777" w:rsidR="00CC24D9" w:rsidRPr="00CC24D9" w:rsidRDefault="00CC24D9" w:rsidP="00CC24D9">
      <w:pPr>
        <w:shd w:val="clear" w:color="auto" w:fill="FFFFFF"/>
        <w:spacing w:after="0" w:line="240" w:lineRule="auto"/>
        <w:ind w:right="525"/>
        <w:rPr>
          <w:rFonts w:ascii="Arial" w:eastAsia="Times New Roman" w:hAnsi="Arial" w:cs="Arial"/>
          <w:color w:val="000000"/>
          <w:lang w:eastAsia="en-GB"/>
        </w:rPr>
      </w:pPr>
      <w:r w:rsidRPr="00CC24D9">
        <w:rPr>
          <w:rFonts w:ascii="Arial" w:eastAsia="Times New Roman" w:hAnsi="Arial" w:cs="Arial"/>
          <w:color w:val="000000"/>
          <w:lang w:eastAsia="en-GB"/>
        </w:rPr>
        <w:t>In conclusion, there are many crime prevention strategies that may aid in preventing serious and organised crime. Within this essay, I have discussed and critically evaluated SCP strategies and POP strategies. Upon review, it is evidenced that both approaches show effectiveness in preventing and reducing crime. However, POP may prove to be more effective in preventing all types of crime including serious and organised crime, compared to SCP which is more effective in dealing with the reduction of minor offences.  </w:t>
      </w:r>
    </w:p>
    <w:p w14:paraId="5CE80BAB" w14:textId="77777777" w:rsidR="00CC24D9" w:rsidRPr="00CC24D9" w:rsidRDefault="00CC24D9" w:rsidP="00CC24D9">
      <w:pPr>
        <w:shd w:val="clear" w:color="auto" w:fill="FFFFFF"/>
        <w:spacing w:after="0" w:line="240" w:lineRule="auto"/>
        <w:rPr>
          <w:rFonts w:ascii="Arial" w:eastAsia="Times New Roman" w:hAnsi="Arial" w:cs="Arial"/>
          <w:color w:val="000000"/>
          <w:lang w:eastAsia="en-GB"/>
        </w:rPr>
      </w:pPr>
    </w:p>
    <w:p w14:paraId="4D147AE8" w14:textId="06A195B9" w:rsidR="00CC24D9" w:rsidRPr="0088057A" w:rsidRDefault="00CC24D9" w:rsidP="00CC24D9">
      <w:pPr>
        <w:spacing w:after="0" w:line="240" w:lineRule="auto"/>
        <w:rPr>
          <w:rFonts w:ascii="Arial" w:eastAsia="Times New Roman" w:hAnsi="Arial" w:cs="Arial"/>
          <w:lang w:eastAsia="en-GB"/>
        </w:rPr>
      </w:pPr>
    </w:p>
    <w:p w14:paraId="7FF996BF" w14:textId="25191499" w:rsidR="00CC24D9" w:rsidRPr="0088057A" w:rsidRDefault="00CC24D9" w:rsidP="00CC24D9">
      <w:pPr>
        <w:spacing w:after="0" w:line="240" w:lineRule="auto"/>
        <w:rPr>
          <w:rFonts w:ascii="Arial" w:eastAsia="Times New Roman" w:hAnsi="Arial" w:cs="Arial"/>
          <w:lang w:eastAsia="en-GB"/>
        </w:rPr>
      </w:pPr>
    </w:p>
    <w:p w14:paraId="4E380B1F" w14:textId="570F806C" w:rsidR="00CC24D9" w:rsidRPr="0088057A" w:rsidRDefault="00CC24D9" w:rsidP="00CC24D9">
      <w:pPr>
        <w:spacing w:after="0" w:line="240" w:lineRule="auto"/>
        <w:rPr>
          <w:rFonts w:ascii="Arial" w:eastAsia="Times New Roman" w:hAnsi="Arial" w:cs="Arial"/>
          <w:lang w:eastAsia="en-GB"/>
        </w:rPr>
      </w:pPr>
    </w:p>
    <w:p w14:paraId="08BE991D" w14:textId="130493E7" w:rsidR="00CC24D9" w:rsidRPr="0088057A" w:rsidRDefault="00CC24D9" w:rsidP="00CC24D9">
      <w:pPr>
        <w:spacing w:after="0" w:line="240" w:lineRule="auto"/>
        <w:rPr>
          <w:rFonts w:ascii="Arial" w:eastAsia="Times New Roman" w:hAnsi="Arial" w:cs="Arial"/>
          <w:lang w:eastAsia="en-GB"/>
        </w:rPr>
      </w:pPr>
    </w:p>
    <w:p w14:paraId="31AAB865" w14:textId="7D70CC5C" w:rsidR="00CC24D9" w:rsidRPr="0088057A" w:rsidRDefault="00CC24D9" w:rsidP="00CC24D9">
      <w:pPr>
        <w:spacing w:after="0" w:line="240" w:lineRule="auto"/>
        <w:rPr>
          <w:rFonts w:ascii="Arial" w:eastAsia="Times New Roman" w:hAnsi="Arial" w:cs="Arial"/>
          <w:lang w:eastAsia="en-GB"/>
        </w:rPr>
      </w:pPr>
    </w:p>
    <w:p w14:paraId="6B5CE52C" w14:textId="65D0BDA5" w:rsidR="00CC24D9" w:rsidRPr="0088057A" w:rsidRDefault="00CC24D9" w:rsidP="00CC24D9">
      <w:pPr>
        <w:spacing w:after="0" w:line="240" w:lineRule="auto"/>
        <w:rPr>
          <w:rFonts w:ascii="Arial" w:eastAsia="Times New Roman" w:hAnsi="Arial" w:cs="Arial"/>
          <w:lang w:eastAsia="en-GB"/>
        </w:rPr>
      </w:pPr>
    </w:p>
    <w:p w14:paraId="14085C1A" w14:textId="1FC22046" w:rsidR="00CC24D9" w:rsidRPr="0088057A" w:rsidRDefault="00CC24D9" w:rsidP="00CC24D9">
      <w:pPr>
        <w:spacing w:after="0" w:line="240" w:lineRule="auto"/>
        <w:rPr>
          <w:rFonts w:ascii="Arial" w:eastAsia="Times New Roman" w:hAnsi="Arial" w:cs="Arial"/>
          <w:lang w:eastAsia="en-GB"/>
        </w:rPr>
      </w:pPr>
    </w:p>
    <w:p w14:paraId="755CD433" w14:textId="0545A044" w:rsidR="00CC24D9" w:rsidRPr="0088057A" w:rsidRDefault="00CC24D9" w:rsidP="00CC24D9">
      <w:pPr>
        <w:spacing w:after="0" w:line="240" w:lineRule="auto"/>
        <w:rPr>
          <w:rFonts w:ascii="Arial" w:eastAsia="Times New Roman" w:hAnsi="Arial" w:cs="Arial"/>
          <w:lang w:eastAsia="en-GB"/>
        </w:rPr>
      </w:pPr>
    </w:p>
    <w:p w14:paraId="1867142D" w14:textId="77777777" w:rsidR="00CC24D9" w:rsidRPr="0088057A" w:rsidRDefault="00CC24D9" w:rsidP="00CC24D9">
      <w:pPr>
        <w:pStyle w:val="paragraph"/>
        <w:shd w:val="clear" w:color="auto" w:fill="FFFFFF"/>
        <w:ind w:right="525"/>
        <w:rPr>
          <w:rStyle w:val="normaltextrun"/>
          <w:rFonts w:ascii="Arial" w:hAnsi="Arial" w:cs="Arial"/>
          <w:b/>
          <w:bCs/>
          <w:color w:val="000000"/>
        </w:rPr>
      </w:pPr>
    </w:p>
    <w:p w14:paraId="24861C64" w14:textId="77777777" w:rsidR="00C01F54" w:rsidRDefault="00C01F54" w:rsidP="00CC24D9">
      <w:pPr>
        <w:pStyle w:val="paragraph"/>
        <w:shd w:val="clear" w:color="auto" w:fill="FFFFFF"/>
        <w:ind w:right="525"/>
        <w:rPr>
          <w:rStyle w:val="normaltextrun"/>
          <w:rFonts w:ascii="Arial" w:hAnsi="Arial" w:cs="Arial"/>
          <w:b/>
          <w:bCs/>
          <w:color w:val="000000"/>
        </w:rPr>
      </w:pPr>
    </w:p>
    <w:p w14:paraId="607997AF" w14:textId="5896995B" w:rsidR="00CC24D9"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b/>
          <w:bCs/>
          <w:color w:val="000000"/>
        </w:rPr>
        <w:lastRenderedPageBreak/>
        <w:t>Essay five: </w:t>
      </w:r>
      <w:r w:rsidRPr="0088057A">
        <w:rPr>
          <w:rStyle w:val="eop"/>
          <w:rFonts w:ascii="Arial" w:hAnsi="Arial" w:cs="Arial"/>
          <w:color w:val="000000"/>
        </w:rPr>
        <w:t> </w:t>
      </w:r>
    </w:p>
    <w:p w14:paraId="740E540F" w14:textId="74E1C9D8"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u w:val="single"/>
        </w:rPr>
        <w:t>Critically assess</w:t>
      </w:r>
      <w:r w:rsidRPr="0088057A">
        <w:rPr>
          <w:rStyle w:val="normaltextrun"/>
          <w:rFonts w:ascii="Arial" w:hAnsi="Arial" w:cs="Arial"/>
          <w:color w:val="000000"/>
        </w:rPr>
        <w:t xml:space="preserve"> the effectiveness of options available to reduce </w:t>
      </w:r>
      <w:r w:rsidR="00CC24D9" w:rsidRPr="0088057A">
        <w:rPr>
          <w:rStyle w:val="normaltextrun"/>
          <w:rFonts w:ascii="Arial" w:hAnsi="Arial" w:cs="Arial"/>
        </w:rPr>
        <w:t>re-offending and</w:t>
      </w:r>
      <w:r w:rsidRPr="0088057A">
        <w:rPr>
          <w:rStyle w:val="normaltextrun"/>
          <w:rFonts w:ascii="Arial" w:hAnsi="Arial" w:cs="Arial"/>
        </w:rPr>
        <w:t> </w:t>
      </w:r>
      <w:r w:rsidRPr="0088057A">
        <w:rPr>
          <w:rFonts w:ascii="Arial" w:hAnsi="Arial" w:cs="Arial"/>
          <w:u w:val="single"/>
        </w:rPr>
        <w:t>consider</w:t>
      </w:r>
      <w:r w:rsidRPr="0088057A">
        <w:rPr>
          <w:rFonts w:ascii="Arial" w:hAnsi="Arial" w:cs="Arial"/>
        </w:rPr>
        <w:t xml:space="preserve"> how these are informed by evidence-based policing. You may choose a specific type of offence for this answer </w:t>
      </w:r>
      <w:proofErr w:type="gramStart"/>
      <w:r w:rsidRPr="0088057A">
        <w:rPr>
          <w:rFonts w:ascii="Arial" w:hAnsi="Arial" w:cs="Arial"/>
        </w:rPr>
        <w:t>e.g.</w:t>
      </w:r>
      <w:proofErr w:type="gramEnd"/>
      <w:r w:rsidRPr="0088057A">
        <w:rPr>
          <w:rFonts w:ascii="Arial" w:hAnsi="Arial" w:cs="Arial"/>
        </w:rPr>
        <w:t> domestic violence, anti-social behaviour, knife crime. Your answer must be based on academic research, not personal experience.</w:t>
      </w:r>
      <w:r w:rsidRPr="0088057A">
        <w:rPr>
          <w:rStyle w:val="eop"/>
          <w:rFonts w:ascii="Arial" w:hAnsi="Arial" w:cs="Arial"/>
          <w:color w:val="000000"/>
        </w:rPr>
        <w:t> </w:t>
      </w:r>
    </w:p>
    <w:p w14:paraId="64BBC2AD"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1228512D" w14:textId="77777777"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rPr>
        <w:t xml:space="preserve">Re-offending is defined as ‘when an individual commits an offence within 12 months of being released from custody (or receiving a caution, fine or court order) which then leads to a conviction, caution, </w:t>
      </w:r>
      <w:r w:rsidRPr="0088057A">
        <w:rPr>
          <w:rStyle w:val="normaltextrun"/>
          <w:rFonts w:ascii="Arial" w:hAnsi="Arial" w:cs="Arial"/>
        </w:rPr>
        <w:t>reprimand or warning in the same 12-month period or up to 18 months to allow for court proceedings’ (Gov.uk, 2021). Those individuals who persistently re-offend are known as repeat offenders. According to The Ministry of Justice (2023) the re-offending rate for January – March 2021 was 24.3%. Re-offending is not limited to just one specific type of crime, offenders of all types of crime are capable of reoffending, including violence against the person, sexual offences, robbery, theft, criminal damage, public order and many more (Ministry of Justice, 2023). There are a number of reduction strategies to reduce re-offending, however, with so many strategies how can it be determined which are effective? This is done by taking an Evidence-Based Policing (EBP) approach. Evidence-based policing is where best available evidence is used to inform decisions regarding practices and policies (College of Policing, 2023). A model designed with EBP in mind is the ‘ATLAS’ model, which encourages police officers to ask questions in order inform these decisions and challenge policies and practices (College of Policing, 2016a). This is split into five sections: Ask – Ask challenging questions, Test – test and evaluate new ideas, Learn – do these new approaches have the effect that they thought they would? Adapt – adapt current policies and practices and Share – share findings (College of Policing, 2016a). This essay will focus on the re-offending of sexual offences and the effectiveness of offender registration and restorative justice to reduce the re-offending of such crimes.</w:t>
      </w:r>
      <w:r w:rsidRPr="0088057A">
        <w:rPr>
          <w:rStyle w:val="eop"/>
          <w:rFonts w:ascii="Arial" w:hAnsi="Arial" w:cs="Arial"/>
          <w:color w:val="000000"/>
        </w:rPr>
        <w:t> </w:t>
      </w:r>
    </w:p>
    <w:p w14:paraId="2FBED529"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47044702"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0A24EBA6" w14:textId="2587FE8D"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rPr>
        <w:t xml:space="preserve">Sexual offences are covered in the Sexual Offences Act 2003 and consist of </w:t>
      </w:r>
      <w:r w:rsidRPr="0088057A">
        <w:rPr>
          <w:rStyle w:val="normaltextrun"/>
          <w:rFonts w:ascii="Arial" w:hAnsi="Arial" w:cs="Arial"/>
        </w:rPr>
        <w:t>numerous offences including, but not limited to; rape, sexual assault, crimes against children such as sexual abuse and grooming (CPS.gov.uk,2022</w:t>
      </w:r>
      <w:r w:rsidR="00B21E65" w:rsidRPr="0088057A">
        <w:rPr>
          <w:rStyle w:val="normaltextrun"/>
          <w:rFonts w:ascii="Arial" w:hAnsi="Arial" w:cs="Arial"/>
        </w:rPr>
        <w:t>b</w:t>
      </w:r>
      <w:r w:rsidRPr="0088057A">
        <w:rPr>
          <w:rStyle w:val="normaltextrun"/>
          <w:rFonts w:ascii="Arial" w:hAnsi="Arial" w:cs="Arial"/>
        </w:rPr>
        <w:t>). According to the College of Policing (2016b) there are 49,322 sex offenders registered in England and Wales.  One strategy to reduce the reoffending of sexual offenders is the sex offender’s register which was introduced under the 1997 Sex Offenders Act (</w:t>
      </w:r>
      <w:r w:rsidR="00396A46" w:rsidRPr="0088057A">
        <w:rPr>
          <w:rStyle w:val="normaltextrun"/>
          <w:rFonts w:ascii="Arial" w:hAnsi="Arial" w:cs="Arial"/>
        </w:rPr>
        <w:t>O’</w:t>
      </w:r>
      <w:r w:rsidRPr="0088057A">
        <w:rPr>
          <w:rStyle w:val="normaltextrun"/>
          <w:rFonts w:ascii="Arial" w:hAnsi="Arial" w:cs="Arial"/>
        </w:rPr>
        <w:t>Sullivan et al, 2016). This register contains details of individuals who have been convicted, cautioned and released from prison for a sexual offence (</w:t>
      </w:r>
      <w:r w:rsidR="00396A46" w:rsidRPr="0088057A">
        <w:rPr>
          <w:rStyle w:val="normaltextrun"/>
          <w:rFonts w:ascii="Arial" w:hAnsi="Arial" w:cs="Arial"/>
        </w:rPr>
        <w:t>O’</w:t>
      </w:r>
      <w:r w:rsidRPr="0088057A">
        <w:rPr>
          <w:rStyle w:val="normaltextrun"/>
          <w:rFonts w:ascii="Arial" w:hAnsi="Arial" w:cs="Arial"/>
        </w:rPr>
        <w:t xml:space="preserve">Sullivan et al, 2016). Not created as a form of punishment, the register is used to ensure that records held by the police regarding those responsible for committing sexual offences are accurate and is ensured via VISOR (Violent and Sex Offenders Register), an intelligence database that informs the police of how many registered sex offenders are in their area (Thomas, 2010). According to </w:t>
      </w:r>
      <w:r w:rsidR="00396A46" w:rsidRPr="0088057A">
        <w:rPr>
          <w:rStyle w:val="normaltextrun"/>
          <w:rFonts w:ascii="Arial" w:hAnsi="Arial" w:cs="Arial"/>
        </w:rPr>
        <w:t>O’</w:t>
      </w:r>
      <w:r w:rsidRPr="0088057A">
        <w:rPr>
          <w:rStyle w:val="normaltextrun"/>
          <w:rFonts w:ascii="Arial" w:hAnsi="Arial" w:cs="Arial"/>
        </w:rPr>
        <w:t xml:space="preserve">Sullivan et al (2016) the register is used as information source which allows the police to make decisions regarding public disclosure and patterns of re-offending. Albeit created for the purposes of record keeping, it can be argued that the sex offenders register can be implemented as a tool to reduce the chances of re-offending. According to Zgoba and Mitchell (2021), by applying this label of an individual being a sex offender and informing the public to be wary of this person, then they will refrain from acting or committing sexual offences. Despite this, there is little evidence to support this notion. Furthermore, it is argued that by placing sex offenders on a register and providing them this label, then they may be more likely to re-offend due to internalising these labels thus creating self-fulfilling prophecies. Braithwaite (1989) expands on the labelling theory and stated that the assigning of this label may increase the chances of this crime being committed, especially when the individual who is provided the label has been given little chances to be reintroduced into society and </w:t>
      </w:r>
      <w:r w:rsidRPr="0088057A">
        <w:rPr>
          <w:rStyle w:val="normaltextrun"/>
          <w:rFonts w:ascii="Arial" w:hAnsi="Arial" w:cs="Arial"/>
        </w:rPr>
        <w:lastRenderedPageBreak/>
        <w:t>demonised for a prior crime. Therefore, suggesting that the implementation of the sex offender’s register may not be an effective strategy in reducing re-offending. </w:t>
      </w:r>
      <w:r w:rsidRPr="0088057A">
        <w:rPr>
          <w:rStyle w:val="eop"/>
          <w:rFonts w:ascii="Arial" w:hAnsi="Arial" w:cs="Arial"/>
          <w:color w:val="000000"/>
        </w:rPr>
        <w:t> </w:t>
      </w:r>
    </w:p>
    <w:p w14:paraId="45710390"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1BA2975D" w14:textId="77777777"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rPr>
        <w:t xml:space="preserve">Another reduction of re-offending strategy is restorative justice. Restorative justice (RJ) is defined as ‘a process through which parties with a stake in a specific offence collectively resolve how to deal with the aftermath of the offence and its implications for the future’ (CPS.gov.uk, 2023:no page number). RJ aims to </w:t>
      </w:r>
      <w:r w:rsidRPr="0088057A">
        <w:rPr>
          <w:rStyle w:val="normaltextrun"/>
          <w:rFonts w:ascii="Arial" w:hAnsi="Arial" w:cs="Arial"/>
        </w:rPr>
        <w:t>provide victim’s satisfaction by ensuring that they feel retributed for the harm caused to them and aims to ensure that offenders are aware of their actions and how their actions have impacted on the victim (CPS.gov.uk, 2023). When correctly implemented, the process of RJ can result in personalised solutions in which there is an interaction between the victim, offender and the community, allowing for the victim to have any questions answered regarding the offence committed against them (CPS.gov.uk, 2023). RJ can be seen as an effective solution to resolving crime as it provides offenders the opportunity to recognise the harm they have committed and to take ownership of it, allowing them to make amends (CPS.gov.uk, 2023). Moreover, it has been argued that victims have an increased chance of receiving an apology via the RJ process compared to if the offender was taken to court (CPS.gov.uk, 2023). Not only does RJ increase victim satisfaction; it is argued to reduce the likelihood of re-offending. According to The Restorative Justice Council (2016) in the year of 2010, restorative justice reduced the rate of re-offending by 14%. Furthermore, Strang et al (2013) noted that following a review of ten studies it was suggested that RJ processes in which a victim and offender met face to face resulted in the offender committing less crime in the future than those who were dealt with via the criminal justice system. However, despite this effectiveness RJ in relation to sexual offences can only be applied to minor sexual offences such as sexual assault by touching due to the seriousness of such crime and therefore is not effective in reducing the re-offending of sexual offences as a whole. </w:t>
      </w:r>
      <w:r w:rsidRPr="0088057A">
        <w:rPr>
          <w:rStyle w:val="eop"/>
          <w:rFonts w:ascii="Arial" w:hAnsi="Arial" w:cs="Arial"/>
          <w:color w:val="000000"/>
        </w:rPr>
        <w:t> </w:t>
      </w:r>
    </w:p>
    <w:p w14:paraId="47957B6A"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4CAC66ED" w14:textId="77777777"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rPr>
        <w:t xml:space="preserve">In conclusion, there are </w:t>
      </w:r>
      <w:r w:rsidRPr="0088057A">
        <w:rPr>
          <w:rStyle w:val="normaltextrun"/>
          <w:rFonts w:ascii="Arial" w:hAnsi="Arial" w:cs="Arial"/>
        </w:rPr>
        <w:t>a number of strategies to reduce re-offending not just including the ones discussed in this essay, with many arguments regarding the effectiveness of these strategies. In order to fully understand the effectiveness of these strategies it is vital that those in policing settings use an EBP approach to review these strategies and implement the most effective. This is done by developing a better understanding of sexual offences and the reasons behind why one would commit such an offence. Only by doing this, can a response be created to effectively reduce it. </w:t>
      </w:r>
      <w:r w:rsidRPr="0088057A">
        <w:rPr>
          <w:rStyle w:val="eop"/>
          <w:rFonts w:ascii="Arial" w:hAnsi="Arial" w:cs="Arial"/>
          <w:color w:val="000000"/>
        </w:rPr>
        <w:t> </w:t>
      </w:r>
    </w:p>
    <w:p w14:paraId="0CF56EA3"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3EA22334" w14:textId="77777777" w:rsidR="002038D8" w:rsidRPr="0088057A" w:rsidRDefault="002038D8" w:rsidP="002038D8">
      <w:pPr>
        <w:pStyle w:val="paragraph"/>
        <w:shd w:val="clear" w:color="auto" w:fill="FFFFFF"/>
        <w:ind w:left="555" w:right="525"/>
        <w:rPr>
          <w:rFonts w:ascii="Arial" w:hAnsi="Arial" w:cs="Arial"/>
          <w:color w:val="000000"/>
        </w:rPr>
      </w:pPr>
      <w:r w:rsidRPr="0088057A">
        <w:rPr>
          <w:rFonts w:ascii="Arial" w:hAnsi="Arial" w:cs="Arial"/>
        </w:rPr>
        <w:t> </w:t>
      </w:r>
    </w:p>
    <w:p w14:paraId="6D2D605F" w14:textId="1E4D358A" w:rsidR="002038D8" w:rsidRPr="0088057A" w:rsidRDefault="002038D8" w:rsidP="00CC24D9">
      <w:pPr>
        <w:pStyle w:val="paragraph"/>
        <w:shd w:val="clear" w:color="auto" w:fill="FFFFFF"/>
        <w:ind w:right="525"/>
        <w:rPr>
          <w:rFonts w:ascii="Arial" w:hAnsi="Arial" w:cs="Arial"/>
          <w:color w:val="000000"/>
        </w:rPr>
      </w:pPr>
      <w:r w:rsidRPr="0088057A">
        <w:rPr>
          <w:rStyle w:val="normaltextrun"/>
          <w:rFonts w:ascii="Arial" w:hAnsi="Arial" w:cs="Arial"/>
          <w:color w:val="000000"/>
        </w:rPr>
        <w:t>(1060 words)</w:t>
      </w:r>
      <w:r w:rsidRPr="0088057A">
        <w:rPr>
          <w:rStyle w:val="eop"/>
          <w:rFonts w:ascii="Arial" w:hAnsi="Arial" w:cs="Arial"/>
          <w:color w:val="000000"/>
        </w:rPr>
        <w:t> </w:t>
      </w:r>
    </w:p>
    <w:p w14:paraId="00D71E97" w14:textId="77777777" w:rsidR="002038D8" w:rsidRPr="0088057A" w:rsidRDefault="002038D8" w:rsidP="002038D8">
      <w:pPr>
        <w:shd w:val="clear" w:color="auto" w:fill="FFFFFF"/>
        <w:rPr>
          <w:rFonts w:ascii="Arial" w:eastAsia="Times New Roman" w:hAnsi="Arial" w:cs="Arial"/>
          <w:color w:val="000000"/>
        </w:rPr>
      </w:pPr>
    </w:p>
    <w:p w14:paraId="5C14B6F7" w14:textId="77777777" w:rsidR="003D0356" w:rsidRPr="0088057A" w:rsidRDefault="003D0356" w:rsidP="003D0356">
      <w:pPr>
        <w:pStyle w:val="paragraph"/>
        <w:shd w:val="clear" w:color="auto" w:fill="FFFFFF"/>
        <w:ind w:left="555" w:right="525"/>
        <w:rPr>
          <w:rFonts w:ascii="Arial" w:hAnsi="Arial" w:cs="Arial"/>
          <w:color w:val="000000"/>
        </w:rPr>
      </w:pPr>
    </w:p>
    <w:p w14:paraId="0B1CEC7B" w14:textId="24745F22" w:rsidR="004F7324" w:rsidRPr="0088057A" w:rsidRDefault="004F7324">
      <w:pPr>
        <w:rPr>
          <w:rFonts w:ascii="Arial" w:hAnsi="Arial" w:cs="Arial"/>
        </w:rPr>
      </w:pPr>
    </w:p>
    <w:p w14:paraId="1F726DB3" w14:textId="03E73769" w:rsidR="00B21E65" w:rsidRPr="0088057A" w:rsidRDefault="00B21E65">
      <w:pPr>
        <w:rPr>
          <w:rFonts w:ascii="Arial" w:hAnsi="Arial" w:cs="Arial"/>
        </w:rPr>
      </w:pPr>
    </w:p>
    <w:p w14:paraId="58456047" w14:textId="788B7947" w:rsidR="00B21E65" w:rsidRPr="0088057A" w:rsidRDefault="00B21E65">
      <w:pPr>
        <w:rPr>
          <w:rFonts w:ascii="Arial" w:hAnsi="Arial" w:cs="Arial"/>
        </w:rPr>
      </w:pPr>
    </w:p>
    <w:p w14:paraId="19B891CE" w14:textId="58BE4CCC" w:rsidR="00B21E65" w:rsidRPr="0088057A" w:rsidRDefault="00B21E65">
      <w:pPr>
        <w:rPr>
          <w:rFonts w:ascii="Arial" w:hAnsi="Arial" w:cs="Arial"/>
        </w:rPr>
      </w:pPr>
    </w:p>
    <w:p w14:paraId="17951A75" w14:textId="4E24C701" w:rsidR="00B21E65" w:rsidRPr="0088057A" w:rsidRDefault="00B21E65">
      <w:pPr>
        <w:rPr>
          <w:rFonts w:ascii="Arial" w:hAnsi="Arial" w:cs="Arial"/>
        </w:rPr>
      </w:pPr>
    </w:p>
    <w:p w14:paraId="73F35CA8" w14:textId="5A369D6E" w:rsidR="00B21E65" w:rsidRPr="0088057A" w:rsidRDefault="00B21E65">
      <w:pPr>
        <w:rPr>
          <w:rFonts w:ascii="Arial" w:hAnsi="Arial" w:cs="Arial"/>
        </w:rPr>
      </w:pPr>
    </w:p>
    <w:p w14:paraId="7C425D4C" w14:textId="190232BC" w:rsidR="00B21E65" w:rsidRPr="0088057A" w:rsidRDefault="00B21E65">
      <w:pPr>
        <w:rPr>
          <w:rFonts w:ascii="Arial" w:hAnsi="Arial" w:cs="Arial"/>
        </w:rPr>
      </w:pPr>
    </w:p>
    <w:p w14:paraId="04610F2C" w14:textId="1A8FB94B" w:rsidR="00B21E65" w:rsidRPr="0088057A" w:rsidRDefault="00B21E65">
      <w:pPr>
        <w:rPr>
          <w:rFonts w:ascii="Arial" w:hAnsi="Arial" w:cs="Arial"/>
        </w:rPr>
      </w:pPr>
    </w:p>
    <w:p w14:paraId="24F0E27B" w14:textId="3BF4E033" w:rsidR="00B21E65" w:rsidRPr="0088057A" w:rsidRDefault="00B21E65" w:rsidP="00B21E65">
      <w:pPr>
        <w:rPr>
          <w:rFonts w:ascii="Arial" w:hAnsi="Arial" w:cs="Arial"/>
          <w:b/>
          <w:bCs/>
        </w:rPr>
      </w:pPr>
      <w:r w:rsidRPr="0088057A">
        <w:rPr>
          <w:rFonts w:ascii="Arial" w:hAnsi="Arial" w:cs="Arial"/>
          <w:b/>
          <w:bCs/>
        </w:rPr>
        <w:lastRenderedPageBreak/>
        <w:t>Bibliography</w:t>
      </w:r>
    </w:p>
    <w:p w14:paraId="7F5DAB10" w14:textId="5F72ABA0"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Action Counters Terrorism (2023) </w:t>
      </w:r>
      <w:r w:rsidRPr="0088057A">
        <w:rPr>
          <w:rFonts w:ascii="Arial" w:hAnsi="Arial" w:cs="Arial"/>
          <w:i/>
          <w:iCs/>
        </w:rPr>
        <w:t>Report terrorist or Extremist Content Online: Action Counters Terrorism</w:t>
      </w:r>
      <w:r w:rsidRPr="0088057A">
        <w:rPr>
          <w:rFonts w:ascii="Arial" w:hAnsi="Arial" w:cs="Arial"/>
        </w:rPr>
        <w:t xml:space="preserve">. Available at: </w:t>
      </w:r>
      <w:hyperlink r:id="rId8" w:history="1">
        <w:r w:rsidRPr="0088057A">
          <w:rPr>
            <w:rStyle w:val="Hyperlink"/>
            <w:rFonts w:ascii="Arial" w:hAnsi="Arial" w:cs="Arial"/>
          </w:rPr>
          <w:t>https://act.campaign.gov.uk/</w:t>
        </w:r>
      </w:hyperlink>
      <w:r w:rsidRPr="0088057A">
        <w:rPr>
          <w:rFonts w:ascii="Arial" w:hAnsi="Arial" w:cs="Arial"/>
        </w:rPr>
        <w:t xml:space="preserve"> (Accessed: February 20, 2023).</w:t>
      </w:r>
    </w:p>
    <w:p w14:paraId="477885EA"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Barber B. (1963) ‘Some Problems in the Sociology of the Professions’ Daedalus 92(4): 670–83. (Accessed: December 13, 2022).</w:t>
      </w:r>
    </w:p>
    <w:p w14:paraId="75B63AA5"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BBC News (2015)</w:t>
      </w:r>
      <w:r w:rsidRPr="0088057A">
        <w:rPr>
          <w:rFonts w:ascii="Arial" w:hAnsi="Arial" w:cs="Arial"/>
          <w:i/>
          <w:iCs/>
        </w:rPr>
        <w:t xml:space="preserve"> 7 July London bombings: What happened that day?</w:t>
      </w:r>
      <w:r w:rsidRPr="0088057A">
        <w:rPr>
          <w:rFonts w:ascii="Arial" w:hAnsi="Arial" w:cs="Arial"/>
        </w:rPr>
        <w:t xml:space="preserve"> [Online]. Available at: </w:t>
      </w:r>
      <w:hyperlink r:id="rId9" w:history="1">
        <w:r w:rsidRPr="0088057A">
          <w:rPr>
            <w:rStyle w:val="Hyperlink"/>
            <w:rFonts w:ascii="Arial" w:hAnsi="Arial" w:cs="Arial"/>
          </w:rPr>
          <w:t>https://www.bbc.com/news/uk-33253598</w:t>
        </w:r>
      </w:hyperlink>
      <w:r w:rsidRPr="0088057A">
        <w:rPr>
          <w:rFonts w:ascii="Arial" w:hAnsi="Arial" w:cs="Arial"/>
        </w:rPr>
        <w:t xml:space="preserve"> (Accessed: February 26, 2023).</w:t>
      </w:r>
    </w:p>
    <w:p w14:paraId="6AF4C792"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BBC News (2017a) </w:t>
      </w:r>
      <w:r w:rsidRPr="0088057A">
        <w:rPr>
          <w:rFonts w:ascii="Arial" w:hAnsi="Arial" w:cs="Arial"/>
          <w:i/>
          <w:iCs/>
        </w:rPr>
        <w:t xml:space="preserve">Manchester attack: What we know so far. </w:t>
      </w:r>
      <w:r w:rsidRPr="0088057A">
        <w:rPr>
          <w:rFonts w:ascii="Arial" w:hAnsi="Arial" w:cs="Arial"/>
        </w:rPr>
        <w:t xml:space="preserve"> [Online]. Available at: </w:t>
      </w:r>
      <w:hyperlink r:id="rId10" w:history="1">
        <w:r w:rsidRPr="0088057A">
          <w:rPr>
            <w:rStyle w:val="Hyperlink"/>
            <w:rFonts w:ascii="Arial" w:hAnsi="Arial" w:cs="Arial"/>
          </w:rPr>
          <w:t>https://www.bbc.co.uk/news/uk-england-manchester-40008389</w:t>
        </w:r>
      </w:hyperlink>
      <w:r w:rsidRPr="0088057A">
        <w:rPr>
          <w:rFonts w:ascii="Arial" w:hAnsi="Arial" w:cs="Arial"/>
        </w:rPr>
        <w:t xml:space="preserve"> (Accessed: February 23, 2023).</w:t>
      </w:r>
    </w:p>
    <w:p w14:paraId="4B992127"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BBC News (2017b) </w:t>
      </w:r>
      <w:r w:rsidRPr="0088057A">
        <w:rPr>
          <w:rFonts w:ascii="Arial" w:hAnsi="Arial" w:cs="Arial"/>
          <w:i/>
          <w:iCs/>
        </w:rPr>
        <w:t xml:space="preserve">Reality check: What is the prevent strategy? </w:t>
      </w:r>
      <w:r w:rsidRPr="0088057A">
        <w:rPr>
          <w:rFonts w:ascii="Arial" w:hAnsi="Arial" w:cs="Arial"/>
        </w:rPr>
        <w:t xml:space="preserve">[Online]. Available at: </w:t>
      </w:r>
      <w:hyperlink r:id="rId11" w:history="1">
        <w:r w:rsidRPr="0088057A">
          <w:rPr>
            <w:rStyle w:val="Hyperlink"/>
            <w:rFonts w:ascii="Arial" w:hAnsi="Arial" w:cs="Arial"/>
          </w:rPr>
          <w:t>https://www.bbc.co.uk/news/election-2017-40151991</w:t>
        </w:r>
      </w:hyperlink>
      <w:r w:rsidRPr="0088057A">
        <w:rPr>
          <w:rFonts w:ascii="Arial" w:hAnsi="Arial" w:cs="Arial"/>
        </w:rPr>
        <w:t xml:space="preserve"> (Accessed: February 12, 2023).</w:t>
      </w:r>
    </w:p>
    <w:p w14:paraId="4C99AB69"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Braithwaite, J. (1989). Crime, shame, and reintegration. Cambridge, MA: Cambridge University Press. (Accessed: February 2, 2023).</w:t>
      </w:r>
    </w:p>
    <w:p w14:paraId="3E51B79B"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Bryant, R. and Bryant, S. (2020) </w:t>
      </w:r>
      <w:r w:rsidRPr="0088057A">
        <w:rPr>
          <w:rFonts w:ascii="Arial" w:hAnsi="Arial" w:cs="Arial"/>
          <w:i/>
          <w:iCs/>
        </w:rPr>
        <w:t>Blackstone’s Handbook for Policing Students 2021</w:t>
      </w:r>
      <w:r w:rsidRPr="0088057A">
        <w:rPr>
          <w:rFonts w:ascii="Arial" w:hAnsi="Arial" w:cs="Arial"/>
        </w:rPr>
        <w:t>. 5</w:t>
      </w:r>
      <w:r w:rsidRPr="0088057A">
        <w:rPr>
          <w:rFonts w:ascii="Arial" w:hAnsi="Arial" w:cs="Arial"/>
          <w:vertAlign w:val="superscript"/>
        </w:rPr>
        <w:t>th</w:t>
      </w:r>
      <w:r w:rsidRPr="0088057A">
        <w:rPr>
          <w:rFonts w:ascii="Arial" w:hAnsi="Arial" w:cs="Arial"/>
        </w:rPr>
        <w:t xml:space="preserve"> </w:t>
      </w:r>
      <w:proofErr w:type="spellStart"/>
      <w:r w:rsidRPr="0088057A">
        <w:rPr>
          <w:rFonts w:ascii="Arial" w:hAnsi="Arial" w:cs="Arial"/>
        </w:rPr>
        <w:t>Edn</w:t>
      </w:r>
      <w:proofErr w:type="spellEnd"/>
      <w:r w:rsidRPr="0088057A">
        <w:rPr>
          <w:rFonts w:ascii="Arial" w:hAnsi="Arial" w:cs="Arial"/>
        </w:rPr>
        <w:t>. Oxford: Oxford University Press (Accessed: February 18, 2023).</w:t>
      </w:r>
    </w:p>
    <w:p w14:paraId="5FFD94B1"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(2014) </w:t>
      </w:r>
      <w:proofErr w:type="gramStart"/>
      <w:r w:rsidRPr="0088057A">
        <w:rPr>
          <w:rFonts w:ascii="Arial" w:hAnsi="Arial" w:cs="Arial"/>
        </w:rPr>
        <w:t>Five year</w:t>
      </w:r>
      <w:proofErr w:type="gramEnd"/>
      <w:r w:rsidRPr="0088057A">
        <w:rPr>
          <w:rFonts w:ascii="Arial" w:hAnsi="Arial" w:cs="Arial"/>
        </w:rPr>
        <w:t xml:space="preserve"> strategy. Coventry: College of Policing. (Accessed: December 14, 2022).</w:t>
      </w:r>
    </w:p>
    <w:p w14:paraId="1E3E2CE9"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(2016a), What is EBP? Introducing “ATLAS”. Available at: </w:t>
      </w:r>
      <w:hyperlink r:id="rId12" w:history="1">
        <w:r w:rsidRPr="0088057A">
          <w:rPr>
            <w:rStyle w:val="Hyperlink"/>
            <w:rFonts w:ascii="Arial" w:hAnsi="Arial" w:cs="Arial"/>
          </w:rPr>
          <w:t>https://whatworks.college.police.uk/About/News/Documents/ATLAS.pdf</w:t>
        </w:r>
      </w:hyperlink>
      <w:r w:rsidRPr="0088057A">
        <w:rPr>
          <w:rFonts w:ascii="Arial" w:hAnsi="Arial" w:cs="Arial"/>
        </w:rPr>
        <w:t xml:space="preserve"> (Accessed: February 2, 2023). </w:t>
      </w:r>
    </w:p>
    <w:p w14:paraId="524D9B9E"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College of Policing (2016b), ‘Current figures on sex offender registration and CDOSD usage’.  (Accessed: February 2, 2023).</w:t>
      </w:r>
    </w:p>
    <w:p w14:paraId="0657E65A"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(2017) </w:t>
      </w:r>
      <w:r w:rsidRPr="0088057A">
        <w:rPr>
          <w:rFonts w:ascii="Arial" w:hAnsi="Arial" w:cs="Arial"/>
          <w:i/>
          <w:iCs/>
        </w:rPr>
        <w:t xml:space="preserve">Problem-oriented policing. </w:t>
      </w:r>
      <w:r w:rsidRPr="0088057A">
        <w:rPr>
          <w:rFonts w:ascii="Arial" w:hAnsi="Arial" w:cs="Arial"/>
        </w:rPr>
        <w:t xml:space="preserve">Available at: </w:t>
      </w:r>
      <w:hyperlink r:id="rId13" w:history="1">
        <w:r w:rsidRPr="0088057A">
          <w:rPr>
            <w:rStyle w:val="Hyperlink"/>
            <w:rFonts w:ascii="Arial" w:hAnsi="Arial" w:cs="Arial"/>
          </w:rPr>
          <w:t>https://www.college.policing.uk/research/crime-reduction-toolkit/problem-oriented-policing</w:t>
        </w:r>
      </w:hyperlink>
      <w:r w:rsidRPr="0088057A">
        <w:rPr>
          <w:rFonts w:ascii="Arial" w:hAnsi="Arial" w:cs="Arial"/>
        </w:rPr>
        <w:t xml:space="preserve"> (Accessed: February 22, 2023).</w:t>
      </w:r>
    </w:p>
    <w:p w14:paraId="752CB806"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(2020) </w:t>
      </w:r>
      <w:r w:rsidRPr="0088057A">
        <w:rPr>
          <w:rFonts w:ascii="Arial" w:hAnsi="Arial" w:cs="Arial"/>
          <w:i/>
          <w:iCs/>
        </w:rPr>
        <w:t>Policing education qualifications framework (PEQF).</w:t>
      </w:r>
      <w:r w:rsidRPr="0088057A">
        <w:rPr>
          <w:rFonts w:ascii="Arial" w:hAnsi="Arial" w:cs="Arial"/>
        </w:rPr>
        <w:t xml:space="preserve"> Available at: </w:t>
      </w:r>
      <w:hyperlink r:id="rId14" w:history="1">
        <w:r w:rsidRPr="0088057A">
          <w:rPr>
            <w:rStyle w:val="Hyperlink"/>
            <w:rFonts w:ascii="Arial" w:hAnsi="Arial" w:cs="Arial"/>
          </w:rPr>
          <w:t>https://www.college.police.uk/career-learning/policing-education-qualifications-framework-peqf</w:t>
        </w:r>
      </w:hyperlink>
      <w:r w:rsidRPr="0088057A">
        <w:rPr>
          <w:rFonts w:ascii="Arial" w:hAnsi="Arial" w:cs="Arial"/>
        </w:rPr>
        <w:t xml:space="preserve">  (Accessed: December 12, 2022).</w:t>
      </w:r>
    </w:p>
    <w:p w14:paraId="4F9CBA43"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(2022) </w:t>
      </w:r>
      <w:r w:rsidRPr="0088057A">
        <w:rPr>
          <w:rFonts w:ascii="Arial" w:hAnsi="Arial" w:cs="Arial"/>
          <w:i/>
          <w:iCs/>
        </w:rPr>
        <w:t>What is Situational Crime Prevention?</w:t>
      </w:r>
      <w:r w:rsidRPr="0088057A">
        <w:rPr>
          <w:rFonts w:ascii="Arial" w:hAnsi="Arial" w:cs="Arial"/>
        </w:rPr>
        <w:t xml:space="preserve"> Available at: </w:t>
      </w:r>
      <w:hyperlink r:id="rId15" w:history="1">
        <w:r w:rsidRPr="0088057A">
          <w:rPr>
            <w:rStyle w:val="Hyperlink"/>
            <w:rFonts w:ascii="Arial" w:hAnsi="Arial" w:cs="Arial"/>
          </w:rPr>
          <w:t>https://www.college.police.uk/guidance/neighbourhood-crime/what-situational-crime-prevention</w:t>
        </w:r>
      </w:hyperlink>
      <w:r w:rsidRPr="0088057A">
        <w:rPr>
          <w:rFonts w:ascii="Arial" w:hAnsi="Arial" w:cs="Arial"/>
        </w:rPr>
        <w:t xml:space="preserve"> (Accessed: February 22, 2023). </w:t>
      </w:r>
    </w:p>
    <w:p w14:paraId="4AA26E63"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College of Policing (2023) Evidence-based policing. Available at: </w:t>
      </w:r>
      <w:hyperlink r:id="rId16" w:history="1">
        <w:r w:rsidRPr="0088057A">
          <w:rPr>
            <w:rStyle w:val="Hyperlink"/>
            <w:rFonts w:ascii="Arial" w:hAnsi="Arial" w:cs="Arial"/>
          </w:rPr>
          <w:t>https://www.college.police.uk/research/evidence-based-policing-EBP</w:t>
        </w:r>
      </w:hyperlink>
      <w:r w:rsidRPr="0088057A">
        <w:rPr>
          <w:rFonts w:ascii="Arial" w:hAnsi="Arial" w:cs="Arial"/>
        </w:rPr>
        <w:t xml:space="preserve">  (Accessed: February 2, 2023).</w:t>
      </w:r>
    </w:p>
    <w:p w14:paraId="5471A1D5"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Cornish, D.B. and Clarke, R.V.G. (2003). Opportunities, precipitators, and criminal decisions: A reply to Wortley’s critique of situational crime prevention. </w:t>
      </w:r>
      <w:r w:rsidRPr="0088057A">
        <w:rPr>
          <w:rFonts w:ascii="Arial" w:hAnsi="Arial" w:cs="Arial"/>
          <w:i/>
          <w:iCs/>
        </w:rPr>
        <w:t>Crime Prevention Studies,</w:t>
      </w:r>
      <w:r w:rsidRPr="0088057A">
        <w:rPr>
          <w:rFonts w:ascii="Arial" w:hAnsi="Arial" w:cs="Arial"/>
        </w:rPr>
        <w:t xml:space="preserve"> 16, pp.41-96. (Accessed: February 22, 2023).</w:t>
      </w:r>
    </w:p>
    <w:p w14:paraId="265A485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Counter Terrorism Policing (2023) </w:t>
      </w:r>
      <w:r w:rsidRPr="0088057A">
        <w:rPr>
          <w:rFonts w:ascii="Arial" w:hAnsi="Arial" w:cs="Arial"/>
          <w:i/>
          <w:iCs/>
        </w:rPr>
        <w:t xml:space="preserve">Counter Terrorism Policing. </w:t>
      </w:r>
      <w:r w:rsidRPr="0088057A">
        <w:rPr>
          <w:rFonts w:ascii="Arial" w:hAnsi="Arial" w:cs="Arial"/>
        </w:rPr>
        <w:t xml:space="preserve"> Available at: </w:t>
      </w:r>
      <w:hyperlink r:id="rId17" w:history="1">
        <w:r w:rsidRPr="0088057A">
          <w:rPr>
            <w:rStyle w:val="Hyperlink"/>
            <w:rFonts w:ascii="Arial" w:hAnsi="Arial" w:cs="Arial"/>
          </w:rPr>
          <w:t>https://www.counterterrorism.police.uk/</w:t>
        </w:r>
      </w:hyperlink>
      <w:r w:rsidRPr="0088057A">
        <w:rPr>
          <w:rFonts w:ascii="Arial" w:hAnsi="Arial" w:cs="Arial"/>
        </w:rPr>
        <w:t xml:space="preserve"> (Accessed: February 27, 2023).</w:t>
      </w:r>
    </w:p>
    <w:p w14:paraId="7096E569"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CPS.gov.uk (2022a) Terrorism. Available at: </w:t>
      </w:r>
      <w:hyperlink r:id="rId18" w:history="1">
        <w:r w:rsidRPr="0088057A">
          <w:rPr>
            <w:rStyle w:val="Hyperlink"/>
            <w:rFonts w:ascii="Arial" w:hAnsi="Arial" w:cs="Arial"/>
          </w:rPr>
          <w:t>https://www.cps.gov.uk/crime-info/terrorism</w:t>
        </w:r>
      </w:hyperlink>
      <w:r w:rsidRPr="0088057A">
        <w:rPr>
          <w:rFonts w:ascii="Arial" w:hAnsi="Arial" w:cs="Arial"/>
        </w:rPr>
        <w:t xml:space="preserve">  (Accessed: February 4, 2023).</w:t>
      </w:r>
    </w:p>
    <w:p w14:paraId="67EBCDE0"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CPS.gov.uk (2022b) Sexual offences. Available at: </w:t>
      </w:r>
      <w:hyperlink r:id="rId19" w:history="1">
        <w:r w:rsidRPr="0088057A">
          <w:rPr>
            <w:rStyle w:val="Hyperlink"/>
            <w:rFonts w:ascii="Arial" w:hAnsi="Arial" w:cs="Arial"/>
          </w:rPr>
          <w:t>https://www.cps.gov.uk/crime-info/sexual-offences</w:t>
        </w:r>
      </w:hyperlink>
      <w:r w:rsidRPr="0088057A">
        <w:rPr>
          <w:rFonts w:ascii="Arial" w:hAnsi="Arial" w:cs="Arial"/>
        </w:rPr>
        <w:t xml:space="preserve">  (Accessed: February 7, 2023).</w:t>
      </w:r>
    </w:p>
    <w:p w14:paraId="5C45F765"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CPS.gov.uk (2023) Restorative justice. Available at: </w:t>
      </w:r>
      <w:hyperlink r:id="rId20" w:history="1">
        <w:r w:rsidRPr="0088057A">
          <w:rPr>
            <w:rStyle w:val="Hyperlink"/>
            <w:rFonts w:ascii="Arial" w:hAnsi="Arial" w:cs="Arial"/>
          </w:rPr>
          <w:t>https://www.cps.gov.uk/legal-guidance/restorative-justice</w:t>
        </w:r>
      </w:hyperlink>
      <w:r w:rsidRPr="0088057A">
        <w:rPr>
          <w:rFonts w:ascii="Arial" w:hAnsi="Arial" w:cs="Arial"/>
        </w:rPr>
        <w:t xml:space="preserve">  (Accessed: February 2, 2023).</w:t>
      </w:r>
    </w:p>
    <w:p w14:paraId="0330C28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lastRenderedPageBreak/>
        <w:t xml:space="preserve">Department of Health and Social Care (2013) </w:t>
      </w:r>
      <w:r w:rsidRPr="0088057A">
        <w:rPr>
          <w:rFonts w:ascii="Arial" w:hAnsi="Arial" w:cs="Arial"/>
          <w:i/>
          <w:iCs/>
        </w:rPr>
        <w:t>Wellbeing and Health.</w:t>
      </w:r>
      <w:r w:rsidRPr="0088057A">
        <w:rPr>
          <w:rFonts w:ascii="Arial" w:hAnsi="Arial" w:cs="Arial"/>
        </w:rPr>
        <w:t xml:space="preserve"> GOV.UK. Available at: </w:t>
      </w:r>
      <w:hyperlink r:id="rId21" w:history="1">
        <w:r w:rsidRPr="0088057A">
          <w:rPr>
            <w:rStyle w:val="Hyperlink"/>
            <w:rFonts w:ascii="Arial" w:hAnsi="Arial" w:cs="Arial"/>
          </w:rPr>
          <w:t>https://www.gov.uk/government/publications/wellbeing-and-health</w:t>
        </w:r>
      </w:hyperlink>
      <w:r w:rsidRPr="0088057A">
        <w:rPr>
          <w:rFonts w:ascii="Arial" w:hAnsi="Arial" w:cs="Arial"/>
        </w:rPr>
        <w:t xml:space="preserve"> (Accessed: December 13, 2022).</w:t>
      </w:r>
    </w:p>
    <w:p w14:paraId="00A43B12"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Eck, J.E. and Spelman, W. (1987). </w:t>
      </w:r>
      <w:r w:rsidRPr="0088057A">
        <w:rPr>
          <w:rFonts w:ascii="Arial" w:hAnsi="Arial" w:cs="Arial"/>
          <w:i/>
          <w:iCs/>
        </w:rPr>
        <w:t>Problem Solving: Problem-orientated policing in Newport News.</w:t>
      </w:r>
      <w:r w:rsidRPr="0088057A">
        <w:rPr>
          <w:rFonts w:ascii="Arial" w:hAnsi="Arial" w:cs="Arial"/>
        </w:rPr>
        <w:t xml:space="preserve"> Washington, DC: Police Executive Research Forum. (Accessed: February 19, 2023).</w:t>
      </w:r>
    </w:p>
    <w:p w14:paraId="377ADC96"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Farkas, J., Sallai, J. &amp; </w:t>
      </w:r>
      <w:proofErr w:type="spellStart"/>
      <w:r w:rsidRPr="0088057A">
        <w:rPr>
          <w:rFonts w:ascii="Arial" w:hAnsi="Arial" w:cs="Arial"/>
        </w:rPr>
        <w:t>Krauzer</w:t>
      </w:r>
      <w:proofErr w:type="spellEnd"/>
      <w:r w:rsidRPr="0088057A">
        <w:rPr>
          <w:rFonts w:ascii="Arial" w:hAnsi="Arial" w:cs="Arial"/>
        </w:rPr>
        <w:t>, E. (2020). The Organisational Culture of the Police Force. Internal Security. 12. 77-84. (Accessed: December 13, 2022).</w:t>
      </w:r>
    </w:p>
    <w:p w14:paraId="7F6D360E"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Felson, M. and Clarke, R.V. (1998) Opportunity Makes the Thief: Practical Theory for Crime Prevention. </w:t>
      </w:r>
      <w:r w:rsidRPr="0088057A">
        <w:rPr>
          <w:rFonts w:ascii="Arial" w:hAnsi="Arial" w:cs="Arial"/>
          <w:i/>
          <w:iCs/>
        </w:rPr>
        <w:t xml:space="preserve">Police Research Series Paper, </w:t>
      </w:r>
      <w:r w:rsidRPr="0088057A">
        <w:rPr>
          <w:rFonts w:ascii="Arial" w:hAnsi="Arial" w:cs="Arial"/>
        </w:rPr>
        <w:t>98. Research, Development and Statistics Directorate, London. (Accessed: February 22, 2023).</w:t>
      </w:r>
    </w:p>
    <w:p w14:paraId="1BBFC6C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Gohill, N.S. and Sidhu, D.S. (2007-08) ‘The Sikh Turban: Post 9/11 Challenges to this Article of Faith’, </w:t>
      </w:r>
      <w:r w:rsidRPr="0088057A">
        <w:rPr>
          <w:rFonts w:ascii="Arial" w:hAnsi="Arial" w:cs="Arial"/>
          <w:i/>
          <w:iCs/>
        </w:rPr>
        <w:t>Rutgers Journal of Law and Religion,</w:t>
      </w:r>
      <w:r w:rsidRPr="0088057A">
        <w:rPr>
          <w:rFonts w:ascii="Arial" w:hAnsi="Arial" w:cs="Arial"/>
        </w:rPr>
        <w:t xml:space="preserve"> 9 (2): pp:1-60 (Accessed: March 2, 2023).</w:t>
      </w:r>
    </w:p>
    <w:p w14:paraId="273A68F0"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Gov.uk (2021) </w:t>
      </w:r>
      <w:r w:rsidRPr="0088057A">
        <w:rPr>
          <w:rFonts w:ascii="Arial" w:hAnsi="Arial" w:cs="Arial"/>
          <w:i/>
          <w:iCs/>
        </w:rPr>
        <w:t xml:space="preserve">Reoffending </w:t>
      </w:r>
      <w:proofErr w:type="gramStart"/>
      <w:r w:rsidRPr="0088057A">
        <w:rPr>
          <w:rFonts w:ascii="Arial" w:hAnsi="Arial" w:cs="Arial"/>
          <w:i/>
          <w:iCs/>
        </w:rPr>
        <w:t>-  Ethnicity</w:t>
      </w:r>
      <w:proofErr w:type="gramEnd"/>
      <w:r w:rsidRPr="0088057A">
        <w:rPr>
          <w:rFonts w:ascii="Arial" w:hAnsi="Arial" w:cs="Arial"/>
          <w:i/>
          <w:iCs/>
        </w:rPr>
        <w:t xml:space="preserve"> facts and figures</w:t>
      </w:r>
      <w:r w:rsidRPr="0088057A">
        <w:rPr>
          <w:rFonts w:ascii="Arial" w:hAnsi="Arial" w:cs="Arial"/>
        </w:rPr>
        <w:t xml:space="preserve">. Available at: </w:t>
      </w:r>
      <w:hyperlink r:id="rId22" w:history="1">
        <w:r w:rsidRPr="0088057A">
          <w:rPr>
            <w:rStyle w:val="Hyperlink"/>
            <w:rFonts w:ascii="Arial" w:hAnsi="Arial" w:cs="Arial"/>
          </w:rPr>
          <w:t>https://www.ethnicity-facts-figures.service.gov.uk/crime-justice-and-the-law/crime-and-reoffending/proven-reoffending/latest</w:t>
        </w:r>
      </w:hyperlink>
      <w:r w:rsidRPr="0088057A">
        <w:rPr>
          <w:rFonts w:ascii="Arial" w:hAnsi="Arial" w:cs="Arial"/>
        </w:rPr>
        <w:t xml:space="preserve">  (Accessed: January 12, 2023).</w:t>
      </w:r>
    </w:p>
    <w:p w14:paraId="06D87716"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Green, T., &amp; Gates, A. (2014). Understanding the Process of Professionalisation in the Police Organisation. The Police Journal, 87(2), 75–91. </w:t>
      </w:r>
      <w:hyperlink r:id="rId23" w:history="1">
        <w:r w:rsidRPr="0088057A">
          <w:rPr>
            <w:rStyle w:val="Hyperlink"/>
            <w:rFonts w:ascii="Arial" w:hAnsi="Arial" w:cs="Arial"/>
          </w:rPr>
          <w:t>https://doi.org/10.1350/pojo.2014.87.2.662</w:t>
        </w:r>
      </w:hyperlink>
      <w:r w:rsidRPr="0088057A">
        <w:rPr>
          <w:rStyle w:val="Hyperlink"/>
          <w:rFonts w:ascii="Arial" w:hAnsi="Arial" w:cs="Arial"/>
        </w:rPr>
        <w:t xml:space="preserve"> </w:t>
      </w:r>
      <w:r w:rsidRPr="0088057A">
        <w:rPr>
          <w:rFonts w:ascii="Arial" w:hAnsi="Arial" w:cs="Arial"/>
        </w:rPr>
        <w:t xml:space="preserve"> (Accessed: December 13, 2022).</w:t>
      </w:r>
    </w:p>
    <w:p w14:paraId="395D4DC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HM Government (2018) </w:t>
      </w:r>
      <w:r w:rsidRPr="0088057A">
        <w:rPr>
          <w:rFonts w:ascii="Arial" w:hAnsi="Arial" w:cs="Arial"/>
          <w:i/>
          <w:iCs/>
        </w:rPr>
        <w:t xml:space="preserve">CONTEST The United Kingdom’s Strategy for Countering Terrorism June 2018. </w:t>
      </w:r>
      <w:r w:rsidRPr="0088057A">
        <w:rPr>
          <w:rFonts w:ascii="Arial" w:hAnsi="Arial" w:cs="Arial"/>
        </w:rPr>
        <w:t xml:space="preserve">Available at: </w:t>
      </w:r>
      <w:hyperlink r:id="rId24" w:history="1">
        <w:r w:rsidRPr="0088057A">
          <w:rPr>
            <w:rStyle w:val="Hyperlink"/>
            <w:rFonts w:ascii="Arial" w:hAnsi="Arial" w:cs="Arial"/>
          </w:rPr>
          <w:t>https://assests.publishing.service.gov.uk/government/uploads/system/uploads/attachment_data/file/716907/140618_CCS207_CCS0218929798-1_CONTEST_3.0_WEB.pdf</w:t>
        </w:r>
      </w:hyperlink>
      <w:r w:rsidRPr="0088057A">
        <w:rPr>
          <w:rFonts w:ascii="Arial" w:hAnsi="Arial" w:cs="Arial"/>
        </w:rPr>
        <w:t xml:space="preserve"> (Accessed: February 26, 2023).</w:t>
      </w:r>
    </w:p>
    <w:p w14:paraId="4B7E7DE6"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Holdaway, S. (2017). The re-professionalization of the police in England and Wales. Criminology &amp; Criminal Justice, 17(5), 588–604. </w:t>
      </w:r>
      <w:hyperlink r:id="rId25" w:history="1">
        <w:r w:rsidRPr="0088057A">
          <w:rPr>
            <w:rStyle w:val="Hyperlink"/>
            <w:rFonts w:ascii="Arial" w:hAnsi="Arial" w:cs="Arial"/>
          </w:rPr>
          <w:t>https://doi.org/10.1177/1748895817690214</w:t>
        </w:r>
      </w:hyperlink>
      <w:r w:rsidRPr="0088057A">
        <w:rPr>
          <w:rFonts w:ascii="Arial" w:hAnsi="Arial" w:cs="Arial"/>
        </w:rPr>
        <w:t xml:space="preserve"> (Accessed: December 14, 2022).</w:t>
      </w:r>
    </w:p>
    <w:p w14:paraId="4EB0C4E2"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Justice (2023) </w:t>
      </w:r>
      <w:r w:rsidRPr="0088057A">
        <w:rPr>
          <w:rFonts w:ascii="Arial" w:hAnsi="Arial" w:cs="Arial"/>
          <w:i/>
          <w:iCs/>
        </w:rPr>
        <w:t>Stop and search under the Terrorism Act 2000.</w:t>
      </w:r>
      <w:r w:rsidRPr="0088057A">
        <w:rPr>
          <w:rFonts w:ascii="Arial" w:hAnsi="Arial" w:cs="Arial"/>
        </w:rPr>
        <w:t xml:space="preserve"> Available at: </w:t>
      </w:r>
      <w:hyperlink r:id="rId26" w:history="1">
        <w:r w:rsidRPr="0088057A">
          <w:rPr>
            <w:rStyle w:val="Hyperlink"/>
            <w:rFonts w:ascii="Arial" w:hAnsi="Arial" w:cs="Arial"/>
          </w:rPr>
          <w:t>https://justice.org.uk/1582-2/</w:t>
        </w:r>
      </w:hyperlink>
      <w:r w:rsidRPr="0088057A">
        <w:rPr>
          <w:rFonts w:ascii="Arial" w:hAnsi="Arial" w:cs="Arial"/>
        </w:rPr>
        <w:t xml:space="preserve"> (Accessed: March 4, 2023).</w:t>
      </w:r>
      <w:r w:rsidRPr="0088057A">
        <w:rPr>
          <w:rFonts w:ascii="Arial" w:hAnsi="Arial" w:cs="Arial"/>
        </w:rPr>
        <w:br/>
      </w:r>
    </w:p>
    <w:p w14:paraId="6E7DF441"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Kelling, G.L and Bratton, W.J (2006). </w:t>
      </w:r>
      <w:r w:rsidRPr="0088057A">
        <w:rPr>
          <w:rFonts w:ascii="Arial" w:hAnsi="Arial" w:cs="Arial"/>
          <w:i/>
          <w:iCs/>
        </w:rPr>
        <w:t xml:space="preserve">Policing terrorism. </w:t>
      </w:r>
      <w:r w:rsidRPr="0088057A">
        <w:rPr>
          <w:rFonts w:ascii="Arial" w:hAnsi="Arial" w:cs="Arial"/>
        </w:rPr>
        <w:t>Exeter: Learning Matters. (Accessed: February 19, 2023).</w:t>
      </w:r>
    </w:p>
    <w:p w14:paraId="71105FD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Legislation.gov.uk (2023a) </w:t>
      </w:r>
      <w:r w:rsidRPr="0088057A">
        <w:rPr>
          <w:rFonts w:ascii="Arial" w:hAnsi="Arial" w:cs="Arial"/>
          <w:i/>
          <w:iCs/>
        </w:rPr>
        <w:t>Terrorism act 2000.</w:t>
      </w:r>
      <w:r w:rsidRPr="0088057A">
        <w:rPr>
          <w:rFonts w:ascii="Arial" w:hAnsi="Arial" w:cs="Arial"/>
        </w:rPr>
        <w:t xml:space="preserve"> Available at: </w:t>
      </w:r>
      <w:hyperlink r:id="rId27" w:history="1">
        <w:r w:rsidRPr="0088057A">
          <w:rPr>
            <w:rStyle w:val="Hyperlink"/>
            <w:rFonts w:ascii="Arial" w:hAnsi="Arial" w:cs="Arial"/>
          </w:rPr>
          <w:t>https://www.legislation.gov.uk/ukpga/2000/11/section/1</w:t>
        </w:r>
      </w:hyperlink>
      <w:r w:rsidRPr="0088057A">
        <w:rPr>
          <w:rFonts w:ascii="Arial" w:hAnsi="Arial" w:cs="Arial"/>
        </w:rPr>
        <w:t xml:space="preserve"> (Accessed: February 21, 2023).</w:t>
      </w:r>
    </w:p>
    <w:p w14:paraId="1C3AA40A"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Legislation.gov.uk (2023b) </w:t>
      </w:r>
      <w:r w:rsidRPr="0088057A">
        <w:rPr>
          <w:rFonts w:ascii="Arial" w:hAnsi="Arial" w:cs="Arial"/>
          <w:i/>
          <w:iCs/>
        </w:rPr>
        <w:t>Counter-Terrorism and Border Security Act 2019.</w:t>
      </w:r>
      <w:r w:rsidRPr="0088057A">
        <w:rPr>
          <w:rFonts w:ascii="Arial" w:hAnsi="Arial" w:cs="Arial"/>
        </w:rPr>
        <w:t xml:space="preserve"> Available at: </w:t>
      </w:r>
      <w:hyperlink r:id="rId28" w:history="1">
        <w:r w:rsidRPr="0088057A">
          <w:rPr>
            <w:rStyle w:val="Hyperlink"/>
            <w:rFonts w:ascii="Arial" w:hAnsi="Arial" w:cs="Arial"/>
          </w:rPr>
          <w:t>https://www.legislation.gov.uk/ukpga/2019/3/part/1/chapter/4</w:t>
        </w:r>
      </w:hyperlink>
      <w:r w:rsidRPr="0088057A">
        <w:rPr>
          <w:rFonts w:ascii="Arial" w:hAnsi="Arial" w:cs="Arial"/>
        </w:rPr>
        <w:t xml:space="preserve"> (Accessed: February 26, 2023).</w:t>
      </w:r>
    </w:p>
    <w:p w14:paraId="10B3C5C3"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Mazerolle, L.G., Ready, J., Terrill, W. and Waring, E. (2000) Problem-oriented policing in public housing: the Jersey City evaluation. </w:t>
      </w:r>
      <w:r w:rsidRPr="0088057A">
        <w:rPr>
          <w:rFonts w:ascii="Arial" w:hAnsi="Arial" w:cs="Arial"/>
          <w:i/>
          <w:iCs/>
        </w:rPr>
        <w:t>Justice Quarterly</w:t>
      </w:r>
      <w:r w:rsidRPr="0088057A">
        <w:rPr>
          <w:rFonts w:ascii="Arial" w:hAnsi="Arial" w:cs="Arial"/>
        </w:rPr>
        <w:t xml:space="preserve"> 17(1): 129-158. (Accessed: February 18, 2023).</w:t>
      </w:r>
    </w:p>
    <w:p w14:paraId="5BB6912C"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Ministry of Justice (2023) </w:t>
      </w:r>
      <w:r w:rsidRPr="0088057A">
        <w:rPr>
          <w:rFonts w:ascii="Arial" w:hAnsi="Arial" w:cs="Arial"/>
          <w:i/>
          <w:iCs/>
        </w:rPr>
        <w:t>Proven reoffending statistics: January to March 2021.</w:t>
      </w:r>
      <w:r w:rsidRPr="0088057A">
        <w:rPr>
          <w:rFonts w:ascii="Arial" w:hAnsi="Arial" w:cs="Arial"/>
        </w:rPr>
        <w:t xml:space="preserve"> Available at: </w:t>
      </w:r>
      <w:hyperlink r:id="rId29" w:history="1">
        <w:r w:rsidRPr="0088057A">
          <w:rPr>
            <w:rStyle w:val="Hyperlink"/>
            <w:rFonts w:ascii="Arial" w:hAnsi="Arial" w:cs="Arial"/>
          </w:rPr>
          <w:t>https://www.gov.uk/government/statistics/proven-reoffending-statistics-january-to-march-2021/proven-reoffending-statistics-january-to-march-2021</w:t>
        </w:r>
      </w:hyperlink>
      <w:r w:rsidRPr="0088057A">
        <w:rPr>
          <w:rFonts w:ascii="Arial" w:hAnsi="Arial" w:cs="Arial"/>
        </w:rPr>
        <w:t xml:space="preserve">  (Accessed: February 2, 2023).</w:t>
      </w:r>
    </w:p>
    <w:p w14:paraId="05EC1BD5"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National Research Council (2004). Effectiveness of police activity in reducing crime, disorder and fear. In Wesley Skogan and Kathleen Frydl (eds.) </w:t>
      </w:r>
      <w:r w:rsidRPr="0088057A">
        <w:rPr>
          <w:rFonts w:ascii="Arial" w:hAnsi="Arial" w:cs="Arial"/>
          <w:i/>
          <w:iCs/>
        </w:rPr>
        <w:t>Fairness and effectiveness in policing: The evidence,</w:t>
      </w:r>
      <w:r w:rsidRPr="0088057A">
        <w:rPr>
          <w:rFonts w:ascii="Arial" w:hAnsi="Arial" w:cs="Arial"/>
        </w:rPr>
        <w:t xml:space="preserve"> pp. 217 -251. (Accessed: February 22, 2023).</w:t>
      </w:r>
    </w:p>
    <w:p w14:paraId="4DF45B7F"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lastRenderedPageBreak/>
        <w:t xml:space="preserve">O’Sullivan, J., </w:t>
      </w:r>
      <w:proofErr w:type="spellStart"/>
      <w:r w:rsidRPr="0088057A">
        <w:rPr>
          <w:rFonts w:ascii="Arial" w:hAnsi="Arial" w:cs="Arial"/>
        </w:rPr>
        <w:t>Hoggett</w:t>
      </w:r>
      <w:proofErr w:type="spellEnd"/>
      <w:r w:rsidRPr="0088057A">
        <w:rPr>
          <w:rFonts w:ascii="Arial" w:hAnsi="Arial" w:cs="Arial"/>
        </w:rPr>
        <w:t xml:space="preserve">, J., McCartan, K. and </w:t>
      </w:r>
      <w:proofErr w:type="spellStart"/>
      <w:r w:rsidRPr="0088057A">
        <w:rPr>
          <w:rFonts w:ascii="Arial" w:hAnsi="Arial" w:cs="Arial"/>
        </w:rPr>
        <w:t>Kemshall</w:t>
      </w:r>
      <w:proofErr w:type="spellEnd"/>
      <w:r w:rsidRPr="0088057A">
        <w:rPr>
          <w:rFonts w:ascii="Arial" w:hAnsi="Arial" w:cs="Arial"/>
        </w:rPr>
        <w:t xml:space="preserve">, H. (2016) Understandings, Implications and Alternative Approaches to the Use of Sex Offender Register in the UK. </w:t>
      </w:r>
      <w:r w:rsidRPr="0088057A">
        <w:rPr>
          <w:rFonts w:ascii="Arial" w:hAnsi="Arial" w:cs="Arial"/>
          <w:i/>
          <w:iCs/>
        </w:rPr>
        <w:t>Irish Probation Journal</w:t>
      </w:r>
      <w:r w:rsidRPr="0088057A">
        <w:rPr>
          <w:rFonts w:ascii="Arial" w:hAnsi="Arial" w:cs="Arial"/>
        </w:rPr>
        <w:t xml:space="preserve">, 13, pp. 84-101 </w:t>
      </w:r>
      <w:hyperlink r:id="rId30" w:history="1">
        <w:r w:rsidRPr="0088057A">
          <w:rPr>
            <w:rStyle w:val="Hyperlink"/>
            <w:rFonts w:ascii="Arial" w:hAnsi="Arial" w:cs="Arial"/>
          </w:rPr>
          <w:t>http://www.probation.ie/EN/PB//WebPages/WP16000177</w:t>
        </w:r>
      </w:hyperlink>
      <w:r w:rsidRPr="0088057A">
        <w:rPr>
          <w:rFonts w:ascii="Arial" w:hAnsi="Arial" w:cs="Arial"/>
        </w:rPr>
        <w:t xml:space="preserve">  (Accessed: February 10, 2023).</w:t>
      </w:r>
    </w:p>
    <w:p w14:paraId="3266FBEB"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Police Federation (2019) </w:t>
      </w:r>
      <w:r w:rsidRPr="0088057A">
        <w:rPr>
          <w:rFonts w:ascii="Arial" w:hAnsi="Arial" w:cs="Arial"/>
          <w:i/>
          <w:iCs/>
        </w:rPr>
        <w:t>Officers bearing brunt of disorganised college of policing scheme.</w:t>
      </w:r>
      <w:r w:rsidRPr="0088057A">
        <w:rPr>
          <w:rFonts w:ascii="Arial" w:hAnsi="Arial" w:cs="Arial"/>
        </w:rPr>
        <w:t xml:space="preserve"> Available at: </w:t>
      </w:r>
      <w:hyperlink r:id="rId31" w:history="1">
        <w:r w:rsidRPr="0088057A">
          <w:rPr>
            <w:rStyle w:val="Hyperlink"/>
            <w:rFonts w:ascii="Arial" w:hAnsi="Arial" w:cs="Arial"/>
          </w:rPr>
          <w:t>https://www.polfed.org/news/latest-news/2019/officers-bearing-brunt-of-disorganised-degree-scheme/</w:t>
        </w:r>
      </w:hyperlink>
      <w:r w:rsidRPr="0088057A">
        <w:rPr>
          <w:rFonts w:ascii="Arial" w:hAnsi="Arial" w:cs="Arial"/>
        </w:rPr>
        <w:t xml:space="preserve">  (Accessed: December 13, 2022).</w:t>
      </w:r>
    </w:p>
    <w:p w14:paraId="33DB259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Police Federation (2022) </w:t>
      </w:r>
      <w:r w:rsidRPr="0088057A">
        <w:rPr>
          <w:rFonts w:ascii="Arial" w:hAnsi="Arial" w:cs="Arial"/>
          <w:i/>
          <w:iCs/>
        </w:rPr>
        <w:t>Attrition rates show more must be done to retain new recruits.</w:t>
      </w:r>
      <w:r w:rsidRPr="0088057A">
        <w:rPr>
          <w:rFonts w:ascii="Arial" w:hAnsi="Arial" w:cs="Arial"/>
        </w:rPr>
        <w:t xml:space="preserve"> Available at: </w:t>
      </w:r>
      <w:hyperlink r:id="rId32" w:history="1">
        <w:r w:rsidRPr="0088057A">
          <w:rPr>
            <w:rStyle w:val="Hyperlink"/>
            <w:rFonts w:ascii="Arial" w:hAnsi="Arial" w:cs="Arial"/>
          </w:rPr>
          <w:t>https://www.polfed.org/news/latest-news/2022/attrition-rates-show-more-must-be-done-to-retain-new-recruits/</w:t>
        </w:r>
      </w:hyperlink>
      <w:r w:rsidRPr="0088057A">
        <w:rPr>
          <w:rFonts w:ascii="Arial" w:hAnsi="Arial" w:cs="Arial"/>
        </w:rPr>
        <w:t xml:space="preserve">  (Accessed: December 12, 2022).</w:t>
      </w:r>
    </w:p>
    <w:p w14:paraId="793EB732"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Reiner R. (2000) The Politics of the Police, 3rd </w:t>
      </w:r>
      <w:proofErr w:type="spellStart"/>
      <w:r w:rsidRPr="0088057A">
        <w:rPr>
          <w:rFonts w:ascii="Arial" w:hAnsi="Arial" w:cs="Arial"/>
        </w:rPr>
        <w:t>edn</w:t>
      </w:r>
      <w:proofErr w:type="spellEnd"/>
      <w:r w:rsidRPr="0088057A">
        <w:rPr>
          <w:rFonts w:ascii="Arial" w:hAnsi="Arial" w:cs="Arial"/>
        </w:rPr>
        <w:t>. Oxford: Oxford University Press. (Accessed: December 13, 2022).</w:t>
      </w:r>
    </w:p>
    <w:p w14:paraId="7606FE15"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Reiner, R. (1992) The Politics of the Police, Brighton: Wheatsheaf Books. (Accessed: December 13, 2022).</w:t>
      </w:r>
    </w:p>
    <w:p w14:paraId="054E74D4"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Reiner, R. (2010). The Politics of the Police, 4th </w:t>
      </w:r>
      <w:proofErr w:type="spellStart"/>
      <w:r w:rsidRPr="0088057A">
        <w:rPr>
          <w:rFonts w:ascii="Arial" w:hAnsi="Arial" w:cs="Arial"/>
        </w:rPr>
        <w:t>edn</w:t>
      </w:r>
      <w:proofErr w:type="spellEnd"/>
      <w:r w:rsidRPr="0088057A">
        <w:rPr>
          <w:rFonts w:ascii="Arial" w:hAnsi="Arial" w:cs="Arial"/>
        </w:rPr>
        <w:t>. Oxford:  Oxford University Press. (Accessed: December 14, 2022).</w:t>
      </w:r>
    </w:p>
    <w:p w14:paraId="2DE48C9C"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Schein, E. H. (2010). Organizational Culture and Leadership (4th ed.). San Francisco, CA: Jossey-Bass. (Accessed: December 14, 2022).</w:t>
      </w:r>
    </w:p>
    <w:p w14:paraId="33F2FAD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Soudijn, M. (2012). Removing excuses in money laundering. </w:t>
      </w:r>
      <w:r w:rsidRPr="0088057A">
        <w:rPr>
          <w:rFonts w:ascii="Arial" w:hAnsi="Arial" w:cs="Arial"/>
          <w:i/>
          <w:iCs/>
        </w:rPr>
        <w:t>Trends in Organized Crime</w:t>
      </w:r>
      <w:r w:rsidRPr="0088057A">
        <w:rPr>
          <w:rFonts w:ascii="Arial" w:hAnsi="Arial" w:cs="Arial"/>
        </w:rPr>
        <w:t xml:space="preserve">. 15. DOI: </w:t>
      </w:r>
      <w:hyperlink r:id="rId33" w:history="1">
        <w:r w:rsidRPr="0088057A">
          <w:rPr>
            <w:rStyle w:val="Hyperlink"/>
            <w:rFonts w:ascii="Arial" w:hAnsi="Arial" w:cs="Arial"/>
          </w:rPr>
          <w:t>https://doi.org/10.1007/s12117-012-9161-5</w:t>
        </w:r>
      </w:hyperlink>
      <w:r w:rsidRPr="0088057A">
        <w:rPr>
          <w:rFonts w:ascii="Arial" w:hAnsi="Arial" w:cs="Arial"/>
        </w:rPr>
        <w:t>. (Accessed: February 22, 2023)</w:t>
      </w:r>
    </w:p>
    <w:p w14:paraId="0B8EC0F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StopWatch (2022) </w:t>
      </w:r>
      <w:r w:rsidRPr="0088057A">
        <w:rPr>
          <w:rFonts w:ascii="Arial" w:hAnsi="Arial" w:cs="Arial"/>
          <w:i/>
          <w:iCs/>
        </w:rPr>
        <w:t xml:space="preserve">Terrorism act 2000 Factsheet. </w:t>
      </w:r>
      <w:r w:rsidRPr="0088057A">
        <w:rPr>
          <w:rFonts w:ascii="Arial" w:hAnsi="Arial" w:cs="Arial"/>
        </w:rPr>
        <w:t xml:space="preserve"> Available at: </w:t>
      </w:r>
      <w:hyperlink r:id="rId34" w:history="1">
        <w:r w:rsidRPr="0088057A">
          <w:rPr>
            <w:rStyle w:val="Hyperlink"/>
            <w:rFonts w:ascii="Arial" w:hAnsi="Arial" w:cs="Arial"/>
          </w:rPr>
          <w:t>https://www.stop-watch.org/what-we-do/research/terrorism-act-2000-search-powers-factsheet/</w:t>
        </w:r>
      </w:hyperlink>
      <w:r w:rsidRPr="0088057A">
        <w:rPr>
          <w:rFonts w:ascii="Arial" w:hAnsi="Arial" w:cs="Arial"/>
        </w:rPr>
        <w:t xml:space="preserve"> (Accessed: February 28, 2023).</w:t>
      </w:r>
    </w:p>
    <w:p w14:paraId="7E8E4F12"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Strang, H., Sherman, L.W., Mayo-Wilson, E., Woods, D. and Ariel, B. (2013), Restorative Justice Conferencing (RJC) Using Face-to-Face Meetings of Offenders and Victims: Effects on Offender Recidivism and Victim Satisfaction. A Systematic Review. </w:t>
      </w:r>
      <w:r w:rsidRPr="0088057A">
        <w:rPr>
          <w:rFonts w:ascii="Arial" w:hAnsi="Arial" w:cs="Arial"/>
          <w:i/>
          <w:iCs/>
        </w:rPr>
        <w:t>Campbell Systematic Reviews</w:t>
      </w:r>
      <w:r w:rsidRPr="0088057A">
        <w:rPr>
          <w:rFonts w:ascii="Arial" w:hAnsi="Arial" w:cs="Arial"/>
        </w:rPr>
        <w:t xml:space="preserve">, 9: 1-59. </w:t>
      </w:r>
      <w:hyperlink r:id="rId35" w:history="1">
        <w:r w:rsidRPr="0088057A">
          <w:rPr>
            <w:rStyle w:val="Hyperlink"/>
            <w:rFonts w:ascii="Arial" w:hAnsi="Arial" w:cs="Arial"/>
          </w:rPr>
          <w:t>https://doi.org/10.4073/csr.2013.12</w:t>
        </w:r>
      </w:hyperlink>
      <w:r w:rsidRPr="0088057A">
        <w:rPr>
          <w:rFonts w:ascii="Arial" w:hAnsi="Arial" w:cs="Arial"/>
        </w:rPr>
        <w:t xml:space="preserve"> (Accessed: February 8, 2023). </w:t>
      </w:r>
    </w:p>
    <w:p w14:paraId="347C6957"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The Home Office (2014) </w:t>
      </w:r>
      <w:r w:rsidRPr="0088057A">
        <w:rPr>
          <w:rFonts w:ascii="Arial" w:hAnsi="Arial" w:cs="Arial"/>
          <w:i/>
          <w:iCs/>
        </w:rPr>
        <w:t>The Home Office, Serious and Organised Crime Strategy.</w:t>
      </w:r>
      <w:r w:rsidRPr="0088057A">
        <w:rPr>
          <w:rFonts w:ascii="Arial" w:hAnsi="Arial" w:cs="Arial"/>
        </w:rPr>
        <w:t xml:space="preserve"> Available at: </w:t>
      </w:r>
      <w:hyperlink r:id="rId36" w:history="1">
        <w:r w:rsidRPr="0088057A">
          <w:rPr>
            <w:rStyle w:val="Hyperlink"/>
            <w:rFonts w:ascii="Arial" w:hAnsi="Arial" w:cs="Arial"/>
          </w:rPr>
          <w:t>https://www.gov.uk/government/collections/seriouos-and-organised-crime-strategy</w:t>
        </w:r>
      </w:hyperlink>
      <w:r w:rsidRPr="0088057A">
        <w:rPr>
          <w:rFonts w:ascii="Arial" w:hAnsi="Arial" w:cs="Arial"/>
        </w:rPr>
        <w:t xml:space="preserve"> (Accessed: February 15, 2023).</w:t>
      </w:r>
    </w:p>
    <w:p w14:paraId="23E1F591"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The Home Office (2016) </w:t>
      </w:r>
      <w:r w:rsidRPr="0088057A">
        <w:rPr>
          <w:rFonts w:ascii="Arial" w:hAnsi="Arial" w:cs="Arial"/>
          <w:i/>
          <w:iCs/>
        </w:rPr>
        <w:t>Modern Crime Prevention Strategy</w:t>
      </w:r>
      <w:r w:rsidRPr="0088057A">
        <w:rPr>
          <w:rFonts w:ascii="Arial" w:hAnsi="Arial" w:cs="Arial"/>
        </w:rPr>
        <w:t xml:space="preserve">. Available at: </w:t>
      </w:r>
      <w:hyperlink r:id="rId37" w:history="1">
        <w:r w:rsidRPr="0088057A">
          <w:rPr>
            <w:rStyle w:val="Hyperlink"/>
            <w:rFonts w:ascii="Arial" w:hAnsi="Arial" w:cs="Arial"/>
          </w:rPr>
          <w:t>https://www.gov.uk/government/publications/modern-crime-prevention-strategy</w:t>
        </w:r>
      </w:hyperlink>
      <w:r w:rsidRPr="0088057A">
        <w:rPr>
          <w:rFonts w:ascii="Arial" w:hAnsi="Arial" w:cs="Arial"/>
        </w:rPr>
        <w:t xml:space="preserve"> (Accessed: February 22, 2023).</w:t>
      </w:r>
    </w:p>
    <w:p w14:paraId="2E966FAD"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Thomas, T. (2010), ‘Sex offender register, community notification and some reflections on privacy’, in K. Harrison (ed.), Managing High-Risk Sex Offenders in the Community (pp. 61–78), Cullompton, UK: Willan. (Accessed: February 2, 2023).</w:t>
      </w:r>
    </w:p>
    <w:p w14:paraId="5C471BEF"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Trasler, G. (1986) ‘Situational Crime Control and Rational Choice: A Critique’, in Heal and Laycock (eds.), Situational Crime Prevention: Frome Theory into Practice, Her Majesty’s Stationary Office, London. (Accessed: February 18, 2023).</w:t>
      </w:r>
    </w:p>
    <w:p w14:paraId="2F0782BB"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Trasler, G. (2017) Conscience, Opportunity, Rational Choice, and Crime. </w:t>
      </w:r>
      <w:r w:rsidRPr="0088057A">
        <w:rPr>
          <w:rFonts w:ascii="Arial" w:hAnsi="Arial" w:cs="Arial"/>
          <w:i/>
          <w:iCs/>
        </w:rPr>
        <w:t xml:space="preserve">Advances in Criminological Theory. </w:t>
      </w:r>
      <w:r w:rsidRPr="0088057A">
        <w:rPr>
          <w:rFonts w:ascii="Arial" w:hAnsi="Arial" w:cs="Arial"/>
        </w:rPr>
        <w:t xml:space="preserve">DOI: </w:t>
      </w:r>
      <w:hyperlink r:id="rId38" w:history="1">
        <w:r w:rsidRPr="0088057A">
          <w:rPr>
            <w:rStyle w:val="Hyperlink"/>
            <w:rFonts w:ascii="Arial" w:hAnsi="Arial" w:cs="Arial"/>
          </w:rPr>
          <w:t>https://doi.org/10.4324/9781315128788-14</w:t>
        </w:r>
      </w:hyperlink>
      <w:r w:rsidRPr="0088057A">
        <w:rPr>
          <w:rFonts w:ascii="Arial" w:hAnsi="Arial" w:cs="Arial"/>
        </w:rPr>
        <w:t xml:space="preserve"> (Accessed: February 18, 2023).</w:t>
      </w:r>
    </w:p>
    <w:p w14:paraId="4E2F10C8"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UK Parliament (2016) </w:t>
      </w:r>
      <w:r w:rsidRPr="0088057A">
        <w:rPr>
          <w:rFonts w:ascii="Arial" w:hAnsi="Arial" w:cs="Arial"/>
          <w:i/>
          <w:iCs/>
        </w:rPr>
        <w:t xml:space="preserve">Counter terrorism – Questions for Home Office. </w:t>
      </w:r>
      <w:r w:rsidRPr="0088057A">
        <w:rPr>
          <w:rFonts w:ascii="Arial" w:hAnsi="Arial" w:cs="Arial"/>
        </w:rPr>
        <w:t xml:space="preserve">Available at: </w:t>
      </w:r>
      <w:hyperlink r:id="rId39" w:history="1">
        <w:r w:rsidRPr="0088057A">
          <w:rPr>
            <w:rStyle w:val="Hyperlink"/>
            <w:rFonts w:ascii="Arial" w:hAnsi="Arial" w:cs="Arial"/>
          </w:rPr>
          <w:t>https://questions-statements.parliament.uk/written-questions/detail/2016-10-31/51248</w:t>
        </w:r>
      </w:hyperlink>
      <w:r w:rsidRPr="0088057A">
        <w:rPr>
          <w:rFonts w:ascii="Arial" w:hAnsi="Arial" w:cs="Arial"/>
        </w:rPr>
        <w:t xml:space="preserve"> (Accessed: February 16, 2023).</w:t>
      </w:r>
    </w:p>
    <w:p w14:paraId="7EA3A21E"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United Nations Office on Drugs and Crime (2019) </w:t>
      </w:r>
      <w:r w:rsidRPr="0088057A">
        <w:rPr>
          <w:rFonts w:ascii="Arial" w:hAnsi="Arial" w:cs="Arial"/>
          <w:i/>
          <w:iCs/>
        </w:rPr>
        <w:t>Crime Prevention &amp; Criminal Justice Module 2 Key Issues: 1 – Definition of Crime Prevention.</w:t>
      </w:r>
      <w:r w:rsidRPr="0088057A">
        <w:rPr>
          <w:rFonts w:ascii="Arial" w:hAnsi="Arial" w:cs="Arial"/>
        </w:rPr>
        <w:t xml:space="preserve"> Available at: </w:t>
      </w:r>
      <w:hyperlink r:id="rId40" w:anchor=":~:text=Crime%20Prevention%20-%20Crime%20Prevention%20involves,or%20before%20any%20additional%20activity%20results.&amp;text=Crime%20Prevention%20-%20Crime%20prevention%20involves,or%20before%20any%20additional" w:history="1">
        <w:r w:rsidRPr="0088057A">
          <w:rPr>
            <w:rStyle w:val="Hyperlink"/>
            <w:rFonts w:ascii="Arial" w:hAnsi="Arial" w:cs="Arial"/>
          </w:rPr>
          <w:t>https://www.unodc.org/e4j/en/crime-prevention-criminal-justice/module-2/kwy-</w:t>
        </w:r>
        <w:r w:rsidRPr="0088057A">
          <w:rPr>
            <w:rStyle w:val="Hyperlink"/>
            <w:rFonts w:ascii="Arial" w:hAnsi="Arial" w:cs="Arial"/>
          </w:rPr>
          <w:lastRenderedPageBreak/>
          <w:t>issues/1--definition-of-crime-prevention.html#:~:text=Crime%20Prevention%20-%20Crime%20Prevention%20involves,or%20before%20any%20additional%20activity%20results.&amp;text=Crime%20Prevention%20-%20Crime%20prevention%20involves,or%20before%20any%20additional</w:t>
        </w:r>
      </w:hyperlink>
      <w:r w:rsidRPr="0088057A">
        <w:rPr>
          <w:rFonts w:ascii="Arial" w:hAnsi="Arial" w:cs="Arial"/>
        </w:rPr>
        <w:t xml:space="preserve"> (Accessed: February 20, 2023).</w:t>
      </w:r>
    </w:p>
    <w:p w14:paraId="668F5474"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Waddington, P (1999).  Police (Canteen) Sub-Culture. An Appreciation. </w:t>
      </w:r>
      <w:r w:rsidRPr="0088057A">
        <w:rPr>
          <w:rFonts w:ascii="Arial" w:hAnsi="Arial" w:cs="Arial"/>
          <w:i/>
          <w:iCs/>
        </w:rPr>
        <w:t>British Journal of Criminology</w:t>
      </w:r>
      <w:r w:rsidRPr="0088057A">
        <w:rPr>
          <w:rFonts w:ascii="Arial" w:hAnsi="Arial" w:cs="Arial"/>
        </w:rPr>
        <w:t>, Vol. 39, Issue 2, pp. 287-309. (Accessed: December 14, 2022).</w:t>
      </w:r>
    </w:p>
    <w:p w14:paraId="23A7D436"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Wales Safer Communities (2023) </w:t>
      </w:r>
      <w:r w:rsidRPr="0088057A">
        <w:rPr>
          <w:rFonts w:ascii="Arial" w:hAnsi="Arial" w:cs="Arial"/>
          <w:i/>
          <w:iCs/>
        </w:rPr>
        <w:t xml:space="preserve">Terrorism &amp; extremism. </w:t>
      </w:r>
      <w:r w:rsidRPr="0088057A">
        <w:rPr>
          <w:rFonts w:ascii="Arial" w:hAnsi="Arial" w:cs="Arial"/>
        </w:rPr>
        <w:t xml:space="preserve">Available at: </w:t>
      </w:r>
      <w:hyperlink r:id="rId41" w:history="1">
        <w:r w:rsidRPr="0088057A">
          <w:rPr>
            <w:rStyle w:val="Hyperlink"/>
            <w:rFonts w:ascii="Arial" w:hAnsi="Arial" w:cs="Arial"/>
          </w:rPr>
          <w:t>https://safercommunities.wales/terrorism-extermism/#:~:text=CONTEST%20in%20Wales%20is%20supported%20through%20the%20Wales,threat%20from%20national%20and%20international%20terrorism%20and%20extremism</w:t>
        </w:r>
      </w:hyperlink>
      <w:r w:rsidRPr="0088057A">
        <w:rPr>
          <w:rFonts w:ascii="Arial" w:hAnsi="Arial" w:cs="Arial"/>
        </w:rPr>
        <w:t xml:space="preserve"> (Accessed: February 26, 2023).</w:t>
      </w:r>
    </w:p>
    <w:p w14:paraId="7884EEEF"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Weisburd, D., Telep, C.W., Hinkle, J.C. and Eck, J.E. (2008), The Effects of Problem-Oriented Policing on Crime and Disorder. </w:t>
      </w:r>
      <w:r w:rsidRPr="0088057A">
        <w:rPr>
          <w:rFonts w:ascii="Arial" w:hAnsi="Arial" w:cs="Arial"/>
          <w:i/>
          <w:iCs/>
        </w:rPr>
        <w:t>Campbell Systematic Reviews</w:t>
      </w:r>
      <w:r w:rsidRPr="0088057A">
        <w:rPr>
          <w:rFonts w:ascii="Arial" w:hAnsi="Arial" w:cs="Arial"/>
        </w:rPr>
        <w:t xml:space="preserve">, 4: 1-87. </w:t>
      </w:r>
      <w:hyperlink r:id="rId42" w:history="1">
        <w:r w:rsidRPr="0088057A">
          <w:rPr>
            <w:rStyle w:val="Hyperlink"/>
            <w:rFonts w:ascii="Arial" w:hAnsi="Arial" w:cs="Arial"/>
          </w:rPr>
          <w:t>https://doi.org/10.4073/csr.2008.14</w:t>
        </w:r>
      </w:hyperlink>
      <w:r w:rsidRPr="0088057A">
        <w:rPr>
          <w:rFonts w:ascii="Arial" w:hAnsi="Arial" w:cs="Arial"/>
        </w:rPr>
        <w:t xml:space="preserve"> (Accessed: February 2, 2023).</w:t>
      </w:r>
    </w:p>
    <w:p w14:paraId="1ECF466E" w14:textId="77777777" w:rsidR="00B21E65" w:rsidRPr="0088057A" w:rsidRDefault="00B21E65" w:rsidP="00B21E65">
      <w:pPr>
        <w:pStyle w:val="ListParagraph"/>
        <w:numPr>
          <w:ilvl w:val="0"/>
          <w:numId w:val="1"/>
        </w:numPr>
        <w:rPr>
          <w:rFonts w:ascii="Arial" w:hAnsi="Arial" w:cs="Arial"/>
        </w:rPr>
      </w:pPr>
      <w:r w:rsidRPr="0088057A">
        <w:rPr>
          <w:rFonts w:ascii="Arial" w:hAnsi="Arial" w:cs="Arial"/>
        </w:rPr>
        <w:t xml:space="preserve">Zgoba, K.M., &amp; Mitchell, M.M. (2021). The effectiveness of Sex Offender Registration and Notification: A meta-analysis of 25 years of findings. </w:t>
      </w:r>
      <w:r w:rsidRPr="0088057A">
        <w:rPr>
          <w:rFonts w:ascii="Arial" w:hAnsi="Arial" w:cs="Arial"/>
          <w:i/>
          <w:iCs/>
        </w:rPr>
        <w:t>Journal of Experimental Criminology</w:t>
      </w:r>
      <w:r w:rsidRPr="0088057A">
        <w:rPr>
          <w:rFonts w:ascii="Arial" w:hAnsi="Arial" w:cs="Arial"/>
        </w:rPr>
        <w:t>, 19, pp. 71 - 96. (Accessed: December 14, 2022).</w:t>
      </w:r>
    </w:p>
    <w:p w14:paraId="16C42F77" w14:textId="77777777" w:rsidR="00B21E65" w:rsidRPr="0088057A" w:rsidRDefault="00B21E65">
      <w:pPr>
        <w:rPr>
          <w:rFonts w:ascii="Arial" w:hAnsi="Arial" w:cs="Arial"/>
        </w:rPr>
      </w:pPr>
    </w:p>
    <w:sectPr w:rsidR="00B21E65" w:rsidRPr="008805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26087" w14:textId="77777777" w:rsidR="001368B4" w:rsidRDefault="001368B4" w:rsidP="001368B4">
      <w:pPr>
        <w:spacing w:after="0" w:line="240" w:lineRule="auto"/>
      </w:pPr>
      <w:r>
        <w:separator/>
      </w:r>
    </w:p>
  </w:endnote>
  <w:endnote w:type="continuationSeparator" w:id="0">
    <w:p w14:paraId="48E24D31" w14:textId="77777777" w:rsidR="001368B4" w:rsidRDefault="001368B4" w:rsidP="00136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7E9D6" w14:textId="77777777" w:rsidR="001368B4" w:rsidRDefault="001368B4" w:rsidP="001368B4">
      <w:pPr>
        <w:spacing w:after="0" w:line="240" w:lineRule="auto"/>
      </w:pPr>
      <w:r>
        <w:separator/>
      </w:r>
    </w:p>
  </w:footnote>
  <w:footnote w:type="continuationSeparator" w:id="0">
    <w:p w14:paraId="1D3EEF3B" w14:textId="77777777" w:rsidR="001368B4" w:rsidRDefault="001368B4" w:rsidP="00136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161CE"/>
    <w:multiLevelType w:val="hybridMultilevel"/>
    <w:tmpl w:val="8AFC50DC"/>
    <w:lvl w:ilvl="0" w:tplc="5A4229F2">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8065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356"/>
    <w:rsid w:val="001368B4"/>
    <w:rsid w:val="001F62D4"/>
    <w:rsid w:val="002038D8"/>
    <w:rsid w:val="00396A46"/>
    <w:rsid w:val="003D0356"/>
    <w:rsid w:val="004E22B9"/>
    <w:rsid w:val="004F7324"/>
    <w:rsid w:val="006E1E4B"/>
    <w:rsid w:val="0088057A"/>
    <w:rsid w:val="009A3A15"/>
    <w:rsid w:val="00B21E65"/>
    <w:rsid w:val="00C01F54"/>
    <w:rsid w:val="00C2529F"/>
    <w:rsid w:val="00CC24D9"/>
    <w:rsid w:val="00D41A8A"/>
    <w:rsid w:val="00E6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F4EA55"/>
  <w15:chartTrackingRefBased/>
  <w15:docId w15:val="{E8CB04E7-CEB1-4C5A-8C7C-6ACA3CF52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0356"/>
    <w:pPr>
      <w:spacing w:after="0" w:line="240" w:lineRule="auto"/>
    </w:pPr>
    <w:rPr>
      <w:rFonts w:ascii="Calibri" w:hAnsi="Calibri" w:cs="Calibri"/>
      <w:lang w:eastAsia="en-GB"/>
    </w:rPr>
  </w:style>
  <w:style w:type="character" w:customStyle="1" w:styleId="normaltextrun">
    <w:name w:val="normaltextrun"/>
    <w:basedOn w:val="DefaultParagraphFont"/>
    <w:rsid w:val="003D0356"/>
  </w:style>
  <w:style w:type="character" w:customStyle="1" w:styleId="eop">
    <w:name w:val="eop"/>
    <w:basedOn w:val="DefaultParagraphFont"/>
    <w:rsid w:val="003D0356"/>
  </w:style>
  <w:style w:type="character" w:styleId="Hyperlink">
    <w:name w:val="Hyperlink"/>
    <w:basedOn w:val="DefaultParagraphFont"/>
    <w:uiPriority w:val="99"/>
    <w:unhideWhenUsed/>
    <w:rsid w:val="00B21E65"/>
    <w:rPr>
      <w:color w:val="0563C1" w:themeColor="hyperlink"/>
      <w:u w:val="single"/>
    </w:rPr>
  </w:style>
  <w:style w:type="paragraph" w:styleId="ListParagraph">
    <w:name w:val="List Paragraph"/>
    <w:basedOn w:val="Normal"/>
    <w:uiPriority w:val="34"/>
    <w:qFormat/>
    <w:rsid w:val="00B21E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10926">
      <w:bodyDiv w:val="1"/>
      <w:marLeft w:val="0"/>
      <w:marRight w:val="0"/>
      <w:marTop w:val="0"/>
      <w:marBottom w:val="0"/>
      <w:divBdr>
        <w:top w:val="none" w:sz="0" w:space="0" w:color="auto"/>
        <w:left w:val="none" w:sz="0" w:space="0" w:color="auto"/>
        <w:bottom w:val="none" w:sz="0" w:space="0" w:color="auto"/>
        <w:right w:val="none" w:sz="0" w:space="0" w:color="auto"/>
      </w:divBdr>
    </w:div>
    <w:div w:id="68926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ing.uk/research/crime-reduction-toolkit/problem-oriented-policing" TargetMode="External"/><Relationship Id="rId18" Type="http://schemas.openxmlformats.org/officeDocument/2006/relationships/hyperlink" Target="https://www.cps.gov.uk/crime-info/terrorism" TargetMode="External"/><Relationship Id="rId26" Type="http://schemas.openxmlformats.org/officeDocument/2006/relationships/hyperlink" Target="https://justice.org.uk/1582-2/" TargetMode="External"/><Relationship Id="rId39" Type="http://schemas.openxmlformats.org/officeDocument/2006/relationships/hyperlink" Target="https://questions-statements.parliament.uk/written-questions/detail/2016-10-31/51248" TargetMode="External"/><Relationship Id="rId21" Type="http://schemas.openxmlformats.org/officeDocument/2006/relationships/hyperlink" Target="https://www.gov.uk/government/publications/wellbeing-and-health" TargetMode="External"/><Relationship Id="rId34" Type="http://schemas.openxmlformats.org/officeDocument/2006/relationships/hyperlink" Target="https://www.stop-watch.org/what-we-do/research/terrorism-act-2000-search-powers-factsheet/" TargetMode="External"/><Relationship Id="rId42" Type="http://schemas.openxmlformats.org/officeDocument/2006/relationships/hyperlink" Target="https://doi.org/10.4073/csr.2008.1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research/evidence-based-policing-EBP" TargetMode="External"/><Relationship Id="rId20" Type="http://schemas.openxmlformats.org/officeDocument/2006/relationships/hyperlink" Target="https://www.cps.gov.uk/legal-guidance/restorative-justice" TargetMode="External"/><Relationship Id="rId29" Type="http://schemas.openxmlformats.org/officeDocument/2006/relationships/hyperlink" Target="https://www.gov.uk/government/statistics/proven-reoffending-statistics-january-to-march-2021/proven-reoffending-statistics-january-to-march-2021" TargetMode="External"/><Relationship Id="rId41" Type="http://schemas.openxmlformats.org/officeDocument/2006/relationships/hyperlink" Target="https://safercommunities.wales/terrorism-extermism/#:~:text=CONTEST%20in%20Wales%20is%20supported%20through%20the%20Wales,threat%20from%20national%20and%20international%20terrorism%20and%20extrem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election-2017-40151991" TargetMode="External"/><Relationship Id="rId24" Type="http://schemas.openxmlformats.org/officeDocument/2006/relationships/hyperlink" Target="https://assests.publishing.service.gov.uk/government/uploads/system/uploads/attachment_data/file/716907/140618_CCS207_CCS0218929798-1_CONTEST_3.0_WEB.pdf" TargetMode="External"/><Relationship Id="rId32" Type="http://schemas.openxmlformats.org/officeDocument/2006/relationships/hyperlink" Target="https://www.polfed.org/news/latest-news/2022/attrition-rates-show-more-must-be-done-to-retain-new-recruits/" TargetMode="External"/><Relationship Id="rId37" Type="http://schemas.openxmlformats.org/officeDocument/2006/relationships/hyperlink" Target="https://www.gov.uk/government/publications/modern-crime-prevention-strategy" TargetMode="External"/><Relationship Id="rId40" Type="http://schemas.openxmlformats.org/officeDocument/2006/relationships/hyperlink" Target="https://www.unodc.org/e4j/en/crime-prevention-criminal-justice/module-2/kwy-issues/1--definition-of-crime-prevention.html" TargetMode="External"/><Relationship Id="rId5" Type="http://schemas.openxmlformats.org/officeDocument/2006/relationships/webSettings" Target="webSettings.xml"/><Relationship Id="rId15" Type="http://schemas.openxmlformats.org/officeDocument/2006/relationships/hyperlink" Target="https://www.college.police.uk/guidance/neighbourhood-crime/what-situational-crime-prevention" TargetMode="External"/><Relationship Id="rId23" Type="http://schemas.openxmlformats.org/officeDocument/2006/relationships/hyperlink" Target="https://doi.org/10.1350/pojo.2014.87.2.662" TargetMode="External"/><Relationship Id="rId28" Type="http://schemas.openxmlformats.org/officeDocument/2006/relationships/hyperlink" Target="https://www.legislation.gov.uk/ukpga/2019/3/part/1/chapter/4" TargetMode="External"/><Relationship Id="rId36" Type="http://schemas.openxmlformats.org/officeDocument/2006/relationships/hyperlink" Target="https://www.gov.uk/government/collections/seriouos-and-organised-crime-strategy" TargetMode="External"/><Relationship Id="rId10" Type="http://schemas.openxmlformats.org/officeDocument/2006/relationships/hyperlink" Target="https://www.bbc.co.uk/news/uk-england-manchester-40008389" TargetMode="External"/><Relationship Id="rId19" Type="http://schemas.openxmlformats.org/officeDocument/2006/relationships/hyperlink" Target="https://www.cps.gov.uk/crime-info/sexual-offences" TargetMode="External"/><Relationship Id="rId31" Type="http://schemas.openxmlformats.org/officeDocument/2006/relationships/hyperlink" Target="https://www.polfed.org/news/latest-news/2019/officers-bearing-brunt-of-disorganised-degree-schem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m/news/uk-33253598" TargetMode="External"/><Relationship Id="rId14" Type="http://schemas.openxmlformats.org/officeDocument/2006/relationships/hyperlink" Target="https://www.college.police.uk/career-learning/policing-education-qualifications-framework-peqf" TargetMode="External"/><Relationship Id="rId22" Type="http://schemas.openxmlformats.org/officeDocument/2006/relationships/hyperlink" Target="https://www.ethnicity-facts-figures.service.gov.uk/crime-justice-and-the-law/crime-and-reoffending/proven-reoffending/latest" TargetMode="External"/><Relationship Id="rId27" Type="http://schemas.openxmlformats.org/officeDocument/2006/relationships/hyperlink" Target="https://www.legislation.gov.uk/ukpga/2000/11/section/1" TargetMode="External"/><Relationship Id="rId30" Type="http://schemas.openxmlformats.org/officeDocument/2006/relationships/hyperlink" Target="http://www.probation.ie/EN/PB//WebPages/WP16000177" TargetMode="External"/><Relationship Id="rId35" Type="http://schemas.openxmlformats.org/officeDocument/2006/relationships/hyperlink" Target="https://doi.org/10.4073/csr.2013.12" TargetMode="External"/><Relationship Id="rId43" Type="http://schemas.openxmlformats.org/officeDocument/2006/relationships/fontTable" Target="fontTable.xml"/><Relationship Id="rId8" Type="http://schemas.openxmlformats.org/officeDocument/2006/relationships/hyperlink" Target="https://act.campaign.gov.uk/" TargetMode="External"/><Relationship Id="rId3" Type="http://schemas.openxmlformats.org/officeDocument/2006/relationships/styles" Target="styles.xml"/><Relationship Id="rId12" Type="http://schemas.openxmlformats.org/officeDocument/2006/relationships/hyperlink" Target="https://whatworks.college.police.uk/About/News/Documents/ATLAS.pdf" TargetMode="External"/><Relationship Id="rId17" Type="http://schemas.openxmlformats.org/officeDocument/2006/relationships/hyperlink" Target="https://www.counterterrorism.police.uk/" TargetMode="External"/><Relationship Id="rId25" Type="http://schemas.openxmlformats.org/officeDocument/2006/relationships/hyperlink" Target="https://doi.org/10.1177/1748895817690214" TargetMode="External"/><Relationship Id="rId33" Type="http://schemas.openxmlformats.org/officeDocument/2006/relationships/hyperlink" Target="https://doi.org/10.1007/s12117-012-9161-5" TargetMode="External"/><Relationship Id="rId38" Type="http://schemas.openxmlformats.org/officeDocument/2006/relationships/hyperlink" Target="https://doi.org/10.4324/978131512878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8CF0B-D196-440E-A7E7-98F5F380A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6466</Words>
  <Characters>36858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Lewis,Sara swp6973</dc:creator>
  <cp:keywords/>
  <dc:description/>
  <cp:lastModifiedBy>Lewis,Sara swp6973</cp:lastModifiedBy>
  <cp:revision>5</cp:revision>
  <dcterms:created xsi:type="dcterms:W3CDTF">2023-03-04T18:46:00Z</dcterms:created>
  <dcterms:modified xsi:type="dcterms:W3CDTF">2023-03-04T18:50:00Z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2023-03-02T12:43:48Z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b063e2ab-bfd4-46ef-8c38-4c5588f0bc43</vt:lpwstr>
  </property>
  <property fmtid="{D5CDD505-2E9C-101B-9397-08002B2CF9AE}" pid="8" name="MSIP_Label_66cf8fe5-b7b7-4df7-b38d-1c61ac2f6639_ContentBits">
    <vt:lpwstr>0</vt:lpwstr>
  </property>
</Properties>
</file>