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587982A" w14:textId="77777777" w:rsidR="002B504F" w:rsidRPr="003E5143" w:rsidRDefault="00F342CD">
      <w:pPr>
        <w:rPr>
          <w:rFonts w:ascii="Arial" w:hAnsi="Arial" w:cs="Arial"/>
          <w:sz w:val="22"/>
          <w:szCs w:val="22"/>
        </w:rPr>
      </w:pPr>
      <w:r w:rsidRPr="003E5143">
        <w:rPr>
          <w:rFonts w:ascii="Arial" w:hAnsi="Arial" w:cs="Arial"/>
          <w:noProof/>
          <w:sz w:val="22"/>
          <w:szCs w:val="22"/>
        </w:rPr>
        <w:drawing>
          <wp:anchor distT="0" distB="0" distL="114300" distR="114300" simplePos="0" relativeHeight="251658240" behindDoc="0" locked="0" layoutInCell="1" hidden="0" allowOverlap="1" wp14:anchorId="2EE4C426" wp14:editId="1945BA54">
            <wp:simplePos x="0" y="0"/>
            <wp:positionH relativeFrom="column">
              <wp:posOffset>114300</wp:posOffset>
            </wp:positionH>
            <wp:positionV relativeFrom="paragraph">
              <wp:posOffset>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6"/>
                    <a:srcRect/>
                    <a:stretch>
                      <a:fillRect/>
                    </a:stretch>
                  </pic:blipFill>
                  <pic:spPr>
                    <a:xfrm>
                      <a:off x="0" y="0"/>
                      <a:ext cx="1809750" cy="723900"/>
                    </a:xfrm>
                    <a:prstGeom prst="rect">
                      <a:avLst/>
                    </a:prstGeom>
                    <a:ln/>
                  </pic:spPr>
                </pic:pic>
              </a:graphicData>
            </a:graphic>
          </wp:anchor>
        </w:drawing>
      </w:r>
    </w:p>
    <w:p w14:paraId="6DE579B8" w14:textId="77777777" w:rsidR="002B504F" w:rsidRPr="003E5143" w:rsidRDefault="002B504F">
      <w:pPr>
        <w:rPr>
          <w:rFonts w:ascii="Arial" w:hAnsi="Arial" w:cs="Arial"/>
          <w:sz w:val="22"/>
          <w:szCs w:val="22"/>
        </w:rPr>
      </w:pPr>
    </w:p>
    <w:p w14:paraId="177B686E" w14:textId="77777777" w:rsidR="002B504F" w:rsidRPr="003E5143" w:rsidRDefault="002B504F">
      <w:pPr>
        <w:rPr>
          <w:rFonts w:ascii="Arial" w:hAnsi="Arial" w:cs="Arial"/>
          <w:sz w:val="22"/>
          <w:szCs w:val="22"/>
        </w:rPr>
      </w:pPr>
    </w:p>
    <w:p w14:paraId="7461FCAE" w14:textId="77777777" w:rsidR="002B504F" w:rsidRPr="003E5143" w:rsidRDefault="002B504F">
      <w:pPr>
        <w:rPr>
          <w:rFonts w:ascii="Arial" w:hAnsi="Arial" w:cs="Arial"/>
          <w:sz w:val="22"/>
          <w:szCs w:val="22"/>
        </w:rPr>
      </w:pPr>
    </w:p>
    <w:p w14:paraId="6E278C4E" w14:textId="77777777" w:rsidR="002B504F" w:rsidRPr="003E5143" w:rsidRDefault="002B504F">
      <w:pPr>
        <w:rPr>
          <w:rFonts w:ascii="Arial" w:hAnsi="Arial" w:cs="Arial"/>
          <w:sz w:val="22"/>
          <w:szCs w:val="22"/>
        </w:rPr>
      </w:pPr>
    </w:p>
    <w:p w14:paraId="7E3E7827" w14:textId="77777777" w:rsidR="002B504F" w:rsidRPr="003E5143" w:rsidRDefault="002B504F">
      <w:pPr>
        <w:rPr>
          <w:rFonts w:ascii="Arial" w:hAnsi="Arial" w:cs="Arial"/>
          <w:sz w:val="22"/>
          <w:szCs w:val="22"/>
        </w:rPr>
      </w:pPr>
    </w:p>
    <w:p w14:paraId="3D947F0F" w14:textId="77777777" w:rsidR="002B504F" w:rsidRPr="003E5143" w:rsidRDefault="002B504F">
      <w:pPr>
        <w:rPr>
          <w:rFonts w:ascii="Arial" w:hAnsi="Arial" w:cs="Arial"/>
          <w:sz w:val="22"/>
          <w:szCs w:val="22"/>
        </w:rPr>
      </w:pPr>
    </w:p>
    <w:p w14:paraId="04DB24EA" w14:textId="77777777" w:rsidR="002B504F" w:rsidRPr="003E5143" w:rsidRDefault="002B504F">
      <w:pPr>
        <w:jc w:val="center"/>
        <w:rPr>
          <w:rFonts w:ascii="Arial" w:hAnsi="Arial" w:cs="Arial"/>
          <w:sz w:val="22"/>
          <w:szCs w:val="22"/>
        </w:rPr>
      </w:pPr>
    </w:p>
    <w:p w14:paraId="6623DCE7" w14:textId="77777777" w:rsidR="002B504F" w:rsidRPr="003E5143" w:rsidRDefault="002B504F">
      <w:pPr>
        <w:jc w:val="center"/>
        <w:rPr>
          <w:rFonts w:ascii="Arial" w:hAnsi="Arial" w:cs="Arial"/>
          <w:sz w:val="22"/>
          <w:szCs w:val="22"/>
        </w:rPr>
      </w:pPr>
    </w:p>
    <w:p w14:paraId="08DE7718" w14:textId="77777777" w:rsidR="002B504F" w:rsidRPr="003E5143" w:rsidRDefault="00F342CD">
      <w:pPr>
        <w:jc w:val="center"/>
        <w:rPr>
          <w:rFonts w:ascii="Arial" w:hAnsi="Arial" w:cs="Arial"/>
          <w:i/>
          <w:iCs/>
          <w:sz w:val="32"/>
          <w:szCs w:val="32"/>
        </w:rPr>
      </w:pPr>
      <w:r w:rsidRPr="003E5143">
        <w:rPr>
          <w:rFonts w:ascii="Arial" w:hAnsi="Arial" w:cs="Arial"/>
          <w:b/>
          <w:bCs/>
          <w:sz w:val="32"/>
          <w:szCs w:val="32"/>
        </w:rPr>
        <w:t>Module:</w:t>
      </w:r>
      <w:r w:rsidRPr="003E5143">
        <w:rPr>
          <w:rFonts w:ascii="Arial" w:hAnsi="Arial" w:cs="Arial"/>
          <w:sz w:val="32"/>
          <w:szCs w:val="32"/>
        </w:rPr>
        <w:t xml:space="preserve"> </w:t>
      </w:r>
      <w:r w:rsidRPr="003E5143">
        <w:rPr>
          <w:rFonts w:ascii="Arial" w:hAnsi="Arial" w:cs="Arial"/>
          <w:i/>
          <w:iCs/>
          <w:sz w:val="32"/>
          <w:szCs w:val="32"/>
        </w:rPr>
        <w:t xml:space="preserve">Developing and Managing Individuals and Teams </w:t>
      </w:r>
    </w:p>
    <w:p w14:paraId="598B79C8" w14:textId="77777777" w:rsidR="002B504F" w:rsidRDefault="00F342CD">
      <w:pPr>
        <w:jc w:val="center"/>
        <w:rPr>
          <w:rFonts w:ascii="Arial" w:hAnsi="Arial" w:cs="Arial"/>
          <w:i/>
          <w:iCs/>
          <w:sz w:val="32"/>
          <w:szCs w:val="32"/>
        </w:rPr>
      </w:pPr>
      <w:r w:rsidRPr="003E5143">
        <w:rPr>
          <w:rFonts w:ascii="Arial" w:hAnsi="Arial" w:cs="Arial"/>
          <w:b/>
          <w:bCs/>
          <w:sz w:val="32"/>
          <w:szCs w:val="32"/>
        </w:rPr>
        <w:t>Module code:</w:t>
      </w:r>
      <w:r w:rsidRPr="003E5143">
        <w:rPr>
          <w:rFonts w:ascii="Arial" w:hAnsi="Arial" w:cs="Arial"/>
          <w:sz w:val="32"/>
          <w:szCs w:val="32"/>
        </w:rPr>
        <w:t xml:space="preserve"> </w:t>
      </w:r>
      <w:r w:rsidRPr="003E5143">
        <w:rPr>
          <w:rFonts w:ascii="Arial" w:hAnsi="Arial" w:cs="Arial"/>
          <w:i/>
          <w:iCs/>
          <w:sz w:val="32"/>
          <w:szCs w:val="32"/>
        </w:rPr>
        <w:t>LCLM5002</w:t>
      </w:r>
    </w:p>
    <w:p w14:paraId="33556F7C" w14:textId="1B90F9E6" w:rsidR="00757B0C" w:rsidRDefault="00E21B19">
      <w:pPr>
        <w:jc w:val="center"/>
        <w:rPr>
          <w:rFonts w:ascii="Arial" w:hAnsi="Arial" w:cs="Arial"/>
          <w:sz w:val="32"/>
          <w:szCs w:val="32"/>
        </w:rPr>
      </w:pPr>
      <w:r>
        <w:rPr>
          <w:rFonts w:ascii="Arial" w:hAnsi="Arial" w:cs="Arial"/>
          <w:b/>
          <w:bCs/>
          <w:sz w:val="32"/>
          <w:szCs w:val="32"/>
        </w:rPr>
        <w:t xml:space="preserve">Student Name: </w:t>
      </w:r>
      <w:r>
        <w:rPr>
          <w:rFonts w:ascii="Arial" w:hAnsi="Arial" w:cs="Arial"/>
          <w:sz w:val="32"/>
          <w:szCs w:val="32"/>
        </w:rPr>
        <w:t xml:space="preserve">Roxana </w:t>
      </w:r>
      <w:proofErr w:type="spellStart"/>
      <w:r>
        <w:rPr>
          <w:rFonts w:ascii="Arial" w:hAnsi="Arial" w:cs="Arial"/>
          <w:sz w:val="32"/>
          <w:szCs w:val="32"/>
        </w:rPr>
        <w:t>Tincuta</w:t>
      </w:r>
      <w:proofErr w:type="spellEnd"/>
      <w:r>
        <w:rPr>
          <w:rFonts w:ascii="Arial" w:hAnsi="Arial" w:cs="Arial"/>
          <w:sz w:val="32"/>
          <w:szCs w:val="32"/>
        </w:rPr>
        <w:t xml:space="preserve"> </w:t>
      </w:r>
      <w:proofErr w:type="spellStart"/>
      <w:r>
        <w:rPr>
          <w:rFonts w:ascii="Arial" w:hAnsi="Arial" w:cs="Arial"/>
          <w:sz w:val="32"/>
          <w:szCs w:val="32"/>
        </w:rPr>
        <w:t>Irimia</w:t>
      </w:r>
      <w:proofErr w:type="spellEnd"/>
    </w:p>
    <w:p w14:paraId="73265771" w14:textId="69535020" w:rsidR="00E21B19" w:rsidRPr="00302D3C" w:rsidRDefault="00E21B19">
      <w:pPr>
        <w:jc w:val="center"/>
        <w:rPr>
          <w:rFonts w:ascii="Arial" w:hAnsi="Arial" w:cs="Arial"/>
          <w:sz w:val="32"/>
          <w:szCs w:val="32"/>
        </w:rPr>
      </w:pPr>
      <w:r>
        <w:rPr>
          <w:rFonts w:ascii="Arial" w:hAnsi="Arial" w:cs="Arial"/>
          <w:b/>
          <w:bCs/>
          <w:sz w:val="32"/>
          <w:szCs w:val="32"/>
        </w:rPr>
        <w:t>Student N</w:t>
      </w:r>
      <w:r w:rsidR="00302D3C">
        <w:rPr>
          <w:rFonts w:ascii="Arial" w:hAnsi="Arial" w:cs="Arial"/>
          <w:b/>
          <w:bCs/>
          <w:sz w:val="32"/>
          <w:szCs w:val="32"/>
        </w:rPr>
        <w:t>umber:</w:t>
      </w:r>
      <w:r w:rsidR="00302D3C">
        <w:rPr>
          <w:rFonts w:ascii="Arial" w:hAnsi="Arial" w:cs="Arial"/>
          <w:sz w:val="32"/>
          <w:szCs w:val="32"/>
        </w:rPr>
        <w:t>2424013</w:t>
      </w:r>
    </w:p>
    <w:p w14:paraId="56CBD1FC" w14:textId="77777777" w:rsidR="002B504F" w:rsidRPr="003E5143" w:rsidRDefault="00F342CD">
      <w:pPr>
        <w:jc w:val="center"/>
        <w:rPr>
          <w:rFonts w:ascii="Arial" w:hAnsi="Arial" w:cs="Arial"/>
          <w:sz w:val="22"/>
          <w:szCs w:val="22"/>
        </w:rPr>
      </w:pPr>
      <w:r w:rsidRPr="003E5143">
        <w:rPr>
          <w:rFonts w:ascii="Arial" w:hAnsi="Arial" w:cs="Arial"/>
          <w:b/>
          <w:bCs/>
          <w:sz w:val="32"/>
          <w:szCs w:val="32"/>
        </w:rPr>
        <w:t>Assignment Title:</w:t>
      </w:r>
      <w:r w:rsidRPr="003E5143">
        <w:rPr>
          <w:rFonts w:ascii="Arial" w:hAnsi="Arial" w:cs="Arial"/>
          <w:sz w:val="32"/>
          <w:szCs w:val="32"/>
        </w:rPr>
        <w:t xml:space="preserve"> </w:t>
      </w:r>
      <w:r w:rsidRPr="003E5143">
        <w:rPr>
          <w:rFonts w:ascii="Arial" w:hAnsi="Arial" w:cs="Arial"/>
          <w:i/>
          <w:iCs/>
          <w:sz w:val="32"/>
          <w:szCs w:val="32"/>
        </w:rPr>
        <w:t>Component 2- Individual Report</w:t>
      </w:r>
      <w:r w:rsidRPr="003E5143">
        <w:rPr>
          <w:rFonts w:ascii="Arial" w:hAnsi="Arial" w:cs="Arial"/>
          <w:sz w:val="22"/>
          <w:szCs w:val="22"/>
        </w:rPr>
        <w:br w:type="page"/>
      </w:r>
    </w:p>
    <w:p w14:paraId="644392B3" w14:textId="77777777" w:rsidR="002B504F" w:rsidRPr="003E5143" w:rsidRDefault="00F342CD">
      <w:pPr>
        <w:jc w:val="center"/>
        <w:rPr>
          <w:rFonts w:ascii="Arial" w:hAnsi="Arial" w:cs="Arial"/>
          <w:b/>
          <w:bCs/>
          <w:sz w:val="22"/>
          <w:szCs w:val="22"/>
        </w:rPr>
      </w:pPr>
      <w:r w:rsidRPr="003E5143">
        <w:rPr>
          <w:rFonts w:ascii="Arial" w:hAnsi="Arial" w:cs="Arial"/>
          <w:b/>
          <w:bCs/>
          <w:sz w:val="22"/>
          <w:szCs w:val="22"/>
        </w:rPr>
        <w:t>Table of Contents</w:t>
      </w:r>
    </w:p>
    <w:sdt>
      <w:sdtPr>
        <w:rPr>
          <w:rFonts w:ascii="Arial" w:hAnsi="Arial" w:cs="Arial"/>
          <w:sz w:val="22"/>
          <w:szCs w:val="22"/>
        </w:rPr>
        <w:id w:val="-969903059"/>
        <w:docPartObj>
          <w:docPartGallery w:val="Table of Contents"/>
          <w:docPartUnique/>
        </w:docPartObj>
      </w:sdtPr>
      <w:sdtEndPr/>
      <w:sdtContent>
        <w:p w14:paraId="0F5FDB49" w14:textId="77777777" w:rsidR="002B504F" w:rsidRPr="003E5143" w:rsidRDefault="002B504F">
          <w:pPr>
            <w:widowControl w:val="0"/>
            <w:tabs>
              <w:tab w:val="right" w:leader="dot" w:pos="9025"/>
            </w:tabs>
            <w:spacing w:before="60"/>
            <w:jc w:val="left"/>
            <w:rPr>
              <w:rFonts w:ascii="Arial" w:hAnsi="Arial" w:cs="Arial"/>
              <w:color w:val="000000"/>
              <w:sz w:val="22"/>
              <w:szCs w:val="22"/>
            </w:rPr>
          </w:pPr>
          <w:r w:rsidRPr="003E5143">
            <w:rPr>
              <w:rFonts w:ascii="Arial" w:hAnsi="Arial" w:cs="Arial"/>
              <w:sz w:val="22"/>
              <w:szCs w:val="22"/>
            </w:rPr>
            <w:fldChar w:fldCharType="begin"/>
          </w:r>
          <w:r w:rsidR="00F342CD" w:rsidRPr="003E5143">
            <w:rPr>
              <w:rFonts w:ascii="Arial" w:hAnsi="Arial" w:cs="Arial"/>
              <w:sz w:val="22"/>
              <w:szCs w:val="22"/>
            </w:rPr>
            <w:instrText xml:space="preserve"> TOC \h \u \z \t "Heading 1,1,Heading 2,2,Heading 3,3,Heading 4,4,Heading 5,5,Heading 6,6,"</w:instrText>
          </w:r>
          <w:r w:rsidRPr="003E5143">
            <w:rPr>
              <w:rFonts w:ascii="Arial" w:hAnsi="Arial" w:cs="Arial"/>
              <w:sz w:val="22"/>
              <w:szCs w:val="22"/>
            </w:rPr>
            <w:fldChar w:fldCharType="separate"/>
          </w:r>
          <w:hyperlink w:anchor="_xjgioei7uxt5">
            <w:r w:rsidRPr="003E5143">
              <w:rPr>
                <w:rFonts w:ascii="Arial" w:hAnsi="Arial" w:cs="Arial"/>
                <w:color w:val="000000"/>
                <w:sz w:val="22"/>
                <w:szCs w:val="22"/>
              </w:rPr>
              <w:t>Introduction</w:t>
            </w:r>
            <w:r w:rsidRPr="003E5143">
              <w:rPr>
                <w:rFonts w:ascii="Arial" w:hAnsi="Arial" w:cs="Arial"/>
                <w:color w:val="000000"/>
                <w:sz w:val="22"/>
                <w:szCs w:val="22"/>
              </w:rPr>
              <w:tab/>
            </w:r>
          </w:hyperlink>
          <w:r w:rsidR="00F342CD" w:rsidRPr="003E5143">
            <w:rPr>
              <w:rFonts w:ascii="Arial" w:hAnsi="Arial" w:cs="Arial"/>
              <w:sz w:val="22"/>
              <w:szCs w:val="22"/>
            </w:rPr>
            <w:fldChar w:fldCharType="begin"/>
          </w:r>
          <w:r w:rsidR="00F342CD" w:rsidRPr="003E5143">
            <w:rPr>
              <w:rFonts w:ascii="Arial" w:hAnsi="Arial" w:cs="Arial"/>
              <w:sz w:val="22"/>
              <w:szCs w:val="22"/>
            </w:rPr>
            <w:instrText xml:space="preserve"> PAGEREF _xjgioei7uxt5 \h </w:instrText>
          </w:r>
          <w:r w:rsidR="00F342CD" w:rsidRPr="003E5143">
            <w:rPr>
              <w:rFonts w:ascii="Arial" w:hAnsi="Arial" w:cs="Arial"/>
              <w:sz w:val="22"/>
              <w:szCs w:val="22"/>
            </w:rPr>
          </w:r>
          <w:r w:rsidR="00F342CD" w:rsidRPr="003E5143">
            <w:rPr>
              <w:rFonts w:ascii="Arial" w:hAnsi="Arial" w:cs="Arial"/>
              <w:sz w:val="22"/>
              <w:szCs w:val="22"/>
            </w:rPr>
            <w:fldChar w:fldCharType="separate"/>
          </w:r>
          <w:r w:rsidR="00F342CD" w:rsidRPr="003E5143">
            <w:rPr>
              <w:rFonts w:ascii="Arial" w:hAnsi="Arial" w:cs="Arial"/>
              <w:sz w:val="22"/>
              <w:szCs w:val="22"/>
            </w:rPr>
            <w:t>2</w:t>
          </w:r>
          <w:r w:rsidR="00F342CD" w:rsidRPr="003E5143">
            <w:rPr>
              <w:rFonts w:ascii="Arial" w:hAnsi="Arial" w:cs="Arial"/>
              <w:sz w:val="22"/>
              <w:szCs w:val="22"/>
            </w:rPr>
            <w:fldChar w:fldCharType="end"/>
          </w:r>
        </w:p>
        <w:p w14:paraId="6B6C3577" w14:textId="77777777" w:rsidR="002B504F" w:rsidRPr="003E5143" w:rsidRDefault="002B504F">
          <w:pPr>
            <w:widowControl w:val="0"/>
            <w:tabs>
              <w:tab w:val="right" w:leader="dot" w:pos="9025"/>
            </w:tabs>
            <w:spacing w:before="60"/>
            <w:jc w:val="left"/>
            <w:rPr>
              <w:rFonts w:ascii="Arial" w:hAnsi="Arial" w:cs="Arial"/>
              <w:color w:val="000000"/>
              <w:sz w:val="22"/>
              <w:szCs w:val="22"/>
            </w:rPr>
          </w:pPr>
          <w:hyperlink w:anchor="_egvc203mry9r">
            <w:r w:rsidRPr="003E5143">
              <w:rPr>
                <w:rFonts w:ascii="Arial" w:hAnsi="Arial" w:cs="Arial"/>
                <w:color w:val="000000"/>
                <w:sz w:val="22"/>
                <w:szCs w:val="22"/>
              </w:rPr>
              <w:t>An explanation of the specific factors related to HR Practices of Sainsbury’s</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_egvc203mry9r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2</w:t>
          </w:r>
          <w:r w:rsidRPr="003E5143">
            <w:rPr>
              <w:rFonts w:ascii="Arial" w:hAnsi="Arial" w:cs="Arial"/>
              <w:sz w:val="22"/>
              <w:szCs w:val="22"/>
            </w:rPr>
            <w:fldChar w:fldCharType="end"/>
          </w:r>
        </w:p>
        <w:p w14:paraId="314C0E0B" w14:textId="77777777" w:rsidR="002B504F" w:rsidRPr="003E5143" w:rsidRDefault="002B504F">
          <w:pPr>
            <w:widowControl w:val="0"/>
            <w:tabs>
              <w:tab w:val="right" w:leader="dot" w:pos="9025"/>
            </w:tabs>
            <w:spacing w:before="60"/>
            <w:ind w:left="360"/>
            <w:jc w:val="left"/>
            <w:rPr>
              <w:rFonts w:ascii="Arial" w:hAnsi="Arial" w:cs="Arial"/>
              <w:color w:val="000000"/>
              <w:sz w:val="22"/>
              <w:szCs w:val="22"/>
            </w:rPr>
          </w:pPr>
          <w:hyperlink w:anchor="_4tqw5juk61xn">
            <w:r w:rsidRPr="003E5143">
              <w:rPr>
                <w:rFonts w:ascii="Arial" w:hAnsi="Arial" w:cs="Arial"/>
                <w:color w:val="000000"/>
                <w:sz w:val="22"/>
                <w:szCs w:val="22"/>
              </w:rPr>
              <w:t>Meeting up with technological Advancement</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_4tqw5juk61xn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2</w:t>
          </w:r>
          <w:r w:rsidRPr="003E5143">
            <w:rPr>
              <w:rFonts w:ascii="Arial" w:hAnsi="Arial" w:cs="Arial"/>
              <w:sz w:val="22"/>
              <w:szCs w:val="22"/>
            </w:rPr>
            <w:fldChar w:fldCharType="end"/>
          </w:r>
        </w:p>
        <w:p w14:paraId="4DC3808E" w14:textId="77777777" w:rsidR="002B504F" w:rsidRPr="003E5143" w:rsidRDefault="002B504F">
          <w:pPr>
            <w:widowControl w:val="0"/>
            <w:tabs>
              <w:tab w:val="right" w:leader="dot" w:pos="9025"/>
            </w:tabs>
            <w:spacing w:before="60"/>
            <w:ind w:left="360"/>
            <w:jc w:val="left"/>
            <w:rPr>
              <w:rFonts w:ascii="Arial" w:hAnsi="Arial" w:cs="Arial"/>
              <w:color w:val="000000"/>
              <w:sz w:val="22"/>
              <w:szCs w:val="22"/>
            </w:rPr>
          </w:pPr>
          <w:hyperlink w:anchor="_eehn56mn2eat">
            <w:r w:rsidRPr="003E5143">
              <w:rPr>
                <w:rFonts w:ascii="Arial" w:hAnsi="Arial" w:cs="Arial"/>
                <w:color w:val="000000"/>
                <w:sz w:val="22"/>
                <w:szCs w:val="22"/>
              </w:rPr>
              <w:t>Talent Acquisition and Retention</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_eehn56mn2eat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2</w:t>
          </w:r>
          <w:r w:rsidRPr="003E5143">
            <w:rPr>
              <w:rFonts w:ascii="Arial" w:hAnsi="Arial" w:cs="Arial"/>
              <w:sz w:val="22"/>
              <w:szCs w:val="22"/>
            </w:rPr>
            <w:fldChar w:fldCharType="end"/>
          </w:r>
        </w:p>
        <w:p w14:paraId="6027A924" w14:textId="77777777" w:rsidR="002B504F" w:rsidRPr="003E5143" w:rsidRDefault="002B504F">
          <w:pPr>
            <w:widowControl w:val="0"/>
            <w:tabs>
              <w:tab w:val="right" w:leader="dot" w:pos="9025"/>
            </w:tabs>
            <w:spacing w:before="60"/>
            <w:ind w:left="360"/>
            <w:jc w:val="left"/>
            <w:rPr>
              <w:rFonts w:ascii="Arial" w:hAnsi="Arial" w:cs="Arial"/>
              <w:color w:val="000000"/>
              <w:sz w:val="22"/>
              <w:szCs w:val="22"/>
            </w:rPr>
          </w:pPr>
          <w:hyperlink w:anchor="_ff8dslo3vkyr">
            <w:r w:rsidRPr="003E5143">
              <w:rPr>
                <w:rFonts w:ascii="Arial" w:hAnsi="Arial" w:cs="Arial"/>
                <w:color w:val="000000"/>
                <w:sz w:val="22"/>
                <w:szCs w:val="22"/>
              </w:rPr>
              <w:t>Diversity, Equity, and Inclusion (DEI)</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_ff8dslo3vkyr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3</w:t>
          </w:r>
          <w:r w:rsidRPr="003E5143">
            <w:rPr>
              <w:rFonts w:ascii="Arial" w:hAnsi="Arial" w:cs="Arial"/>
              <w:sz w:val="22"/>
              <w:szCs w:val="22"/>
            </w:rPr>
            <w:fldChar w:fldCharType="end"/>
          </w:r>
        </w:p>
        <w:p w14:paraId="6C90B6F2" w14:textId="77777777" w:rsidR="002B504F" w:rsidRPr="003E5143" w:rsidRDefault="002B504F">
          <w:pPr>
            <w:widowControl w:val="0"/>
            <w:tabs>
              <w:tab w:val="right" w:leader="dot" w:pos="9025"/>
            </w:tabs>
            <w:spacing w:before="60"/>
            <w:jc w:val="left"/>
            <w:rPr>
              <w:rFonts w:ascii="Arial" w:hAnsi="Arial" w:cs="Arial"/>
              <w:color w:val="000000"/>
              <w:sz w:val="22"/>
              <w:szCs w:val="22"/>
            </w:rPr>
          </w:pPr>
          <w:hyperlink w:anchor="_7ea7ivhvt0oi">
            <w:r w:rsidRPr="003E5143">
              <w:rPr>
                <w:rFonts w:ascii="Arial" w:hAnsi="Arial" w:cs="Arial"/>
                <w:color w:val="000000"/>
                <w:sz w:val="22"/>
                <w:szCs w:val="22"/>
              </w:rPr>
              <w:t>An evaluation of different contemporary HR practices to address each aforementioned factor?</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_7ea7ivhvt0oi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3</w:t>
          </w:r>
          <w:r w:rsidRPr="003E5143">
            <w:rPr>
              <w:rFonts w:ascii="Arial" w:hAnsi="Arial" w:cs="Arial"/>
              <w:sz w:val="22"/>
              <w:szCs w:val="22"/>
            </w:rPr>
            <w:fldChar w:fldCharType="end"/>
          </w:r>
        </w:p>
        <w:p w14:paraId="06C75F33" w14:textId="77777777" w:rsidR="002B504F" w:rsidRPr="003E5143" w:rsidRDefault="002B504F">
          <w:pPr>
            <w:widowControl w:val="0"/>
            <w:tabs>
              <w:tab w:val="right" w:leader="dot" w:pos="9025"/>
            </w:tabs>
            <w:spacing w:before="60"/>
            <w:ind w:left="360"/>
            <w:jc w:val="left"/>
            <w:rPr>
              <w:rFonts w:ascii="Arial" w:hAnsi="Arial" w:cs="Arial"/>
              <w:color w:val="000000"/>
              <w:sz w:val="22"/>
              <w:szCs w:val="22"/>
            </w:rPr>
          </w:pPr>
          <w:hyperlink w:anchor="_g5fam0wjhz47">
            <w:r w:rsidRPr="003E5143">
              <w:rPr>
                <w:rFonts w:ascii="Arial" w:hAnsi="Arial" w:cs="Arial"/>
                <w:color w:val="000000"/>
                <w:sz w:val="22"/>
                <w:szCs w:val="22"/>
              </w:rPr>
              <w:t>Evaluation of Meeting up with Technological Advancement</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_g5fam0wjhz47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3</w:t>
          </w:r>
          <w:r w:rsidRPr="003E5143">
            <w:rPr>
              <w:rFonts w:ascii="Arial" w:hAnsi="Arial" w:cs="Arial"/>
              <w:sz w:val="22"/>
              <w:szCs w:val="22"/>
            </w:rPr>
            <w:fldChar w:fldCharType="end"/>
          </w:r>
        </w:p>
        <w:p w14:paraId="299BCF9E" w14:textId="77777777" w:rsidR="002B504F" w:rsidRPr="003E5143" w:rsidRDefault="002B504F">
          <w:pPr>
            <w:widowControl w:val="0"/>
            <w:tabs>
              <w:tab w:val="right" w:leader="dot" w:pos="9025"/>
            </w:tabs>
            <w:spacing w:before="60"/>
            <w:ind w:left="360"/>
            <w:jc w:val="left"/>
            <w:rPr>
              <w:rFonts w:ascii="Arial" w:hAnsi="Arial" w:cs="Arial"/>
              <w:color w:val="000000"/>
              <w:sz w:val="22"/>
              <w:szCs w:val="22"/>
            </w:rPr>
          </w:pPr>
          <w:hyperlink w:anchor="_slxto7t2ayl3">
            <w:r w:rsidRPr="003E5143">
              <w:rPr>
                <w:rFonts w:ascii="Arial" w:hAnsi="Arial" w:cs="Arial"/>
                <w:color w:val="000000"/>
                <w:sz w:val="22"/>
                <w:szCs w:val="22"/>
              </w:rPr>
              <w:t>Evaluation of Talent Acquisition and Retention</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_slxto7t2ayl3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4</w:t>
          </w:r>
          <w:r w:rsidRPr="003E5143">
            <w:rPr>
              <w:rFonts w:ascii="Arial" w:hAnsi="Arial" w:cs="Arial"/>
              <w:sz w:val="22"/>
              <w:szCs w:val="22"/>
            </w:rPr>
            <w:fldChar w:fldCharType="end"/>
          </w:r>
        </w:p>
        <w:p w14:paraId="59789AB1" w14:textId="77777777" w:rsidR="002B504F" w:rsidRPr="003E5143" w:rsidRDefault="002B504F">
          <w:pPr>
            <w:widowControl w:val="0"/>
            <w:tabs>
              <w:tab w:val="right" w:leader="dot" w:pos="9025"/>
            </w:tabs>
            <w:spacing w:before="60"/>
            <w:ind w:left="360"/>
            <w:jc w:val="left"/>
            <w:rPr>
              <w:rFonts w:ascii="Arial" w:hAnsi="Arial" w:cs="Arial"/>
              <w:color w:val="000000"/>
              <w:sz w:val="22"/>
              <w:szCs w:val="22"/>
            </w:rPr>
          </w:pPr>
          <w:hyperlink w:anchor="_cxuoqqi8ksqv">
            <w:r w:rsidRPr="003E5143">
              <w:rPr>
                <w:rFonts w:ascii="Arial" w:hAnsi="Arial" w:cs="Arial"/>
                <w:color w:val="000000"/>
                <w:sz w:val="22"/>
                <w:szCs w:val="22"/>
              </w:rPr>
              <w:t>Evaluation of Diversity, Equity, and Inclusion (DEI)</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_cxuoqqi8ksqv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5</w:t>
          </w:r>
          <w:r w:rsidRPr="003E5143">
            <w:rPr>
              <w:rFonts w:ascii="Arial" w:hAnsi="Arial" w:cs="Arial"/>
              <w:sz w:val="22"/>
              <w:szCs w:val="22"/>
            </w:rPr>
            <w:fldChar w:fldCharType="end"/>
          </w:r>
        </w:p>
        <w:p w14:paraId="02D35E48" w14:textId="77777777" w:rsidR="002B504F" w:rsidRPr="003E5143" w:rsidRDefault="002B504F">
          <w:pPr>
            <w:widowControl w:val="0"/>
            <w:tabs>
              <w:tab w:val="right" w:leader="dot" w:pos="9025"/>
            </w:tabs>
            <w:spacing w:before="60"/>
            <w:ind w:left="360"/>
            <w:jc w:val="left"/>
            <w:rPr>
              <w:rFonts w:ascii="Arial" w:hAnsi="Arial" w:cs="Arial"/>
              <w:color w:val="000000"/>
              <w:sz w:val="22"/>
              <w:szCs w:val="22"/>
            </w:rPr>
          </w:pPr>
          <w:hyperlink w:anchor="_lqk68adolx6i">
            <w:r w:rsidRPr="003E5143">
              <w:rPr>
                <w:rFonts w:ascii="Arial" w:hAnsi="Arial" w:cs="Arial"/>
                <w:color w:val="000000"/>
                <w:sz w:val="22"/>
                <w:szCs w:val="22"/>
              </w:rPr>
              <w:t>Key Strategies</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_lqk68adolx6i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5</w:t>
          </w:r>
          <w:r w:rsidRPr="003E5143">
            <w:rPr>
              <w:rFonts w:ascii="Arial" w:hAnsi="Arial" w:cs="Arial"/>
              <w:sz w:val="22"/>
              <w:szCs w:val="22"/>
            </w:rPr>
            <w:fldChar w:fldCharType="end"/>
          </w:r>
        </w:p>
        <w:p w14:paraId="01D4ABCE" w14:textId="77777777" w:rsidR="002B504F" w:rsidRPr="003E5143" w:rsidRDefault="002B504F">
          <w:pPr>
            <w:widowControl w:val="0"/>
            <w:tabs>
              <w:tab w:val="right" w:leader="dot" w:pos="9025"/>
            </w:tabs>
            <w:spacing w:before="60"/>
            <w:ind w:left="360"/>
            <w:jc w:val="left"/>
            <w:rPr>
              <w:rFonts w:ascii="Arial" w:hAnsi="Arial" w:cs="Arial"/>
              <w:color w:val="000000"/>
              <w:sz w:val="22"/>
              <w:szCs w:val="22"/>
            </w:rPr>
          </w:pPr>
          <w:hyperlink w:anchor="_fr2zlotm4tzc">
            <w:r w:rsidRPr="003E5143">
              <w:rPr>
                <w:rFonts w:ascii="Arial" w:hAnsi="Arial" w:cs="Arial"/>
                <w:color w:val="000000"/>
                <w:sz w:val="22"/>
                <w:szCs w:val="22"/>
              </w:rPr>
              <w:t>Critical Evaluation</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_fr2zlotm4tzc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6</w:t>
          </w:r>
          <w:r w:rsidRPr="003E5143">
            <w:rPr>
              <w:rFonts w:ascii="Arial" w:hAnsi="Arial" w:cs="Arial"/>
              <w:sz w:val="22"/>
              <w:szCs w:val="22"/>
            </w:rPr>
            <w:fldChar w:fldCharType="end"/>
          </w:r>
        </w:p>
        <w:p w14:paraId="56CFA16E" w14:textId="77777777" w:rsidR="002B504F" w:rsidRPr="003E5143" w:rsidRDefault="002B504F">
          <w:pPr>
            <w:widowControl w:val="0"/>
            <w:tabs>
              <w:tab w:val="right" w:leader="dot" w:pos="9025"/>
            </w:tabs>
            <w:spacing w:before="60"/>
            <w:jc w:val="left"/>
            <w:rPr>
              <w:rFonts w:ascii="Arial" w:hAnsi="Arial" w:cs="Arial"/>
              <w:color w:val="000000"/>
              <w:sz w:val="22"/>
              <w:szCs w:val="22"/>
            </w:rPr>
          </w:pPr>
          <w:hyperlink w:anchor="_34x87w2ozv07">
            <w:r w:rsidRPr="003E5143">
              <w:rPr>
                <w:rFonts w:ascii="Arial" w:hAnsi="Arial" w:cs="Arial"/>
                <w:color w:val="000000"/>
                <w:sz w:val="22"/>
                <w:szCs w:val="22"/>
              </w:rPr>
              <w:t>Conclusion and Recommendations</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_34x87w2ozv07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6</w:t>
          </w:r>
          <w:r w:rsidRPr="003E5143">
            <w:rPr>
              <w:rFonts w:ascii="Arial" w:hAnsi="Arial" w:cs="Arial"/>
              <w:sz w:val="22"/>
              <w:szCs w:val="22"/>
            </w:rPr>
            <w:fldChar w:fldCharType="end"/>
          </w:r>
        </w:p>
        <w:p w14:paraId="7670CE26" w14:textId="77777777" w:rsidR="002B504F" w:rsidRPr="003E5143" w:rsidRDefault="002B504F">
          <w:pPr>
            <w:widowControl w:val="0"/>
            <w:tabs>
              <w:tab w:val="right" w:leader="dot" w:pos="9025"/>
            </w:tabs>
            <w:spacing w:before="60"/>
            <w:ind w:left="360"/>
            <w:jc w:val="left"/>
            <w:rPr>
              <w:rFonts w:ascii="Arial" w:hAnsi="Arial" w:cs="Arial"/>
              <w:color w:val="000000"/>
              <w:sz w:val="22"/>
              <w:szCs w:val="22"/>
            </w:rPr>
          </w:pPr>
          <w:hyperlink w:anchor="_95m7o4i8r1n9">
            <w:r w:rsidRPr="003E5143">
              <w:rPr>
                <w:rFonts w:ascii="Arial" w:hAnsi="Arial" w:cs="Arial"/>
                <w:color w:val="000000"/>
                <w:sz w:val="22"/>
                <w:szCs w:val="22"/>
              </w:rPr>
              <w:t>Conclusion</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_95m7o4i8r1n9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6</w:t>
          </w:r>
          <w:r w:rsidRPr="003E5143">
            <w:rPr>
              <w:rFonts w:ascii="Arial" w:hAnsi="Arial" w:cs="Arial"/>
              <w:sz w:val="22"/>
              <w:szCs w:val="22"/>
            </w:rPr>
            <w:fldChar w:fldCharType="end"/>
          </w:r>
        </w:p>
        <w:p w14:paraId="60A16E28" w14:textId="77777777" w:rsidR="002B504F" w:rsidRPr="003E5143" w:rsidRDefault="002B504F">
          <w:pPr>
            <w:widowControl w:val="0"/>
            <w:tabs>
              <w:tab w:val="right" w:leader="dot" w:pos="9025"/>
            </w:tabs>
            <w:spacing w:before="60"/>
            <w:ind w:left="360"/>
            <w:jc w:val="left"/>
            <w:rPr>
              <w:rFonts w:ascii="Arial" w:hAnsi="Arial" w:cs="Arial"/>
              <w:color w:val="000000"/>
              <w:sz w:val="22"/>
              <w:szCs w:val="22"/>
            </w:rPr>
          </w:pPr>
          <w:hyperlink w:anchor="_4fuid63htujz">
            <w:r w:rsidRPr="003E5143">
              <w:rPr>
                <w:rFonts w:ascii="Arial" w:hAnsi="Arial" w:cs="Arial"/>
                <w:color w:val="000000"/>
                <w:sz w:val="22"/>
                <w:szCs w:val="22"/>
              </w:rPr>
              <w:t>Recommendations</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_4fuid63htujz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6</w:t>
          </w:r>
          <w:r w:rsidRPr="003E5143">
            <w:rPr>
              <w:rFonts w:ascii="Arial" w:hAnsi="Arial" w:cs="Arial"/>
              <w:sz w:val="22"/>
              <w:szCs w:val="22"/>
            </w:rPr>
            <w:fldChar w:fldCharType="end"/>
          </w:r>
        </w:p>
        <w:p w14:paraId="2C0BD32B" w14:textId="77777777" w:rsidR="002B504F" w:rsidRPr="003E5143" w:rsidRDefault="002B504F">
          <w:pPr>
            <w:widowControl w:val="0"/>
            <w:tabs>
              <w:tab w:val="right" w:leader="dot" w:pos="9025"/>
            </w:tabs>
            <w:spacing w:before="60"/>
            <w:jc w:val="left"/>
            <w:rPr>
              <w:rFonts w:ascii="Arial" w:hAnsi="Arial" w:cs="Arial"/>
              <w:color w:val="000000"/>
              <w:sz w:val="22"/>
              <w:szCs w:val="22"/>
            </w:rPr>
          </w:pPr>
          <w:hyperlink w:anchor="_c5sxqykw9mzh">
            <w:r w:rsidRPr="003E5143">
              <w:rPr>
                <w:rFonts w:ascii="Arial" w:hAnsi="Arial" w:cs="Arial"/>
                <w:color w:val="000000"/>
                <w:sz w:val="22"/>
                <w:szCs w:val="22"/>
              </w:rPr>
              <w:t>References</w:t>
            </w:r>
            <w:r w:rsidRPr="003E5143">
              <w:rPr>
                <w:rFonts w:ascii="Arial" w:hAnsi="Arial" w:cs="Arial"/>
                <w:color w:val="000000"/>
                <w:sz w:val="22"/>
                <w:szCs w:val="22"/>
              </w:rPr>
              <w:tab/>
            </w:r>
          </w:hyperlink>
          <w:r w:rsidRPr="003E5143">
            <w:rPr>
              <w:rFonts w:ascii="Arial" w:hAnsi="Arial" w:cs="Arial"/>
              <w:sz w:val="22"/>
              <w:szCs w:val="22"/>
            </w:rPr>
            <w:fldChar w:fldCharType="begin"/>
          </w:r>
          <w:r w:rsidRPr="003E5143">
            <w:rPr>
              <w:rFonts w:ascii="Arial" w:hAnsi="Arial" w:cs="Arial"/>
              <w:sz w:val="22"/>
              <w:szCs w:val="22"/>
            </w:rPr>
            <w:instrText xml:space="preserve"> PAGEREF _c5sxqykw9mzh \h </w:instrText>
          </w:r>
          <w:r w:rsidRPr="003E5143">
            <w:rPr>
              <w:rFonts w:ascii="Arial" w:hAnsi="Arial" w:cs="Arial"/>
              <w:sz w:val="22"/>
              <w:szCs w:val="22"/>
            </w:rPr>
          </w:r>
          <w:r w:rsidRPr="003E5143">
            <w:rPr>
              <w:rFonts w:ascii="Arial" w:hAnsi="Arial" w:cs="Arial"/>
              <w:sz w:val="22"/>
              <w:szCs w:val="22"/>
            </w:rPr>
            <w:fldChar w:fldCharType="separate"/>
          </w:r>
          <w:r w:rsidRPr="003E5143">
            <w:rPr>
              <w:rFonts w:ascii="Arial" w:hAnsi="Arial" w:cs="Arial"/>
              <w:sz w:val="22"/>
              <w:szCs w:val="22"/>
            </w:rPr>
            <w:t>8</w:t>
          </w:r>
          <w:r w:rsidRPr="003E5143">
            <w:rPr>
              <w:rFonts w:ascii="Arial" w:hAnsi="Arial" w:cs="Arial"/>
              <w:sz w:val="22"/>
              <w:szCs w:val="22"/>
            </w:rPr>
            <w:fldChar w:fldCharType="end"/>
          </w:r>
          <w:r w:rsidRPr="003E5143">
            <w:rPr>
              <w:rFonts w:ascii="Arial" w:hAnsi="Arial" w:cs="Arial"/>
              <w:sz w:val="22"/>
              <w:szCs w:val="22"/>
            </w:rPr>
            <w:fldChar w:fldCharType="end"/>
          </w:r>
        </w:p>
      </w:sdtContent>
    </w:sdt>
    <w:p w14:paraId="5CB0DBE8" w14:textId="77777777" w:rsidR="002B504F" w:rsidRPr="003E5143" w:rsidRDefault="00F342CD">
      <w:pPr>
        <w:rPr>
          <w:rFonts w:ascii="Arial" w:hAnsi="Arial" w:cs="Arial"/>
          <w:b/>
          <w:bCs/>
          <w:sz w:val="22"/>
          <w:szCs w:val="22"/>
        </w:rPr>
      </w:pPr>
      <w:r w:rsidRPr="003E5143">
        <w:rPr>
          <w:rFonts w:ascii="Arial" w:hAnsi="Arial" w:cs="Arial"/>
          <w:sz w:val="22"/>
          <w:szCs w:val="22"/>
        </w:rPr>
        <w:br w:type="page"/>
      </w:r>
    </w:p>
    <w:p w14:paraId="07F13178" w14:textId="77777777" w:rsidR="002B504F" w:rsidRPr="003E5143" w:rsidRDefault="00F342CD">
      <w:pPr>
        <w:pStyle w:val="Heading1"/>
        <w:rPr>
          <w:rFonts w:ascii="Arial" w:hAnsi="Arial" w:cs="Arial"/>
          <w:sz w:val="22"/>
          <w:szCs w:val="22"/>
        </w:rPr>
      </w:pPr>
      <w:bookmarkStart w:id="0" w:name="_xjgioei7uxt5" w:colFirst="0" w:colLast="0"/>
      <w:bookmarkEnd w:id="0"/>
      <w:r w:rsidRPr="003E5143">
        <w:rPr>
          <w:rFonts w:ascii="Arial" w:hAnsi="Arial" w:cs="Arial"/>
          <w:sz w:val="22"/>
          <w:szCs w:val="22"/>
        </w:rPr>
        <w:t>Introduction</w:t>
      </w:r>
    </w:p>
    <w:p w14:paraId="4B03886F" w14:textId="73466471" w:rsidR="002B504F" w:rsidRPr="003E5143" w:rsidRDefault="00F342CD">
      <w:pPr>
        <w:rPr>
          <w:rFonts w:ascii="Arial" w:hAnsi="Arial" w:cs="Arial"/>
          <w:sz w:val="22"/>
          <w:szCs w:val="22"/>
        </w:rPr>
      </w:pPr>
      <w:r w:rsidRPr="003E5143">
        <w:rPr>
          <w:rFonts w:ascii="Arial" w:hAnsi="Arial" w:cs="Arial"/>
          <w:sz w:val="22"/>
          <w:szCs w:val="22"/>
        </w:rPr>
        <w:t xml:space="preserve">Companies rely most on their employees. Employees with their skills and knowledge help companies to </w:t>
      </w:r>
      <w:r w:rsidR="00FE0127" w:rsidRPr="003E5143">
        <w:rPr>
          <w:rFonts w:ascii="Arial" w:hAnsi="Arial" w:cs="Arial"/>
          <w:sz w:val="22"/>
          <w:szCs w:val="22"/>
        </w:rPr>
        <w:t>fulfil</w:t>
      </w:r>
      <w:r w:rsidRPr="003E5143">
        <w:rPr>
          <w:rFonts w:ascii="Arial" w:hAnsi="Arial" w:cs="Arial"/>
          <w:sz w:val="22"/>
          <w:szCs w:val="22"/>
        </w:rPr>
        <w:t xml:space="preserve"> the requirements of the operations, leading to the timely and effective delivery of the product and services to the customers. This creates a good relationship between the company and the customers and makes them loyal to the company, which is directly proportional to the profit of the company. That is why managing and directing the skills and effort of the employee towards the cause of the company is very important. HR practitioners do this job strategically and skillfully (</w:t>
      </w:r>
      <w:proofErr w:type="spellStart"/>
      <w:r w:rsidRPr="003E5143">
        <w:rPr>
          <w:rFonts w:ascii="Arial" w:hAnsi="Arial" w:cs="Arial"/>
          <w:sz w:val="22"/>
          <w:szCs w:val="22"/>
        </w:rPr>
        <w:t>Okatta</w:t>
      </w:r>
      <w:proofErr w:type="spellEnd"/>
      <w:r w:rsidRPr="003E5143">
        <w:rPr>
          <w:rFonts w:ascii="Arial" w:hAnsi="Arial" w:cs="Arial"/>
          <w:sz w:val="22"/>
          <w:szCs w:val="22"/>
        </w:rPr>
        <w:t xml:space="preserve"> </w:t>
      </w:r>
      <w:r w:rsidRPr="003E5143">
        <w:rPr>
          <w:rFonts w:ascii="Arial" w:hAnsi="Arial" w:cs="Arial"/>
          <w:i/>
          <w:iCs/>
          <w:sz w:val="22"/>
          <w:szCs w:val="22"/>
        </w:rPr>
        <w:t>et al.</w:t>
      </w:r>
      <w:r w:rsidRPr="003E5143">
        <w:rPr>
          <w:rFonts w:ascii="Arial" w:hAnsi="Arial" w:cs="Arial"/>
          <w:sz w:val="22"/>
          <w:szCs w:val="22"/>
        </w:rPr>
        <w:t xml:space="preserve"> 2024). Like</w:t>
      </w:r>
      <w:r w:rsidRPr="003E5143">
        <w:rPr>
          <w:rFonts w:ascii="Arial" w:hAnsi="Arial" w:cs="Arial"/>
          <w:sz w:val="22"/>
          <w:szCs w:val="22"/>
        </w:rPr>
        <w:t xml:space="preserve"> any other company, </w:t>
      </w:r>
      <w:r w:rsidR="00FE0127" w:rsidRPr="003E5143">
        <w:rPr>
          <w:rFonts w:ascii="Arial" w:hAnsi="Arial" w:cs="Arial"/>
          <w:sz w:val="22"/>
          <w:szCs w:val="22"/>
        </w:rPr>
        <w:t>Sainsbury’s</w:t>
      </w:r>
      <w:r w:rsidRPr="003E5143">
        <w:rPr>
          <w:rFonts w:ascii="Arial" w:hAnsi="Arial" w:cs="Arial"/>
          <w:sz w:val="22"/>
          <w:szCs w:val="22"/>
        </w:rPr>
        <w:t xml:space="preserve"> HR department is cautious in its HR practices to </w:t>
      </w:r>
      <w:r w:rsidR="00FE0127" w:rsidRPr="003E5143">
        <w:rPr>
          <w:rFonts w:ascii="Arial" w:hAnsi="Arial" w:cs="Arial"/>
          <w:sz w:val="22"/>
          <w:szCs w:val="22"/>
        </w:rPr>
        <w:t>maximise</w:t>
      </w:r>
      <w:r w:rsidRPr="003E5143">
        <w:rPr>
          <w:rFonts w:ascii="Arial" w:hAnsi="Arial" w:cs="Arial"/>
          <w:sz w:val="22"/>
          <w:szCs w:val="22"/>
        </w:rPr>
        <w:t xml:space="preserve"> the impact on employees and the overall operations. But still, some issues persist within the practice of Sainsbury’s HRM, which is the topic of discussion here. </w:t>
      </w:r>
    </w:p>
    <w:p w14:paraId="6195DADF" w14:textId="77777777" w:rsidR="002B504F" w:rsidRPr="003E5143" w:rsidRDefault="00F342CD">
      <w:pPr>
        <w:pStyle w:val="Heading1"/>
        <w:rPr>
          <w:rFonts w:ascii="Arial" w:hAnsi="Arial" w:cs="Arial"/>
          <w:sz w:val="22"/>
          <w:szCs w:val="22"/>
        </w:rPr>
      </w:pPr>
      <w:bookmarkStart w:id="1" w:name="_egvc203mry9r" w:colFirst="0" w:colLast="0"/>
      <w:bookmarkEnd w:id="1"/>
      <w:r w:rsidRPr="003E5143">
        <w:rPr>
          <w:rFonts w:ascii="Arial" w:hAnsi="Arial" w:cs="Arial"/>
          <w:sz w:val="22"/>
          <w:szCs w:val="22"/>
        </w:rPr>
        <w:t>An explanation of the specific factors related to HR Practices of Sainsbury’s</w:t>
      </w:r>
    </w:p>
    <w:p w14:paraId="4CFA80F7" w14:textId="77777777" w:rsidR="002B504F" w:rsidRPr="003E5143" w:rsidRDefault="00F342CD">
      <w:pPr>
        <w:pStyle w:val="Heading2"/>
        <w:rPr>
          <w:rFonts w:ascii="Arial" w:hAnsi="Arial" w:cs="Arial"/>
          <w:sz w:val="22"/>
          <w:szCs w:val="22"/>
        </w:rPr>
      </w:pPr>
      <w:bookmarkStart w:id="2" w:name="_4tqw5juk61xn" w:colFirst="0" w:colLast="0"/>
      <w:bookmarkEnd w:id="2"/>
      <w:r w:rsidRPr="003E5143">
        <w:rPr>
          <w:rFonts w:ascii="Arial" w:hAnsi="Arial" w:cs="Arial"/>
          <w:sz w:val="22"/>
          <w:szCs w:val="22"/>
        </w:rPr>
        <w:t>Meeting up with technological Advancement</w:t>
      </w:r>
    </w:p>
    <w:p w14:paraId="41326969" w14:textId="4052578B" w:rsidR="002B504F" w:rsidRPr="003E5143" w:rsidRDefault="00F342CD">
      <w:pPr>
        <w:rPr>
          <w:rFonts w:ascii="Arial" w:hAnsi="Arial" w:cs="Arial"/>
          <w:sz w:val="22"/>
          <w:szCs w:val="22"/>
        </w:rPr>
      </w:pPr>
      <w:r w:rsidRPr="003E5143">
        <w:rPr>
          <w:rFonts w:ascii="Arial" w:hAnsi="Arial" w:cs="Arial"/>
          <w:sz w:val="22"/>
          <w:szCs w:val="22"/>
        </w:rPr>
        <w:t xml:space="preserve">Technological advancements have grabbed the market of the retail sector strongly. Every other business in the retail sector is taking important measures to implement technologies into the system they are using. Sainsbury’s has also implemented such things into their HRM practices. They have enhanced their training and development activities for the employees so that they can be accustomed to the new technologies and develop some valuable skills to handle and manage these technologies effectively. They </w:t>
      </w:r>
      <w:r w:rsidR="00FE0127" w:rsidRPr="003E5143">
        <w:rPr>
          <w:rFonts w:ascii="Arial" w:hAnsi="Arial" w:cs="Arial"/>
          <w:sz w:val="22"/>
          <w:szCs w:val="22"/>
        </w:rPr>
        <w:t>have also</w:t>
      </w:r>
      <w:r w:rsidRPr="003E5143">
        <w:rPr>
          <w:rFonts w:ascii="Arial" w:hAnsi="Arial" w:cs="Arial"/>
          <w:sz w:val="22"/>
          <w:szCs w:val="22"/>
        </w:rPr>
        <w:t xml:space="preserve"> implemented </w:t>
      </w:r>
      <w:r w:rsidR="00FE0127" w:rsidRPr="003E5143">
        <w:rPr>
          <w:rFonts w:ascii="Arial" w:hAnsi="Arial" w:cs="Arial"/>
          <w:sz w:val="22"/>
          <w:szCs w:val="22"/>
        </w:rPr>
        <w:t>a technology-driven</w:t>
      </w:r>
      <w:r w:rsidRPr="003E5143">
        <w:rPr>
          <w:rFonts w:ascii="Arial" w:hAnsi="Arial" w:cs="Arial"/>
          <w:sz w:val="22"/>
          <w:szCs w:val="22"/>
        </w:rPr>
        <w:t xml:space="preserve"> online recruitment process to cut down on the operational cost and attract tech-savvy individuals to the brand. It enhanced their chances of getting more talented individuals to handle technologies. Implementing technology in performance management has made it much more effective for the employees. It has also enhanced technological adaptation in the stores, leading to a more automated performance tracking and strategic alignment. Technological innovations have enab</w:t>
      </w:r>
      <w:r w:rsidRPr="003E5143">
        <w:rPr>
          <w:rFonts w:ascii="Arial" w:hAnsi="Arial" w:cs="Arial"/>
          <w:sz w:val="22"/>
          <w:szCs w:val="22"/>
        </w:rPr>
        <w:t xml:space="preserve">led employees to work as they like, from the office or remotely. This flexibility has helped them to build a work-life balance that has contributed to job satisfaction. Technology has also helped Sainsbury’s enable diversity and inclusion more, as technological support has enabled disabled people to work freely within the company (Winton </w:t>
      </w:r>
      <w:r w:rsidRPr="003E5143">
        <w:rPr>
          <w:rFonts w:ascii="Arial" w:hAnsi="Arial" w:cs="Arial"/>
          <w:i/>
          <w:iCs/>
          <w:sz w:val="22"/>
          <w:szCs w:val="22"/>
        </w:rPr>
        <w:t>et al.</w:t>
      </w:r>
      <w:r w:rsidRPr="003E5143">
        <w:rPr>
          <w:rFonts w:ascii="Arial" w:hAnsi="Arial" w:cs="Arial"/>
          <w:sz w:val="22"/>
          <w:szCs w:val="22"/>
        </w:rPr>
        <w:t xml:space="preserve"> 2025).  </w:t>
      </w:r>
    </w:p>
    <w:p w14:paraId="4602A747" w14:textId="77777777" w:rsidR="002B504F" w:rsidRPr="003E5143" w:rsidRDefault="00F342CD">
      <w:pPr>
        <w:pStyle w:val="Heading2"/>
        <w:rPr>
          <w:rFonts w:ascii="Arial" w:hAnsi="Arial" w:cs="Arial"/>
          <w:sz w:val="22"/>
          <w:szCs w:val="22"/>
        </w:rPr>
      </w:pPr>
      <w:bookmarkStart w:id="3" w:name="_eehn56mn2eat" w:colFirst="0" w:colLast="0"/>
      <w:bookmarkEnd w:id="3"/>
      <w:r w:rsidRPr="003E5143">
        <w:rPr>
          <w:rFonts w:ascii="Arial" w:hAnsi="Arial" w:cs="Arial"/>
          <w:sz w:val="22"/>
          <w:szCs w:val="22"/>
        </w:rPr>
        <w:t>Talent Acquisition and Retention</w:t>
      </w:r>
    </w:p>
    <w:p w14:paraId="6ED8293B" w14:textId="454471E3" w:rsidR="002B504F" w:rsidRPr="003E5143" w:rsidRDefault="00F342CD">
      <w:pPr>
        <w:rPr>
          <w:rFonts w:ascii="Arial" w:hAnsi="Arial" w:cs="Arial"/>
          <w:sz w:val="22"/>
          <w:szCs w:val="22"/>
        </w:rPr>
      </w:pPr>
      <w:r w:rsidRPr="003E5143">
        <w:rPr>
          <w:rFonts w:ascii="Arial" w:hAnsi="Arial" w:cs="Arial"/>
          <w:sz w:val="22"/>
          <w:szCs w:val="22"/>
        </w:rPr>
        <w:t xml:space="preserve">For any company, human resources are the most important part of the organisation, as a skilled and highly motivated workforce is a strength for business. Sainsbury’s lives by this principle, and they have tried to create a culture where people can feel welcomed and have a sense of belonging. To make </w:t>
      </w:r>
      <w:r w:rsidR="00FE0127" w:rsidRPr="003E5143">
        <w:rPr>
          <w:rFonts w:ascii="Arial" w:hAnsi="Arial" w:cs="Arial"/>
          <w:sz w:val="22"/>
          <w:szCs w:val="22"/>
        </w:rPr>
        <w:t>interviews and the process</w:t>
      </w:r>
      <w:r w:rsidRPr="003E5143">
        <w:rPr>
          <w:rFonts w:ascii="Arial" w:hAnsi="Arial" w:cs="Arial"/>
          <w:sz w:val="22"/>
          <w:szCs w:val="22"/>
        </w:rPr>
        <w:t xml:space="preserve"> most effective and accurate, Sainsbury’s has utilised a structured and layered approach from recruitment, so that HRs can properly screen CVs, conduct interviews, and select the most suitable candidate. The ‘where-people-belong’ culture of Sainsbury’s acts as a branding for potential employees to be attracted to the company. It helps them bring diverse and talented people within the company, who then contribute to the growth of the company. They have also utilised technology in th</w:t>
      </w:r>
      <w:r w:rsidRPr="003E5143">
        <w:rPr>
          <w:rFonts w:ascii="Arial" w:hAnsi="Arial" w:cs="Arial"/>
          <w:sz w:val="22"/>
          <w:szCs w:val="22"/>
        </w:rPr>
        <w:t xml:space="preserve">e recruitment process to make data-driven, quick decisions and eliminate bias. Not only that, but the employee retention practices of Sainsbury’s are also very effective. They provide employees with frequent training and career development opportunities that contribute to job satisfaction. Rewards and recognition </w:t>
      </w:r>
      <w:r w:rsidR="00FE0127" w:rsidRPr="003E5143">
        <w:rPr>
          <w:rFonts w:ascii="Arial" w:hAnsi="Arial" w:cs="Arial"/>
          <w:sz w:val="22"/>
          <w:szCs w:val="22"/>
        </w:rPr>
        <w:t>motivate employees</w:t>
      </w:r>
      <w:r w:rsidRPr="003E5143">
        <w:rPr>
          <w:rFonts w:ascii="Arial" w:hAnsi="Arial" w:cs="Arial"/>
          <w:sz w:val="22"/>
          <w:szCs w:val="22"/>
        </w:rPr>
        <w:t xml:space="preserve"> to put more </w:t>
      </w:r>
      <w:r w:rsidR="00FE0127" w:rsidRPr="003E5143">
        <w:rPr>
          <w:rFonts w:ascii="Arial" w:hAnsi="Arial" w:cs="Arial"/>
          <w:sz w:val="22"/>
          <w:szCs w:val="22"/>
        </w:rPr>
        <w:t>effort into</w:t>
      </w:r>
      <w:r w:rsidRPr="003E5143">
        <w:rPr>
          <w:rFonts w:ascii="Arial" w:hAnsi="Arial" w:cs="Arial"/>
          <w:sz w:val="22"/>
          <w:szCs w:val="22"/>
        </w:rPr>
        <w:t xml:space="preserve"> their job, and employee well-being practices take care of the mental and physical well-being of </w:t>
      </w:r>
      <w:r w:rsidR="00FE0127" w:rsidRPr="003E5143">
        <w:rPr>
          <w:rFonts w:ascii="Arial" w:hAnsi="Arial" w:cs="Arial"/>
          <w:sz w:val="22"/>
          <w:szCs w:val="22"/>
        </w:rPr>
        <w:t>employees</w:t>
      </w:r>
      <w:r w:rsidRPr="003E5143">
        <w:rPr>
          <w:rFonts w:ascii="Arial" w:hAnsi="Arial" w:cs="Arial"/>
          <w:sz w:val="22"/>
          <w:szCs w:val="22"/>
        </w:rPr>
        <w:t>. Flexibility of work has also helped in employee</w:t>
      </w:r>
      <w:r w:rsidRPr="003E5143">
        <w:rPr>
          <w:rFonts w:ascii="Arial" w:hAnsi="Arial" w:cs="Arial"/>
          <w:sz w:val="22"/>
          <w:szCs w:val="22"/>
        </w:rPr>
        <w:t xml:space="preserve"> satisfaction through providing them with </w:t>
      </w:r>
      <w:r w:rsidR="00FE0127" w:rsidRPr="003E5143">
        <w:rPr>
          <w:rFonts w:ascii="Arial" w:hAnsi="Arial" w:cs="Arial"/>
          <w:sz w:val="22"/>
          <w:szCs w:val="22"/>
        </w:rPr>
        <w:t>a work-life</w:t>
      </w:r>
      <w:r w:rsidRPr="003E5143">
        <w:rPr>
          <w:rFonts w:ascii="Arial" w:hAnsi="Arial" w:cs="Arial"/>
          <w:sz w:val="22"/>
          <w:szCs w:val="22"/>
        </w:rPr>
        <w:t xml:space="preserve"> balance. These </w:t>
      </w:r>
      <w:r w:rsidR="00FE0127" w:rsidRPr="003E5143">
        <w:rPr>
          <w:rFonts w:ascii="Arial" w:hAnsi="Arial" w:cs="Arial"/>
          <w:sz w:val="22"/>
          <w:szCs w:val="22"/>
        </w:rPr>
        <w:t>practices,</w:t>
      </w:r>
      <w:r w:rsidRPr="003E5143">
        <w:rPr>
          <w:rFonts w:ascii="Arial" w:hAnsi="Arial" w:cs="Arial"/>
          <w:sz w:val="22"/>
          <w:szCs w:val="22"/>
        </w:rPr>
        <w:t xml:space="preserve"> </w:t>
      </w:r>
      <w:r w:rsidR="00FE0127" w:rsidRPr="003E5143">
        <w:rPr>
          <w:rFonts w:ascii="Arial" w:hAnsi="Arial" w:cs="Arial"/>
          <w:sz w:val="22"/>
          <w:szCs w:val="22"/>
        </w:rPr>
        <w:t>on the whole,</w:t>
      </w:r>
      <w:r w:rsidRPr="003E5143">
        <w:rPr>
          <w:rFonts w:ascii="Arial" w:hAnsi="Arial" w:cs="Arial"/>
          <w:sz w:val="22"/>
          <w:szCs w:val="22"/>
        </w:rPr>
        <w:t xml:space="preserve"> have made the employees of Sainsbury’s satisfied with their work, and they stay longer in the company (Patel and Swamy, 2023). </w:t>
      </w:r>
    </w:p>
    <w:p w14:paraId="75B29F7C" w14:textId="77777777" w:rsidR="002B504F" w:rsidRPr="003E5143" w:rsidRDefault="00F342CD">
      <w:pPr>
        <w:pStyle w:val="Heading2"/>
        <w:rPr>
          <w:rFonts w:ascii="Arial" w:hAnsi="Arial" w:cs="Arial"/>
          <w:sz w:val="22"/>
          <w:szCs w:val="22"/>
        </w:rPr>
      </w:pPr>
      <w:bookmarkStart w:id="4" w:name="_ff8dslo3vkyr" w:colFirst="0" w:colLast="0"/>
      <w:bookmarkEnd w:id="4"/>
      <w:r w:rsidRPr="003E5143">
        <w:rPr>
          <w:rFonts w:ascii="Arial" w:hAnsi="Arial" w:cs="Arial"/>
          <w:sz w:val="22"/>
          <w:szCs w:val="22"/>
        </w:rPr>
        <w:t xml:space="preserve">Diversity, Equity, and Inclusion (DEI)  </w:t>
      </w:r>
    </w:p>
    <w:p w14:paraId="609D5D58" w14:textId="7F840C0F" w:rsidR="002B504F" w:rsidRPr="003E5143" w:rsidRDefault="00F342CD">
      <w:pPr>
        <w:rPr>
          <w:rFonts w:ascii="Arial" w:hAnsi="Arial" w:cs="Arial"/>
          <w:sz w:val="22"/>
          <w:szCs w:val="22"/>
        </w:rPr>
      </w:pPr>
      <w:r w:rsidRPr="003E5143">
        <w:rPr>
          <w:rFonts w:ascii="Arial" w:hAnsi="Arial" w:cs="Arial"/>
          <w:sz w:val="22"/>
          <w:szCs w:val="22"/>
        </w:rPr>
        <w:t xml:space="preserve">As the industry demands, the representation of diversity and inclusion initiatives has become mandatory for any organisation to make people satisfied with their job. These </w:t>
      </w:r>
      <w:r w:rsidR="00FE0127" w:rsidRPr="003E5143">
        <w:rPr>
          <w:rFonts w:ascii="Arial" w:hAnsi="Arial" w:cs="Arial"/>
          <w:sz w:val="22"/>
          <w:szCs w:val="22"/>
        </w:rPr>
        <w:t>initiatives create</w:t>
      </w:r>
      <w:r w:rsidRPr="003E5143">
        <w:rPr>
          <w:rFonts w:ascii="Arial" w:hAnsi="Arial" w:cs="Arial"/>
          <w:sz w:val="22"/>
          <w:szCs w:val="22"/>
        </w:rPr>
        <w:t xml:space="preserve"> equity within the organisation, which helps every employee, regardless of their gender, </w:t>
      </w:r>
      <w:r w:rsidR="00FE0127" w:rsidRPr="003E5143">
        <w:rPr>
          <w:rFonts w:ascii="Arial" w:hAnsi="Arial" w:cs="Arial"/>
          <w:sz w:val="22"/>
          <w:szCs w:val="22"/>
        </w:rPr>
        <w:t>colour</w:t>
      </w:r>
      <w:r w:rsidRPr="003E5143">
        <w:rPr>
          <w:rFonts w:ascii="Arial" w:hAnsi="Arial" w:cs="Arial"/>
          <w:sz w:val="22"/>
          <w:szCs w:val="22"/>
        </w:rPr>
        <w:t>, or ethnicity, get equal and fair opportunities in their career. The main target of these practices is to remove all types of social barriers in workplaces, so that productivity and delivery efficiency can be enhanced. Sainsbury’s has chosen target representation to implement DEI practice. They have tried to give equal opportunities to every deserving employee to get into the top management posi</w:t>
      </w:r>
      <w:r w:rsidRPr="003E5143">
        <w:rPr>
          <w:rFonts w:ascii="Arial" w:hAnsi="Arial" w:cs="Arial"/>
          <w:sz w:val="22"/>
          <w:szCs w:val="22"/>
        </w:rPr>
        <w:t xml:space="preserve">tions. This has positively affected the employees within the organisation. They have utilised technologies to support employees, which include disabled or physically challenged individuals who want to earn genuinely. Employees and workers are being trained by the organisation so that they can be more </w:t>
      </w:r>
      <w:r w:rsidR="00FE0127" w:rsidRPr="003E5143">
        <w:rPr>
          <w:rFonts w:ascii="Arial" w:hAnsi="Arial" w:cs="Arial"/>
          <w:sz w:val="22"/>
          <w:szCs w:val="22"/>
        </w:rPr>
        <w:t>accepting</w:t>
      </w:r>
      <w:r w:rsidRPr="003E5143">
        <w:rPr>
          <w:rFonts w:ascii="Arial" w:hAnsi="Arial" w:cs="Arial"/>
          <w:sz w:val="22"/>
          <w:szCs w:val="22"/>
        </w:rPr>
        <w:t xml:space="preserve"> of diversity in the workforce, making for successful team collaboration and better delivery (Global Data, 2022).  </w:t>
      </w:r>
    </w:p>
    <w:p w14:paraId="1012D835" w14:textId="77777777" w:rsidR="002B504F" w:rsidRPr="003E5143" w:rsidRDefault="00F342CD">
      <w:pPr>
        <w:pStyle w:val="Heading1"/>
        <w:spacing w:after="160"/>
        <w:rPr>
          <w:rFonts w:ascii="Arial" w:hAnsi="Arial" w:cs="Arial"/>
          <w:sz w:val="22"/>
          <w:szCs w:val="22"/>
        </w:rPr>
      </w:pPr>
      <w:bookmarkStart w:id="5" w:name="_7ea7ivhvt0oi" w:colFirst="0" w:colLast="0"/>
      <w:bookmarkEnd w:id="5"/>
      <w:r w:rsidRPr="003E5143">
        <w:rPr>
          <w:rFonts w:ascii="Arial" w:hAnsi="Arial" w:cs="Arial"/>
          <w:sz w:val="22"/>
          <w:szCs w:val="22"/>
        </w:rPr>
        <w:t xml:space="preserve">An evaluation of different contemporary HR practices to address each aforementioned factor? </w:t>
      </w:r>
    </w:p>
    <w:p w14:paraId="3DFD178F" w14:textId="77777777" w:rsidR="002B504F" w:rsidRPr="003E5143" w:rsidRDefault="00F342CD">
      <w:pPr>
        <w:pStyle w:val="Heading2"/>
        <w:rPr>
          <w:rFonts w:ascii="Arial" w:hAnsi="Arial" w:cs="Arial"/>
          <w:sz w:val="22"/>
          <w:szCs w:val="22"/>
        </w:rPr>
      </w:pPr>
      <w:bookmarkStart w:id="6" w:name="_g5fam0wjhz47" w:colFirst="0" w:colLast="0"/>
      <w:bookmarkEnd w:id="6"/>
      <w:r w:rsidRPr="003E5143">
        <w:rPr>
          <w:rFonts w:ascii="Arial" w:hAnsi="Arial" w:cs="Arial"/>
          <w:sz w:val="22"/>
          <w:szCs w:val="22"/>
        </w:rPr>
        <w:t>Evaluation of Meeting up with Technological Advancement</w:t>
      </w:r>
    </w:p>
    <w:p w14:paraId="317DAC88" w14:textId="0624452E" w:rsidR="002B504F" w:rsidRPr="003E5143" w:rsidRDefault="00F342CD">
      <w:pPr>
        <w:rPr>
          <w:rFonts w:ascii="Arial" w:hAnsi="Arial" w:cs="Arial"/>
          <w:sz w:val="22"/>
          <w:szCs w:val="22"/>
        </w:rPr>
      </w:pPr>
      <w:bookmarkStart w:id="7" w:name="_yfyu1vp5h9ey" w:colFirst="0" w:colLast="0"/>
      <w:bookmarkEnd w:id="7"/>
      <w:r w:rsidRPr="003E5143">
        <w:rPr>
          <w:rFonts w:ascii="Arial" w:hAnsi="Arial" w:cs="Arial"/>
          <w:sz w:val="22"/>
          <w:szCs w:val="22"/>
        </w:rPr>
        <w:t>Technology has been a part of Sainsbury’s HRM practices for a very long time. The technological advances have compelled the company to leverage different technologies in its recruitment and operational training to boost efficiency and effectiveness. The technology-driven recruitment allows them to recruit employees with fairness, allowing diverse talents to be included in the organisation. The strong support system of HRM has strengthened the relationship between employees and the company. It has also foste</w:t>
      </w:r>
      <w:r w:rsidRPr="003E5143">
        <w:rPr>
          <w:rFonts w:ascii="Arial" w:hAnsi="Arial" w:cs="Arial"/>
          <w:sz w:val="22"/>
          <w:szCs w:val="22"/>
        </w:rPr>
        <w:t xml:space="preserve">red employee wellness </w:t>
      </w:r>
      <w:r w:rsidR="00FE0127" w:rsidRPr="003E5143">
        <w:rPr>
          <w:rFonts w:ascii="Arial" w:hAnsi="Arial" w:cs="Arial"/>
          <w:sz w:val="22"/>
          <w:szCs w:val="22"/>
        </w:rPr>
        <w:t>programs</w:t>
      </w:r>
      <w:r w:rsidRPr="003E5143">
        <w:rPr>
          <w:rFonts w:ascii="Arial" w:hAnsi="Arial" w:cs="Arial"/>
          <w:sz w:val="22"/>
          <w:szCs w:val="22"/>
        </w:rPr>
        <w:t>, allowing them to have safety, health, and equal treatment. These actions are done to enhance employee retention and job satisfaction at Sainsbury’s (Ahmed, 2023).</w:t>
      </w:r>
    </w:p>
    <w:p w14:paraId="3D50A03E" w14:textId="1F46EBA3" w:rsidR="002B504F" w:rsidRPr="003E5143" w:rsidRDefault="00F342CD">
      <w:pPr>
        <w:rPr>
          <w:rFonts w:ascii="Arial" w:hAnsi="Arial" w:cs="Arial"/>
          <w:sz w:val="22"/>
          <w:szCs w:val="22"/>
        </w:rPr>
      </w:pPr>
      <w:bookmarkStart w:id="8" w:name="_j6oh80wkfw0y" w:colFirst="0" w:colLast="0"/>
      <w:bookmarkEnd w:id="8"/>
      <w:r w:rsidRPr="003E5143">
        <w:rPr>
          <w:rFonts w:ascii="Arial" w:hAnsi="Arial" w:cs="Arial"/>
          <w:sz w:val="22"/>
          <w:szCs w:val="22"/>
        </w:rPr>
        <w:t xml:space="preserve">Despite such efforts, technological integrations into the HRM of Sainsbury’s reported some challenges as well. The training </w:t>
      </w:r>
      <w:r w:rsidR="00FE0127" w:rsidRPr="003E5143">
        <w:rPr>
          <w:rFonts w:ascii="Arial" w:hAnsi="Arial" w:cs="Arial"/>
          <w:sz w:val="22"/>
          <w:szCs w:val="22"/>
        </w:rPr>
        <w:t>programs</w:t>
      </w:r>
      <w:r w:rsidRPr="003E5143">
        <w:rPr>
          <w:rFonts w:ascii="Arial" w:hAnsi="Arial" w:cs="Arial"/>
          <w:sz w:val="22"/>
          <w:szCs w:val="22"/>
        </w:rPr>
        <w:t xml:space="preserve"> they </w:t>
      </w:r>
      <w:r w:rsidR="00FE0127" w:rsidRPr="003E5143">
        <w:rPr>
          <w:rFonts w:ascii="Arial" w:hAnsi="Arial" w:cs="Arial"/>
          <w:sz w:val="22"/>
          <w:szCs w:val="22"/>
        </w:rPr>
        <w:t>foster make</w:t>
      </w:r>
      <w:r w:rsidRPr="003E5143">
        <w:rPr>
          <w:rFonts w:ascii="Arial" w:hAnsi="Arial" w:cs="Arial"/>
          <w:sz w:val="22"/>
          <w:szCs w:val="22"/>
        </w:rPr>
        <w:t xml:space="preserve"> many staff feel unfulfilled due to a lack of proper skill development. Technology in recruitment, though effective, makes the process very time-consuming and costly. Rapid change of technology and ineffective training pose heavy stress upon employees</w:t>
      </w:r>
      <w:r w:rsidR="00FE0127" w:rsidRPr="003E5143">
        <w:rPr>
          <w:rFonts w:ascii="Arial" w:hAnsi="Arial" w:cs="Arial"/>
          <w:sz w:val="22"/>
          <w:szCs w:val="22"/>
        </w:rPr>
        <w:t>, which</w:t>
      </w:r>
      <w:r w:rsidRPr="003E5143">
        <w:rPr>
          <w:rFonts w:ascii="Arial" w:hAnsi="Arial" w:cs="Arial"/>
          <w:sz w:val="22"/>
          <w:szCs w:val="22"/>
        </w:rPr>
        <w:t xml:space="preserve"> leads to decreased performance. Lastly, the digital performance management system of Sainsbury’s is also ineffective, as many employees feel their personal gains are really less in their roles (Mendonça, 2025).</w:t>
      </w:r>
    </w:p>
    <w:p w14:paraId="59204543" w14:textId="77777777" w:rsidR="002B504F" w:rsidRPr="003E5143" w:rsidRDefault="00F342CD">
      <w:pPr>
        <w:pStyle w:val="Heading2"/>
        <w:rPr>
          <w:rFonts w:ascii="Arial" w:hAnsi="Arial" w:cs="Arial"/>
          <w:sz w:val="22"/>
          <w:szCs w:val="22"/>
        </w:rPr>
      </w:pPr>
      <w:bookmarkStart w:id="9" w:name="_slxto7t2ayl3" w:colFirst="0" w:colLast="0"/>
      <w:bookmarkEnd w:id="9"/>
      <w:r w:rsidRPr="003E5143">
        <w:rPr>
          <w:rFonts w:ascii="Arial" w:hAnsi="Arial" w:cs="Arial"/>
          <w:sz w:val="22"/>
          <w:szCs w:val="22"/>
        </w:rPr>
        <w:t>Evaluation of Talent Acquisition and Retention</w:t>
      </w:r>
    </w:p>
    <w:p w14:paraId="460DF3E8" w14:textId="670DC4B2" w:rsidR="002B504F" w:rsidRPr="003E5143" w:rsidRDefault="00F342CD">
      <w:pPr>
        <w:rPr>
          <w:rFonts w:ascii="Arial" w:hAnsi="Arial" w:cs="Arial"/>
          <w:sz w:val="22"/>
          <w:szCs w:val="22"/>
        </w:rPr>
      </w:pPr>
      <w:r w:rsidRPr="003E5143">
        <w:rPr>
          <w:rFonts w:ascii="Arial" w:hAnsi="Arial" w:cs="Arial"/>
          <w:sz w:val="22"/>
          <w:szCs w:val="22"/>
        </w:rPr>
        <w:t xml:space="preserve">Talent acquisition and retention practices of Sainsbury’s are known as structured and flexible aspects, which are characterised by internal development. The talent acquisition process of Sainsbury’s includes proper screening through technologies for effective acquisition. Then they use a robust training and onboarding process to build up employees’ skills and confidence level for work. Sainsbury’s offers various work opportunities, like part-time, flexible shifts, remote working, and parental </w:t>
      </w:r>
      <w:r w:rsidR="00FE0127" w:rsidRPr="003E5143">
        <w:rPr>
          <w:rFonts w:ascii="Arial" w:hAnsi="Arial" w:cs="Arial"/>
          <w:sz w:val="22"/>
          <w:szCs w:val="22"/>
        </w:rPr>
        <w:t>leave,</w:t>
      </w:r>
      <w:r w:rsidRPr="003E5143">
        <w:rPr>
          <w:rFonts w:ascii="Arial" w:hAnsi="Arial" w:cs="Arial"/>
          <w:sz w:val="22"/>
          <w:szCs w:val="22"/>
        </w:rPr>
        <w:t xml:space="preserve"> so that they can maximise job satisfaction. It also provides internal recruitment facilities for existing employees, so that they can have career development opportunities, enhancing the employee retention rate (Patel and Swamy, 2023).</w:t>
      </w:r>
    </w:p>
    <w:p w14:paraId="2052D995" w14:textId="0E21FC07" w:rsidR="002B504F" w:rsidRPr="003E5143" w:rsidRDefault="00F342CD">
      <w:pPr>
        <w:rPr>
          <w:rFonts w:ascii="Arial" w:hAnsi="Arial" w:cs="Arial"/>
          <w:b/>
          <w:bCs/>
          <w:i/>
          <w:iCs/>
          <w:sz w:val="22"/>
          <w:szCs w:val="22"/>
        </w:rPr>
      </w:pPr>
      <w:r w:rsidRPr="003E5143">
        <w:rPr>
          <w:rFonts w:ascii="Arial" w:hAnsi="Arial" w:cs="Arial"/>
          <w:sz w:val="22"/>
          <w:szCs w:val="22"/>
        </w:rPr>
        <w:t xml:space="preserve">The challenges in recruitment and employee retention involve high turnover rates. COVID -19 has induced the introduction of new labour laws in the company, along with the sector-wide skilled labour shortage, which has created a scarcity of labour and posed excess work burdens on the employees. This has </w:t>
      </w:r>
      <w:r w:rsidR="00FE0127" w:rsidRPr="003E5143">
        <w:rPr>
          <w:rFonts w:ascii="Arial" w:hAnsi="Arial" w:cs="Arial"/>
          <w:sz w:val="22"/>
          <w:szCs w:val="22"/>
        </w:rPr>
        <w:t>led to</w:t>
      </w:r>
      <w:r w:rsidRPr="003E5143">
        <w:rPr>
          <w:rFonts w:ascii="Arial" w:hAnsi="Arial" w:cs="Arial"/>
          <w:sz w:val="22"/>
          <w:szCs w:val="22"/>
        </w:rPr>
        <w:t xml:space="preserve"> dissatisfaction with work, resulting in increased turnover. The heavy reliance on internal recruitment has created a scarcity of fresh and new ideas, leading to ineffective innovations. The long and daunting process of external recruitment is also not very effective in fulfilling immediate workforce needs. The continuous management and performance appraisal is quite a task to be maintained by management, which creates job dissatisfaction (Aguilera </w:t>
      </w:r>
      <w:r w:rsidRPr="003E5143">
        <w:rPr>
          <w:rFonts w:ascii="Arial" w:hAnsi="Arial" w:cs="Arial"/>
          <w:i/>
          <w:iCs/>
          <w:sz w:val="22"/>
          <w:szCs w:val="22"/>
        </w:rPr>
        <w:t>et al.</w:t>
      </w:r>
      <w:r w:rsidRPr="003E5143">
        <w:rPr>
          <w:rFonts w:ascii="Arial" w:hAnsi="Arial" w:cs="Arial"/>
          <w:sz w:val="22"/>
          <w:szCs w:val="22"/>
        </w:rPr>
        <w:t xml:space="preserve"> 2025). </w:t>
      </w:r>
    </w:p>
    <w:p w14:paraId="2571FBDA" w14:textId="77777777" w:rsidR="002B504F" w:rsidRPr="003E5143" w:rsidRDefault="00F342CD">
      <w:pPr>
        <w:pStyle w:val="Heading2"/>
        <w:rPr>
          <w:rFonts w:ascii="Arial" w:hAnsi="Arial" w:cs="Arial"/>
          <w:sz w:val="22"/>
          <w:szCs w:val="22"/>
        </w:rPr>
      </w:pPr>
      <w:bookmarkStart w:id="10" w:name="_cxuoqqi8ksqv" w:colFirst="0" w:colLast="0"/>
      <w:bookmarkEnd w:id="10"/>
      <w:r w:rsidRPr="003E5143">
        <w:rPr>
          <w:rFonts w:ascii="Arial" w:hAnsi="Arial" w:cs="Arial"/>
          <w:sz w:val="22"/>
          <w:szCs w:val="22"/>
        </w:rPr>
        <w:t xml:space="preserve">Evaluation of Diversity, Equity, and Inclusion (DEI)  </w:t>
      </w:r>
    </w:p>
    <w:p w14:paraId="20D7A20E" w14:textId="544F271E" w:rsidR="002B504F" w:rsidRPr="003E5143" w:rsidRDefault="00F342CD">
      <w:pPr>
        <w:rPr>
          <w:rFonts w:ascii="Arial" w:hAnsi="Arial" w:cs="Arial"/>
          <w:sz w:val="22"/>
          <w:szCs w:val="22"/>
        </w:rPr>
      </w:pPr>
      <w:r w:rsidRPr="003E5143">
        <w:rPr>
          <w:rFonts w:ascii="Arial" w:hAnsi="Arial" w:cs="Arial"/>
          <w:sz w:val="22"/>
          <w:szCs w:val="22"/>
        </w:rPr>
        <w:t xml:space="preserve">To promote diversity, inclusion, and equity within the organisation, Sainsbury’s uses various practices. The most important one is their transparent representation. They have included and maintained 50% female, 12% </w:t>
      </w:r>
      <w:r w:rsidR="00FE0127" w:rsidRPr="003E5143">
        <w:rPr>
          <w:rFonts w:ascii="Arial" w:hAnsi="Arial" w:cs="Arial"/>
          <w:sz w:val="22"/>
          <w:szCs w:val="22"/>
        </w:rPr>
        <w:t>ethnically</w:t>
      </w:r>
      <w:r w:rsidRPr="003E5143">
        <w:rPr>
          <w:rFonts w:ascii="Arial" w:hAnsi="Arial" w:cs="Arial"/>
          <w:sz w:val="22"/>
          <w:szCs w:val="22"/>
        </w:rPr>
        <w:t xml:space="preserve"> diverse, and 3% black people in the senior leadership, so that the employees can feel confident to work. They try to take care of employees’ well-being through constant support, mentally, physically, and financially. To take things further, Sainsbury’s has launched the ‘Thrive with Sainsbury’s’ initiative. Through this, they tried to support black founder -led brands. They even incorporated inclusivity in recruitment to reduce unconscious bias and have also invested heavily in development </w:t>
      </w:r>
      <w:r w:rsidR="00FE0127" w:rsidRPr="003E5143">
        <w:rPr>
          <w:rFonts w:ascii="Arial" w:hAnsi="Arial" w:cs="Arial"/>
          <w:sz w:val="22"/>
          <w:szCs w:val="22"/>
        </w:rPr>
        <w:t>programs</w:t>
      </w:r>
      <w:r w:rsidRPr="003E5143">
        <w:rPr>
          <w:rFonts w:ascii="Arial" w:hAnsi="Arial" w:cs="Arial"/>
          <w:sz w:val="22"/>
          <w:szCs w:val="22"/>
        </w:rPr>
        <w:t xml:space="preserve"> for ethnically diverse colleagues (Sainsbury Plc, 2026). </w:t>
      </w:r>
    </w:p>
    <w:p w14:paraId="0B70ADFC" w14:textId="690D27A2" w:rsidR="002B504F" w:rsidRPr="003E5143" w:rsidRDefault="00F342CD">
      <w:pPr>
        <w:rPr>
          <w:rFonts w:ascii="Arial" w:hAnsi="Arial" w:cs="Arial"/>
          <w:sz w:val="22"/>
          <w:szCs w:val="22"/>
        </w:rPr>
      </w:pPr>
      <w:r w:rsidRPr="003E5143">
        <w:rPr>
          <w:rFonts w:ascii="Arial" w:hAnsi="Arial" w:cs="Arial"/>
          <w:sz w:val="22"/>
          <w:szCs w:val="22"/>
        </w:rPr>
        <w:t xml:space="preserve">The reports suggest something different from what has been suggested in Sainsbury’s diversity, equity, and inclusion practices. A report from 2022 suggested that despite their claims of putting diverse employees in top positions, only 8.2% </w:t>
      </w:r>
      <w:r w:rsidR="00FE0127" w:rsidRPr="003E5143">
        <w:rPr>
          <w:rFonts w:ascii="Arial" w:hAnsi="Arial" w:cs="Arial"/>
          <w:sz w:val="22"/>
          <w:szCs w:val="22"/>
        </w:rPr>
        <w:t>ethnically</w:t>
      </w:r>
      <w:r w:rsidRPr="003E5143">
        <w:rPr>
          <w:rFonts w:ascii="Arial" w:hAnsi="Arial" w:cs="Arial"/>
          <w:sz w:val="22"/>
          <w:szCs w:val="22"/>
        </w:rPr>
        <w:t xml:space="preserve"> diverse employees were able to hold top positions, which directly </w:t>
      </w:r>
      <w:r w:rsidR="00FE0127" w:rsidRPr="003E5143">
        <w:rPr>
          <w:rFonts w:ascii="Arial" w:hAnsi="Arial" w:cs="Arial"/>
          <w:sz w:val="22"/>
          <w:szCs w:val="22"/>
        </w:rPr>
        <w:t>contradicts</w:t>
      </w:r>
      <w:r w:rsidRPr="003E5143">
        <w:rPr>
          <w:rFonts w:ascii="Arial" w:hAnsi="Arial" w:cs="Arial"/>
          <w:sz w:val="22"/>
          <w:szCs w:val="22"/>
        </w:rPr>
        <w:t xml:space="preserve"> their claims. The diversity initiatives are </w:t>
      </w:r>
      <w:r w:rsidR="00FE0127" w:rsidRPr="003E5143">
        <w:rPr>
          <w:rFonts w:ascii="Arial" w:hAnsi="Arial" w:cs="Arial"/>
          <w:sz w:val="22"/>
          <w:szCs w:val="22"/>
        </w:rPr>
        <w:t>an industry-wide</w:t>
      </w:r>
      <w:r w:rsidRPr="003E5143">
        <w:rPr>
          <w:rFonts w:ascii="Arial" w:hAnsi="Arial" w:cs="Arial"/>
          <w:sz w:val="22"/>
          <w:szCs w:val="22"/>
        </w:rPr>
        <w:t xml:space="preserve"> practice that has changed, which has somewhat negatively affected employment. In some cases, it has been seen that instead of equality, diversity bias has created tokenism for people, which has made the practice unfair. Sainsbury’s has also faced such effects (Global Data, 2022). </w:t>
      </w:r>
    </w:p>
    <w:p w14:paraId="7CCF472D" w14:textId="77777777" w:rsidR="002B504F" w:rsidRPr="003E5143" w:rsidRDefault="00F342CD">
      <w:pPr>
        <w:rPr>
          <w:rFonts w:ascii="Arial" w:hAnsi="Arial" w:cs="Arial"/>
          <w:sz w:val="22"/>
          <w:szCs w:val="22"/>
        </w:rPr>
      </w:pPr>
      <w:r w:rsidRPr="003E5143">
        <w:rPr>
          <w:rFonts w:ascii="Arial" w:hAnsi="Arial" w:cs="Arial"/>
          <w:b/>
          <w:bCs/>
          <w:sz w:val="22"/>
          <w:szCs w:val="22"/>
        </w:rPr>
        <w:t>A critical evaluation of how departmental managers can ensure these contemporary practices are being implemented as a matter of urgency</w:t>
      </w:r>
    </w:p>
    <w:p w14:paraId="36EA971D" w14:textId="77777777" w:rsidR="002B504F" w:rsidRPr="003E5143" w:rsidRDefault="00F342CD">
      <w:pPr>
        <w:pStyle w:val="Heading2"/>
        <w:rPr>
          <w:rFonts w:ascii="Arial" w:hAnsi="Arial" w:cs="Arial"/>
          <w:sz w:val="22"/>
          <w:szCs w:val="22"/>
        </w:rPr>
      </w:pPr>
      <w:bookmarkStart w:id="11" w:name="_lqk68adolx6i" w:colFirst="0" w:colLast="0"/>
      <w:bookmarkEnd w:id="11"/>
      <w:r w:rsidRPr="003E5143">
        <w:rPr>
          <w:rFonts w:ascii="Arial" w:hAnsi="Arial" w:cs="Arial"/>
          <w:sz w:val="22"/>
          <w:szCs w:val="22"/>
        </w:rPr>
        <w:t>Key Strategies</w:t>
      </w:r>
    </w:p>
    <w:p w14:paraId="60B4007C" w14:textId="77777777" w:rsidR="002B504F" w:rsidRPr="003E5143" w:rsidRDefault="00F342CD">
      <w:pPr>
        <w:rPr>
          <w:rFonts w:ascii="Arial" w:hAnsi="Arial" w:cs="Arial"/>
          <w:sz w:val="22"/>
          <w:szCs w:val="22"/>
        </w:rPr>
      </w:pPr>
      <w:r w:rsidRPr="003E5143">
        <w:rPr>
          <w:rFonts w:ascii="Arial" w:hAnsi="Arial" w:cs="Arial"/>
          <w:i/>
          <w:iCs/>
          <w:sz w:val="22"/>
          <w:szCs w:val="22"/>
          <w:u w:val="single"/>
        </w:rPr>
        <w:t>Change in Power dynamics:</w:t>
      </w:r>
      <w:r w:rsidRPr="003E5143">
        <w:rPr>
          <w:rFonts w:ascii="Arial" w:hAnsi="Arial" w:cs="Arial"/>
          <w:sz w:val="22"/>
          <w:szCs w:val="22"/>
        </w:rPr>
        <w:t xml:space="preserve"> The change in power dynamics is big towards an innovative solution to every job satisfaction-related need. Leaders should welcome such practices and shift from a top-down approach to a bottom-up approach where the opinions of the employees are valued, leading to more job satisfaction (Cosa and Torelli, 2024). </w:t>
      </w:r>
    </w:p>
    <w:p w14:paraId="748383CA" w14:textId="5490FFA9" w:rsidR="002B504F" w:rsidRPr="003E5143" w:rsidRDefault="00F342CD">
      <w:pPr>
        <w:rPr>
          <w:rFonts w:ascii="Arial" w:hAnsi="Arial" w:cs="Arial"/>
          <w:sz w:val="22"/>
          <w:szCs w:val="22"/>
        </w:rPr>
      </w:pPr>
      <w:r w:rsidRPr="003E5143">
        <w:rPr>
          <w:rFonts w:ascii="Arial" w:hAnsi="Arial" w:cs="Arial"/>
          <w:i/>
          <w:iCs/>
          <w:sz w:val="22"/>
          <w:szCs w:val="22"/>
          <w:u w:val="single"/>
        </w:rPr>
        <w:t>Rapid Adaptation through Agile Tactics:</w:t>
      </w:r>
      <w:r w:rsidRPr="003E5143">
        <w:rPr>
          <w:rFonts w:ascii="Arial" w:hAnsi="Arial" w:cs="Arial"/>
          <w:sz w:val="22"/>
          <w:szCs w:val="22"/>
        </w:rPr>
        <w:t xml:space="preserve"> Implementing new practices is a risky task, so picking up an iterative process can be helpful in this aspect. It helps in identifying </w:t>
      </w:r>
      <w:r w:rsidR="00FE0127" w:rsidRPr="003E5143">
        <w:rPr>
          <w:rFonts w:ascii="Arial" w:hAnsi="Arial" w:cs="Arial"/>
          <w:sz w:val="22"/>
          <w:szCs w:val="22"/>
        </w:rPr>
        <w:t>the</w:t>
      </w:r>
      <w:r w:rsidRPr="003E5143">
        <w:rPr>
          <w:rFonts w:ascii="Arial" w:hAnsi="Arial" w:cs="Arial"/>
          <w:sz w:val="22"/>
          <w:szCs w:val="22"/>
        </w:rPr>
        <w:t xml:space="preserve"> initial issue with the changes </w:t>
      </w:r>
      <w:r w:rsidR="00FE0127" w:rsidRPr="003E5143">
        <w:rPr>
          <w:rFonts w:ascii="Arial" w:hAnsi="Arial" w:cs="Arial"/>
          <w:sz w:val="22"/>
          <w:szCs w:val="22"/>
        </w:rPr>
        <w:t>and then refining</w:t>
      </w:r>
      <w:r w:rsidRPr="003E5143">
        <w:rPr>
          <w:rFonts w:ascii="Arial" w:hAnsi="Arial" w:cs="Arial"/>
          <w:sz w:val="22"/>
          <w:szCs w:val="22"/>
        </w:rPr>
        <w:t xml:space="preserve"> it for full-scale rollout, which is more effective (Cosa and Torelli, 2024). </w:t>
      </w:r>
    </w:p>
    <w:p w14:paraId="7463C80D" w14:textId="43DA3E95" w:rsidR="002B504F" w:rsidRPr="003E5143" w:rsidRDefault="00F342CD">
      <w:pPr>
        <w:rPr>
          <w:rFonts w:ascii="Arial" w:hAnsi="Arial" w:cs="Arial"/>
          <w:sz w:val="22"/>
          <w:szCs w:val="22"/>
        </w:rPr>
      </w:pPr>
      <w:r w:rsidRPr="003E5143">
        <w:rPr>
          <w:rFonts w:ascii="Arial" w:hAnsi="Arial" w:cs="Arial"/>
          <w:i/>
          <w:iCs/>
          <w:sz w:val="22"/>
          <w:szCs w:val="22"/>
          <w:u w:val="single"/>
        </w:rPr>
        <w:t>Cultural Shift:</w:t>
      </w:r>
      <w:r w:rsidRPr="003E5143">
        <w:rPr>
          <w:rFonts w:ascii="Arial" w:hAnsi="Arial" w:cs="Arial"/>
          <w:sz w:val="22"/>
          <w:szCs w:val="22"/>
        </w:rPr>
        <w:t xml:space="preserve"> Cultural shift is a vital aspect in this case, because a culture with positive effects and supportive leaders can create a major difference in the rate of acceptance of the new changes. In case of </w:t>
      </w:r>
      <w:r w:rsidR="00FE0127" w:rsidRPr="003E5143">
        <w:rPr>
          <w:rFonts w:ascii="Arial" w:hAnsi="Arial" w:cs="Arial"/>
          <w:sz w:val="22"/>
          <w:szCs w:val="22"/>
        </w:rPr>
        <w:t>urgency,</w:t>
      </w:r>
      <w:r w:rsidRPr="003E5143">
        <w:rPr>
          <w:rFonts w:ascii="Arial" w:hAnsi="Arial" w:cs="Arial"/>
          <w:sz w:val="22"/>
          <w:szCs w:val="22"/>
        </w:rPr>
        <w:t xml:space="preserve"> </w:t>
      </w:r>
      <w:r w:rsidR="00FE0127" w:rsidRPr="003E5143">
        <w:rPr>
          <w:rFonts w:ascii="Arial" w:hAnsi="Arial" w:cs="Arial"/>
          <w:sz w:val="22"/>
          <w:szCs w:val="22"/>
        </w:rPr>
        <w:t>this type of culture</w:t>
      </w:r>
      <w:r w:rsidRPr="003E5143">
        <w:rPr>
          <w:rFonts w:ascii="Arial" w:hAnsi="Arial" w:cs="Arial"/>
          <w:sz w:val="22"/>
          <w:szCs w:val="22"/>
        </w:rPr>
        <w:t xml:space="preserve"> shows </w:t>
      </w:r>
      <w:r w:rsidR="00FE0127" w:rsidRPr="003E5143">
        <w:rPr>
          <w:rFonts w:ascii="Arial" w:hAnsi="Arial" w:cs="Arial"/>
          <w:sz w:val="22"/>
          <w:szCs w:val="22"/>
        </w:rPr>
        <w:t xml:space="preserve">a </w:t>
      </w:r>
      <w:r w:rsidRPr="003E5143">
        <w:rPr>
          <w:rFonts w:ascii="Arial" w:hAnsi="Arial" w:cs="Arial"/>
          <w:sz w:val="22"/>
          <w:szCs w:val="22"/>
        </w:rPr>
        <w:t>more promising effect (Cosa and Torelli, 2024).</w:t>
      </w:r>
    </w:p>
    <w:p w14:paraId="32FE9BAD" w14:textId="77777777" w:rsidR="002B504F" w:rsidRPr="003E5143" w:rsidRDefault="00F342CD">
      <w:pPr>
        <w:rPr>
          <w:rFonts w:ascii="Arial" w:hAnsi="Arial" w:cs="Arial"/>
          <w:sz w:val="22"/>
          <w:szCs w:val="22"/>
        </w:rPr>
      </w:pPr>
      <w:r w:rsidRPr="003E5143">
        <w:rPr>
          <w:rFonts w:ascii="Arial" w:hAnsi="Arial" w:cs="Arial"/>
          <w:i/>
          <w:iCs/>
          <w:sz w:val="22"/>
          <w:szCs w:val="22"/>
          <w:u w:val="single"/>
        </w:rPr>
        <w:t xml:space="preserve">KPIs for Realtime Tracking: </w:t>
      </w:r>
      <w:r w:rsidRPr="003E5143">
        <w:rPr>
          <w:rFonts w:ascii="Arial" w:hAnsi="Arial" w:cs="Arial"/>
          <w:sz w:val="22"/>
          <w:szCs w:val="22"/>
        </w:rPr>
        <w:t xml:space="preserve"> Technology can be really helpful in this aspect. Using KPIS and software in this urgent situation can effectively help in tracking the progress, and based on the live data, management can make necessary modifications, which makes the process quicker (Cosa and Torelli, 2024). </w:t>
      </w:r>
    </w:p>
    <w:p w14:paraId="6CA7068C" w14:textId="77777777" w:rsidR="002B504F" w:rsidRPr="003E5143" w:rsidRDefault="00F342CD">
      <w:pPr>
        <w:pStyle w:val="Heading2"/>
        <w:rPr>
          <w:rFonts w:ascii="Arial" w:hAnsi="Arial" w:cs="Arial"/>
          <w:sz w:val="22"/>
          <w:szCs w:val="22"/>
        </w:rPr>
      </w:pPr>
      <w:bookmarkStart w:id="12" w:name="_fr2zlotm4tzc" w:colFirst="0" w:colLast="0"/>
      <w:bookmarkEnd w:id="12"/>
      <w:r w:rsidRPr="003E5143">
        <w:rPr>
          <w:rFonts w:ascii="Arial" w:hAnsi="Arial" w:cs="Arial"/>
          <w:sz w:val="22"/>
          <w:szCs w:val="22"/>
        </w:rPr>
        <w:t>Critical Evaluation</w:t>
      </w:r>
    </w:p>
    <w:p w14:paraId="5EB32CBB" w14:textId="77777777" w:rsidR="002B504F" w:rsidRPr="003E5143" w:rsidRDefault="00F342CD">
      <w:pPr>
        <w:rPr>
          <w:rFonts w:ascii="Arial" w:hAnsi="Arial" w:cs="Arial"/>
          <w:sz w:val="22"/>
          <w:szCs w:val="22"/>
        </w:rPr>
      </w:pPr>
      <w:r w:rsidRPr="003E5143">
        <w:rPr>
          <w:rFonts w:ascii="Arial" w:hAnsi="Arial" w:cs="Arial"/>
          <w:i/>
          <w:iCs/>
          <w:sz w:val="22"/>
          <w:szCs w:val="22"/>
          <w:u w:val="single"/>
        </w:rPr>
        <w:t xml:space="preserve">Resistance to Change: </w:t>
      </w:r>
      <w:r w:rsidRPr="003E5143">
        <w:rPr>
          <w:rFonts w:ascii="Arial" w:hAnsi="Arial" w:cs="Arial"/>
          <w:sz w:val="22"/>
          <w:szCs w:val="22"/>
        </w:rPr>
        <w:t xml:space="preserve">Resistance to change is a major barrier to the implementation of changes in </w:t>
      </w:r>
      <w:proofErr w:type="spellStart"/>
      <w:r w:rsidRPr="003E5143">
        <w:rPr>
          <w:rFonts w:ascii="Arial" w:hAnsi="Arial" w:cs="Arial"/>
          <w:sz w:val="22"/>
          <w:szCs w:val="22"/>
        </w:rPr>
        <w:t>teh</w:t>
      </w:r>
      <w:proofErr w:type="spellEnd"/>
      <w:r w:rsidRPr="003E5143">
        <w:rPr>
          <w:rFonts w:ascii="Arial" w:hAnsi="Arial" w:cs="Arial"/>
          <w:sz w:val="22"/>
          <w:szCs w:val="22"/>
        </w:rPr>
        <w:t xml:space="preserve"> urgency basis. It can be caused by many things, like fear of change or in employment status, technological illiteracy, or communication gaps. This makes the change implementation process unnecessarily long with extensive errors (Jango, 2024).</w:t>
      </w:r>
    </w:p>
    <w:p w14:paraId="1AC7F626" w14:textId="77777777" w:rsidR="002B504F" w:rsidRPr="003E5143" w:rsidRDefault="00F342CD">
      <w:pPr>
        <w:rPr>
          <w:rFonts w:ascii="Arial" w:hAnsi="Arial" w:cs="Arial"/>
          <w:sz w:val="22"/>
          <w:szCs w:val="22"/>
        </w:rPr>
      </w:pPr>
      <w:r w:rsidRPr="003E5143">
        <w:rPr>
          <w:rFonts w:ascii="Arial" w:hAnsi="Arial" w:cs="Arial"/>
          <w:i/>
          <w:iCs/>
          <w:sz w:val="22"/>
          <w:szCs w:val="22"/>
          <w:u w:val="single"/>
        </w:rPr>
        <w:t>Leadership Gaps:</w:t>
      </w:r>
      <w:r w:rsidRPr="003E5143">
        <w:rPr>
          <w:rFonts w:ascii="Arial" w:hAnsi="Arial" w:cs="Arial"/>
          <w:sz w:val="22"/>
          <w:szCs w:val="22"/>
        </w:rPr>
        <w:t xml:space="preserve"> Leadership can significantly affect the process of implementation. Leaders with the traditional approach, relying more on the theories, can make the process troublesome and lengthy. Leaders need to change their approach based on the situation and make efforts based on experience (Jango, 2024). </w:t>
      </w:r>
    </w:p>
    <w:p w14:paraId="043ADF15" w14:textId="77777777" w:rsidR="002B504F" w:rsidRPr="003E5143" w:rsidRDefault="00F342CD">
      <w:pPr>
        <w:rPr>
          <w:rFonts w:ascii="Arial" w:hAnsi="Arial" w:cs="Arial"/>
          <w:sz w:val="22"/>
          <w:szCs w:val="22"/>
        </w:rPr>
      </w:pPr>
      <w:r w:rsidRPr="003E5143">
        <w:rPr>
          <w:rFonts w:ascii="Arial" w:hAnsi="Arial" w:cs="Arial"/>
          <w:i/>
          <w:iCs/>
          <w:sz w:val="22"/>
          <w:szCs w:val="22"/>
          <w:u w:val="single"/>
        </w:rPr>
        <w:t>Balance of Speed and Quality:</w:t>
      </w:r>
      <w:r w:rsidRPr="003E5143">
        <w:rPr>
          <w:rFonts w:ascii="Arial" w:hAnsi="Arial" w:cs="Arial"/>
          <w:sz w:val="22"/>
          <w:szCs w:val="22"/>
        </w:rPr>
        <w:t xml:space="preserve"> The urgency in implementation can make it harder to implement the training sessions, which can make the employee under-prepare for the changes. This can lead to lower productivity and failure in success (Jango, 2024). </w:t>
      </w:r>
    </w:p>
    <w:p w14:paraId="618CE2D9" w14:textId="77777777" w:rsidR="002B504F" w:rsidRPr="003E5143" w:rsidRDefault="00F342CD">
      <w:pPr>
        <w:pStyle w:val="Heading1"/>
        <w:rPr>
          <w:rFonts w:ascii="Arial" w:hAnsi="Arial" w:cs="Arial"/>
          <w:sz w:val="22"/>
          <w:szCs w:val="22"/>
        </w:rPr>
      </w:pPr>
      <w:bookmarkStart w:id="13" w:name="_34x87w2ozv07" w:colFirst="0" w:colLast="0"/>
      <w:bookmarkEnd w:id="13"/>
      <w:r w:rsidRPr="003E5143">
        <w:rPr>
          <w:rFonts w:ascii="Arial" w:hAnsi="Arial" w:cs="Arial"/>
          <w:sz w:val="22"/>
          <w:szCs w:val="22"/>
        </w:rPr>
        <w:t>Conclusion and Recommendations</w:t>
      </w:r>
    </w:p>
    <w:p w14:paraId="74E77DD7" w14:textId="77777777" w:rsidR="002B504F" w:rsidRPr="003E5143" w:rsidRDefault="00F342CD">
      <w:pPr>
        <w:pStyle w:val="Heading2"/>
        <w:rPr>
          <w:rFonts w:ascii="Arial" w:hAnsi="Arial" w:cs="Arial"/>
          <w:sz w:val="22"/>
          <w:szCs w:val="22"/>
        </w:rPr>
      </w:pPr>
      <w:bookmarkStart w:id="14" w:name="_95m7o4i8r1n9" w:colFirst="0" w:colLast="0"/>
      <w:bookmarkEnd w:id="14"/>
      <w:r w:rsidRPr="003E5143">
        <w:rPr>
          <w:rFonts w:ascii="Arial" w:hAnsi="Arial" w:cs="Arial"/>
          <w:sz w:val="22"/>
          <w:szCs w:val="22"/>
        </w:rPr>
        <w:t>Conclusion</w:t>
      </w:r>
    </w:p>
    <w:p w14:paraId="6FD3873B" w14:textId="11507979" w:rsidR="002B504F" w:rsidRPr="003E5143" w:rsidRDefault="00F342CD">
      <w:pPr>
        <w:rPr>
          <w:rFonts w:ascii="Arial" w:hAnsi="Arial" w:cs="Arial"/>
          <w:sz w:val="22"/>
          <w:szCs w:val="22"/>
        </w:rPr>
      </w:pPr>
      <w:r w:rsidRPr="003E5143">
        <w:rPr>
          <w:rFonts w:ascii="Arial" w:hAnsi="Arial" w:cs="Arial"/>
          <w:sz w:val="22"/>
          <w:szCs w:val="22"/>
        </w:rPr>
        <w:t xml:space="preserve">The above discussion suggests that HRM </w:t>
      </w:r>
      <w:r w:rsidR="00FE0127" w:rsidRPr="003E5143">
        <w:rPr>
          <w:rFonts w:ascii="Arial" w:hAnsi="Arial" w:cs="Arial"/>
          <w:sz w:val="22"/>
          <w:szCs w:val="22"/>
        </w:rPr>
        <w:t>practices are</w:t>
      </w:r>
      <w:r w:rsidRPr="003E5143">
        <w:rPr>
          <w:rFonts w:ascii="Arial" w:hAnsi="Arial" w:cs="Arial"/>
          <w:sz w:val="22"/>
          <w:szCs w:val="22"/>
        </w:rPr>
        <w:t xml:space="preserve"> </w:t>
      </w:r>
      <w:r w:rsidR="00FE0127" w:rsidRPr="003E5143">
        <w:rPr>
          <w:rFonts w:ascii="Arial" w:hAnsi="Arial" w:cs="Arial"/>
          <w:sz w:val="22"/>
          <w:szCs w:val="22"/>
        </w:rPr>
        <w:t>very</w:t>
      </w:r>
      <w:r w:rsidRPr="003E5143">
        <w:rPr>
          <w:rFonts w:ascii="Arial" w:hAnsi="Arial" w:cs="Arial"/>
          <w:sz w:val="22"/>
          <w:szCs w:val="22"/>
        </w:rPr>
        <w:t xml:space="preserve"> crucial for any business. It helps them implement talented and skilled individuals into the company who drive the operations for the business. The company that has been discussed here is Sainsbury’s. The practices of Sainsbury’s are unique in meeting technological advancement, talent acquisition and retention, and diversity, equity, and inclusion (DEI). The evaluation of these aspects presented some challenges that can create barriers to HR practices. Some strategies can be used by manage</w:t>
      </w:r>
      <w:r w:rsidRPr="003E5143">
        <w:rPr>
          <w:rFonts w:ascii="Arial" w:hAnsi="Arial" w:cs="Arial"/>
          <w:sz w:val="22"/>
          <w:szCs w:val="22"/>
        </w:rPr>
        <w:t>rs, but for Sainsbury’s case, here are some recommendations.</w:t>
      </w:r>
    </w:p>
    <w:p w14:paraId="20F7D274" w14:textId="77777777" w:rsidR="002B504F" w:rsidRPr="003E5143" w:rsidRDefault="00F342CD">
      <w:pPr>
        <w:pStyle w:val="Heading2"/>
        <w:rPr>
          <w:rFonts w:ascii="Arial" w:hAnsi="Arial" w:cs="Arial"/>
          <w:sz w:val="22"/>
          <w:szCs w:val="22"/>
        </w:rPr>
      </w:pPr>
      <w:bookmarkStart w:id="15" w:name="_4fuid63htujz" w:colFirst="0" w:colLast="0"/>
      <w:bookmarkEnd w:id="15"/>
      <w:r w:rsidRPr="003E5143">
        <w:rPr>
          <w:rFonts w:ascii="Arial" w:hAnsi="Arial" w:cs="Arial"/>
          <w:sz w:val="22"/>
          <w:szCs w:val="22"/>
        </w:rPr>
        <w:t>Recommendations</w:t>
      </w:r>
    </w:p>
    <w:p w14:paraId="5E5174E5" w14:textId="5AD7A904" w:rsidR="002B504F" w:rsidRPr="003E5143" w:rsidRDefault="00F342CD">
      <w:pPr>
        <w:rPr>
          <w:rFonts w:ascii="Arial" w:hAnsi="Arial" w:cs="Arial"/>
          <w:sz w:val="22"/>
          <w:szCs w:val="22"/>
        </w:rPr>
      </w:pPr>
      <w:r w:rsidRPr="003E5143">
        <w:rPr>
          <w:rFonts w:ascii="Arial" w:hAnsi="Arial" w:cs="Arial"/>
          <w:i/>
          <w:iCs/>
          <w:sz w:val="22"/>
          <w:szCs w:val="22"/>
          <w:u w:val="single"/>
        </w:rPr>
        <w:t xml:space="preserve">Enhance training and development opportunities: </w:t>
      </w:r>
      <w:r w:rsidRPr="003E5143">
        <w:rPr>
          <w:rFonts w:ascii="Arial" w:hAnsi="Arial" w:cs="Arial"/>
          <w:sz w:val="22"/>
          <w:szCs w:val="22"/>
        </w:rPr>
        <w:t xml:space="preserve">Training and development opportunities are the main aspect of job satisfaction. Many employees of Sainsbury’s have reported that they are not being trained properly. So, </w:t>
      </w:r>
      <w:r w:rsidR="00FE0127" w:rsidRPr="003E5143">
        <w:rPr>
          <w:rFonts w:ascii="Arial" w:hAnsi="Arial" w:cs="Arial"/>
          <w:sz w:val="22"/>
          <w:szCs w:val="22"/>
        </w:rPr>
        <w:t>enhancing</w:t>
      </w:r>
      <w:r w:rsidRPr="003E5143">
        <w:rPr>
          <w:rFonts w:ascii="Arial" w:hAnsi="Arial" w:cs="Arial"/>
          <w:sz w:val="22"/>
          <w:szCs w:val="22"/>
        </w:rPr>
        <w:t xml:space="preserve"> </w:t>
      </w:r>
      <w:r w:rsidR="00FE0127" w:rsidRPr="003E5143">
        <w:rPr>
          <w:rFonts w:ascii="Arial" w:hAnsi="Arial" w:cs="Arial"/>
          <w:sz w:val="22"/>
          <w:szCs w:val="22"/>
        </w:rPr>
        <w:t>this</w:t>
      </w:r>
      <w:r w:rsidRPr="003E5143">
        <w:rPr>
          <w:rFonts w:ascii="Arial" w:hAnsi="Arial" w:cs="Arial"/>
          <w:sz w:val="22"/>
          <w:szCs w:val="22"/>
        </w:rPr>
        <w:t xml:space="preserve"> aspect can increase job satisfaction and make them stay in the company </w:t>
      </w:r>
      <w:r w:rsidR="00FE0127" w:rsidRPr="003E5143">
        <w:rPr>
          <w:rFonts w:ascii="Arial" w:hAnsi="Arial" w:cs="Arial"/>
          <w:sz w:val="22"/>
          <w:szCs w:val="22"/>
        </w:rPr>
        <w:t>for a</w:t>
      </w:r>
      <w:r w:rsidRPr="003E5143">
        <w:rPr>
          <w:rFonts w:ascii="Arial" w:hAnsi="Arial" w:cs="Arial"/>
          <w:sz w:val="22"/>
          <w:szCs w:val="22"/>
        </w:rPr>
        <w:t xml:space="preserve"> longer period of time, leading to a decreased turnover rate (Blanchard and Thacker, 2023).</w:t>
      </w:r>
    </w:p>
    <w:p w14:paraId="75FE5D57" w14:textId="77777777" w:rsidR="002B504F" w:rsidRPr="003E5143" w:rsidRDefault="00F342CD">
      <w:pPr>
        <w:rPr>
          <w:rFonts w:ascii="Arial" w:hAnsi="Arial" w:cs="Arial"/>
          <w:sz w:val="22"/>
          <w:szCs w:val="22"/>
        </w:rPr>
      </w:pPr>
      <w:r w:rsidRPr="003E5143">
        <w:rPr>
          <w:rFonts w:ascii="Arial" w:hAnsi="Arial" w:cs="Arial"/>
          <w:i/>
          <w:iCs/>
          <w:sz w:val="22"/>
          <w:szCs w:val="22"/>
          <w:u w:val="single"/>
        </w:rPr>
        <w:t>Feedback System Implementation:</w:t>
      </w:r>
      <w:r w:rsidRPr="003E5143">
        <w:rPr>
          <w:rFonts w:ascii="Arial" w:hAnsi="Arial" w:cs="Arial"/>
          <w:sz w:val="22"/>
          <w:szCs w:val="22"/>
        </w:rPr>
        <w:t xml:space="preserve"> Only an employee can tell what bothers them and why. So, implementing feedback systems can be crucial in understanding the pain points for the employees closely and making strategic and accurate implementations to make the situation suitable for the employees (Walker, K. (2024). </w:t>
      </w:r>
      <w:r w:rsidRPr="003E5143">
        <w:rPr>
          <w:rFonts w:ascii="Arial" w:hAnsi="Arial" w:cs="Arial"/>
          <w:sz w:val="22"/>
          <w:szCs w:val="22"/>
        </w:rPr>
        <w:br w:type="page"/>
      </w:r>
    </w:p>
    <w:p w14:paraId="3A4FBEE1" w14:textId="77777777" w:rsidR="002B504F" w:rsidRPr="003E5143" w:rsidRDefault="00F342CD">
      <w:pPr>
        <w:pStyle w:val="Heading1"/>
        <w:spacing w:before="280"/>
        <w:rPr>
          <w:rFonts w:ascii="Arial" w:hAnsi="Arial" w:cs="Arial"/>
          <w:sz w:val="22"/>
          <w:szCs w:val="22"/>
        </w:rPr>
      </w:pPr>
      <w:bookmarkStart w:id="16" w:name="_c5sxqykw9mzh" w:colFirst="0" w:colLast="0"/>
      <w:bookmarkEnd w:id="16"/>
      <w:r w:rsidRPr="003E5143">
        <w:rPr>
          <w:rFonts w:ascii="Arial" w:hAnsi="Arial" w:cs="Arial"/>
          <w:sz w:val="22"/>
          <w:szCs w:val="22"/>
        </w:rPr>
        <w:t>References</w:t>
      </w:r>
    </w:p>
    <w:p w14:paraId="0D9E1ED5" w14:textId="5FC25496" w:rsidR="00FE0127" w:rsidRPr="003E5143" w:rsidRDefault="00FE0127">
      <w:pPr>
        <w:rPr>
          <w:rFonts w:ascii="Arial" w:hAnsi="Arial" w:cs="Arial"/>
          <w:sz w:val="22"/>
          <w:szCs w:val="22"/>
        </w:rPr>
      </w:pPr>
      <w:r w:rsidRPr="003E5143">
        <w:rPr>
          <w:rFonts w:ascii="Arial" w:hAnsi="Arial" w:cs="Arial"/>
          <w:sz w:val="22"/>
          <w:szCs w:val="22"/>
        </w:rPr>
        <w:t xml:space="preserve">Aguilera, R.V., Correa, J.A.A. y Castillo, M.R. (2025). </w:t>
      </w:r>
      <w:r w:rsidRPr="003E5143">
        <w:rPr>
          <w:rFonts w:ascii="Arial" w:hAnsi="Arial" w:cs="Arial"/>
          <w:i/>
          <w:iCs/>
          <w:sz w:val="22"/>
          <w:szCs w:val="22"/>
        </w:rPr>
        <w:t>The influence of shareholder activism on global workforce practices. Organisational Dynamics,</w:t>
      </w:r>
      <w:r w:rsidRPr="003E5143">
        <w:rPr>
          <w:rFonts w:ascii="Arial" w:hAnsi="Arial" w:cs="Arial"/>
          <w:sz w:val="22"/>
          <w:szCs w:val="22"/>
        </w:rPr>
        <w:t xml:space="preserve"> p.101141. </w:t>
      </w:r>
      <w:hyperlink r:id="rId7">
        <w:r w:rsidRPr="003E5143">
          <w:rPr>
            <w:rFonts w:ascii="Arial" w:hAnsi="Arial" w:cs="Arial"/>
            <w:color w:val="1155CC"/>
            <w:sz w:val="22"/>
            <w:szCs w:val="22"/>
            <w:u w:val="single"/>
          </w:rPr>
          <w:t>https://www.sciencedirect.com/science/article/pii/S009026162500018X</w:t>
        </w:r>
      </w:hyperlink>
      <w:r w:rsidRPr="003E5143">
        <w:rPr>
          <w:rFonts w:ascii="Arial" w:hAnsi="Arial" w:cs="Arial"/>
          <w:sz w:val="22"/>
          <w:szCs w:val="22"/>
        </w:rPr>
        <w:t xml:space="preserve"> </w:t>
      </w:r>
    </w:p>
    <w:p w14:paraId="0611792B" w14:textId="77777777" w:rsidR="00FE0127" w:rsidRPr="003E5143" w:rsidRDefault="00FE0127">
      <w:pPr>
        <w:rPr>
          <w:rFonts w:ascii="Arial" w:hAnsi="Arial" w:cs="Arial"/>
          <w:sz w:val="22"/>
          <w:szCs w:val="22"/>
        </w:rPr>
      </w:pPr>
      <w:r w:rsidRPr="003E5143">
        <w:rPr>
          <w:rFonts w:ascii="Arial" w:hAnsi="Arial" w:cs="Arial"/>
          <w:sz w:val="22"/>
          <w:szCs w:val="22"/>
        </w:rPr>
        <w:t xml:space="preserve">Ahmed, W. (2023). </w:t>
      </w:r>
      <w:r w:rsidRPr="003E5143">
        <w:rPr>
          <w:rFonts w:ascii="Arial" w:hAnsi="Arial" w:cs="Arial"/>
          <w:i/>
          <w:iCs/>
          <w:sz w:val="22"/>
          <w:szCs w:val="22"/>
        </w:rPr>
        <w:t>Strategic Management Case Study of a UK-based Retailer. IOARP Journal of Business and Management (IOARP JBM), 3</w:t>
      </w:r>
      <w:r w:rsidRPr="003E5143">
        <w:rPr>
          <w:rFonts w:ascii="Arial" w:hAnsi="Arial" w:cs="Arial"/>
          <w:sz w:val="22"/>
          <w:szCs w:val="22"/>
        </w:rPr>
        <w:t xml:space="preserve">(1). </w:t>
      </w:r>
      <w:hyperlink r:id="rId8">
        <w:r w:rsidRPr="003E5143">
          <w:rPr>
            <w:rFonts w:ascii="Arial" w:hAnsi="Arial" w:cs="Arial"/>
            <w:color w:val="1155CC"/>
            <w:sz w:val="22"/>
            <w:szCs w:val="22"/>
            <w:u w:val="single"/>
          </w:rPr>
          <w:t>https://globaldigitallibrary.com/journals/ioarp-jbm/article/view/115</w:t>
        </w:r>
      </w:hyperlink>
      <w:r w:rsidRPr="003E5143">
        <w:rPr>
          <w:rFonts w:ascii="Arial" w:hAnsi="Arial" w:cs="Arial"/>
          <w:sz w:val="22"/>
          <w:szCs w:val="22"/>
        </w:rPr>
        <w:t xml:space="preserve"> </w:t>
      </w:r>
    </w:p>
    <w:p w14:paraId="67622B67" w14:textId="77777777" w:rsidR="00FE0127" w:rsidRPr="003E5143" w:rsidRDefault="00FE0127">
      <w:pPr>
        <w:rPr>
          <w:rFonts w:ascii="Arial" w:hAnsi="Arial" w:cs="Arial"/>
          <w:sz w:val="22"/>
          <w:szCs w:val="22"/>
        </w:rPr>
      </w:pPr>
      <w:r w:rsidRPr="003E5143">
        <w:rPr>
          <w:rFonts w:ascii="Arial" w:hAnsi="Arial" w:cs="Arial"/>
          <w:sz w:val="22"/>
          <w:szCs w:val="22"/>
        </w:rPr>
        <w:t xml:space="preserve">Blanchard, P.N. and Thacker, J.W., (2023). </w:t>
      </w:r>
      <w:r w:rsidRPr="003E5143">
        <w:rPr>
          <w:rFonts w:ascii="Arial" w:hAnsi="Arial" w:cs="Arial"/>
          <w:i/>
          <w:iCs/>
          <w:sz w:val="22"/>
          <w:szCs w:val="22"/>
        </w:rPr>
        <w:t xml:space="preserve">Effective training: Systems, strategies, and practices. Sage Publications. </w:t>
      </w:r>
      <w:hyperlink r:id="rId9">
        <w:r w:rsidRPr="003E5143">
          <w:rPr>
            <w:rFonts w:ascii="Arial" w:hAnsi="Arial" w:cs="Arial"/>
            <w:color w:val="1155CC"/>
            <w:sz w:val="22"/>
            <w:szCs w:val="22"/>
            <w:u w:val="single"/>
          </w:rPr>
          <w:t>https://books.google.com/books?hl=en&amp;lr=&amp;id=70HVEAAAQBAJ&amp;oi=fnd&amp;pg=PT16&amp;dq=Enhance+training+and+development+opportunities+in+HR+practoces+&amp;ots=kRJoaAoerp&amp;sig=yH-OKFy1xgaT3TAsIUIlVBLKEQI</w:t>
        </w:r>
      </w:hyperlink>
      <w:r w:rsidRPr="003E5143">
        <w:rPr>
          <w:rFonts w:ascii="Arial" w:hAnsi="Arial" w:cs="Arial"/>
          <w:sz w:val="22"/>
          <w:szCs w:val="22"/>
        </w:rPr>
        <w:t xml:space="preserve"> </w:t>
      </w:r>
    </w:p>
    <w:p w14:paraId="3C2804E1" w14:textId="77777777" w:rsidR="00FE0127" w:rsidRPr="003E5143" w:rsidRDefault="00FE0127">
      <w:pPr>
        <w:rPr>
          <w:rFonts w:ascii="Arial" w:hAnsi="Arial" w:cs="Arial"/>
          <w:sz w:val="22"/>
          <w:szCs w:val="22"/>
        </w:rPr>
      </w:pPr>
      <w:r w:rsidRPr="003E5143">
        <w:rPr>
          <w:rFonts w:ascii="Arial" w:hAnsi="Arial" w:cs="Arial"/>
          <w:sz w:val="22"/>
          <w:szCs w:val="22"/>
        </w:rPr>
        <w:t xml:space="preserve">Cosa, M. and Torelli, R. (2024). </w:t>
      </w:r>
      <w:r w:rsidRPr="003E5143">
        <w:rPr>
          <w:rFonts w:ascii="Arial" w:hAnsi="Arial" w:cs="Arial"/>
          <w:i/>
          <w:iCs/>
          <w:sz w:val="22"/>
          <w:szCs w:val="22"/>
        </w:rPr>
        <w:t>Digital transformation and flexible performance management: A systematic literature review of the evolution of performance measurement systems. Global Journal of Flexible Systems Management, 25</w:t>
      </w:r>
      <w:r w:rsidRPr="003E5143">
        <w:rPr>
          <w:rFonts w:ascii="Arial" w:hAnsi="Arial" w:cs="Arial"/>
          <w:sz w:val="22"/>
          <w:szCs w:val="22"/>
        </w:rPr>
        <w:t xml:space="preserve">(3), pp.445-466. </w:t>
      </w:r>
      <w:hyperlink r:id="rId10">
        <w:r w:rsidRPr="003E5143">
          <w:rPr>
            <w:rFonts w:ascii="Arial" w:hAnsi="Arial" w:cs="Arial"/>
            <w:color w:val="1155CC"/>
            <w:sz w:val="22"/>
            <w:szCs w:val="22"/>
            <w:u w:val="single"/>
          </w:rPr>
          <w:t>https://link.springer.com/article/10.1007/s40171-024-00409-9</w:t>
        </w:r>
      </w:hyperlink>
      <w:r w:rsidRPr="003E5143">
        <w:rPr>
          <w:rFonts w:ascii="Arial" w:hAnsi="Arial" w:cs="Arial"/>
          <w:sz w:val="22"/>
          <w:szCs w:val="22"/>
        </w:rPr>
        <w:t xml:space="preserve"> </w:t>
      </w:r>
    </w:p>
    <w:p w14:paraId="66500C3E" w14:textId="77777777" w:rsidR="00FE0127" w:rsidRPr="003E5143" w:rsidRDefault="00FE0127">
      <w:pPr>
        <w:rPr>
          <w:rFonts w:ascii="Arial" w:hAnsi="Arial" w:cs="Arial"/>
          <w:sz w:val="22"/>
          <w:szCs w:val="22"/>
        </w:rPr>
      </w:pPr>
      <w:r w:rsidRPr="003E5143">
        <w:rPr>
          <w:rFonts w:ascii="Arial" w:hAnsi="Arial" w:cs="Arial"/>
          <w:sz w:val="22"/>
          <w:szCs w:val="22"/>
        </w:rPr>
        <w:t xml:space="preserve">Global Data (2022). </w:t>
      </w:r>
      <w:r w:rsidRPr="003E5143">
        <w:rPr>
          <w:rFonts w:ascii="Arial" w:hAnsi="Arial" w:cs="Arial"/>
          <w:i/>
          <w:iCs/>
          <w:sz w:val="22"/>
          <w:szCs w:val="22"/>
        </w:rPr>
        <w:t>Sainsbury’s: Diversity in the workforce in 2022</w:t>
      </w:r>
      <w:r w:rsidRPr="003E5143">
        <w:rPr>
          <w:rFonts w:ascii="Arial" w:hAnsi="Arial" w:cs="Arial"/>
          <w:sz w:val="22"/>
          <w:szCs w:val="22"/>
        </w:rPr>
        <w:t xml:space="preserve">, </w:t>
      </w:r>
      <w:r w:rsidRPr="003E5143">
        <w:rPr>
          <w:rFonts w:ascii="Arial" w:hAnsi="Arial" w:cs="Arial"/>
          <w:i/>
          <w:iCs/>
          <w:sz w:val="22"/>
          <w:szCs w:val="22"/>
        </w:rPr>
        <w:t>GlobalData</w:t>
      </w:r>
      <w:r w:rsidRPr="003E5143">
        <w:rPr>
          <w:rFonts w:ascii="Arial" w:hAnsi="Arial" w:cs="Arial"/>
          <w:sz w:val="22"/>
          <w:szCs w:val="22"/>
        </w:rPr>
        <w:t xml:space="preserve">. Available at: https://www.globaldata.com/data-insights/retail-amp-wholesale/sainsburys-diversity-in-the-workforce-2096662/#:~:text=In%20the%20financial%20year%20(FY,from%20the%20GlobalData%20Intelligence%20Center. (Accessed: 20 March 2026). </w:t>
      </w:r>
    </w:p>
    <w:p w14:paraId="27F2A4EE" w14:textId="77777777" w:rsidR="00FE0127" w:rsidRPr="003E5143" w:rsidRDefault="00FE0127">
      <w:pPr>
        <w:rPr>
          <w:rFonts w:ascii="Arial" w:hAnsi="Arial" w:cs="Arial"/>
          <w:sz w:val="22"/>
          <w:szCs w:val="22"/>
        </w:rPr>
      </w:pPr>
      <w:r w:rsidRPr="003E5143">
        <w:rPr>
          <w:rFonts w:ascii="Arial" w:hAnsi="Arial" w:cs="Arial"/>
          <w:sz w:val="22"/>
          <w:szCs w:val="22"/>
        </w:rPr>
        <w:t>Jango, J. (2024).</w:t>
      </w:r>
      <w:r w:rsidRPr="003E5143">
        <w:rPr>
          <w:rFonts w:ascii="Arial" w:hAnsi="Arial" w:cs="Arial"/>
          <w:i/>
          <w:iCs/>
          <w:sz w:val="22"/>
          <w:szCs w:val="22"/>
        </w:rPr>
        <w:t xml:space="preserve"> Leadership and management of change: Introduction to navigating organisational change. EuroMed Journal of Management, 6</w:t>
      </w:r>
      <w:r w:rsidRPr="003E5143">
        <w:rPr>
          <w:rFonts w:ascii="Arial" w:hAnsi="Arial" w:cs="Arial"/>
          <w:sz w:val="22"/>
          <w:szCs w:val="22"/>
        </w:rPr>
        <w:t xml:space="preserve">(1), pp.57-71. </w:t>
      </w:r>
      <w:hyperlink r:id="rId11">
        <w:r w:rsidRPr="003E5143">
          <w:rPr>
            <w:rFonts w:ascii="Arial" w:hAnsi="Arial" w:cs="Arial"/>
            <w:color w:val="1155CC"/>
            <w:sz w:val="22"/>
            <w:szCs w:val="22"/>
            <w:u w:val="single"/>
          </w:rPr>
          <w:t>https://www.inderscienceonline.com/doi/abs/10.1504/EMJM.2024.135991</w:t>
        </w:r>
      </w:hyperlink>
      <w:r w:rsidRPr="003E5143">
        <w:rPr>
          <w:rFonts w:ascii="Arial" w:hAnsi="Arial" w:cs="Arial"/>
          <w:sz w:val="22"/>
          <w:szCs w:val="22"/>
        </w:rPr>
        <w:t xml:space="preserve"> </w:t>
      </w:r>
    </w:p>
    <w:p w14:paraId="22AE0259" w14:textId="77777777" w:rsidR="00FE0127" w:rsidRPr="003E5143" w:rsidRDefault="00FE0127">
      <w:pPr>
        <w:rPr>
          <w:rFonts w:ascii="Arial" w:hAnsi="Arial" w:cs="Arial"/>
          <w:sz w:val="22"/>
          <w:szCs w:val="22"/>
        </w:rPr>
      </w:pPr>
      <w:r w:rsidRPr="003E5143">
        <w:rPr>
          <w:rFonts w:ascii="Arial" w:hAnsi="Arial" w:cs="Arial"/>
          <w:sz w:val="22"/>
          <w:szCs w:val="22"/>
        </w:rPr>
        <w:t xml:space="preserve">Mendonça, L.B. (2025). </w:t>
      </w:r>
      <w:r w:rsidRPr="003E5143">
        <w:rPr>
          <w:rFonts w:ascii="Arial" w:hAnsi="Arial" w:cs="Arial"/>
          <w:i/>
          <w:iCs/>
          <w:sz w:val="22"/>
          <w:szCs w:val="22"/>
        </w:rPr>
        <w:t>The Impact of Green Human Resource Management Practices on Environmental and Economic Performance in the UK Retail Sector: The Human Resource Perspective (Doctoral dissertation, Dublin, National College of Ireland).</w:t>
      </w:r>
      <w:r w:rsidRPr="003E5143">
        <w:rPr>
          <w:rFonts w:ascii="Arial" w:hAnsi="Arial" w:cs="Arial"/>
          <w:sz w:val="22"/>
          <w:szCs w:val="22"/>
        </w:rPr>
        <w:t xml:space="preserve"> </w:t>
      </w:r>
      <w:hyperlink r:id="rId12">
        <w:r w:rsidRPr="003E5143">
          <w:rPr>
            <w:rFonts w:ascii="Arial" w:hAnsi="Arial" w:cs="Arial"/>
            <w:color w:val="1155CC"/>
            <w:sz w:val="22"/>
            <w:szCs w:val="22"/>
            <w:u w:val="single"/>
          </w:rPr>
          <w:t>https://norma.ncirl.ie/7706/</w:t>
        </w:r>
      </w:hyperlink>
      <w:r w:rsidRPr="003E5143">
        <w:rPr>
          <w:rFonts w:ascii="Arial" w:hAnsi="Arial" w:cs="Arial"/>
          <w:sz w:val="22"/>
          <w:szCs w:val="22"/>
        </w:rPr>
        <w:t xml:space="preserve"> </w:t>
      </w:r>
    </w:p>
    <w:p w14:paraId="089CD98A" w14:textId="77777777" w:rsidR="00FE0127" w:rsidRPr="003E5143" w:rsidRDefault="00FE0127">
      <w:pPr>
        <w:rPr>
          <w:rFonts w:ascii="Arial" w:hAnsi="Arial" w:cs="Arial"/>
          <w:sz w:val="22"/>
          <w:szCs w:val="22"/>
        </w:rPr>
      </w:pPr>
      <w:proofErr w:type="spellStart"/>
      <w:r w:rsidRPr="003E5143">
        <w:rPr>
          <w:rFonts w:ascii="Arial" w:hAnsi="Arial" w:cs="Arial"/>
          <w:sz w:val="22"/>
          <w:szCs w:val="22"/>
        </w:rPr>
        <w:t>Okatta</w:t>
      </w:r>
      <w:proofErr w:type="spellEnd"/>
      <w:r w:rsidRPr="003E5143">
        <w:rPr>
          <w:rFonts w:ascii="Arial" w:hAnsi="Arial" w:cs="Arial"/>
          <w:sz w:val="22"/>
          <w:szCs w:val="22"/>
        </w:rPr>
        <w:t xml:space="preserve">, C.G., </w:t>
      </w:r>
      <w:proofErr w:type="spellStart"/>
      <w:r w:rsidRPr="003E5143">
        <w:rPr>
          <w:rFonts w:ascii="Arial" w:hAnsi="Arial" w:cs="Arial"/>
          <w:sz w:val="22"/>
          <w:szCs w:val="22"/>
        </w:rPr>
        <w:t>Ajayi</w:t>
      </w:r>
      <w:proofErr w:type="spellEnd"/>
      <w:r w:rsidRPr="003E5143">
        <w:rPr>
          <w:rFonts w:ascii="Arial" w:hAnsi="Arial" w:cs="Arial"/>
          <w:sz w:val="22"/>
          <w:szCs w:val="22"/>
        </w:rPr>
        <w:t>, F.A., and Olawale, O. (2024).</w:t>
      </w:r>
      <w:r w:rsidRPr="003E5143">
        <w:rPr>
          <w:rFonts w:ascii="Arial" w:hAnsi="Arial" w:cs="Arial"/>
          <w:i/>
          <w:iCs/>
          <w:sz w:val="22"/>
          <w:szCs w:val="22"/>
        </w:rPr>
        <w:t xml:space="preserve"> Leveraging HR analytics for strategic decision making: opportunities and challenges. International Journal of Management &amp; Entrepreneurship Research, 6</w:t>
      </w:r>
      <w:r w:rsidRPr="003E5143">
        <w:rPr>
          <w:rFonts w:ascii="Arial" w:hAnsi="Arial" w:cs="Arial"/>
          <w:sz w:val="22"/>
          <w:szCs w:val="22"/>
        </w:rPr>
        <w:t>(4), pp.1304-1325.</w:t>
      </w:r>
    </w:p>
    <w:p w14:paraId="0452485F" w14:textId="77777777" w:rsidR="00FE0127" w:rsidRPr="003E5143" w:rsidRDefault="00FE0127">
      <w:pPr>
        <w:rPr>
          <w:rFonts w:ascii="Arial" w:hAnsi="Arial" w:cs="Arial"/>
          <w:sz w:val="22"/>
          <w:szCs w:val="22"/>
        </w:rPr>
      </w:pPr>
      <w:r w:rsidRPr="003E5143">
        <w:rPr>
          <w:rFonts w:ascii="Arial" w:hAnsi="Arial" w:cs="Arial"/>
          <w:sz w:val="22"/>
          <w:szCs w:val="22"/>
        </w:rPr>
        <w:t xml:space="preserve">Patel, K.S. and Swamy, D., (2023). </w:t>
      </w:r>
      <w:r w:rsidRPr="003E5143">
        <w:rPr>
          <w:rFonts w:ascii="Arial" w:hAnsi="Arial" w:cs="Arial"/>
          <w:i/>
          <w:iCs/>
          <w:sz w:val="22"/>
          <w:szCs w:val="22"/>
        </w:rPr>
        <w:t xml:space="preserve">Customer Role in Relationship Marketing in Acquisition and Retention of Customers: TESCO. Modern Research in Consumer Behaviour and Marketing Research, </w:t>
      </w:r>
      <w:r w:rsidRPr="003E5143">
        <w:rPr>
          <w:rFonts w:ascii="Arial" w:hAnsi="Arial" w:cs="Arial"/>
          <w:sz w:val="22"/>
          <w:szCs w:val="22"/>
        </w:rPr>
        <w:t xml:space="preserve">p.87. </w:t>
      </w:r>
      <w:hyperlink r:id="rId13" w:anchor="page=91">
        <w:r w:rsidRPr="003E5143">
          <w:rPr>
            <w:rFonts w:ascii="Arial" w:hAnsi="Arial" w:cs="Arial"/>
            <w:color w:val="1155CC"/>
            <w:sz w:val="22"/>
            <w:szCs w:val="22"/>
            <w:u w:val="single"/>
          </w:rPr>
          <w:t>https://www.scripown.com/docs/EBOOK_20230412_040943.pdf#page=91</w:t>
        </w:r>
      </w:hyperlink>
      <w:r w:rsidRPr="003E5143">
        <w:rPr>
          <w:rFonts w:ascii="Arial" w:hAnsi="Arial" w:cs="Arial"/>
          <w:sz w:val="22"/>
          <w:szCs w:val="22"/>
        </w:rPr>
        <w:t xml:space="preserve"> </w:t>
      </w:r>
    </w:p>
    <w:p w14:paraId="63AF11B1" w14:textId="77777777" w:rsidR="00FE0127" w:rsidRPr="003E5143" w:rsidRDefault="00FE0127">
      <w:pPr>
        <w:rPr>
          <w:rFonts w:ascii="Arial" w:hAnsi="Arial" w:cs="Arial"/>
          <w:sz w:val="22"/>
          <w:szCs w:val="22"/>
        </w:rPr>
      </w:pPr>
      <w:r w:rsidRPr="003E5143">
        <w:rPr>
          <w:rFonts w:ascii="Arial" w:hAnsi="Arial" w:cs="Arial"/>
          <w:sz w:val="22"/>
          <w:szCs w:val="22"/>
        </w:rPr>
        <w:t xml:space="preserve">Sainsbury Plc (2026). </w:t>
      </w:r>
      <w:r w:rsidRPr="003E5143">
        <w:rPr>
          <w:rFonts w:ascii="Arial" w:hAnsi="Arial" w:cs="Arial"/>
          <w:i/>
          <w:iCs/>
          <w:sz w:val="22"/>
          <w:szCs w:val="22"/>
        </w:rPr>
        <w:t>Diversity, equity, and inclusion</w:t>
      </w:r>
      <w:r w:rsidRPr="003E5143">
        <w:rPr>
          <w:rFonts w:ascii="Arial" w:hAnsi="Arial" w:cs="Arial"/>
          <w:sz w:val="22"/>
          <w:szCs w:val="22"/>
        </w:rPr>
        <w:t xml:space="preserve">, </w:t>
      </w:r>
      <w:r w:rsidRPr="003E5143">
        <w:rPr>
          <w:rFonts w:ascii="Arial" w:hAnsi="Arial" w:cs="Arial"/>
          <w:i/>
          <w:iCs/>
          <w:sz w:val="22"/>
          <w:szCs w:val="22"/>
        </w:rPr>
        <w:t>J Sainsbury plc</w:t>
      </w:r>
      <w:r w:rsidRPr="003E5143">
        <w:rPr>
          <w:rFonts w:ascii="Arial" w:hAnsi="Arial" w:cs="Arial"/>
          <w:sz w:val="22"/>
          <w:szCs w:val="22"/>
        </w:rPr>
        <w:t xml:space="preserve">. Available at: https://corporate.sainsburys.co.uk/sustainability/plan-for-better/inclusive-culture/diversity-equity-and-inclusion/ (Accessed: 20 March 2026). </w:t>
      </w:r>
    </w:p>
    <w:p w14:paraId="4E46A172" w14:textId="77777777" w:rsidR="00FE0127" w:rsidRPr="003E5143" w:rsidRDefault="00FE0127">
      <w:pPr>
        <w:rPr>
          <w:rFonts w:ascii="Arial" w:hAnsi="Arial" w:cs="Arial"/>
          <w:sz w:val="22"/>
          <w:szCs w:val="22"/>
        </w:rPr>
      </w:pPr>
      <w:r w:rsidRPr="003E5143">
        <w:rPr>
          <w:rFonts w:ascii="Arial" w:hAnsi="Arial" w:cs="Arial"/>
          <w:sz w:val="22"/>
          <w:szCs w:val="22"/>
        </w:rPr>
        <w:t xml:space="preserve">Walker, K. (2024). </w:t>
      </w:r>
      <w:r w:rsidRPr="003E5143">
        <w:rPr>
          <w:rFonts w:ascii="Arial" w:hAnsi="Arial" w:cs="Arial"/>
          <w:i/>
          <w:iCs/>
          <w:sz w:val="22"/>
          <w:szCs w:val="22"/>
        </w:rPr>
        <w:t>Employee feedback: how to provide feedback and recognition regularly. Strategic HR Review, 23</w:t>
      </w:r>
      <w:r w:rsidRPr="003E5143">
        <w:rPr>
          <w:rFonts w:ascii="Arial" w:hAnsi="Arial" w:cs="Arial"/>
          <w:sz w:val="22"/>
          <w:szCs w:val="22"/>
        </w:rPr>
        <w:t xml:space="preserve">(2), pp.46-50. </w:t>
      </w:r>
      <w:hyperlink r:id="rId14">
        <w:r w:rsidRPr="003E5143">
          <w:rPr>
            <w:rFonts w:ascii="Arial" w:hAnsi="Arial" w:cs="Arial"/>
            <w:color w:val="1155CC"/>
            <w:sz w:val="22"/>
            <w:szCs w:val="22"/>
            <w:u w:val="single"/>
          </w:rPr>
          <w:t>https://www.emerald.com/shr/article-abstract/23/2/46/343729</w:t>
        </w:r>
      </w:hyperlink>
      <w:r w:rsidRPr="003E5143">
        <w:rPr>
          <w:rFonts w:ascii="Arial" w:hAnsi="Arial" w:cs="Arial"/>
          <w:sz w:val="22"/>
          <w:szCs w:val="22"/>
        </w:rPr>
        <w:t xml:space="preserve"> </w:t>
      </w:r>
    </w:p>
    <w:p w14:paraId="06AC6CB5" w14:textId="77777777" w:rsidR="00FE0127" w:rsidRPr="003E5143" w:rsidRDefault="00FE0127">
      <w:pPr>
        <w:rPr>
          <w:rFonts w:ascii="Arial" w:hAnsi="Arial" w:cs="Arial"/>
          <w:sz w:val="22"/>
          <w:szCs w:val="22"/>
        </w:rPr>
      </w:pPr>
      <w:r w:rsidRPr="003E5143">
        <w:rPr>
          <w:rFonts w:ascii="Arial" w:hAnsi="Arial" w:cs="Arial"/>
          <w:sz w:val="22"/>
          <w:szCs w:val="22"/>
        </w:rPr>
        <w:t xml:space="preserve">Winton, A., Howcroft, D. and Rubery, J. (2025). </w:t>
      </w:r>
      <w:r w:rsidRPr="003E5143">
        <w:rPr>
          <w:rFonts w:ascii="Arial" w:hAnsi="Arial" w:cs="Arial"/>
          <w:i/>
          <w:iCs/>
          <w:sz w:val="22"/>
          <w:szCs w:val="22"/>
        </w:rPr>
        <w:t xml:space="preserve">Sociotechnical change in British supermarkets: examining the role of labour. New Technology, Work and Employment. </w:t>
      </w:r>
      <w:hyperlink r:id="rId15">
        <w:r w:rsidRPr="003E5143">
          <w:rPr>
            <w:rFonts w:ascii="Arial" w:hAnsi="Arial" w:cs="Arial"/>
            <w:color w:val="1155CC"/>
            <w:sz w:val="22"/>
            <w:szCs w:val="22"/>
            <w:u w:val="single"/>
          </w:rPr>
          <w:t>https://onlinelibrary.wiley.com/doi/abs/10.1111/ntwe.70007</w:t>
        </w:r>
      </w:hyperlink>
      <w:r w:rsidRPr="003E5143">
        <w:rPr>
          <w:rFonts w:ascii="Arial" w:hAnsi="Arial" w:cs="Arial"/>
          <w:sz w:val="22"/>
          <w:szCs w:val="22"/>
        </w:rPr>
        <w:t xml:space="preserve"> </w:t>
      </w:r>
    </w:p>
    <w:sectPr w:rsidR="00FE0127" w:rsidRPr="003E5143">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EC197" w14:textId="77777777" w:rsidR="00202CE4" w:rsidRDefault="00202CE4">
      <w:pPr>
        <w:spacing w:line="240" w:lineRule="auto"/>
      </w:pPr>
      <w:r>
        <w:separator/>
      </w:r>
    </w:p>
  </w:endnote>
  <w:endnote w:type="continuationSeparator" w:id="0">
    <w:p w14:paraId="44F52570" w14:textId="77777777" w:rsidR="00202CE4" w:rsidRDefault="00202C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0DACB15C-710A-43A5-9D39-BE1128F97E53}"/>
  </w:font>
  <w:font w:name="Cambria">
    <w:panose1 w:val="02040503050406030204"/>
    <w:charset w:val="00"/>
    <w:family w:val="roman"/>
    <w:pitch w:val="variable"/>
    <w:sig w:usb0="E00006FF" w:usb1="420024FF" w:usb2="02000000" w:usb3="00000000" w:csb0="0000019F" w:csb1="00000000"/>
    <w:embedRegular r:id="rId2" w:fontKey="{F1A01735-F5BD-45B5-B08A-C75D9410BC0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135F" w14:textId="77777777" w:rsidR="00757B0C" w:rsidRDefault="00757B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2D513" w14:textId="77777777" w:rsidR="002B504F" w:rsidRDefault="00F342CD">
    <w:pPr>
      <w:jc w:val="right"/>
    </w:pPr>
    <w:r>
      <w:fldChar w:fldCharType="begin"/>
    </w:r>
    <w:r>
      <w:instrText>PAGE</w:instrText>
    </w:r>
    <w:r>
      <w:fldChar w:fldCharType="separate"/>
    </w:r>
    <w:r w:rsidR="00FE0127">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FCF4C" w14:textId="77777777" w:rsidR="002B504F" w:rsidRDefault="002B50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D2DF7" w14:textId="77777777" w:rsidR="00202CE4" w:rsidRDefault="00202CE4">
      <w:pPr>
        <w:spacing w:line="240" w:lineRule="auto"/>
      </w:pPr>
      <w:r>
        <w:separator/>
      </w:r>
    </w:p>
  </w:footnote>
  <w:footnote w:type="continuationSeparator" w:id="0">
    <w:p w14:paraId="6AECD696" w14:textId="77777777" w:rsidR="00202CE4" w:rsidRDefault="00202C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17955" w14:textId="77777777" w:rsidR="00757B0C" w:rsidRDefault="00757B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FBB1C" w14:textId="77777777" w:rsidR="00757B0C" w:rsidRDefault="00757B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76B45" w14:textId="77777777" w:rsidR="00757B0C" w:rsidRDefault="00757B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embedTrueTypeFonts/>
  <w:proofState w:spelling="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04F"/>
    <w:rsid w:val="001C1EDB"/>
    <w:rsid w:val="00202CE4"/>
    <w:rsid w:val="002B504F"/>
    <w:rsid w:val="00302D3C"/>
    <w:rsid w:val="003E5143"/>
    <w:rsid w:val="004A7763"/>
    <w:rsid w:val="00757B0C"/>
    <w:rsid w:val="008D3209"/>
    <w:rsid w:val="00BF6ADF"/>
    <w:rsid w:val="00E21B19"/>
    <w:rsid w:val="00F342CD"/>
    <w:rsid w:val="00FE0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44917"/>
  <w15:docId w15:val="{FC0BD4E1-BB8A-4D00-86C9-B6184402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757B0C"/>
    <w:pPr>
      <w:tabs>
        <w:tab w:val="center" w:pos="4513"/>
        <w:tab w:val="right" w:pos="9026"/>
      </w:tabs>
      <w:spacing w:line="240" w:lineRule="auto"/>
    </w:pPr>
  </w:style>
  <w:style w:type="character" w:customStyle="1" w:styleId="HeaderChar">
    <w:name w:val="Header Char"/>
    <w:basedOn w:val="DefaultParagraphFont"/>
    <w:link w:val="Header"/>
    <w:uiPriority w:val="99"/>
    <w:rsid w:val="00757B0C"/>
  </w:style>
  <w:style w:type="paragraph" w:styleId="Footer">
    <w:name w:val="footer"/>
    <w:basedOn w:val="Normal"/>
    <w:link w:val="FooterChar"/>
    <w:uiPriority w:val="99"/>
    <w:unhideWhenUsed/>
    <w:rsid w:val="00757B0C"/>
    <w:pPr>
      <w:tabs>
        <w:tab w:val="center" w:pos="4513"/>
        <w:tab w:val="right" w:pos="9026"/>
      </w:tabs>
      <w:spacing w:line="240" w:lineRule="auto"/>
    </w:pPr>
  </w:style>
  <w:style w:type="character" w:customStyle="1" w:styleId="FooterChar">
    <w:name w:val="Footer Char"/>
    <w:basedOn w:val="DefaultParagraphFont"/>
    <w:link w:val="Footer"/>
    <w:uiPriority w:val="99"/>
    <w:rsid w:val="00757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globaldigitallibrary.com/journals/ioarp-jbm/article/view/115" TargetMode="External"/><Relationship Id="rId13" Type="http://schemas.openxmlformats.org/officeDocument/2006/relationships/hyperlink" Target="https://www.scripown.com/docs/EBOOK_20230412_040943.pdf"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hyperlink" Target="https://www.sciencedirect.com/science/article/pii/S009026162500018X" TargetMode="External"/><Relationship Id="rId12" Type="http://schemas.openxmlformats.org/officeDocument/2006/relationships/hyperlink" Target="https://norma.ncirl.ie/7706/"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inderscienceonline.com/doi/abs/10.1504/EMJM.2024.135991" TargetMode="External"/><Relationship Id="rId5" Type="http://schemas.openxmlformats.org/officeDocument/2006/relationships/endnotes" Target="endnotes.xml"/><Relationship Id="rId15" Type="http://schemas.openxmlformats.org/officeDocument/2006/relationships/hyperlink" Target="https://onlinelibrary.wiley.com/doi/abs/10.1111/ntwe.70007" TargetMode="External"/><Relationship Id="rId23" Type="http://schemas.openxmlformats.org/officeDocument/2006/relationships/theme" Target="theme/theme1.xml"/><Relationship Id="rId10" Type="http://schemas.openxmlformats.org/officeDocument/2006/relationships/hyperlink" Target="https://link.springer.com/article/10.1007/s40171-024-00409-9"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books.google.com/books?hl=en&amp;lr=&amp;id=70HVEAAAQBAJ&amp;oi=fnd&amp;pg=PT16&amp;dq=Enhance+training+and+development+opportunities+in+HR+practoces+&amp;ots=kRJoaAoerp&amp;sig=yH-OKFy1xgaT3TAsIUIlVBLKEQI" TargetMode="External"/><Relationship Id="rId14" Type="http://schemas.openxmlformats.org/officeDocument/2006/relationships/hyperlink" Target="https://www.emerald.com/shr/article-abstract/23/2/46/343729"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2845</Words>
  <Characters>16218</Characters>
  <Application>Microsoft Office Word</Application>
  <DocSecurity>0</DocSecurity>
  <Lines>135</Lines>
  <Paragraphs>38</Paragraphs>
  <ScaleCrop>false</ScaleCrop>
  <Company/>
  <LinksUpToDate>false</LinksUpToDate>
  <CharactersWithSpaces>19025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cristianacoca1608@gmail.com</cp:lastModifiedBy>
  <cp:revision>2</cp:revision>
  <dcterms:created xsi:type="dcterms:W3CDTF">2026-03-22T19:11:00Z</dcterms:created>
  <dcterms:modified xsi:type="dcterms:W3CDTF">2026-03-22T19:11:00Z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f9967d07-e3ae-4736-a9c9-1edd3147c6de</vt:lpwstr>
  </property>
</Properties>
</file>