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3E9" w:rsidRPr="0007402A" w:rsidRDefault="00B463E9" w:rsidP="0007402A">
      <w:pPr>
        <w:jc w:val="center"/>
        <w:rPr>
          <w:b/>
        </w:rPr>
      </w:pPr>
      <w:r w:rsidRPr="0007402A">
        <w:rPr>
          <w:b/>
        </w:rPr>
        <w:t>Critical Analysis of Pliny the Elders Natural Histories 30.4 – The Druids of the Gallic Provinces</w:t>
      </w:r>
    </w:p>
    <w:p w:rsidR="00B463E9" w:rsidRDefault="00B463E9" w:rsidP="00F873CE"/>
    <w:p w:rsidR="00F873CE" w:rsidRDefault="00F873CE" w:rsidP="00F873CE">
      <w:r>
        <w:t>The extract chosen comes from Pliny the Elders ‘Natural Histories’ an extensive work with a multitude of topics including those such as agriculture, mineralogy, and zoology</w:t>
      </w:r>
      <w:r>
        <w:rPr>
          <w:rStyle w:val="FootnoteReference"/>
        </w:rPr>
        <w:footnoteReference w:id="1"/>
      </w:r>
      <w:r>
        <w:t>. Pliny the Elder was born in 23 AD into the equestrian class and rose through the ranks of the military to the level of commander, Pliny famously died in the eruption of Mount Vesuvius in 79AD</w:t>
      </w:r>
      <w:r>
        <w:rPr>
          <w:rStyle w:val="FootnoteReference"/>
        </w:rPr>
        <w:footnoteReference w:id="2"/>
      </w:r>
      <w:r>
        <w:t>. When discussing the credibility of the Natural Histories as a source it is congruous to mention that it is dubious if Pliny never visited Gaul himself but instead gathered his research from other Roman authors such as</w:t>
      </w:r>
      <w:bookmarkStart w:id="0" w:name="_GoBack"/>
      <w:bookmarkEnd w:id="0"/>
      <w:r>
        <w:t xml:space="preserve"> Caesar from the de Bello </w:t>
      </w:r>
      <w:proofErr w:type="spellStart"/>
      <w:r>
        <w:t>Gallico</w:t>
      </w:r>
      <w:proofErr w:type="spellEnd"/>
      <w:r>
        <w:t>.</w:t>
      </w:r>
    </w:p>
    <w:p w:rsidR="00F873CE" w:rsidRDefault="00F873CE" w:rsidP="00F873CE"/>
    <w:p w:rsidR="00F873CE" w:rsidRDefault="00F873CE" w:rsidP="00F873CE">
      <w:r>
        <w:t xml:space="preserve">While there is a considerable amount of ancient text regarding Druids, of the Roman authors who actually visited Gaul, although Pliny is amongst them having been to Cisalpine Gaul, Caesar who wrote from experiences in the 50’s BC during his conquest of Britain, and the other and again much older source having been </w:t>
      </w:r>
      <w:proofErr w:type="spellStart"/>
      <w:r>
        <w:t>Poseidonius</w:t>
      </w:r>
      <w:proofErr w:type="spellEnd"/>
      <w:r>
        <w:t xml:space="preserve"> in the century 100 BC. The source I am analysing in this essay having been written/published in late 70’s AD</w:t>
      </w:r>
      <w:r>
        <w:rPr>
          <w:rStyle w:val="FootnoteReference"/>
        </w:rPr>
        <w:footnoteReference w:id="3"/>
      </w:r>
      <w:r>
        <w:t xml:space="preserve">. If Pliny’s supposed acquaintance with the druids is first hand he can be considered a credible source but still only to a certain degree due to political bias. Yet if in fact his work is as assumed and accused even to have been copied or paraphrase the works of other ancient authors, Caesar even having been over one-hundred years before the natural histories, the credibility of his work is much reduced as an accurate source of evidence. </w:t>
      </w:r>
    </w:p>
    <w:p w:rsidR="00F873CE" w:rsidRDefault="00F873CE" w:rsidP="00F873CE"/>
    <w:p w:rsidR="00F873CE" w:rsidRDefault="00F873CE" w:rsidP="00F873CE">
      <w:r>
        <w:t>The excerpt begins with the phrase ‘pervaded by the magic art’</w:t>
      </w:r>
      <w:r w:rsidR="00B463E9">
        <w:rPr>
          <w:rStyle w:val="FootnoteReference"/>
        </w:rPr>
        <w:footnoteReference w:id="4"/>
      </w:r>
      <w:r>
        <w:t xml:space="preserve">  even the phrasing of this and the use of the word pervaded suggests a thick permeation, disgust and hostility towards the </w:t>
      </w:r>
      <w:proofErr w:type="spellStart"/>
      <w:r>
        <w:t>Gauls</w:t>
      </w:r>
      <w:proofErr w:type="spellEnd"/>
      <w:r>
        <w:t xml:space="preserve"> who practice so-called ‘magic’. Magic itself being a problematic word but in general, in this context magic can be considered to separate from religion and to be foreign and primitive which is certainly fitting with the barbaric labels placed on the Druids and indeed the general Gallic population. </w:t>
      </w:r>
    </w:p>
    <w:p w:rsidR="00F873CE" w:rsidRDefault="00F873CE" w:rsidP="00F873CE"/>
    <w:p w:rsidR="00F873CE" w:rsidRDefault="00F873CE" w:rsidP="00F873CE">
      <w:r>
        <w:t xml:space="preserve">Human sacrifice is a commonly denoted as a frequent amongst druids and </w:t>
      </w:r>
      <w:proofErr w:type="spellStart"/>
      <w:r>
        <w:t>Gauls</w:t>
      </w:r>
      <w:proofErr w:type="spellEnd"/>
      <w:r>
        <w:t xml:space="preserve">, we see it in many sources such as Pomponius </w:t>
      </w:r>
      <w:proofErr w:type="spellStart"/>
      <w:r>
        <w:t>Mela</w:t>
      </w:r>
      <w:proofErr w:type="spellEnd"/>
      <w:r w:rsidR="00B463E9">
        <w:rPr>
          <w:rStyle w:val="FootnoteReference"/>
        </w:rPr>
        <w:footnoteReference w:id="5"/>
      </w:r>
      <w:r>
        <w:t xml:space="preserve"> and Strabo who describes with some </w:t>
      </w:r>
      <w:proofErr w:type="spellStart"/>
      <w:r>
        <w:t>vividity</w:t>
      </w:r>
      <w:proofErr w:type="spellEnd"/>
      <w:r>
        <w:t xml:space="preserve"> the ever popular in the modern imagination wicker man</w:t>
      </w:r>
      <w:r w:rsidR="00B463E9">
        <w:rPr>
          <w:rStyle w:val="FootnoteReference"/>
        </w:rPr>
        <w:footnoteReference w:id="6"/>
      </w:r>
      <w:r>
        <w:t>. It seems as though across the board especially in later years the Roman authors strove to show a negative image of the druids and it is suggested by Rives that human sacrifice was the only foreign religious ritual deemed distasteful enough to an actual policy against it</w:t>
      </w:r>
      <w:r w:rsidR="00B463E9">
        <w:rPr>
          <w:rStyle w:val="FootnoteReference"/>
        </w:rPr>
        <w:footnoteReference w:id="7"/>
      </w:r>
      <w:r>
        <w:t>. From the extract the phrase ‘to eat his flesh was to secure the highest blessings of health’</w:t>
      </w:r>
      <w:r w:rsidR="00B463E9">
        <w:rPr>
          <w:rStyle w:val="FootnoteReference"/>
        </w:rPr>
        <w:footnoteReference w:id="8"/>
      </w:r>
      <w:r>
        <w:t xml:space="preserve">  since the Romans had no missionary agenda in their provinces, thus it comes to mind that issues with the druids from a Roman perspective are a deeper issue of a political or leadership rivalry. Although there is no solid evidence of the Druids performing human sacrifices as a religious rite there is </w:t>
      </w:r>
      <w:r>
        <w:lastRenderedPageBreak/>
        <w:t>bountiful evidence of the Gaelic people performing animal sacrifice, sites such as those of</w:t>
      </w:r>
      <w:r w:rsidR="000E61C7">
        <w:t xml:space="preserve"> </w:t>
      </w:r>
      <w:proofErr w:type="spellStart"/>
      <w:r>
        <w:t>Acy</w:t>
      </w:r>
      <w:proofErr w:type="spellEnd"/>
      <w:r>
        <w:t>-Romance temple-like structures found there contain huge amounts of animal bones</w:t>
      </w:r>
      <w:r w:rsidR="00B463E9">
        <w:rPr>
          <w:rStyle w:val="FootnoteReference"/>
        </w:rPr>
        <w:footnoteReference w:id="9"/>
      </w:r>
      <w:r>
        <w:t xml:space="preserve"> and items such as the </w:t>
      </w:r>
      <w:proofErr w:type="spellStart"/>
      <w:r>
        <w:t>Penbryn</w:t>
      </w:r>
      <w:proofErr w:type="spellEnd"/>
      <w:r>
        <w:t xml:space="preserve"> Spoons</w:t>
      </w:r>
      <w:r w:rsidR="00B463E9">
        <w:rPr>
          <w:rStyle w:val="FootnoteReference"/>
        </w:rPr>
        <w:footnoteReference w:id="10"/>
      </w:r>
      <w:r>
        <w:t xml:space="preserve"> which </w:t>
      </w:r>
      <w:r w:rsidR="000E61C7">
        <w:t>were</w:t>
      </w:r>
      <w:r>
        <w:t xml:space="preserve"> thought to have been used for divination purposes via animal sacrifice, though it is not a stretch to move from animal sacrifice to human when one is attempting to make a written work seem exciting, frightening and indeed in Pliny's case, vilifying. The persecution of the druids did not come about till the time of Nero, Pliny even makes note of this in his Natural Histories ‘the utter falsity of this art, that such a man as Nero abandoned it’</w:t>
      </w:r>
      <w:r w:rsidR="00B463E9">
        <w:rPr>
          <w:rStyle w:val="FootnoteReference"/>
        </w:rPr>
        <w:footnoteReference w:id="11"/>
      </w:r>
      <w:r>
        <w:t xml:space="preserve">  this not only being a criticism of Nero but a double insult to the uses of magic or similar arts that a man as ridiculous as Nero could hate magic. Hence Pliny through text and indeed those before him began cultivating an image of the druids so as to fit and benefit themselves. </w:t>
      </w:r>
    </w:p>
    <w:p w:rsidR="00F873CE" w:rsidRDefault="00F873CE" w:rsidP="00F873CE"/>
    <w:p w:rsidR="00F873CE" w:rsidRDefault="00F873CE" w:rsidP="00F873CE">
      <w:r>
        <w:t>An alternate or opposing opinion of the druids being that of them as philosophers, highlighted by Diogenes Laertius in his  Lives of Eminent Philosophers prologue ‘There are some who say that the study of philosophy had its beginning among the barbarians’</w:t>
      </w:r>
      <w:r w:rsidR="00B463E9">
        <w:rPr>
          <w:rStyle w:val="FootnoteReference"/>
        </w:rPr>
        <w:footnoteReference w:id="12"/>
      </w:r>
      <w:r>
        <w:t xml:space="preserve">  here referencing the druids among the Magi of Persia and Chaldeans in Babylonia. Even in the etymology of the word druid being </w:t>
      </w:r>
      <w:proofErr w:type="spellStart"/>
      <w:r>
        <w:t>Dru</w:t>
      </w:r>
      <w:proofErr w:type="spellEnd"/>
      <w:r>
        <w:t xml:space="preserve">– oak and </w:t>
      </w:r>
      <w:proofErr w:type="spellStart"/>
      <w:r>
        <w:t>wid</w:t>
      </w:r>
      <w:proofErr w:type="spellEnd"/>
      <w:r>
        <w:t>– to know</w:t>
      </w:r>
      <w:r w:rsidR="00B463E9">
        <w:rPr>
          <w:rStyle w:val="FootnoteReference"/>
        </w:rPr>
        <w:footnoteReference w:id="13"/>
      </w:r>
      <w:r>
        <w:t xml:space="preserve">. nevertheless insinuated as barbarians and philosophers as in the given extract, Pliny refers to the Druids as ‘a </w:t>
      </w:r>
      <w:r w:rsidR="00B463E9">
        <w:t>tribe of wizards and physicians’</w:t>
      </w:r>
      <w:r w:rsidR="00B463E9">
        <w:rPr>
          <w:rStyle w:val="FootnoteReference"/>
        </w:rPr>
        <w:footnoteReference w:id="14"/>
      </w:r>
      <w:r>
        <w:t xml:space="preserve"> though ‘wizard’ cannot be considered a complimentary term there seems to be little grievance towards druids up till the mention of human sacrifice after which point we can read little into Pliny as a neutral nay reliable source of information. It is Caesar who gives us the impression of the druids as high-ranking members of the societies they inhabited, notably having served as judges or arbitrators in matters of dispute</w:t>
      </w:r>
      <w:r w:rsidR="00B463E9">
        <w:rPr>
          <w:rStyle w:val="FootnoteReference"/>
        </w:rPr>
        <w:footnoteReference w:id="15"/>
      </w:r>
      <w:r>
        <w:t xml:space="preserve">. From this, we can see why in later years Nero and then in his voice Pliny himself to be praising the ‘Roman people, for having put an end to these </w:t>
      </w:r>
      <w:r w:rsidR="00B463E9">
        <w:t>monstrous rights’</w:t>
      </w:r>
      <w:r w:rsidR="00B463E9">
        <w:rPr>
          <w:rStyle w:val="FootnoteReference"/>
        </w:rPr>
        <w:footnoteReference w:id="16"/>
      </w:r>
      <w:r>
        <w:t xml:space="preserve"> here referring to the act of human sacrifice as a religious </w:t>
      </w:r>
      <w:proofErr w:type="spellStart"/>
      <w:r>
        <w:t>rite</w:t>
      </w:r>
      <w:proofErr w:type="spellEnd"/>
      <w:r>
        <w:t>, and Pliny demonstrating this in an act of persecution.  The quote from the extract can equally be used to emphasise Pliny's bias and thus unreliability as a source as he further criticises the Druids, highlighting the glory of the Roman people and criminalising and vilifying the druids. Moving the narrative even further away from the opposing view of druids as peaceful philosophers and physicians, though the perception of the Roman army wiping out a group of human sacrificing barbarians would have been much preferable to the Romans than the alternate sympathetic view of the Romans eliminating a group of passive physicians and philosophers due to their influence over their pe</w:t>
      </w:r>
      <w:r w:rsidR="00B463E9">
        <w:t>oples</w:t>
      </w:r>
      <w:r w:rsidR="00B463E9">
        <w:rPr>
          <w:rStyle w:val="FootnoteReference"/>
        </w:rPr>
        <w:footnoteReference w:id="17"/>
      </w:r>
      <w:r>
        <w:t xml:space="preserve">. </w:t>
      </w:r>
    </w:p>
    <w:p w:rsidR="00F873CE" w:rsidRDefault="00F873CE" w:rsidP="00F873CE"/>
    <w:p w:rsidR="00FF02FD" w:rsidRDefault="00F873CE" w:rsidP="00F873CE">
      <w:r>
        <w:lastRenderedPageBreak/>
        <w:t xml:space="preserve">While archaeology provides us with physical evidence, we often must speculate what the purpose of an object is, for example, the </w:t>
      </w:r>
      <w:proofErr w:type="spellStart"/>
      <w:r>
        <w:t>Penbryn</w:t>
      </w:r>
      <w:proofErr w:type="spellEnd"/>
      <w:r>
        <w:t xml:space="preserve"> spoons, much is the same with an ancient source, we must critically analyse our text in order to discover its meaning and in turn analyse its supposed bias or affectations determined by the period, the author, and the subject matter. The persecution of the druids though not in action till Nero/Claudius was not always the objective of Roman authors, however owing to the time at which the Natural Histories were written we can assume this is the case. Pliny had been a high ranking officer in the Roman army and a procurator in several provinces</w:t>
      </w:r>
      <w:r w:rsidR="00B463E9">
        <w:rPr>
          <w:rStyle w:val="FootnoteReference"/>
        </w:rPr>
        <w:footnoteReference w:id="18"/>
      </w:r>
      <w:r w:rsidR="00B463E9">
        <w:rPr>
          <w:rStyle w:val="FootnoteReference"/>
        </w:rPr>
        <w:footnoteReference w:id="19"/>
      </w:r>
      <w:r>
        <w:t>, would have been eager to emphasise the power of Rome. The prologue to the natural histories Pliny considered his works as a ‘good turn’</w:t>
      </w:r>
      <w:r w:rsidR="00B463E9">
        <w:rPr>
          <w:rStyle w:val="FootnoteReference"/>
        </w:rPr>
        <w:footnoteReference w:id="20"/>
      </w:r>
      <w:r>
        <w:t xml:space="preserve">  for the princeps and that it should help those who were to come ‘contend with us just as we cont</w:t>
      </w:r>
      <w:r w:rsidR="00B463E9">
        <w:t>end with those of earlier times’</w:t>
      </w:r>
      <w:r w:rsidR="00B463E9">
        <w:rPr>
          <w:rStyle w:val="FootnoteReference"/>
        </w:rPr>
        <w:footnoteReference w:id="21"/>
      </w:r>
      <w:r>
        <w:t xml:space="preserve">  which can be interpreted as Pliny taking great influence from those who came before him </w:t>
      </w:r>
      <w:proofErr w:type="spellStart"/>
      <w:r>
        <w:t>ie</w:t>
      </w:r>
      <w:proofErr w:type="spellEnd"/>
      <w:r>
        <w:t xml:space="preserve"> Caesar. Despite the de Bello </w:t>
      </w:r>
      <w:proofErr w:type="spellStart"/>
      <w:r>
        <w:t>Gallico</w:t>
      </w:r>
      <w:proofErr w:type="spellEnd"/>
      <w:r>
        <w:t xml:space="preserve"> being written more than 100 years before the Natural Histories and the information in Bello </w:t>
      </w:r>
      <w:proofErr w:type="spellStart"/>
      <w:r>
        <w:t>Gallico</w:t>
      </w:r>
      <w:proofErr w:type="spellEnd"/>
      <w:r>
        <w:t xml:space="preserve"> not only being out of date to Pliny but as Caesar likely took influence from </w:t>
      </w:r>
      <w:proofErr w:type="spellStart"/>
      <w:r>
        <w:t>Pausanius</w:t>
      </w:r>
      <w:proofErr w:type="spellEnd"/>
      <w:r>
        <w:t xml:space="preserve"> who wrote another hundred years before this and the information being passed through generations of Romans being hugely out of date and thus, unreliable.</w:t>
      </w:r>
    </w:p>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A46392" w:rsidRDefault="00A46392" w:rsidP="00F873CE"/>
    <w:p w:rsidR="0007402A" w:rsidRDefault="0007402A" w:rsidP="00F873CE"/>
    <w:p w:rsidR="0007402A" w:rsidRDefault="0007402A" w:rsidP="00F873CE"/>
    <w:p w:rsidR="00A46392" w:rsidRDefault="00A46392" w:rsidP="00F873CE"/>
    <w:p w:rsidR="00A46392" w:rsidRDefault="00A46392" w:rsidP="00F873CE"/>
    <w:p w:rsidR="00A46392" w:rsidRPr="0007402A" w:rsidRDefault="00A46392" w:rsidP="00F873CE">
      <w:pPr>
        <w:rPr>
          <w:b/>
        </w:rPr>
      </w:pPr>
      <w:r w:rsidRPr="0007402A">
        <w:rPr>
          <w:b/>
        </w:rPr>
        <w:t xml:space="preserve">BIBLIOGRAPHY </w:t>
      </w:r>
    </w:p>
    <w:p w:rsidR="000E61C7" w:rsidRDefault="000E61C7" w:rsidP="00F873CE"/>
    <w:p w:rsidR="000E61C7" w:rsidRPr="0007402A" w:rsidRDefault="000E61C7" w:rsidP="00F873CE">
      <w:pPr>
        <w:rPr>
          <w:b/>
        </w:rPr>
      </w:pPr>
      <w:r w:rsidRPr="0007402A">
        <w:rPr>
          <w:b/>
        </w:rPr>
        <w:t>Modern Scholarship</w:t>
      </w:r>
    </w:p>
    <w:p w:rsidR="00A46392" w:rsidRDefault="00A46392" w:rsidP="00F873CE"/>
    <w:p w:rsidR="00A46392" w:rsidRPr="0060311A" w:rsidRDefault="0060311A" w:rsidP="00F873CE">
      <w:r>
        <w:t xml:space="preserve">BERNO, F, R. ‘Pliny the Elder’ refrenceworks.brillonline.com - </w:t>
      </w:r>
      <w:r w:rsidRPr="0060311A">
        <w:fldChar w:fldCharType="begin"/>
      </w:r>
      <w:r w:rsidRPr="0060311A">
        <w:instrText xml:space="preserve"> HYPERLINK "</w:instrText>
      </w:r>
      <w:r w:rsidRPr="0060311A">
        <w:instrText>https://referenceworks.brillonline.com/entries/brill-s-new-pauly-supplements-i-5/pliny-the-elder-gaius-plinius-caecilius-secundus-maior-naturalis-historia-e928160?s.num=1&amp;s.f.s2_parent=s.f.cluster.New+Pauly+Online&amp;s.q=pliny+the+elder</w:instrText>
      </w:r>
      <w:r w:rsidRPr="0060311A">
        <w:instrText xml:space="preserve">" </w:instrText>
      </w:r>
      <w:r w:rsidRPr="0060311A">
        <w:fldChar w:fldCharType="separate"/>
      </w:r>
      <w:r w:rsidRPr="0060311A">
        <w:rPr>
          <w:rStyle w:val="Hyperlink"/>
        </w:rPr>
        <w:t>https://referencewor</w:t>
      </w:r>
      <w:r w:rsidRPr="0060311A">
        <w:rPr>
          <w:rStyle w:val="Hyperlink"/>
        </w:rPr>
        <w:t>k</w:t>
      </w:r>
      <w:r w:rsidRPr="0060311A">
        <w:rPr>
          <w:rStyle w:val="Hyperlink"/>
        </w:rPr>
        <w:t>s.brillonline.com/entries/brill-s-new-pauly-supplements-i-5/pliny-the-elder-gaius-plinius-caecilius-secundus-maior-naturalis-historia-e928160?s.num=1&amp;s.f.s2_parent=s.f.cluster.New+Pauly+Online&amp;s.q=pliny+the+elder</w:t>
      </w:r>
      <w:r w:rsidRPr="0060311A">
        <w:fldChar w:fldCharType="end"/>
      </w:r>
    </w:p>
    <w:p w:rsidR="00442D65" w:rsidRDefault="00442D65" w:rsidP="00442D65">
      <w:pPr>
        <w:pStyle w:val="Heading2"/>
        <w:shd w:val="clear" w:color="auto" w:fill="FFFFFF"/>
        <w:spacing w:before="0" w:beforeAutospacing="0" w:after="0" w:afterAutospacing="0"/>
        <w:rPr>
          <w:rFonts w:asciiTheme="minorHAnsi" w:eastAsiaTheme="minorHAnsi" w:hAnsiTheme="minorHAnsi" w:cstheme="minorBidi"/>
          <w:b w:val="0"/>
          <w:bCs w:val="0"/>
          <w:sz w:val="24"/>
          <w:szCs w:val="24"/>
        </w:rPr>
      </w:pPr>
    </w:p>
    <w:p w:rsidR="0007402A" w:rsidRPr="0007402A" w:rsidRDefault="00442D65" w:rsidP="0007402A">
      <w:pPr>
        <w:rPr>
          <w:rFonts w:eastAsia="Times New Roman" w:cstheme="minorHAnsi"/>
        </w:rPr>
      </w:pPr>
      <w:proofErr w:type="spellStart"/>
      <w:r w:rsidRPr="0007402A">
        <w:rPr>
          <w:rFonts w:cstheme="minorHAnsi"/>
          <w:bCs/>
          <w:color w:val="32322F"/>
        </w:rPr>
        <w:t>Juhász</w:t>
      </w:r>
      <w:proofErr w:type="spellEnd"/>
      <w:r w:rsidRPr="0007402A">
        <w:rPr>
          <w:rFonts w:cstheme="minorHAnsi"/>
          <w:bCs/>
          <w:color w:val="32322F"/>
        </w:rPr>
        <w:t xml:space="preserve">, L. </w:t>
      </w:r>
      <w:r w:rsidR="0007402A" w:rsidRPr="0007402A">
        <w:rPr>
          <w:rFonts w:cstheme="minorHAnsi"/>
          <w:bCs/>
          <w:color w:val="32322F"/>
        </w:rPr>
        <w:t xml:space="preserve">2016. </w:t>
      </w:r>
      <w:r w:rsidRPr="0007402A">
        <w:rPr>
          <w:rFonts w:eastAsia="Times New Roman" w:cstheme="minorHAnsi"/>
          <w:color w:val="32322F"/>
          <w:shd w:val="clear" w:color="auto" w:fill="FFFFFF"/>
        </w:rPr>
        <w:t xml:space="preserve">The Iconography </w:t>
      </w:r>
      <w:r w:rsidRPr="00442D65">
        <w:rPr>
          <w:rFonts w:eastAsia="Times New Roman" w:cstheme="minorHAnsi"/>
          <w:color w:val="000000" w:themeColor="text1"/>
          <w:shd w:val="clear" w:color="auto" w:fill="FFFFFF"/>
        </w:rPr>
        <w:t>of</w:t>
      </w:r>
      <w:r w:rsidRPr="00442D65">
        <w:rPr>
          <w:rFonts w:eastAsia="Times New Roman" w:cstheme="minorHAnsi"/>
          <w:color w:val="32322F"/>
          <w:shd w:val="clear" w:color="auto" w:fill="FFFFFF"/>
        </w:rPr>
        <w:t xml:space="preserve"> the</w:t>
      </w:r>
      <w:r w:rsidRPr="0007402A">
        <w:rPr>
          <w:rFonts w:eastAsia="Times New Roman" w:cstheme="minorHAnsi"/>
          <w:color w:val="32322F"/>
          <w:shd w:val="clear" w:color="auto" w:fill="FFFFFF"/>
        </w:rPr>
        <w:t xml:space="preserve"> Roman Province Personifications and their Role in the Imperial P</w:t>
      </w:r>
      <w:r w:rsidRPr="00442D65">
        <w:rPr>
          <w:rFonts w:eastAsia="Times New Roman" w:cstheme="minorHAnsi"/>
          <w:color w:val="32322F"/>
          <w:shd w:val="clear" w:color="auto" w:fill="FFFFFF"/>
        </w:rPr>
        <w:t>ropaganda</w:t>
      </w:r>
      <w:r w:rsidRPr="0007402A">
        <w:rPr>
          <w:rFonts w:cstheme="minorHAnsi"/>
          <w:color w:val="32322F"/>
          <w:shd w:val="clear" w:color="auto" w:fill="FFFFFF"/>
        </w:rPr>
        <w:t>.</w:t>
      </w:r>
      <w:r w:rsidR="0007402A" w:rsidRPr="0007402A">
        <w:rPr>
          <w:rFonts w:eastAsia="Times New Roman" w:cstheme="minorHAnsi"/>
          <w:color w:val="32322F"/>
          <w:shd w:val="clear" w:color="auto" w:fill="FFFFFF"/>
        </w:rPr>
        <w:t xml:space="preserve"> Ex Instituto </w:t>
      </w:r>
      <w:proofErr w:type="spellStart"/>
      <w:r w:rsidR="0007402A" w:rsidRPr="0007402A">
        <w:rPr>
          <w:rFonts w:eastAsia="Times New Roman" w:cstheme="minorHAnsi"/>
          <w:color w:val="32322F"/>
          <w:shd w:val="clear" w:color="auto" w:fill="FFFFFF"/>
        </w:rPr>
        <w:t>Archaeologico</w:t>
      </w:r>
      <w:proofErr w:type="spellEnd"/>
      <w:r w:rsidR="0007402A" w:rsidRPr="0007402A">
        <w:rPr>
          <w:rFonts w:eastAsia="Times New Roman" w:cstheme="minorHAnsi"/>
          <w:color w:val="32322F"/>
          <w:shd w:val="clear" w:color="auto" w:fill="FFFFFF"/>
        </w:rPr>
        <w:t xml:space="preserve"> </w:t>
      </w:r>
      <w:proofErr w:type="spellStart"/>
      <w:r w:rsidR="0007402A" w:rsidRPr="0007402A">
        <w:rPr>
          <w:rFonts w:eastAsia="Times New Roman" w:cstheme="minorHAnsi"/>
          <w:color w:val="32322F"/>
          <w:shd w:val="clear" w:color="auto" w:fill="FFFFFF"/>
        </w:rPr>
        <w:t>Universitatis</w:t>
      </w:r>
      <w:proofErr w:type="spellEnd"/>
      <w:r w:rsidR="0007402A" w:rsidRPr="0007402A">
        <w:rPr>
          <w:rFonts w:eastAsia="Times New Roman" w:cstheme="minorHAnsi"/>
          <w:color w:val="32322F"/>
          <w:shd w:val="clear" w:color="auto" w:fill="FFFFFF"/>
        </w:rPr>
        <w:t xml:space="preserve"> de Rolando </w:t>
      </w:r>
      <w:proofErr w:type="spellStart"/>
      <w:r w:rsidR="0007402A" w:rsidRPr="0007402A">
        <w:rPr>
          <w:rFonts w:eastAsia="Times New Roman" w:cstheme="minorHAnsi"/>
          <w:color w:val="32322F"/>
          <w:shd w:val="clear" w:color="auto" w:fill="FFFFFF"/>
        </w:rPr>
        <w:t>Eötvös</w:t>
      </w:r>
      <w:proofErr w:type="spellEnd"/>
      <w:r w:rsidR="0007402A" w:rsidRPr="0007402A">
        <w:rPr>
          <w:rFonts w:eastAsia="Times New Roman" w:cstheme="minorHAnsi"/>
          <w:color w:val="32322F"/>
          <w:shd w:val="clear" w:color="auto" w:fill="FFFFFF"/>
        </w:rPr>
        <w:t xml:space="preserve"> </w:t>
      </w:r>
      <w:proofErr w:type="spellStart"/>
      <w:r w:rsidR="0007402A" w:rsidRPr="0007402A">
        <w:rPr>
          <w:rFonts w:eastAsia="Times New Roman" w:cstheme="minorHAnsi"/>
          <w:color w:val="32322F"/>
          <w:shd w:val="clear" w:color="auto" w:fill="FFFFFF"/>
        </w:rPr>
        <w:t>Nominatae</w:t>
      </w:r>
      <w:proofErr w:type="spellEnd"/>
      <w:r w:rsidR="0007402A" w:rsidRPr="0007402A">
        <w:rPr>
          <w:rFonts w:eastAsia="Times New Roman" w:cstheme="minorHAnsi"/>
          <w:color w:val="32322F"/>
          <w:shd w:val="clear" w:color="auto" w:fill="FFFFFF"/>
        </w:rPr>
        <w:t>.</w:t>
      </w:r>
    </w:p>
    <w:p w:rsidR="00442D65" w:rsidRPr="00442D65" w:rsidRDefault="00442D65" w:rsidP="00F873CE">
      <w:pPr>
        <w:rPr>
          <w:rFonts w:cstheme="minorHAnsi"/>
        </w:rPr>
      </w:pPr>
    </w:p>
    <w:p w:rsidR="0060311A" w:rsidRPr="00442D65" w:rsidRDefault="0060311A" w:rsidP="00F873CE">
      <w:pPr>
        <w:rPr>
          <w:rFonts w:cstheme="minorHAnsi"/>
        </w:rPr>
      </w:pPr>
      <w:r w:rsidRPr="00442D65">
        <w:rPr>
          <w:rFonts w:cstheme="minorHAnsi"/>
        </w:rPr>
        <w:t xml:space="preserve">Murphy, T. (2004). Pliny the Elder’s Natural History: the empire in the Encyclopaedia. Oxford Scholarship Online. </w:t>
      </w:r>
    </w:p>
    <w:p w:rsidR="0060311A" w:rsidRPr="00442D65" w:rsidRDefault="0060311A" w:rsidP="00F873CE">
      <w:pPr>
        <w:rPr>
          <w:rFonts w:cstheme="minorHAnsi"/>
        </w:rPr>
      </w:pPr>
    </w:p>
    <w:p w:rsidR="0060311A" w:rsidRPr="00442D65" w:rsidRDefault="00956767" w:rsidP="00F873CE">
      <w:pPr>
        <w:rPr>
          <w:rFonts w:cstheme="minorHAnsi"/>
        </w:rPr>
      </w:pPr>
      <w:r w:rsidRPr="00442D65">
        <w:rPr>
          <w:rFonts w:cstheme="minorHAnsi"/>
        </w:rPr>
        <w:t xml:space="preserve">Rives, J, B. (2007). Religion in the Roman Empire. Oxford. Blackwell Publishing. </w:t>
      </w:r>
    </w:p>
    <w:p w:rsidR="00956767" w:rsidRPr="00442D65" w:rsidRDefault="00956767" w:rsidP="00F873CE">
      <w:pPr>
        <w:rPr>
          <w:rFonts w:cstheme="minorHAnsi"/>
        </w:rPr>
      </w:pPr>
    </w:p>
    <w:p w:rsidR="00956767" w:rsidRPr="00442D65" w:rsidRDefault="00956767" w:rsidP="00F873CE">
      <w:pPr>
        <w:rPr>
          <w:rFonts w:cstheme="minorHAnsi"/>
        </w:rPr>
      </w:pPr>
      <w:proofErr w:type="spellStart"/>
      <w:r w:rsidRPr="00442D65">
        <w:rPr>
          <w:rFonts w:cstheme="minorHAnsi"/>
        </w:rPr>
        <w:t>Stoddartt</w:t>
      </w:r>
      <w:proofErr w:type="spellEnd"/>
      <w:r w:rsidRPr="00442D65">
        <w:rPr>
          <w:rFonts w:cstheme="minorHAnsi"/>
        </w:rPr>
        <w:t xml:space="preserve">, S. (2002). Late Iron Age Sacred Space in Western Europe. Antiquity, vol. 78. Cambridge University Press. </w:t>
      </w:r>
    </w:p>
    <w:p w:rsidR="00956767" w:rsidRDefault="00956767" w:rsidP="00F873CE"/>
    <w:p w:rsidR="0060311A" w:rsidRDefault="0060311A" w:rsidP="00F873CE"/>
    <w:p w:rsidR="0007402A" w:rsidRPr="0007402A" w:rsidRDefault="0060311A" w:rsidP="00F873CE">
      <w:pPr>
        <w:rPr>
          <w:b/>
        </w:rPr>
      </w:pPr>
      <w:r w:rsidRPr="0007402A">
        <w:rPr>
          <w:b/>
        </w:rPr>
        <w:t>Ancient Sources</w:t>
      </w:r>
    </w:p>
    <w:p w:rsidR="00442D65" w:rsidRDefault="00442D65" w:rsidP="00F873CE"/>
    <w:p w:rsidR="00442D65" w:rsidRPr="00442D65" w:rsidRDefault="00442D65" w:rsidP="00442D65">
      <w:pPr>
        <w:rPr>
          <w:rFonts w:eastAsia="Times New Roman" w:cstheme="minorHAnsi"/>
        </w:rPr>
      </w:pPr>
      <w:r w:rsidRPr="00442D65">
        <w:rPr>
          <w:rFonts w:cstheme="minorHAnsi"/>
        </w:rPr>
        <w:t xml:space="preserve">Caesar. De Bello </w:t>
      </w:r>
      <w:proofErr w:type="spellStart"/>
      <w:r w:rsidRPr="00442D65">
        <w:rPr>
          <w:rFonts w:cstheme="minorHAnsi"/>
        </w:rPr>
        <w:t>Gallico</w:t>
      </w:r>
      <w:proofErr w:type="spellEnd"/>
      <w:r w:rsidRPr="00442D65">
        <w:rPr>
          <w:rFonts w:cstheme="minorHAnsi"/>
        </w:rPr>
        <w:t xml:space="preserve">. (trans.). 1869. </w:t>
      </w:r>
      <w:r w:rsidRPr="00442D65">
        <w:rPr>
          <w:rFonts w:eastAsia="Times New Roman" w:cstheme="minorHAnsi"/>
          <w:color w:val="000000"/>
        </w:rPr>
        <w:t>W. S. Bohn. Harper &amp; Brothers.</w:t>
      </w:r>
    </w:p>
    <w:p w:rsidR="00442D65" w:rsidRPr="00442D65" w:rsidRDefault="00442D65" w:rsidP="00F873CE">
      <w:pPr>
        <w:rPr>
          <w:rFonts w:cstheme="minorHAnsi"/>
        </w:rPr>
      </w:pPr>
    </w:p>
    <w:p w:rsidR="00442D65" w:rsidRPr="00442D65" w:rsidRDefault="00442D65" w:rsidP="00F873CE">
      <w:pPr>
        <w:rPr>
          <w:rFonts w:eastAsia="Times New Roman" w:cstheme="minorHAnsi"/>
        </w:rPr>
      </w:pPr>
      <w:r w:rsidRPr="00442D65">
        <w:rPr>
          <w:rFonts w:cstheme="minorHAnsi"/>
          <w:bCs/>
        </w:rPr>
        <w:t>Diogenes Laertius</w:t>
      </w:r>
      <w:r w:rsidRPr="00442D65">
        <w:rPr>
          <w:rFonts w:cstheme="minorHAnsi"/>
          <w:bCs/>
        </w:rPr>
        <w:t xml:space="preserve">. </w:t>
      </w:r>
      <w:r w:rsidRPr="00442D65">
        <w:rPr>
          <w:rFonts w:cstheme="minorHAnsi"/>
          <w:bCs/>
        </w:rPr>
        <w:t xml:space="preserve"> </w:t>
      </w:r>
      <w:r w:rsidRPr="00442D65">
        <w:rPr>
          <w:rFonts w:cstheme="minorHAnsi"/>
          <w:bCs/>
          <w:iCs/>
        </w:rPr>
        <w:t xml:space="preserve">Lives of Eminent Philosophers. (trans.). </w:t>
      </w:r>
      <w:r w:rsidRPr="00442D65">
        <w:rPr>
          <w:rFonts w:eastAsia="Times New Roman" w:cstheme="minorHAnsi"/>
          <w:color w:val="000000"/>
        </w:rPr>
        <w:t xml:space="preserve">1972. </w:t>
      </w:r>
      <w:r w:rsidRPr="00442D65">
        <w:rPr>
          <w:rFonts w:eastAsia="Times New Roman" w:cstheme="minorHAnsi"/>
          <w:color w:val="000000"/>
        </w:rPr>
        <w:t>R.D. Hicks. Harvard University Press</w:t>
      </w:r>
      <w:r w:rsidRPr="00442D65">
        <w:rPr>
          <w:rFonts w:eastAsia="Times New Roman" w:cstheme="minorHAnsi"/>
          <w:color w:val="000000"/>
        </w:rPr>
        <w:t>.</w:t>
      </w:r>
    </w:p>
    <w:p w:rsidR="0060311A" w:rsidRPr="00442D65" w:rsidRDefault="0060311A" w:rsidP="00F873CE">
      <w:pPr>
        <w:rPr>
          <w:rFonts w:cstheme="minorHAnsi"/>
        </w:rPr>
      </w:pPr>
    </w:p>
    <w:p w:rsidR="0060311A" w:rsidRPr="00442D65" w:rsidRDefault="0060311A" w:rsidP="00F873CE">
      <w:pPr>
        <w:rPr>
          <w:rFonts w:cstheme="minorHAnsi"/>
        </w:rPr>
      </w:pPr>
      <w:r w:rsidRPr="00442D65">
        <w:rPr>
          <w:rFonts w:cstheme="minorHAnsi"/>
        </w:rPr>
        <w:t>Pliny the Elder. Natural Histories. (trans.). J, Bostock. 1855. London. Taylor &amp; Franc</w:t>
      </w:r>
      <w:r w:rsidR="000E61C7" w:rsidRPr="00442D65">
        <w:rPr>
          <w:rFonts w:cstheme="minorHAnsi"/>
        </w:rPr>
        <w:t>is.</w:t>
      </w:r>
    </w:p>
    <w:p w:rsidR="000E61C7" w:rsidRPr="00442D65" w:rsidRDefault="000E61C7" w:rsidP="00F873CE">
      <w:pPr>
        <w:rPr>
          <w:rFonts w:cstheme="minorHAnsi"/>
        </w:rPr>
      </w:pPr>
    </w:p>
    <w:p w:rsidR="000E61C7" w:rsidRPr="00442D65" w:rsidRDefault="000E61C7" w:rsidP="00F873CE">
      <w:pPr>
        <w:rPr>
          <w:rFonts w:cstheme="minorHAnsi"/>
          <w:bCs/>
          <w:iCs/>
          <w:color w:val="000000" w:themeColor="text1"/>
          <w:lang w:val="de-DE"/>
        </w:rPr>
      </w:pPr>
      <w:r w:rsidRPr="00442D65">
        <w:rPr>
          <w:rFonts w:cstheme="minorHAnsi"/>
          <w:color w:val="000000" w:themeColor="text1"/>
        </w:rPr>
        <w:t xml:space="preserve">Pomponius </w:t>
      </w:r>
      <w:proofErr w:type="spellStart"/>
      <w:r w:rsidRPr="00442D65">
        <w:rPr>
          <w:rFonts w:cstheme="minorHAnsi"/>
          <w:color w:val="000000" w:themeColor="text1"/>
        </w:rPr>
        <w:t>Mela</w:t>
      </w:r>
      <w:proofErr w:type="spellEnd"/>
      <w:r w:rsidRPr="00442D65">
        <w:rPr>
          <w:rFonts w:cstheme="minorHAnsi"/>
          <w:color w:val="000000" w:themeColor="text1"/>
        </w:rPr>
        <w:t>.</w:t>
      </w:r>
      <w:r w:rsidRPr="00442D65">
        <w:rPr>
          <w:rFonts w:cstheme="minorHAnsi"/>
          <w:color w:val="000000" w:themeColor="text1"/>
        </w:rPr>
        <w:t xml:space="preserve"> </w:t>
      </w:r>
      <w:r w:rsidRPr="00442D65">
        <w:rPr>
          <w:rFonts w:cstheme="minorHAnsi"/>
          <w:bCs/>
          <w:iCs/>
          <w:color w:val="000000" w:themeColor="text1"/>
          <w:lang w:val="de-DE"/>
        </w:rPr>
        <w:t>D</w:t>
      </w:r>
      <w:r w:rsidRPr="00442D65">
        <w:rPr>
          <w:rFonts w:cstheme="minorHAnsi"/>
          <w:bCs/>
          <w:iCs/>
          <w:color w:val="000000" w:themeColor="text1"/>
          <w:lang w:val="de-DE"/>
        </w:rPr>
        <w:t xml:space="preserve">e </w:t>
      </w:r>
      <w:proofErr w:type="spellStart"/>
      <w:r w:rsidRPr="00442D65">
        <w:rPr>
          <w:rFonts w:cstheme="minorHAnsi"/>
          <w:bCs/>
          <w:iCs/>
          <w:color w:val="000000" w:themeColor="text1"/>
          <w:lang w:val="de-DE"/>
        </w:rPr>
        <w:t>Chorographia</w:t>
      </w:r>
      <w:proofErr w:type="spellEnd"/>
      <w:r w:rsidRPr="00442D65">
        <w:rPr>
          <w:rFonts w:cstheme="minorHAnsi"/>
          <w:bCs/>
          <w:iCs/>
          <w:color w:val="000000" w:themeColor="text1"/>
          <w:lang w:val="de-DE"/>
        </w:rPr>
        <w:t xml:space="preserve">. </w:t>
      </w:r>
    </w:p>
    <w:p w:rsidR="000E61C7" w:rsidRDefault="000E61C7" w:rsidP="00F873CE">
      <w:pPr>
        <w:rPr>
          <w:bCs/>
          <w:iCs/>
          <w:color w:val="000000" w:themeColor="text1"/>
          <w:lang w:val="de-DE"/>
        </w:rPr>
      </w:pPr>
    </w:p>
    <w:p w:rsidR="000E61C7" w:rsidRDefault="000E61C7" w:rsidP="00F873CE">
      <w:pPr>
        <w:rPr>
          <w:bCs/>
          <w:iCs/>
          <w:color w:val="000000" w:themeColor="text1"/>
          <w:lang w:val="de-DE"/>
        </w:rPr>
      </w:pPr>
      <w:r>
        <w:rPr>
          <w:bCs/>
          <w:iCs/>
          <w:color w:val="000000" w:themeColor="text1"/>
          <w:lang w:val="de-DE"/>
        </w:rPr>
        <w:t>St</w:t>
      </w:r>
      <w:r w:rsidR="00956767">
        <w:rPr>
          <w:bCs/>
          <w:iCs/>
          <w:color w:val="000000" w:themeColor="text1"/>
          <w:lang w:val="de-DE"/>
        </w:rPr>
        <w:t>r</w:t>
      </w:r>
      <w:r>
        <w:rPr>
          <w:bCs/>
          <w:iCs/>
          <w:color w:val="000000" w:themeColor="text1"/>
          <w:lang w:val="de-DE"/>
        </w:rPr>
        <w:t xml:space="preserve">abo. </w:t>
      </w:r>
      <w:proofErr w:type="spellStart"/>
      <w:r>
        <w:rPr>
          <w:bCs/>
          <w:iCs/>
          <w:color w:val="000000" w:themeColor="text1"/>
          <w:lang w:val="de-DE"/>
        </w:rPr>
        <w:t>Geography</w:t>
      </w:r>
      <w:proofErr w:type="spellEnd"/>
      <w:r>
        <w:rPr>
          <w:bCs/>
          <w:iCs/>
          <w:color w:val="000000" w:themeColor="text1"/>
          <w:lang w:val="de-DE"/>
        </w:rPr>
        <w:t>. (</w:t>
      </w:r>
      <w:proofErr w:type="spellStart"/>
      <w:r>
        <w:rPr>
          <w:bCs/>
          <w:iCs/>
          <w:color w:val="000000" w:themeColor="text1"/>
          <w:lang w:val="de-DE"/>
        </w:rPr>
        <w:t>trans</w:t>
      </w:r>
      <w:proofErr w:type="spellEnd"/>
      <w:r>
        <w:rPr>
          <w:bCs/>
          <w:iCs/>
          <w:color w:val="000000" w:themeColor="text1"/>
          <w:lang w:val="de-DE"/>
        </w:rPr>
        <w:t xml:space="preserve">.). W, </w:t>
      </w:r>
      <w:proofErr w:type="spellStart"/>
      <w:r>
        <w:rPr>
          <w:bCs/>
          <w:iCs/>
          <w:color w:val="000000" w:themeColor="text1"/>
          <w:lang w:val="de-DE"/>
        </w:rPr>
        <w:t>Hienemann</w:t>
      </w:r>
      <w:proofErr w:type="spellEnd"/>
      <w:r>
        <w:rPr>
          <w:bCs/>
          <w:iCs/>
          <w:color w:val="000000" w:themeColor="text1"/>
          <w:lang w:val="de-DE"/>
        </w:rPr>
        <w:t xml:space="preserve">. Harvard University Press. </w:t>
      </w:r>
    </w:p>
    <w:p w:rsidR="000E61C7" w:rsidRDefault="000E61C7" w:rsidP="00F873CE">
      <w:pPr>
        <w:rPr>
          <w:bCs/>
          <w:iCs/>
          <w:color w:val="000000" w:themeColor="text1"/>
          <w:lang w:val="de-DE"/>
        </w:rPr>
      </w:pPr>
    </w:p>
    <w:p w:rsidR="00956767" w:rsidRDefault="00956767" w:rsidP="00F873CE">
      <w:pPr>
        <w:rPr>
          <w:bCs/>
          <w:iCs/>
          <w:color w:val="000000" w:themeColor="text1"/>
          <w:lang w:val="de-DE"/>
        </w:rPr>
      </w:pPr>
    </w:p>
    <w:p w:rsidR="0007402A" w:rsidRDefault="0007402A" w:rsidP="00F873CE">
      <w:pPr>
        <w:rPr>
          <w:bCs/>
          <w:iCs/>
          <w:color w:val="000000" w:themeColor="text1"/>
          <w:lang w:val="de-DE"/>
        </w:rPr>
      </w:pPr>
    </w:p>
    <w:p w:rsidR="00956767" w:rsidRPr="0007402A" w:rsidRDefault="00956767" w:rsidP="00F873CE">
      <w:pPr>
        <w:rPr>
          <w:b/>
          <w:bCs/>
          <w:iCs/>
          <w:color w:val="000000" w:themeColor="text1"/>
          <w:lang w:val="de-DE"/>
        </w:rPr>
      </w:pPr>
      <w:proofErr w:type="spellStart"/>
      <w:r w:rsidRPr="0007402A">
        <w:rPr>
          <w:b/>
          <w:bCs/>
          <w:iCs/>
          <w:color w:val="000000" w:themeColor="text1"/>
          <w:lang w:val="de-DE"/>
        </w:rPr>
        <w:t>Archeological</w:t>
      </w:r>
      <w:proofErr w:type="spellEnd"/>
      <w:r w:rsidRPr="0007402A">
        <w:rPr>
          <w:b/>
          <w:bCs/>
          <w:iCs/>
          <w:color w:val="000000" w:themeColor="text1"/>
          <w:lang w:val="de-DE"/>
        </w:rPr>
        <w:t xml:space="preserve"> </w:t>
      </w:r>
      <w:proofErr w:type="spellStart"/>
      <w:r w:rsidRPr="0007402A">
        <w:rPr>
          <w:b/>
          <w:bCs/>
          <w:iCs/>
          <w:color w:val="000000" w:themeColor="text1"/>
          <w:lang w:val="de-DE"/>
        </w:rPr>
        <w:t>Evidence</w:t>
      </w:r>
      <w:proofErr w:type="spellEnd"/>
    </w:p>
    <w:p w:rsidR="00956767" w:rsidRDefault="00956767" w:rsidP="00F873CE">
      <w:pPr>
        <w:rPr>
          <w:bCs/>
          <w:iCs/>
          <w:color w:val="000000" w:themeColor="text1"/>
          <w:lang w:val="de-DE"/>
        </w:rPr>
      </w:pPr>
    </w:p>
    <w:p w:rsidR="00956767" w:rsidRDefault="00956767" w:rsidP="00F873CE">
      <w:pPr>
        <w:rPr>
          <w:rFonts w:cstheme="minorHAnsi"/>
        </w:rPr>
      </w:pPr>
      <w:r>
        <w:rPr>
          <w:bCs/>
          <w:iCs/>
          <w:color w:val="000000" w:themeColor="text1"/>
          <w:lang w:val="de-DE"/>
        </w:rPr>
        <w:t xml:space="preserve"> </w:t>
      </w:r>
      <w:r w:rsidRPr="00A46392">
        <w:rPr>
          <w:rFonts w:cstheme="minorHAnsi"/>
        </w:rPr>
        <w:t>‘</w:t>
      </w:r>
      <w:r w:rsidRPr="00A46392">
        <w:rPr>
          <w:rFonts w:cstheme="minorHAnsi"/>
          <w:color w:val="000000" w:themeColor="text1"/>
          <w:shd w:val="clear" w:color="auto" w:fill="FFFFFF"/>
        </w:rPr>
        <w:t xml:space="preserve">Pair of spoons with cast decoration, from a site at </w:t>
      </w:r>
      <w:proofErr w:type="spellStart"/>
      <w:r w:rsidRPr="00A46392">
        <w:rPr>
          <w:rFonts w:cstheme="minorHAnsi"/>
          <w:color w:val="000000" w:themeColor="text1"/>
          <w:shd w:val="clear" w:color="auto" w:fill="FFFFFF"/>
        </w:rPr>
        <w:t>Penbryn</w:t>
      </w:r>
      <w:proofErr w:type="spellEnd"/>
      <w:r w:rsidRPr="00A46392">
        <w:rPr>
          <w:rFonts w:cstheme="minorHAnsi"/>
          <w:color w:val="000000" w:themeColor="text1"/>
          <w:shd w:val="clear" w:color="auto" w:fill="FFFFFF"/>
        </w:rPr>
        <w:t>, Ceredigion, Wales, Iron Age (cast iron) Iron Age’</w:t>
      </w:r>
      <w:r w:rsidR="00442D65">
        <w:rPr>
          <w:rFonts w:cstheme="minorHAnsi"/>
          <w:color w:val="000000" w:themeColor="text1"/>
          <w:shd w:val="clear" w:color="auto" w:fill="FFFFFF"/>
        </w:rPr>
        <w:t xml:space="preserve"> </w:t>
      </w:r>
      <w:hyperlink r:id="rId8" w:history="1">
        <w:r w:rsidRPr="009A3520">
          <w:rPr>
            <w:rStyle w:val="Hyperlink"/>
            <w:rFonts w:cstheme="minorHAnsi"/>
          </w:rPr>
          <w:t>https://wwwbridgemaneducationcom.ezproxy.uwtsd.ac.uk/en/search?filter_text=penbryn+spoons</w:t>
        </w:r>
      </w:hyperlink>
      <w:r>
        <w:rPr>
          <w:rFonts w:cstheme="minorHAnsi"/>
        </w:rPr>
        <w:t xml:space="preserve"> </w:t>
      </w:r>
    </w:p>
    <w:p w:rsidR="00956767" w:rsidRDefault="00956767" w:rsidP="00F873CE">
      <w:pPr>
        <w:rPr>
          <w:bCs/>
          <w:iCs/>
          <w:color w:val="000000" w:themeColor="text1"/>
          <w:lang w:val="de-DE"/>
        </w:rPr>
      </w:pPr>
    </w:p>
    <w:p w:rsidR="000E61C7" w:rsidRPr="0060311A" w:rsidRDefault="000E61C7" w:rsidP="00F873CE">
      <w:pPr>
        <w:rPr>
          <w:rFonts w:cstheme="minorHAnsi"/>
        </w:rPr>
      </w:pPr>
    </w:p>
    <w:sectPr w:rsidR="000E61C7" w:rsidRPr="0060311A"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3370" w:rsidRDefault="002F3370" w:rsidP="00F873CE">
      <w:r>
        <w:separator/>
      </w:r>
    </w:p>
  </w:endnote>
  <w:endnote w:type="continuationSeparator" w:id="0">
    <w:p w:rsidR="002F3370" w:rsidRDefault="002F3370" w:rsidP="00F87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3370" w:rsidRDefault="002F3370" w:rsidP="00F873CE">
      <w:r>
        <w:separator/>
      </w:r>
    </w:p>
  </w:footnote>
  <w:footnote w:type="continuationSeparator" w:id="0">
    <w:p w:rsidR="002F3370" w:rsidRDefault="002F3370" w:rsidP="00F873CE">
      <w:r>
        <w:continuationSeparator/>
      </w:r>
    </w:p>
  </w:footnote>
  <w:footnote w:id="1">
    <w:p w:rsidR="00F873CE" w:rsidRDefault="00F873CE">
      <w:pPr>
        <w:pStyle w:val="FootnoteText"/>
      </w:pPr>
      <w:r>
        <w:rPr>
          <w:rStyle w:val="FootnoteReference"/>
        </w:rPr>
        <w:footnoteRef/>
      </w:r>
      <w:r>
        <w:t xml:space="preserve"> </w:t>
      </w:r>
      <w:proofErr w:type="spellStart"/>
      <w:r>
        <w:t>B</w:t>
      </w:r>
      <w:r w:rsidR="00A46392">
        <w:t>erno</w:t>
      </w:r>
      <w:proofErr w:type="spellEnd"/>
      <w:r w:rsidR="00A46392">
        <w:t>, 2010</w:t>
      </w:r>
      <w:r w:rsidR="00956767">
        <w:t>.</w:t>
      </w:r>
    </w:p>
  </w:footnote>
  <w:footnote w:id="2">
    <w:p w:rsidR="00F873CE" w:rsidRDefault="00F873CE">
      <w:pPr>
        <w:pStyle w:val="FootnoteText"/>
      </w:pPr>
      <w:r>
        <w:rPr>
          <w:rStyle w:val="FootnoteReference"/>
        </w:rPr>
        <w:footnoteRef/>
      </w:r>
      <w:r w:rsidR="00A46392">
        <w:t xml:space="preserve"> </w:t>
      </w:r>
      <w:proofErr w:type="spellStart"/>
      <w:r w:rsidR="00A46392">
        <w:t>Berno</w:t>
      </w:r>
      <w:proofErr w:type="spellEnd"/>
      <w:r w:rsidR="00A46392">
        <w:t>, 2010</w:t>
      </w:r>
      <w:r w:rsidR="00956767">
        <w:t>.</w:t>
      </w:r>
    </w:p>
  </w:footnote>
  <w:footnote w:id="3">
    <w:p w:rsidR="00F873CE" w:rsidRDefault="00F873CE">
      <w:pPr>
        <w:pStyle w:val="FootnoteText"/>
      </w:pPr>
      <w:r>
        <w:rPr>
          <w:rStyle w:val="FootnoteReference"/>
        </w:rPr>
        <w:footnoteRef/>
      </w:r>
      <w:r>
        <w:t xml:space="preserve"> </w:t>
      </w:r>
      <w:r w:rsidR="0060311A">
        <w:t>Murphy, 2004</w:t>
      </w:r>
      <w:r w:rsidR="00956767">
        <w:t>.</w:t>
      </w:r>
    </w:p>
  </w:footnote>
  <w:footnote w:id="4">
    <w:p w:rsidR="00B463E9" w:rsidRDefault="00B463E9">
      <w:pPr>
        <w:pStyle w:val="FootnoteText"/>
      </w:pPr>
      <w:r>
        <w:rPr>
          <w:rStyle w:val="FootnoteReference"/>
        </w:rPr>
        <w:footnoteRef/>
      </w:r>
      <w:r>
        <w:t xml:space="preserve"> </w:t>
      </w:r>
      <w:proofErr w:type="spellStart"/>
      <w:r w:rsidR="0060311A">
        <w:t>Plin</w:t>
      </w:r>
      <w:proofErr w:type="spellEnd"/>
      <w:r w:rsidR="0060311A">
        <w:t>. Nat. 30.4</w:t>
      </w:r>
      <w:r w:rsidR="00956767">
        <w:t>.</w:t>
      </w:r>
    </w:p>
  </w:footnote>
  <w:footnote w:id="5">
    <w:p w:rsidR="000E61C7" w:rsidRPr="000E61C7" w:rsidRDefault="00B463E9">
      <w:pPr>
        <w:pStyle w:val="FootnoteText"/>
        <w:rPr>
          <w:b/>
          <w:bCs/>
          <w:lang w:val="de-DE"/>
        </w:rPr>
      </w:pPr>
      <w:r>
        <w:rPr>
          <w:rStyle w:val="FootnoteReference"/>
        </w:rPr>
        <w:footnoteRef/>
      </w:r>
      <w:r>
        <w:t xml:space="preserve"> </w:t>
      </w:r>
      <w:r w:rsidR="000E61C7" w:rsidRPr="000E61C7">
        <w:rPr>
          <w:color w:val="000000" w:themeColor="text1"/>
        </w:rPr>
        <w:t xml:space="preserve">Pomponius </w:t>
      </w:r>
      <w:proofErr w:type="spellStart"/>
      <w:r w:rsidR="000E61C7" w:rsidRPr="000E61C7">
        <w:rPr>
          <w:color w:val="000000" w:themeColor="text1"/>
        </w:rPr>
        <w:t>Mela</w:t>
      </w:r>
      <w:proofErr w:type="spellEnd"/>
      <w:r w:rsidR="000E61C7" w:rsidRPr="000E61C7">
        <w:rPr>
          <w:color w:val="000000" w:themeColor="text1"/>
        </w:rPr>
        <w:t xml:space="preserve">. </w:t>
      </w:r>
      <w:r w:rsidRPr="000E61C7">
        <w:rPr>
          <w:bCs/>
          <w:iCs/>
          <w:color w:val="000000" w:themeColor="text1"/>
          <w:lang w:val="de-DE"/>
        </w:rPr>
        <w:t xml:space="preserve">de </w:t>
      </w:r>
      <w:proofErr w:type="spellStart"/>
      <w:r w:rsidRPr="000E61C7">
        <w:rPr>
          <w:bCs/>
          <w:iCs/>
          <w:color w:val="000000" w:themeColor="text1"/>
          <w:lang w:val="de-DE"/>
        </w:rPr>
        <w:t>Chorographia</w:t>
      </w:r>
      <w:proofErr w:type="spellEnd"/>
      <w:r w:rsidR="000E61C7" w:rsidRPr="000E61C7">
        <w:rPr>
          <w:bCs/>
          <w:iCs/>
          <w:color w:val="000000" w:themeColor="text1"/>
          <w:lang w:val="de-DE"/>
        </w:rPr>
        <w:t>.</w:t>
      </w:r>
      <w:r w:rsidRPr="000E61C7">
        <w:rPr>
          <w:bCs/>
          <w:iCs/>
          <w:color w:val="000000" w:themeColor="text1"/>
          <w:lang w:val="de-DE"/>
        </w:rPr>
        <w:t xml:space="preserve"> </w:t>
      </w:r>
      <w:r w:rsidR="000E61C7" w:rsidRPr="000E61C7">
        <w:rPr>
          <w:bCs/>
          <w:color w:val="000000" w:themeColor="text1"/>
          <w:lang w:val="de-DE"/>
        </w:rPr>
        <w:t>3.2.</w:t>
      </w:r>
    </w:p>
  </w:footnote>
  <w:footnote w:id="6">
    <w:p w:rsidR="00B463E9" w:rsidRPr="000E61C7" w:rsidRDefault="00B463E9">
      <w:pPr>
        <w:pStyle w:val="FootnoteText"/>
      </w:pPr>
      <w:r w:rsidRPr="000E61C7">
        <w:rPr>
          <w:rStyle w:val="FootnoteReference"/>
        </w:rPr>
        <w:footnoteRef/>
      </w:r>
      <w:r w:rsidRPr="000E61C7">
        <w:t xml:space="preserve"> </w:t>
      </w:r>
      <w:r w:rsidR="002F3370" w:rsidRPr="00DB2DAF">
        <w:rPr>
          <w:bCs/>
        </w:rPr>
        <w:t>Strabo</w:t>
      </w:r>
      <w:r w:rsidR="000E61C7" w:rsidRPr="000E61C7">
        <w:rPr>
          <w:bCs/>
        </w:rPr>
        <w:t>.</w:t>
      </w:r>
      <w:r w:rsidR="002F3370" w:rsidRPr="00DB2DAF">
        <w:rPr>
          <w:bCs/>
        </w:rPr>
        <w:t xml:space="preserve"> 4.4.5</w:t>
      </w:r>
      <w:r w:rsidR="00442D65">
        <w:rPr>
          <w:bCs/>
        </w:rPr>
        <w:t>.</w:t>
      </w:r>
    </w:p>
  </w:footnote>
  <w:footnote w:id="7">
    <w:p w:rsidR="00B463E9" w:rsidRDefault="00B463E9">
      <w:pPr>
        <w:pStyle w:val="FootnoteText"/>
      </w:pPr>
      <w:r>
        <w:rPr>
          <w:rStyle w:val="FootnoteReference"/>
        </w:rPr>
        <w:footnoteRef/>
      </w:r>
      <w:r w:rsidR="00956767">
        <w:t xml:space="preserve"> Rives, 2007.</w:t>
      </w:r>
    </w:p>
  </w:footnote>
  <w:footnote w:id="8">
    <w:p w:rsidR="00B463E9" w:rsidRDefault="00B463E9">
      <w:pPr>
        <w:pStyle w:val="FootnoteText"/>
      </w:pPr>
      <w:r>
        <w:rPr>
          <w:rStyle w:val="FootnoteReference"/>
        </w:rPr>
        <w:footnoteRef/>
      </w:r>
      <w:r>
        <w:t xml:space="preserve"> </w:t>
      </w:r>
      <w:proofErr w:type="spellStart"/>
      <w:r w:rsidR="0060311A">
        <w:t>Plin</w:t>
      </w:r>
      <w:proofErr w:type="spellEnd"/>
      <w:r w:rsidR="0060311A">
        <w:t>. Nat. 30.4</w:t>
      </w:r>
      <w:r w:rsidR="00442D65">
        <w:t>.</w:t>
      </w:r>
    </w:p>
  </w:footnote>
  <w:footnote w:id="9">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Pr="00A46392">
        <w:rPr>
          <w:rFonts w:cstheme="minorHAnsi"/>
          <w:sz w:val="24"/>
          <w:szCs w:val="24"/>
        </w:rPr>
        <w:t xml:space="preserve"> </w:t>
      </w:r>
      <w:r w:rsidR="00956767">
        <w:rPr>
          <w:rFonts w:cstheme="minorHAnsi"/>
          <w:sz w:val="24"/>
          <w:szCs w:val="24"/>
        </w:rPr>
        <w:t>Stoddart, 2002</w:t>
      </w:r>
      <w:r w:rsidR="00442D65">
        <w:rPr>
          <w:rFonts w:cstheme="minorHAnsi"/>
          <w:sz w:val="24"/>
          <w:szCs w:val="24"/>
        </w:rPr>
        <w:t>.</w:t>
      </w:r>
    </w:p>
  </w:footnote>
  <w:footnote w:id="10">
    <w:p w:rsidR="00B463E9" w:rsidRPr="00A46392" w:rsidRDefault="00B463E9" w:rsidP="00A46392">
      <w:pPr>
        <w:rPr>
          <w:rFonts w:cstheme="minorHAnsi"/>
          <w:shd w:val="clear" w:color="auto" w:fill="FFFFFF"/>
        </w:rPr>
      </w:pPr>
      <w:r w:rsidRPr="00A46392">
        <w:rPr>
          <w:rStyle w:val="FootnoteReference"/>
          <w:rFonts w:cstheme="minorHAnsi"/>
        </w:rPr>
        <w:footnoteRef/>
      </w:r>
      <w:r w:rsidR="00A46392">
        <w:rPr>
          <w:rFonts w:cstheme="minorHAnsi"/>
        </w:rPr>
        <w:t xml:space="preserve"> </w:t>
      </w:r>
      <w:r w:rsidR="00A46392" w:rsidRPr="00A46392">
        <w:rPr>
          <w:rFonts w:cstheme="minorHAnsi"/>
          <w:color w:val="000000" w:themeColor="text1"/>
          <w:shd w:val="clear" w:color="auto" w:fill="FFFFFF"/>
        </w:rPr>
        <w:t xml:space="preserve">Pair of spoons with cast decoration, from a site at </w:t>
      </w:r>
      <w:proofErr w:type="spellStart"/>
      <w:r w:rsidR="00A46392" w:rsidRPr="00A46392">
        <w:rPr>
          <w:rFonts w:cstheme="minorHAnsi"/>
          <w:color w:val="000000" w:themeColor="text1"/>
          <w:shd w:val="clear" w:color="auto" w:fill="FFFFFF"/>
        </w:rPr>
        <w:t>Penbryn</w:t>
      </w:r>
      <w:proofErr w:type="spellEnd"/>
      <w:r w:rsidR="00A46392" w:rsidRPr="00A46392">
        <w:rPr>
          <w:rFonts w:cstheme="minorHAnsi"/>
          <w:color w:val="000000" w:themeColor="text1"/>
          <w:shd w:val="clear" w:color="auto" w:fill="FFFFFF"/>
        </w:rPr>
        <w:t>, Ceredigion, Wales, Iron Age (cast iron)</w:t>
      </w:r>
      <w:r w:rsidR="00A46392" w:rsidRPr="00A46392">
        <w:rPr>
          <w:rFonts w:cstheme="minorHAnsi"/>
          <w:color w:val="000000" w:themeColor="text1"/>
          <w:shd w:val="clear" w:color="auto" w:fill="FFFFFF"/>
        </w:rPr>
        <w:t xml:space="preserve"> </w:t>
      </w:r>
      <w:r w:rsidR="00A46392" w:rsidRPr="00A46392">
        <w:rPr>
          <w:rFonts w:cstheme="minorHAnsi"/>
          <w:color w:val="000000" w:themeColor="text1"/>
          <w:shd w:val="clear" w:color="auto" w:fill="FFFFFF"/>
        </w:rPr>
        <w:t>Iron Age</w:t>
      </w:r>
      <w:r w:rsidR="00442D65">
        <w:rPr>
          <w:rFonts w:cstheme="minorHAnsi"/>
          <w:color w:val="000000" w:themeColor="text1"/>
          <w:shd w:val="clear" w:color="auto" w:fill="FFFFFF"/>
        </w:rPr>
        <w:t>.</w:t>
      </w:r>
    </w:p>
  </w:footnote>
  <w:footnote w:id="11">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00956767">
        <w:rPr>
          <w:rFonts w:cstheme="minorHAnsi"/>
          <w:sz w:val="24"/>
          <w:szCs w:val="24"/>
        </w:rPr>
        <w:t xml:space="preserve"> </w:t>
      </w:r>
      <w:proofErr w:type="spellStart"/>
      <w:r w:rsidR="00956767">
        <w:rPr>
          <w:rFonts w:cstheme="minorHAnsi"/>
          <w:sz w:val="24"/>
          <w:szCs w:val="24"/>
        </w:rPr>
        <w:t>Plin</w:t>
      </w:r>
      <w:proofErr w:type="spellEnd"/>
      <w:r w:rsidR="00956767">
        <w:rPr>
          <w:rFonts w:cstheme="minorHAnsi"/>
          <w:sz w:val="24"/>
          <w:szCs w:val="24"/>
        </w:rPr>
        <w:t>. Nat.</w:t>
      </w:r>
      <w:r w:rsidRPr="00A46392">
        <w:rPr>
          <w:rFonts w:cstheme="minorHAnsi"/>
          <w:sz w:val="24"/>
          <w:szCs w:val="24"/>
        </w:rPr>
        <w:t xml:space="preserve"> 30.5</w:t>
      </w:r>
      <w:r w:rsidR="00442D65">
        <w:rPr>
          <w:rFonts w:cstheme="minorHAnsi"/>
          <w:sz w:val="24"/>
          <w:szCs w:val="24"/>
        </w:rPr>
        <w:t>.</w:t>
      </w:r>
    </w:p>
  </w:footnote>
  <w:footnote w:id="12">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Pr="00A46392">
        <w:rPr>
          <w:rFonts w:cstheme="minorHAnsi"/>
          <w:sz w:val="24"/>
          <w:szCs w:val="24"/>
        </w:rPr>
        <w:t xml:space="preserve"> </w:t>
      </w:r>
      <w:r w:rsidR="00442D65">
        <w:rPr>
          <w:rFonts w:cstheme="minorHAnsi"/>
          <w:bCs/>
          <w:sz w:val="24"/>
          <w:szCs w:val="24"/>
        </w:rPr>
        <w:t>D. L. Prologue.</w:t>
      </w:r>
    </w:p>
  </w:footnote>
  <w:footnote w:id="13">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00956767">
        <w:rPr>
          <w:rFonts w:cstheme="minorHAnsi"/>
          <w:sz w:val="24"/>
          <w:szCs w:val="24"/>
        </w:rPr>
        <w:t xml:space="preserve"> </w:t>
      </w:r>
      <w:r w:rsidR="00956767">
        <w:t>Rives, 2007.</w:t>
      </w:r>
    </w:p>
  </w:footnote>
  <w:footnote w:id="14">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0060311A">
        <w:rPr>
          <w:rFonts w:cstheme="minorHAnsi"/>
          <w:sz w:val="24"/>
          <w:szCs w:val="24"/>
        </w:rPr>
        <w:t xml:space="preserve"> </w:t>
      </w:r>
      <w:proofErr w:type="spellStart"/>
      <w:r w:rsidR="0060311A">
        <w:t>Plin</w:t>
      </w:r>
      <w:proofErr w:type="spellEnd"/>
      <w:r w:rsidR="0060311A">
        <w:t>. Nat. 30.4</w:t>
      </w:r>
    </w:p>
  </w:footnote>
  <w:footnote w:id="15">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Pr="00A46392">
        <w:rPr>
          <w:rFonts w:cstheme="minorHAnsi"/>
          <w:sz w:val="24"/>
          <w:szCs w:val="24"/>
        </w:rPr>
        <w:t xml:space="preserve"> </w:t>
      </w:r>
      <w:proofErr w:type="spellStart"/>
      <w:r w:rsidRPr="00A46392">
        <w:rPr>
          <w:rFonts w:cstheme="minorHAnsi"/>
          <w:sz w:val="24"/>
          <w:szCs w:val="24"/>
        </w:rPr>
        <w:t>C</w:t>
      </w:r>
      <w:r w:rsidR="00442D65">
        <w:rPr>
          <w:rFonts w:cstheme="minorHAnsi"/>
          <w:sz w:val="24"/>
          <w:szCs w:val="24"/>
        </w:rPr>
        <w:t>aes</w:t>
      </w:r>
      <w:proofErr w:type="spellEnd"/>
      <w:r w:rsidR="00442D65">
        <w:rPr>
          <w:rFonts w:cstheme="minorHAnsi"/>
          <w:sz w:val="24"/>
          <w:szCs w:val="24"/>
        </w:rPr>
        <w:t>. BG. 6.</w:t>
      </w:r>
      <w:r w:rsidRPr="00A46392">
        <w:rPr>
          <w:rFonts w:cstheme="minorHAnsi"/>
          <w:sz w:val="24"/>
          <w:szCs w:val="24"/>
        </w:rPr>
        <w:t>13-14</w:t>
      </w:r>
    </w:p>
  </w:footnote>
  <w:footnote w:id="16">
    <w:p w:rsidR="00B463E9" w:rsidRPr="00A46392" w:rsidRDefault="00B463E9">
      <w:pPr>
        <w:pStyle w:val="FootnoteText"/>
        <w:rPr>
          <w:rFonts w:cstheme="minorHAnsi"/>
          <w:sz w:val="24"/>
          <w:szCs w:val="24"/>
        </w:rPr>
      </w:pPr>
      <w:r w:rsidRPr="00A46392">
        <w:rPr>
          <w:rStyle w:val="FootnoteReference"/>
          <w:rFonts w:cstheme="minorHAnsi"/>
          <w:sz w:val="24"/>
          <w:szCs w:val="24"/>
        </w:rPr>
        <w:footnoteRef/>
      </w:r>
      <w:r w:rsidR="0060311A">
        <w:rPr>
          <w:rFonts w:cstheme="minorHAnsi"/>
          <w:sz w:val="24"/>
          <w:szCs w:val="24"/>
        </w:rPr>
        <w:t xml:space="preserve"> </w:t>
      </w:r>
      <w:proofErr w:type="spellStart"/>
      <w:r w:rsidR="0060311A">
        <w:t>Plin</w:t>
      </w:r>
      <w:proofErr w:type="spellEnd"/>
      <w:r w:rsidR="0060311A">
        <w:t>. Nat. 30.4</w:t>
      </w:r>
    </w:p>
  </w:footnote>
  <w:footnote w:id="17">
    <w:p w:rsidR="00B463E9" w:rsidRDefault="00B463E9">
      <w:pPr>
        <w:pStyle w:val="FootnoteText"/>
      </w:pPr>
      <w:r w:rsidRPr="00A46392">
        <w:rPr>
          <w:rStyle w:val="FootnoteReference"/>
          <w:rFonts w:cstheme="minorHAnsi"/>
          <w:sz w:val="24"/>
          <w:szCs w:val="24"/>
        </w:rPr>
        <w:footnoteRef/>
      </w:r>
      <w:r w:rsidRPr="00A46392">
        <w:rPr>
          <w:rFonts w:cstheme="minorHAnsi"/>
          <w:sz w:val="24"/>
          <w:szCs w:val="24"/>
        </w:rPr>
        <w:t xml:space="preserve"> </w:t>
      </w:r>
      <w:proofErr w:type="spellStart"/>
      <w:r w:rsidR="0007402A" w:rsidRPr="00442D65">
        <w:rPr>
          <w:rFonts w:cstheme="minorHAnsi"/>
          <w:bCs/>
          <w:color w:val="32322F"/>
          <w:sz w:val="24"/>
          <w:szCs w:val="24"/>
        </w:rPr>
        <w:t>Juhás</w:t>
      </w:r>
      <w:proofErr w:type="spellEnd"/>
      <w:r w:rsidR="0007402A">
        <w:rPr>
          <w:rFonts w:cstheme="minorHAnsi"/>
          <w:bCs/>
          <w:color w:val="32322F"/>
          <w:sz w:val="24"/>
          <w:szCs w:val="24"/>
        </w:rPr>
        <w:t xml:space="preserve">, 2016. </w:t>
      </w:r>
    </w:p>
  </w:footnote>
  <w:footnote w:id="18">
    <w:p w:rsidR="00B463E9" w:rsidRDefault="00B463E9">
      <w:pPr>
        <w:pStyle w:val="FootnoteText"/>
      </w:pPr>
      <w:r>
        <w:rPr>
          <w:rStyle w:val="FootnoteReference"/>
        </w:rPr>
        <w:footnoteRef/>
      </w:r>
      <w:r>
        <w:t xml:space="preserve"> </w:t>
      </w:r>
      <w:r w:rsidR="0060311A">
        <w:t>Murphy, 2004</w:t>
      </w:r>
    </w:p>
  </w:footnote>
  <w:footnote w:id="19">
    <w:p w:rsidR="00B463E9" w:rsidRDefault="00B463E9">
      <w:pPr>
        <w:pStyle w:val="FootnoteText"/>
      </w:pPr>
      <w:r>
        <w:rPr>
          <w:rStyle w:val="FootnoteReference"/>
        </w:rPr>
        <w:footnoteRef/>
      </w:r>
      <w:r>
        <w:t xml:space="preserve"> Pliny was defiantly a procurator in Africa but whether he was visiting Gaul or a procurator there is up for debate</w:t>
      </w:r>
      <w:r w:rsidR="00956767">
        <w:t>.</w:t>
      </w:r>
    </w:p>
  </w:footnote>
  <w:footnote w:id="20">
    <w:p w:rsidR="00B463E9" w:rsidRDefault="00B463E9">
      <w:pPr>
        <w:pStyle w:val="FootnoteText"/>
      </w:pPr>
      <w:r>
        <w:rPr>
          <w:rStyle w:val="FootnoteReference"/>
        </w:rPr>
        <w:footnoteRef/>
      </w:r>
      <w:r w:rsidR="0007402A">
        <w:t xml:space="preserve"> </w:t>
      </w:r>
      <w:proofErr w:type="spellStart"/>
      <w:r w:rsidR="0007402A">
        <w:t>Plin</w:t>
      </w:r>
      <w:proofErr w:type="spellEnd"/>
      <w:r w:rsidR="0007402A">
        <w:t xml:space="preserve">. Nat. Prologue. </w:t>
      </w:r>
    </w:p>
  </w:footnote>
  <w:footnote w:id="21">
    <w:p w:rsidR="00B463E9" w:rsidRDefault="00B463E9">
      <w:pPr>
        <w:pStyle w:val="FootnoteText"/>
      </w:pPr>
      <w:r>
        <w:rPr>
          <w:rStyle w:val="FootnoteReference"/>
        </w:rPr>
        <w:footnoteRef/>
      </w:r>
      <w:r>
        <w:t xml:space="preserve"> </w:t>
      </w:r>
      <w:proofErr w:type="spellStart"/>
      <w:r w:rsidR="0007402A">
        <w:t>Plin</w:t>
      </w:r>
      <w:proofErr w:type="spellEnd"/>
      <w:r w:rsidR="0007402A">
        <w:t>. Nat. Prologue.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95007"/>
    <w:multiLevelType w:val="multilevel"/>
    <w:tmpl w:val="A49ED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3CE"/>
    <w:rsid w:val="0007402A"/>
    <w:rsid w:val="000E61C7"/>
    <w:rsid w:val="0013105A"/>
    <w:rsid w:val="001A2E63"/>
    <w:rsid w:val="002F3370"/>
    <w:rsid w:val="00442D65"/>
    <w:rsid w:val="0060311A"/>
    <w:rsid w:val="00956767"/>
    <w:rsid w:val="00A46392"/>
    <w:rsid w:val="00A64B80"/>
    <w:rsid w:val="00B463E9"/>
    <w:rsid w:val="00B7022A"/>
    <w:rsid w:val="00B9527C"/>
    <w:rsid w:val="00F87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520604"/>
  <w15:chartTrackingRefBased/>
  <w15:docId w15:val="{B4913FBC-A24D-894D-A038-B95B30509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56767"/>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56767"/>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73CE"/>
    <w:rPr>
      <w:sz w:val="20"/>
      <w:szCs w:val="20"/>
    </w:rPr>
  </w:style>
  <w:style w:type="character" w:customStyle="1" w:styleId="FootnoteTextChar">
    <w:name w:val="Footnote Text Char"/>
    <w:basedOn w:val="DefaultParagraphFont"/>
    <w:link w:val="FootnoteText"/>
    <w:uiPriority w:val="99"/>
    <w:semiHidden/>
    <w:rsid w:val="00F873CE"/>
    <w:rPr>
      <w:sz w:val="20"/>
      <w:szCs w:val="20"/>
    </w:rPr>
  </w:style>
  <w:style w:type="character" w:styleId="FootnoteReference">
    <w:name w:val="footnote reference"/>
    <w:basedOn w:val="DefaultParagraphFont"/>
    <w:uiPriority w:val="99"/>
    <w:semiHidden/>
    <w:unhideWhenUsed/>
    <w:rsid w:val="00F873CE"/>
    <w:rPr>
      <w:vertAlign w:val="superscript"/>
    </w:rPr>
  </w:style>
  <w:style w:type="character" w:styleId="Hyperlink">
    <w:name w:val="Hyperlink"/>
    <w:basedOn w:val="DefaultParagraphFont"/>
    <w:uiPriority w:val="99"/>
    <w:unhideWhenUsed/>
    <w:rsid w:val="00A46392"/>
    <w:rPr>
      <w:color w:val="0563C1" w:themeColor="hyperlink"/>
      <w:u w:val="single"/>
    </w:rPr>
  </w:style>
  <w:style w:type="character" w:styleId="UnresolvedMention">
    <w:name w:val="Unresolved Mention"/>
    <w:basedOn w:val="DefaultParagraphFont"/>
    <w:uiPriority w:val="99"/>
    <w:semiHidden/>
    <w:unhideWhenUsed/>
    <w:rsid w:val="00A46392"/>
    <w:rPr>
      <w:color w:val="605E5C"/>
      <w:shd w:val="clear" w:color="auto" w:fill="E1DFDD"/>
    </w:rPr>
  </w:style>
  <w:style w:type="paragraph" w:customStyle="1" w:styleId="asset-metadata-title">
    <w:name w:val="asset-metadata-title"/>
    <w:basedOn w:val="Normal"/>
    <w:rsid w:val="00A46392"/>
    <w:pPr>
      <w:spacing w:before="100" w:beforeAutospacing="1" w:after="100" w:afterAutospacing="1"/>
    </w:pPr>
    <w:rPr>
      <w:rFonts w:ascii="Times New Roman" w:eastAsia="Times New Roman" w:hAnsi="Times New Roman" w:cs="Times New Roman"/>
    </w:rPr>
  </w:style>
  <w:style w:type="paragraph" w:customStyle="1" w:styleId="asset-metadata-creator">
    <w:name w:val="asset-metadata-creator"/>
    <w:basedOn w:val="Normal"/>
    <w:rsid w:val="00A46392"/>
    <w:pPr>
      <w:spacing w:before="100" w:beforeAutospacing="1" w:after="100" w:afterAutospacing="1"/>
    </w:pPr>
    <w:rPr>
      <w:rFonts w:ascii="Times New Roman" w:eastAsia="Times New Roman" w:hAnsi="Times New Roman" w:cs="Times New Roman"/>
    </w:rPr>
  </w:style>
  <w:style w:type="paragraph" w:customStyle="1" w:styleId="ref">
    <w:name w:val="ref"/>
    <w:basedOn w:val="Normal"/>
    <w:rsid w:val="000E61C7"/>
    <w:pPr>
      <w:spacing w:before="100" w:beforeAutospacing="1" w:after="100" w:afterAutospacing="1"/>
    </w:pPr>
    <w:rPr>
      <w:rFonts w:ascii="Times New Roman" w:eastAsia="Times New Roman" w:hAnsi="Times New Roman" w:cs="Times New Roman"/>
    </w:rPr>
  </w:style>
  <w:style w:type="character" w:customStyle="1" w:styleId="alt">
    <w:name w:val="alt"/>
    <w:basedOn w:val="DefaultParagraphFont"/>
    <w:rsid w:val="000E61C7"/>
  </w:style>
  <w:style w:type="character" w:customStyle="1" w:styleId="Heading1Char">
    <w:name w:val="Heading 1 Char"/>
    <w:basedOn w:val="DefaultParagraphFont"/>
    <w:link w:val="Heading1"/>
    <w:uiPriority w:val="9"/>
    <w:rsid w:val="0095676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56767"/>
    <w:rPr>
      <w:rFonts w:ascii="Times New Roman" w:eastAsia="Times New Roman" w:hAnsi="Times New Roman" w:cs="Times New Roman"/>
      <w:b/>
      <w:bCs/>
      <w:sz w:val="36"/>
      <w:szCs w:val="36"/>
    </w:rPr>
  </w:style>
  <w:style w:type="character" w:customStyle="1" w:styleId="searchword">
    <w:name w:val="searchword"/>
    <w:basedOn w:val="DefaultParagraphFont"/>
    <w:rsid w:val="00442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493670">
      <w:bodyDiv w:val="1"/>
      <w:marLeft w:val="0"/>
      <w:marRight w:val="0"/>
      <w:marTop w:val="0"/>
      <w:marBottom w:val="0"/>
      <w:divBdr>
        <w:top w:val="none" w:sz="0" w:space="0" w:color="auto"/>
        <w:left w:val="none" w:sz="0" w:space="0" w:color="auto"/>
        <w:bottom w:val="none" w:sz="0" w:space="0" w:color="auto"/>
        <w:right w:val="none" w:sz="0" w:space="0" w:color="auto"/>
      </w:divBdr>
    </w:div>
    <w:div w:id="743142207">
      <w:bodyDiv w:val="1"/>
      <w:marLeft w:val="0"/>
      <w:marRight w:val="0"/>
      <w:marTop w:val="0"/>
      <w:marBottom w:val="0"/>
      <w:divBdr>
        <w:top w:val="none" w:sz="0" w:space="0" w:color="auto"/>
        <w:left w:val="none" w:sz="0" w:space="0" w:color="auto"/>
        <w:bottom w:val="none" w:sz="0" w:space="0" w:color="auto"/>
        <w:right w:val="none" w:sz="0" w:space="0" w:color="auto"/>
      </w:divBdr>
    </w:div>
    <w:div w:id="960960223">
      <w:bodyDiv w:val="1"/>
      <w:marLeft w:val="0"/>
      <w:marRight w:val="0"/>
      <w:marTop w:val="0"/>
      <w:marBottom w:val="0"/>
      <w:divBdr>
        <w:top w:val="none" w:sz="0" w:space="0" w:color="auto"/>
        <w:left w:val="none" w:sz="0" w:space="0" w:color="auto"/>
        <w:bottom w:val="none" w:sz="0" w:space="0" w:color="auto"/>
        <w:right w:val="none" w:sz="0" w:space="0" w:color="auto"/>
      </w:divBdr>
    </w:div>
    <w:div w:id="1300457932">
      <w:bodyDiv w:val="1"/>
      <w:marLeft w:val="0"/>
      <w:marRight w:val="0"/>
      <w:marTop w:val="0"/>
      <w:marBottom w:val="0"/>
      <w:divBdr>
        <w:top w:val="none" w:sz="0" w:space="0" w:color="auto"/>
        <w:left w:val="none" w:sz="0" w:space="0" w:color="auto"/>
        <w:bottom w:val="none" w:sz="0" w:space="0" w:color="auto"/>
        <w:right w:val="none" w:sz="0" w:space="0" w:color="auto"/>
      </w:divBdr>
    </w:div>
    <w:div w:id="1354262802">
      <w:bodyDiv w:val="1"/>
      <w:marLeft w:val="0"/>
      <w:marRight w:val="0"/>
      <w:marTop w:val="0"/>
      <w:marBottom w:val="0"/>
      <w:divBdr>
        <w:top w:val="none" w:sz="0" w:space="0" w:color="auto"/>
        <w:left w:val="none" w:sz="0" w:space="0" w:color="auto"/>
        <w:bottom w:val="none" w:sz="0" w:space="0" w:color="auto"/>
        <w:right w:val="none" w:sz="0" w:space="0" w:color="auto"/>
      </w:divBdr>
    </w:div>
    <w:div w:id="1362781709">
      <w:bodyDiv w:val="1"/>
      <w:marLeft w:val="0"/>
      <w:marRight w:val="0"/>
      <w:marTop w:val="0"/>
      <w:marBottom w:val="0"/>
      <w:divBdr>
        <w:top w:val="none" w:sz="0" w:space="0" w:color="auto"/>
        <w:left w:val="none" w:sz="0" w:space="0" w:color="auto"/>
        <w:bottom w:val="none" w:sz="0" w:space="0" w:color="auto"/>
        <w:right w:val="none" w:sz="0" w:space="0" w:color="auto"/>
      </w:divBdr>
    </w:div>
    <w:div w:id="1407800173">
      <w:bodyDiv w:val="1"/>
      <w:marLeft w:val="0"/>
      <w:marRight w:val="0"/>
      <w:marTop w:val="0"/>
      <w:marBottom w:val="0"/>
      <w:divBdr>
        <w:top w:val="none" w:sz="0" w:space="0" w:color="auto"/>
        <w:left w:val="none" w:sz="0" w:space="0" w:color="auto"/>
        <w:bottom w:val="none" w:sz="0" w:space="0" w:color="auto"/>
        <w:right w:val="none" w:sz="0" w:space="0" w:color="auto"/>
      </w:divBdr>
    </w:div>
    <w:div w:id="1587305375">
      <w:bodyDiv w:val="1"/>
      <w:marLeft w:val="0"/>
      <w:marRight w:val="0"/>
      <w:marTop w:val="0"/>
      <w:marBottom w:val="0"/>
      <w:divBdr>
        <w:top w:val="none" w:sz="0" w:space="0" w:color="auto"/>
        <w:left w:val="none" w:sz="0" w:space="0" w:color="auto"/>
        <w:bottom w:val="none" w:sz="0" w:space="0" w:color="auto"/>
        <w:right w:val="none" w:sz="0" w:space="0" w:color="auto"/>
      </w:divBdr>
    </w:div>
    <w:div w:id="1799254200">
      <w:bodyDiv w:val="1"/>
      <w:marLeft w:val="0"/>
      <w:marRight w:val="0"/>
      <w:marTop w:val="0"/>
      <w:marBottom w:val="0"/>
      <w:divBdr>
        <w:top w:val="none" w:sz="0" w:space="0" w:color="auto"/>
        <w:left w:val="none" w:sz="0" w:space="0" w:color="auto"/>
        <w:bottom w:val="none" w:sz="0" w:space="0" w:color="auto"/>
        <w:right w:val="none" w:sz="0" w:space="0" w:color="auto"/>
      </w:divBdr>
    </w:div>
    <w:div w:id="188167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dgemaneducationcom.ezproxy.uwtsd.ac.uk/en/search?filter_text=penbryn+spo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A31CE-C09E-714C-8016-5B73AB713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4</Pages>
  <Words>1363</Words>
  <Characters>7771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1</cp:revision>
  <dcterms:created xsi:type="dcterms:W3CDTF">2018-09-24T17:31:00Z</dcterms:created>
  <dcterms:modified xsi:type="dcterms:W3CDTF">2018-09-24T19:06:00Z</dcterms:modified>
</cp:coreProperties>
</file>