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A5405" w14:textId="77777777" w:rsidR="00AD72EC" w:rsidRPr="00AD72EC" w:rsidRDefault="00AD72EC" w:rsidP="00AD72EC">
      <w:pPr>
        <w:numPr>
          <w:ilvl w:val="0"/>
          <w:numId w:val="3"/>
        </w:numPr>
        <w:spacing w:after="0" w:line="480" w:lineRule="auto"/>
        <w:outlineLvl w:val="0"/>
        <w:rPr>
          <w:rFonts w:ascii="Times New Roman" w:eastAsia="Times New Roman" w:hAnsi="Times New Roman" w:cs="Times New Roman"/>
          <w:b/>
          <w:sz w:val="24"/>
          <w:szCs w:val="24"/>
          <w:lang w:eastAsia="en-GB"/>
        </w:rPr>
      </w:pPr>
      <w:r w:rsidRPr="00AD72EC">
        <w:rPr>
          <w:rFonts w:ascii="Times New Roman" w:eastAsia="Times New Roman" w:hAnsi="Times New Roman" w:cs="Times New Roman"/>
          <w:b/>
          <w:sz w:val="24"/>
          <w:szCs w:val="24"/>
          <w:lang w:eastAsia="en-GB"/>
        </w:rPr>
        <w:br w:type="page"/>
      </w:r>
      <w:bookmarkStart w:id="0" w:name="_Toc512623093"/>
      <w:bookmarkStart w:id="1" w:name="_Toc513062319"/>
      <w:r w:rsidRPr="00AD72EC">
        <w:rPr>
          <w:rFonts w:ascii="Times New Roman" w:eastAsia="Times New Roman" w:hAnsi="Times New Roman" w:cs="Times New Roman"/>
          <w:b/>
          <w:sz w:val="24"/>
          <w:szCs w:val="24"/>
          <w:lang w:eastAsia="en-GB"/>
        </w:rPr>
        <w:lastRenderedPageBreak/>
        <w:t>INTRODUCTION</w:t>
      </w:r>
      <w:bookmarkEnd w:id="0"/>
      <w:bookmarkEnd w:id="1"/>
      <w:r w:rsidRPr="00AD72EC">
        <w:rPr>
          <w:rFonts w:ascii="Times New Roman" w:eastAsia="Times New Roman" w:hAnsi="Times New Roman" w:cs="Times New Roman"/>
          <w:b/>
          <w:sz w:val="24"/>
          <w:szCs w:val="24"/>
          <w:lang w:eastAsia="en-GB"/>
        </w:rPr>
        <w:t xml:space="preserve"> </w:t>
      </w:r>
    </w:p>
    <w:p w14:paraId="22A62A3F"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5BAF720D"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The central aim of this literature-based dissertation is to explore the concepts of childhood poverty and its potential effects on wellbeing. This dissertation will first look at what constitutes childhood and its definition amongst scholars, Government Organisations (GO) and Non-Government Organisations (NGO) in 21</w:t>
      </w:r>
      <w:r w:rsidRPr="00AD72EC">
        <w:rPr>
          <w:rFonts w:ascii="Times New Roman" w:eastAsia="Times New Roman" w:hAnsi="Times New Roman" w:cs="Times New Roman"/>
          <w:sz w:val="24"/>
          <w:szCs w:val="24"/>
          <w:vertAlign w:val="superscript"/>
          <w:lang w:eastAsia="en-GB"/>
        </w:rPr>
        <w:t>st</w:t>
      </w:r>
      <w:r w:rsidRPr="00AD72EC">
        <w:rPr>
          <w:rFonts w:ascii="Times New Roman" w:eastAsia="Times New Roman" w:hAnsi="Times New Roman" w:cs="Times New Roman"/>
          <w:sz w:val="24"/>
          <w:szCs w:val="24"/>
          <w:lang w:eastAsia="en-GB"/>
        </w:rPr>
        <w:t xml:space="preserve"> century Britain. Well-being in childhood will also be defined and discussed along with the various challenges and opportunities surrounding childhood well-being and how poverty adversely affects childhoods.</w:t>
      </w:r>
    </w:p>
    <w:p w14:paraId="74B73B47"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346A1BD6"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Poverty amongst childhood is an important subject to research. Today’s children are tomorrow’s adults contributing to our workforce and the economy. Investment in our children’s future today will shape the well-being of future generations. According to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"ISBN" : "1447325648", "abstract" : "Fourth edition. The 'Well-being of Children in the UK' is a comprehensive report on the physical, cognitive, behavioural and emotional well-being of children in England, Northern Ireland, Scotland and Wales. It provides an up-to-date and thorough review of existing data.", "author" : [ { "dropping-particle" : "", "family" : "Bradshaw", "given" : "Jonathan", "non-dropping-particle" : "", "parse-names" : false, "suffix" : "" } ], "id" : "ITEM-1", "issued" : { "date-parts" : [ [ "2016" ] ] }, "number-of-pages" : "425", "title" : "Well-being of children in the UK", "type" : "book" }, "uris" : [ "http://www.mendeley.com/documents/?uuid=e90b5686-6cb0-300d-ac7b-bdbaf84f1fc0" ] } ], "mendeley" : { "formattedCitation" : "(Bradshaw, 2016)", "plainTextFormattedCitation" : "(Bradshaw, 2016)", "previouslyFormattedCitation" : "(Bradshaw, 2016)"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(Bradshaw, 2016)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number of children under sixteen living in the UK has been declining steadily since the early 1970s. The proportion of children living in the UK made up 25.5% of the population in 1971 steadily falling to 16.4% by 2013. There are many reasons for the decrease in the number of children being born. Changes in family types, effects of globalisation, declining fertility rates amongst women and the decline of the average family size have all contributed to less children being born in the UK and other developed countries such as the USA and rest of Europe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"ISBN" : "1447325648", "abstract" : "Fourth edition. The 'Well-being of Children in the UK' is a comprehensive report on the physical, cognitive, behavioural and emotional well-being of children in England, Northern Ireland, Scotland and Wales. It provides an up-to-date and thorough review of existing data.", "author" : [ { "dropping-particle" : "", "family" : "Bradshaw", "given" : "Jonathan", "non-dropping-particle" : "", "parse-names" : false, "suffix" : "" } ], "id" : "ITEM-1", "issued" : { "date-parts" : [ [ "2016" ] ] }, "number-of-pages" : "425", "title" : "Well-being of children in the UK", "type" : "book" }, "uris" : [ "http://www.mendeley.com/documents/?uuid=e90b5686-6cb0-300d-ac7b-bdbaf84f1fc0" ] } ], "mendeley" : { "formattedCitation" : "(Bradshaw, 2016)", "plainTextFormattedCitation" : "(Bradshaw, 2016)", "previouslyFormattedCitation" : "(Bradshaw, 2016)"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(Bradshaw, 2016)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t>
      </w:r>
    </w:p>
    <w:p w14:paraId="65BAC31F"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48DC690F" w14:textId="77777777" w:rsidR="00AD72EC" w:rsidRPr="00AD72EC" w:rsidRDefault="00AD72EC" w:rsidP="00AD72EC">
      <w:pPr>
        <w:spacing w:after="0" w:line="480" w:lineRule="auto"/>
        <w:ind w:left="360"/>
        <w:jc w:val="both"/>
        <w:rPr>
          <w:rFonts w:ascii="Times New Roman" w:eastAsia="Times New Roman" w:hAnsi="Times New Roman" w:cs="Times New Roman"/>
          <w:b/>
          <w:sz w:val="24"/>
          <w:szCs w:val="24"/>
          <w:lang w:eastAsia="en-GB"/>
        </w:rPr>
      </w:pPr>
      <w:r w:rsidRPr="00AD72EC">
        <w:rPr>
          <w:rFonts w:ascii="Times New Roman" w:eastAsia="Times New Roman" w:hAnsi="Times New Roman" w:cs="Times New Roman"/>
          <w:sz w:val="24"/>
          <w:szCs w:val="24"/>
          <w:lang w:eastAsia="en-GB"/>
        </w:rPr>
        <w:t xml:space="preserve">Despite the decrease of the number of children being born in the UK, there is still a high proportion of children living in poverty in the UK, threatening the health and development of millions of children. Poverty is said to decrease children’s well-being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"Fauth", "given" : "Becky", "non-dropping-particle" : "", "parse-names" : false, "suffix" : "" }, { "dropping-particle" : "", "family" : "Renton", "given" : "Zoe", "non-dropping-particle" : "", "parse-names" : false, "suffix" : "" }, { "dropping-particle" : "", "family" : "Solomon", "given" : "Enver", "non-dropping-particle" : "", "parse-names" : false, "suffix" : "" } ], "id" : "ITEM-1", "issued" : { "date-parts" : [ [ "2013" ] ] }, "title" : "Tackling child Poverty and Promoting Children's Well-being: Lessons from Abroad", "type" : "report" }, "uris" : [ "http://www.mendeley.com/documents/?uuid=1f0fccbc-d97c-3200-b3db-9c87809e6c0e" ] }, { "id" : "ITEM-2", "itemData" : { "DOI" : "10.1111/j.1365-2206.2009.00611.x", "ISSN" : "13567500", "author" : [ { "dropping-particle" : "", "family" : "Axford", "given" : "Nick", "non-dropping-particle" : "", "parse-names" : false, "suffix" : "" } ], "container-title" : "Child &amp; Family Social Work", "id" : "ITEM-2", "issue" : "3", "issued" : { "date-parts" : [ [ "2009", "8", "1" ] ] }, "page" : "372-383", "publisher" : "Wiley/Blackwell (10.1111)", "title" : "Child well-being through different lenses: why concept matters", "type" : "article-journal", "volume" : "14" }, "uris" : [ "http://www.mendeley.com/documents/?uuid=0c79286b-8e01-39d2-a941-ca08c86cdc40" ] }, { "id" : "ITEM-3", "itemData" : { "abstract" : "The aim of this briefing paper is to provide an overview of recent evidence in the field of childhood wellbeing. Relevant material was identified through literature and web searching during March/ April 2010, and selected for its potential to illustrate how childhood wellbeing has been defined and understood. The paper provides a summary of how wellbeing is conceptualised; the domains and measures employed to assess child wellbeing within the UK and internationally; how the views of children and young people are incorporated into work on child wellbeing; and some conclusions from key studies relevant to the wellbeing of children and young people in the UK. It concludes by highlighting some of the issues and challenges in taking this work forward. What is wellbeing? Wellbeing is generally understood as the quality of people's lives. It is a dynamic state that is enhanced when people can fulfil their personal and social goals. It is understood both in relation to objective measures, such as household income, educational resources and health status; and subjective indicators such as happiness, perceptions of quality of life and life satisfaction. Domains and measures of childhood wellbeing", "author" : [ { "dropping-particle" : "", "family" : "Statham", "given" : "June", "non-dropping-particle" : "", "parse-names" : false, "suffix" : "" }, { "dropping-particle" : "", "family" : "Chase", "given" : "Elaine", "non-dropping-particle" : "", "parse-names" : false, "suffix" : "" } ], "id" : "ITEM-3", "issued" : { "date-parts" : [ [ "2010" ] ] }, "title" : "Childhood Wellbeing: A brief overview Executive Summary", "type" : "report" }, "uris" : [ "http://www.mendeley.com/documents/?uuid=7739a2e3-72a4-3eda-8a5c-bc76767c19ef" ] } ], "mendeley" : { "formattedCitation" : "(Axford, 2009; Statham and Chase, 2010; Fauth, Renton and Solomon, 2013)", "plainTextFormattedCitation" : "(Axford, 2009; Statham and Chase, 2010; Fauth, Renton and Solomon, 2013)", "previouslyFormattedCitation" : "(Axford, 2009; Statham and Chase, 2010; Fauth, Renton and Solomon, 2013)"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(Axford, 2009; Statham and Chase, 2010; Fauth, Renton and Solomon, 2013)</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A child who is persistently </w:t>
      </w:r>
      <w:r w:rsidRPr="00AD72EC">
        <w:rPr>
          <w:rFonts w:ascii="Times New Roman" w:eastAsia="Times New Roman" w:hAnsi="Times New Roman" w:cs="Times New Roman"/>
          <w:sz w:val="24"/>
          <w:szCs w:val="24"/>
          <w:lang w:eastAsia="en-GB"/>
        </w:rPr>
        <w:lastRenderedPageBreak/>
        <w:t xml:space="preserve">poor is said to be at an increasing risk of having behavioural problems, or under achieving at school compared to their peers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"10.3390/ijerph14090981", "ISSN" : "1660-4601", "PMID" : "28867777", "abstract" : "The detrimental impact of poverty on child behavioral problems is well-established, but the mechanisms that explain this relationship are less well-known. Using data from the Families in Germany Study on parents and their children at ages 9-10 (middle childhood), this study extends previous research by examining whether or not and to what extent different parenting styles and parents' subjective well-being explain the relationship between poverty and child behavior problems. The results show that certain parenting styles, such as psychological control, as well as mothers' life satisfaction partially mediate the correlation between poverty and child behavioral problems.", "author" : [ { "dropping-particle" : "", "family" : "Kaiser", "given" : "Till", "non-dropping-particle" : "", "parse-names" : false, "suffix" : "" }, { "dropping-particle" : "", "family" : "Li", "given" : "Jianghong", "non-dropping-particle" : "", "parse-names" : false, "suffix" : "" }, { "dropping-particle" : "", "family" : "Pollmann-Schult", "given" : "Matthias", "non-dropping-particle" : "", "parse-names" : false, "suffix" : "" }, { "dropping-particle" : "", "family" : "Song", "given" : "Anne Y", "non-dropping-particle" : "", "parse-names" : false, "suffix" : "" } ], "container-title" : "International journal of environmental research and public health", "id" : "ITEM-1", "issue" : "9", "issued" : { "date-parts" : [ [ "2017" ] ] }, "publisher" : "Multidisciplinary Digital Publishing Institute  (MDPI)", "title" : "Poverty and Child Behavioral Problems: The Mediating Role of Parenting and Parental Well-Being.", "type" : "article-journal", "volume" : "14" }, "uris" : [ "http://www.mendeley.com/documents/?uuid=4fbcfac3-79b5-3b75-b400-a4bc47dad374" ] } ], "mendeley" : { "formattedCitation" : "(Kaiser &lt;i&gt;et al.&lt;/i&gt;, 2017)", "plainTextFormattedCitation" : "(Kaiser et al., 2017)", "previouslyFormattedCitation" : "(Kaiser &lt;i&gt;et al.&lt;/i&gt;, 2017)"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(Kaiser </w:t>
      </w:r>
      <w:r w:rsidRPr="00AD72EC">
        <w:rPr>
          <w:rFonts w:ascii="Times New Roman" w:eastAsia="Times New Roman" w:hAnsi="Times New Roman" w:cs="Times New Roman"/>
          <w:i/>
          <w:noProof/>
          <w:sz w:val="24"/>
          <w:szCs w:val="24"/>
          <w:lang w:eastAsia="en-GB"/>
        </w:rPr>
        <w:t>et al.</w:t>
      </w:r>
      <w:r w:rsidRPr="00AD72EC">
        <w:rPr>
          <w:rFonts w:ascii="Times New Roman" w:eastAsia="Times New Roman" w:hAnsi="Times New Roman" w:cs="Times New Roman"/>
          <w:noProof/>
          <w:sz w:val="24"/>
          <w:szCs w:val="24"/>
          <w:lang w:eastAsia="en-GB"/>
        </w:rPr>
        <w:t>, 2017)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They may be regularly going without food, living in homes below acceptable living standards with no heating, have clothing and shoes unsuitable to the season or worn out and thus have poorer health outcomes and as adults, work in low skilled jobs. Furthermore, children who are living in poverty are said to spend little time participating in clubs and doing leisure activities due to them having little money to afford such activities and clubs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"URL" : "https://www.childreninwales.org.uk/our-work/poverty/", "accessed" : { "date-parts" : [ [ "2018", "5", "1" ] ] }, "author" : [ { "dropping-particle" : "", "family" : "Children In Wales", "given" : "", "non-dropping-particle" : "", "parse-names" : false, "suffix" : "" } ], "id" : "ITEM-1", "issued" : { "date-parts" : [ [ "2018" ] ] }, "title" : "Poverty", "type" : "webpage" }, "uris" : [ "http://www.mendeley.com/documents/?uuid=75b55759-ed77-33b0-bf15-cc3894c5407e" ] } ], "mendeley" : { "formattedCitation" : "(Children In Wales, 2018)", "plainTextFormattedCitation" : "(Children In Wales, 2018)", "previouslyFormattedCitation" : "(Children In Wales, 2018)"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(Children In Wales, 2018)</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w:t>
      </w:r>
      <w:r w:rsidRPr="00AD72EC">
        <w:rPr>
          <w:rFonts w:ascii="Times New Roman" w:eastAsia="Times New Roman" w:hAnsi="Times New Roman" w:cs="Times New Roman"/>
          <w:b/>
          <w:sz w:val="24"/>
          <w:szCs w:val="24"/>
          <w:lang w:eastAsia="en-GB"/>
        </w:rPr>
        <w:br w:type="page"/>
      </w:r>
      <w:r w:rsidRPr="00AD72EC">
        <w:rPr>
          <w:rFonts w:ascii="Times New Roman" w:eastAsia="Times New Roman" w:hAnsi="Times New Roman" w:cs="Times New Roman"/>
          <w:b/>
          <w:sz w:val="24"/>
          <w:szCs w:val="24"/>
          <w:lang w:eastAsia="en-GB"/>
        </w:rPr>
        <w:lastRenderedPageBreak/>
        <w:t xml:space="preserve">LITERATURE REVIEW </w:t>
      </w:r>
    </w:p>
    <w:p w14:paraId="4AB73466" w14:textId="77777777" w:rsidR="00AD72EC" w:rsidRPr="00AD72EC" w:rsidRDefault="00AD72EC" w:rsidP="00AD72EC">
      <w:pPr>
        <w:spacing w:after="0" w:line="480" w:lineRule="auto"/>
        <w:jc w:val="both"/>
        <w:rPr>
          <w:rFonts w:ascii="Times New Roman" w:eastAsia="Times New Roman" w:hAnsi="Times New Roman" w:cs="Times New Roman"/>
          <w:b/>
          <w:sz w:val="24"/>
          <w:szCs w:val="24"/>
          <w:lang w:eastAsia="en-GB"/>
        </w:rPr>
      </w:pPr>
    </w:p>
    <w:p w14:paraId="7161FF9F" w14:textId="77777777" w:rsidR="00AD72EC" w:rsidRPr="00AD72EC" w:rsidRDefault="00AD72EC" w:rsidP="00AD72EC">
      <w:pPr>
        <w:numPr>
          <w:ilvl w:val="1"/>
          <w:numId w:val="1"/>
        </w:numPr>
        <w:spacing w:after="0" w:line="480" w:lineRule="auto"/>
        <w:outlineLvl w:val="1"/>
        <w:rPr>
          <w:rFonts w:ascii="Times New Roman" w:eastAsia="Times New Roman" w:hAnsi="Times New Roman" w:cs="Times New Roman"/>
          <w:b/>
          <w:sz w:val="24"/>
          <w:szCs w:val="24"/>
          <w:lang w:eastAsia="en-GB"/>
        </w:rPr>
      </w:pPr>
      <w:bookmarkStart w:id="2" w:name="_Toc512623094"/>
      <w:bookmarkStart w:id="3" w:name="_Toc513062320"/>
      <w:r w:rsidRPr="00AD72EC">
        <w:rPr>
          <w:rFonts w:ascii="Times New Roman" w:eastAsia="Times New Roman" w:hAnsi="Times New Roman" w:cs="Times New Roman"/>
          <w:b/>
          <w:sz w:val="24"/>
          <w:szCs w:val="24"/>
          <w:lang w:eastAsia="en-GB"/>
        </w:rPr>
        <w:t>Introduction</w:t>
      </w:r>
      <w:bookmarkEnd w:id="2"/>
      <w:bookmarkEnd w:id="3"/>
      <w:r w:rsidRPr="00AD72EC">
        <w:rPr>
          <w:rFonts w:ascii="Times New Roman" w:eastAsia="Times New Roman" w:hAnsi="Times New Roman" w:cs="Times New Roman"/>
          <w:b/>
          <w:sz w:val="24"/>
          <w:szCs w:val="24"/>
          <w:lang w:eastAsia="en-GB"/>
        </w:rPr>
        <w:t xml:space="preserve"> </w:t>
      </w:r>
    </w:p>
    <w:p w14:paraId="57987D68"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100FE85C"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There is a vast amount of research on poverty and well-being in general on a worldwide scale. However, since the focus of this research is on poverty and well-being in children, general poverty research will not be reviewed in detail and will only be referred to if appropriate. This literature review will look at Childhood, Poverty and Well-being on a worldwide level and also within the UK and Wales concept. </w:t>
      </w:r>
    </w:p>
    <w:p w14:paraId="4D51C246"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5496E1C1" w14:textId="77777777" w:rsidR="00AD72EC" w:rsidRPr="00AD72EC" w:rsidRDefault="00AD72EC" w:rsidP="00AD72EC">
      <w:pPr>
        <w:numPr>
          <w:ilvl w:val="1"/>
          <w:numId w:val="1"/>
        </w:numPr>
        <w:spacing w:after="0" w:line="480" w:lineRule="auto"/>
        <w:outlineLvl w:val="1"/>
        <w:rPr>
          <w:rFonts w:ascii="Times New Roman" w:eastAsia="Times New Roman" w:hAnsi="Times New Roman" w:cs="Times New Roman"/>
          <w:b/>
          <w:sz w:val="24"/>
          <w:szCs w:val="24"/>
          <w:lang w:eastAsia="en-GB"/>
        </w:rPr>
      </w:pPr>
      <w:bookmarkStart w:id="4" w:name="_Toc512623095"/>
      <w:bookmarkStart w:id="5" w:name="_Toc513062321"/>
      <w:r w:rsidRPr="00AD72EC">
        <w:rPr>
          <w:rFonts w:ascii="Times New Roman" w:eastAsia="Times New Roman" w:hAnsi="Times New Roman" w:cs="Times New Roman"/>
          <w:b/>
          <w:sz w:val="24"/>
          <w:szCs w:val="24"/>
          <w:lang w:eastAsia="en-GB"/>
        </w:rPr>
        <w:t>Childhood: A Fluid Concept</w:t>
      </w:r>
      <w:bookmarkEnd w:id="4"/>
      <w:bookmarkEnd w:id="5"/>
    </w:p>
    <w:p w14:paraId="3B5F794A"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58BCCCFF"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Childhood is seen as a special time in the 21st century by all in society. Childhood today is different to what childhood was a century ago. Childhood is seen as a time of learning, playing and exploring the world around us; a time when we lay the foundations of our future into adulthood. Childhood is very fluid. It changes through the life course from the baby stage to toddler to child and into adolescence. Our mental and physical capabilities also change and develop along the way. Today’s children are tomorrow’s adults and deserve the best possible start in life and are entitled to a happy childhood free from abuse, exploitation and neglect.</w:t>
      </w:r>
    </w:p>
    <w:p w14:paraId="5E11268E"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53010035"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Conceptions of what ‘childhood is varies across and within cultures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"10.1080/0305764X.2013.860082", "ISSN" : "0305-764X", "author" : [ { "dropping-particle" : "", "family" : "Adams", "given" : "Kate", "non-dropping-particle" : "", "parse-names" : false, "suffix" : "" } ], "container-title" : "Cambridge Journal of Education", "id" : "ITEM-1", "issue" : "2", "issued" : { "date-parts" : [ [ "2014", "4", "3" ] ] }, "page" : "163-177", "title" : "What is a child? Children\u2019s perceptions, the Cambridge Primary Review and implications for education", "type" : "article-journal", "volume" : "44" }, "uris" : [ "http://www.mendeley.com/documents/?uuid=fd5324ae-3729-3746-ab1b-f2d7eeb13598" ] } ], "mendeley" : { "formattedCitation" : "(Adams, 2014)", "plainTextFormattedCitation" : "(Adams, 2014)", "previouslyFormattedCitation" : "(Adams, 2014)"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(Adams, 2014)</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A well-known anthropologist Margaret Mead believe children are:</w:t>
      </w:r>
    </w:p>
    <w:p w14:paraId="6871DD4C"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7343A9F6" w14:textId="77777777" w:rsidR="00AD72EC" w:rsidRPr="00AD72EC" w:rsidRDefault="00AD72EC" w:rsidP="00AD72EC">
      <w:pPr>
        <w:spacing w:after="0" w:line="480" w:lineRule="auto"/>
        <w:ind w:left="144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lastRenderedPageBreak/>
        <w:t xml:space="preserve"> “Pygmies among giants, ignorant among the knowledgeable, wordless among the articulate. And to the adults, children everywhere represent the weak and helpless, in need of protection, supervision, training, models, skills, beliefs, ‘character’ as cited in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"ISBN" : "9780470846926", "author" : [ { "dropping-particle" : "", "family" : "Montgomery", "given" : "H", "non-dropping-particle" : "", "parse-names" : false, "suffix" : "" }, { "dropping-particle" : "", "family" : "Woodhead", "given" : "M", "non-dropping-particle" : "", "parse-names" : false, "suffix" : "" } ], "container-title" : "Children &amp; Society", "id" : "ITEM-1", "issued" : { "date-parts" : [ [ "2003" ] ] }, "number-of-pages" : "250-251", "publisher" : "Wiley/Blackwell", "title" : "Understanding childhood: an interdisciplinary approach.", "type" : "book" }, "uris" : [ "http://www.mendeley.com/documents/?uuid=3334b276-8973-3ef2-ad25-3f46d47f1114" ] } ], "mendeley" : { "formattedCitation" : "(Montgomery and Woodhead, 2003)", "plainTextFormattedCitation" : "(Montgomery and Woodhead, 2003)", "previouslyFormattedCitation" : "(Montgomery and Woodhead, 2003)"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(Montgomery and Woodhead, 2003)</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w:t>
      </w:r>
    </w:p>
    <w:p w14:paraId="05DC3E27" w14:textId="77777777" w:rsidR="00AD72EC" w:rsidRPr="00AD72EC" w:rsidRDefault="00AD72EC" w:rsidP="00AD72EC">
      <w:pPr>
        <w:spacing w:after="0" w:line="480" w:lineRule="auto"/>
        <w:ind w:left="720"/>
        <w:jc w:val="both"/>
        <w:rPr>
          <w:rFonts w:ascii="Times New Roman" w:eastAsia="Times New Roman" w:hAnsi="Times New Roman" w:cs="Times New Roman"/>
          <w:sz w:val="24"/>
          <w:szCs w:val="24"/>
          <w:lang w:eastAsia="en-GB"/>
        </w:rPr>
      </w:pPr>
    </w:p>
    <w:p w14:paraId="6D491457"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 However, this belief seems far outdated for the 21st century. Children are not weak or ignorant. Children are universally different to the next child depending on their culture, social circumstances and family grounding. Other scholars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"ISBN" : "0750705965", "abstract" : "This edition of James and Prout's seminal work on childhood study contains a collection of articles which draw on a variety of disciplines to show how childhood is constructed in society, and the direction in which childhood study is moving. Ch. 1. A New Paradigm for the Sociology of Childhood? Provenance, Promise and Problems / Alan Prout and Allison James -- Ch. 2. Constructions and Reconstructions of British Childhood: An Interpretative Survey, 1800 to the Present / Harry Hendrick -- Ch. 3. Psychology and the Cultural Construction of Children's Needs -- Postscript / Martin Woodhead -- Ch. 4. A Voice for Children in Statistical and Social Accounting: A Plea for Children's Right to be Heard -- Postscript / Jens Qvortrup -- Ch. 5. It's a Small World: Disneyland, the Family and the Multiple Re-representations of American Childhood / Pauline Hunt and Ronald Frankenberg -- Ch. 6. Negotiating Childhood: Changing Constructions of Age for Norwegian Children / Anne Solberg -- Ch. 7. Street Children: Deconstructing a Construct -- Postscript / Benno Glauser -- Ch. 8. Who Are You Kidding? Children, Power and the Struggle Against Sexual Abuse / Jenny Kitzinger.", "author" : [ { "dropping-particle" : "", "family" : "James", "given" : "Allison.", "non-dropping-particle" : "", "parse-names" : false, "suffix" : "" }, { "dropping-particle" : "", "family" : "Prout", "given" : "Alan.", "non-dropping-particle" : "", "parse-names" : false, "suffix" : "" } ], "id" : "ITEM-1", "issued" : { "date-parts" : [ [ "1997" ] ] }, "number-of-pages" : "260", "publisher" : "Falmer Press", "title" : "Constructing and reconstructing childhood : contemporary issues in the sociological study of childhood", "type" : "book" }, "uris" : [ "http://www.mendeley.com/documents/?uuid=b88758e9-e1c0-338d-ad7a-96f903ca49b4" ] } ], "mendeley" : { "formattedCitation" : "(James and Prout, 1997)", "manualFormatting" : "(James and Prout, 1997 pp- 11)", "plainTextFormattedCitation" : "(James and Prout, 1997)", "previouslyFormattedCitation" : "(James and Prout, 1997)"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(James and Prout, 1997 pp- 11)</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believe “the immaturity of children is a biological fact but the ways in which that immaturity is understood and made meaningful is a fact of culture”. What constitutes being a child in the 21st century seems to be undefinable. The debate amongst scholars, government and society as a whole varies considerably in different parts of the world and even in different communities rich or poor. What makes a child in the UK may not be the same as what makes a child in India. The meaning of childhood amongst scholars agree childhood is from between the ages of birth and adolescence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"ISBN" : "9781780490557", "abstract" : "Childhood is defined in different preconceived manners by different discourses. Thus the categories defined by age such as infant, child, adolescent and so on, are to some extent arbitrary divisions that are subject to the evolution in clinical, societal, ideological and political discourses. Within psychoanalysis there has been a conflation of childhood construed through the retrospective memories of adults, and childhood as seen through the perspective of infant observations. In What is a Child? Michael Gerard Plastow argues that the place of the child as subject in the fullest sense has bee. COVER; CONTENTS; ACKNOWLEDGEMENT; APPRECIATION; ABOUT THE AUTHOR; INTRODUCTION; PART I THE CHILD AND THE INFANTILE: HISTORY AND TIME; CHAPTER ONE The child: between history and structure; CHAPTER TWO A change of discourse: Freud's abandonment of the seduction hypothesis; CHAPTER THREE The fantasm: a transformational formula; PART II PSYCHOANALYSIS AS A CHILD AND ITS PROTAGONISTS; CHAPTER FOUR The illegitimate beginnings of the field of psychoanalysis of the child; CHAPTER FIVE The place of the parents: \"the child does not come of his own accord.\" CHAPTER SIX The leaking tap: the symptom of the childPART III DISCOURSES ON CHILDHOOD; CHAPTER SEVEN The ages of the child; CHAPTER EIGHT The upbringing of the child: between nature and culture; CHAPTER NINE Condillac's statue: from the sentiment of childhood to the sensuality of the child; CHAPTER TEN A new discourse: the child as sexual subject; PART IV THE CHILD AND THE SUBJECT; CHAPTER ELEVEN From the razing of the child to the advent of the subject; EPILOGUE; REFERENCES; INDEX.", "author" : [ { "dropping-particle" : "", "family" : "Plastow", "given" : "Michael Gerard", "non-dropping-particle" : "", "parse-names" : false, "suffix" : "" } ], "id" : "ITEM-1", "issued" : { "date-parts" : [ [ "2014" ] ] }, "number-of-pages" : "250", "title" : "What is a child? : childhood, psychoanalysis, and discourse", "type" : "book" }, "uris" : [ "http://www.mendeley.com/documents/?uuid=ea8d9abb-196f-38d9-b7a6-6462555a4877" ] }, { "id" : "ITEM-2", "itemData" : { "author" : [ { "dropping-particle" : "", "family" : "Bell", "given" : "Allison", "non-dropping-particle" : "", "parse-names" : false, "suffix" : "" } ], "container-title" : "National Underwriter. Life &amp; Health", "id" : "ITEM-2", "issue" : "10", "issued" : { "date-parts" : [ [ "2010" ] ] }, "publisher" : "ProQuest Central pg", "title" : "What is a Child?", "type" : "article-journal", "volume" : "114" }, "uris" : [ "http://www.mendeley.com/documents/?uuid=d1d87169-5aa0-3ebc-8e72-154473859bc8" ] } ], "mendeley" : { "formattedCitation" : "(Bell, 2010; Plastow, 2014)", "plainTextFormattedCitation" : "(Bell, 2010; Plastow, 2014)", "previouslyFormattedCitation" : "(Bell, 2010; Plastow, 2014)"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(Bell, 2010; Plastow, 2014)</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w:t>
      </w:r>
    </w:p>
    <w:p w14:paraId="279E33F6"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7B3C1CA3"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Governments all over the world have their own context about what is a child for the purpose of law and writing policies. The UN Convention on the Rights of the Child (UNCRC) defines a child as: </w:t>
      </w:r>
    </w:p>
    <w:p w14:paraId="4C2382DD"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096036A0" w14:textId="77777777" w:rsidR="00AD72EC" w:rsidRPr="00AD72EC" w:rsidRDefault="00AD72EC" w:rsidP="00AD72EC">
      <w:pPr>
        <w:spacing w:after="0" w:line="480" w:lineRule="auto"/>
        <w:ind w:left="144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‘every human being below the age of eighteen years unless under the law applicable to the child, majority is attained earlier’</w:t>
      </w:r>
    </w:p>
    <w:p w14:paraId="4B1C3F89" w14:textId="77777777" w:rsidR="00AD72EC" w:rsidRPr="00AD72EC" w:rsidRDefault="00AD72EC" w:rsidP="00AD72EC">
      <w:pPr>
        <w:spacing w:after="0" w:line="480" w:lineRule="auto"/>
        <w:ind w:left="3600" w:firstLine="360"/>
        <w:jc w:val="center"/>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"The United Nations Convention on the Rights of the Child (UNCRC)", "given" : "", "non-dropping-particle" : "", "parse-names" : false, "suffix" : "" } ], "id" : "ITEM-1", "issued" : { "date-parts" : [ [ "1990" ] ] }, "title" : "Convention on the Rights of the Child", "type" : "report" }, "uris" : [ "http://www.mendeley.com/documents/?uuid=7a583d14-b88a-3f51-9930-faad94e9c38c" ] } ], "mendeley" : { "formattedCitation" : "(The United Nations Convention on the Rights of the Child (UNCRC), 1990)", "manualFormatting" : "(The United Nations Convention on the Rights of the Child (UNCRC), 1990 pp- 4)", "plainTextFormattedCitation" : "(The United Nations Convention on the Rights of the Child (UNCRC), 1990)", "previouslyFormattedCitation" : "(The United Nations Convention on the Rights of the Child (UNCRC), 1990)"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(The United Nations Convention on the Rights of the Child (UNCRC), 1990 pp- 4)</w:t>
      </w:r>
      <w:r w:rsidRPr="00AD72EC">
        <w:rPr>
          <w:rFonts w:ascii="Times New Roman" w:eastAsia="Times New Roman" w:hAnsi="Times New Roman" w:cs="Times New Roman"/>
          <w:sz w:val="24"/>
          <w:szCs w:val="24"/>
          <w:lang w:eastAsia="en-GB"/>
        </w:rPr>
        <w:fldChar w:fldCharType="end"/>
      </w:r>
    </w:p>
    <w:p w14:paraId="15BE5971"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427A0264"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lastRenderedPageBreak/>
        <w:t xml:space="preserve">According to research early childhood from conception through to eight years of age is when human development rapidly takes place. A healthy child will undergo cognitive, emotional and physical growth at the fastest rate during this life stage. Furthermore, environmental impacts during this time places a more profound effect on the child. An inadequate diet during this time through living in poverty can seriously affect brain development and stunt growth. Early childhood stress such as persistent poverty can affect brain functions and learning causing neurological and behavioural problems, learning difficulties and emotional difficulties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"abstract" : "The key to a full and productive life. Early childhood development is the key to a full and productive life for a child and to the progress of a nation. Early childhood is a critical stage of development that forms the foundation for children's future well-being and learning. Research has shown that half of a person's intelligence potential is developed by age four and that early childhood interventions can have a lasting effect on intellectual capacity, personality, and social behaviour. Integrated programmes that target children in their very early years are, therefore, critical for their mental and psychosocial development. Failure to invest in ECD can result in development delay and disability as well as inhibit the optimal development and performance of children throughout their lives. ECD refers to a comprehensive approach to policies and programmes for children from birth to eight years of age, their parents and caregivers. Its purpose is to protect the child's rights to develop his or her full cognitive, emotional, social and physical potential. Community-based services that meet the needs of infants and young children are vital to ECD, and they should include attention to health, nutrition, education and water and environmental sanitation in homes and communities. The approach promotes and protects the rights of the young child to survival, growth and development. Experiences from ECD programmes around the world demonstrate the promise for children's well-being and for that of their families and communities 1 .", "author" : [ { "dropping-particle" : "", "family" : "UNICEF", "given" : "", "non-dropping-particle" : "", "parse-names" : false, "suffix" : "" } ], "id" : "ITEM-1", "issued" : { "date-parts" : [ [ "0" ] ] }, "title" : "Early Childhood Development", "type" : "report" }, "uris" : [ "http://www.mendeley.com/documents/?uuid=90306d77-be22-3e22-8b88-14c9c0a3b823" ] } ], "mendeley" : { "formattedCitation" : "(UNICEF, no date)", "plainTextFormattedCitation" : "(UNICEF, no date)", "previouslyFormattedCitation" : "(UNICEF, no date)"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(UNICEF, no date)</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Children born into rich families are more likely to have adequate diets, live in more affluent communities and houses, receive a better education and have a much better life chances throughout their childhood than children living in poverty. Children need adequate nutrition, living standards and environmental factors to prosper and grow into healthy young adults. Living in poverty hinders this for children and families.</w:t>
      </w:r>
    </w:p>
    <w:p w14:paraId="5DBA94F6"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59F18B04" w14:textId="77777777" w:rsidR="00AD72EC" w:rsidRPr="00AD72EC" w:rsidRDefault="00AD72EC" w:rsidP="00AD72EC">
      <w:pPr>
        <w:numPr>
          <w:ilvl w:val="1"/>
          <w:numId w:val="1"/>
        </w:numPr>
        <w:spacing w:after="0" w:line="480" w:lineRule="auto"/>
        <w:jc w:val="both"/>
        <w:outlineLvl w:val="1"/>
        <w:rPr>
          <w:rFonts w:ascii="Times New Roman" w:eastAsia="Times New Roman" w:hAnsi="Times New Roman" w:cs="Times New Roman"/>
          <w:b/>
          <w:sz w:val="24"/>
          <w:szCs w:val="24"/>
          <w:lang w:eastAsia="en-GB"/>
        </w:rPr>
      </w:pPr>
      <w:bookmarkStart w:id="6" w:name="_Toc512623096"/>
      <w:bookmarkStart w:id="7" w:name="_Toc513062322"/>
      <w:r w:rsidRPr="00AD72EC">
        <w:rPr>
          <w:rFonts w:ascii="Times New Roman" w:eastAsia="Times New Roman" w:hAnsi="Times New Roman" w:cs="Times New Roman"/>
          <w:b/>
          <w:sz w:val="24"/>
          <w:szCs w:val="24"/>
          <w:lang w:eastAsia="en-GB"/>
        </w:rPr>
        <w:t>Childhood and Well-being: Challenges and Opportunities</w:t>
      </w:r>
      <w:bookmarkEnd w:id="6"/>
      <w:bookmarkEnd w:id="7"/>
      <w:r w:rsidRPr="00AD72EC">
        <w:rPr>
          <w:rFonts w:ascii="Times New Roman" w:eastAsia="Times New Roman" w:hAnsi="Times New Roman" w:cs="Times New Roman"/>
          <w:b/>
          <w:sz w:val="24"/>
          <w:szCs w:val="24"/>
          <w:lang w:eastAsia="en-GB"/>
        </w:rPr>
        <w:t xml:space="preserve"> </w:t>
      </w:r>
    </w:p>
    <w:p w14:paraId="226EF6A4"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15F8B16C"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Well-being is defined in many ways amongst scholars, Government organisation (GOs) and Non-Government Organisation (NGOs). The most basic of definitions include well-being as quite simply the ‘quality of people’s lives’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"abstract" : "The aim of this briefing paper is to provide an overview of recent evidence in the field of childhood wellbeing. Relevant material was identified through literature and web searching during March/ April 2010, and selected for its potential to illustrate how childhood wellbeing has been defined and understood. The paper provides a summary of how wellbeing is conceptualised; the domains and measures employed to assess child wellbeing within the UK and internationally; how the views of children and young people are incorporated into work on child wellbeing; and some conclusions from key studies relevant to the wellbeing of children and young people in the UK. It concludes by highlighting some of the issues and challenges in taking this work forward. What is wellbeing? Wellbeing is generally understood as the quality of people's lives. It is a dynamic state that is enhanced when people can fulfil their personal and social goals. It is understood both in relation to objective measures, such as household income, educational resources and health status; and subjective indicators such as happiness, perceptions of quality of life and life satisfaction. Domains and measures of childhood wellbeing", "author" : [ { "dropping-particle" : "", "family" : "Statham", "given" : "June", "non-dropping-particle" : "", "parse-names" : false, "suffix" : "" }, { "dropping-particle" : "", "family" : "Chase", "given" : "Elaine", "non-dropping-particle" : "", "parse-names" : false, "suffix" : "" } ], "id" : "ITEM-1", "issued" : { "date-parts" : [ [ "2010" ] ] }, "title" : "Childhood Wellbeing: A brief overview Executive Summary", "type" : "report" }, "uris" : [ "http://www.mendeley.com/documents/?uuid=7739a2e3-72a4-3eda-8a5c-bc76767c19ef" ] } ], "mendeley" : { "formattedCitation" : "(Statham and Chase, 2010)", "manualFormatting" : "(Statham and Chase, 2010 pp- 1)", "plainTextFormattedCitation" : "(Statham and Chase, 2010)", "previouslyFormattedCitation" : "(Statham and Chase, 2010)"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(Statham and Chase, 2010 pp- 1)</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Department of Health defines well-being as “feeling good and functioning well”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"Department of Health (DOH)", "given" : "", "non-dropping-particle" : "", "parse-names" : false, "suffix" : "" } ], "id" : "ITEM-1", "issued" : { "date-parts" : [ [ "2014" ] ] }, "title" : "Wellbeing Why it matters to health policy", "type" : "report" }, "uris" : [ "http://www.mendeley.com/documents/?uuid=1ed79502-65ee-3572-87bd-f8c25763dec1" ] } ], "mendeley" : { "formattedCitation" : "(Department of Health (DOH), 2014)", "manualFormatting" : "(Department of Health (DOH), 2014 pp- 6)", "plainTextFormattedCitation" : "(Department of Health (DOH), 2014)", "previouslyFormattedCitation" : "(Department of Health (DOH), 2014)"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(Department of Health (DOH), 2014 pp- 6)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Wellbeing of children is said to be ‘crucial to the social and economic infrastructure of a healthy and wealthy nation’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"http://dx.doi.org/10.1093/bjsw/bcn154", "ISSN" : "00453102", "author" : [ { "dropping-particle" : "", "family" : "Davies", "given" : "Liz", "non-dropping-particle" : "", "parse-names" : false, "suffix" : "" } ], "container-title" : "British Journal of Social Work", "id" : "ITEM-1", "issue" : "8", "issued" : { "date-parts" : [ [ "2008", "2", "1" ] ] }, "number-of-pages" : "1654-1656", "publisher" : "Oxford University Press", "title" : "Promoting Children's Wellbeing, Policy and Practice, Janet Collins and Pam Foley (eds), Bristol, The Policy Press and The Open University, 2008, pp. 312, ISBN 97818474210596, \u00a315.99 (pbk)", "type" : "book", "volume" : "38" }, "uris" : [ "http://www.mendeley.com/documents/?uuid=d9c86f8e-3d35-37e0-a06a-c839caacfbeb" ] } ], "mendeley" : { "formattedCitation" : "(Davies, 2008)", "manualFormatting" : "(Davies, 2008 pp- 1654", "plainTextFormattedCitation" : "(Davies, 2008)", "previouslyFormattedCitation" : "(Davies, 2008)"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(Davies, 2008 pp- 1654</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Poor well-being impacts severely on childhood and life chances, as well as on families and society as a whole. Child well-being includes emotional well-being – being </w:t>
      </w:r>
      <w:r w:rsidRPr="00AD72EC">
        <w:rPr>
          <w:rFonts w:ascii="Times New Roman" w:eastAsia="Times New Roman" w:hAnsi="Times New Roman" w:cs="Times New Roman"/>
          <w:sz w:val="24"/>
          <w:szCs w:val="24"/>
          <w:lang w:eastAsia="en-GB"/>
        </w:rPr>
        <w:lastRenderedPageBreak/>
        <w:t xml:space="preserve">happy and confident, psychological well-being – managing emotions and being resilient and attentive and social well-being – having good relationships with others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"NICE", "given" : "", "non-dropping-particle" : "", "parse-names" : false, "suffix" : "" } ], "id" : "ITEM-1", "issued" : { "date-parts" : [ [ "2013" ] ] }, "publisher" : "NICE", "title" : "Social and emotional wellbeing for children and young people | Guidance and guidelines | NICE", "type" : "report" }, "uris" : [ "http://www.mendeley.com/documents/?uuid=87a4f82e-fb3d-3ded-aca9-f218e89014b0" ] } ], "mendeley" : { "formattedCitation" : "(NICE, 2013)", "plainTextFormattedCitation" : "(NICE, 2013)", "previouslyFormattedCitation" : "(NICE, 2013)"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(NICE, 2013)</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w:t>
      </w:r>
    </w:p>
    <w:p w14:paraId="00BB266C"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26BDBAD4"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 Welsh Assembly Government developed a well-being monitor for children and young people living in Wales. It is based on Wales’ policies and core aims adopted from the UN Convention for the Rights of the Child. The measures include seven core aims to measure and improve poverty amongst children in Wales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"URL" : "http://gov.wales/statistics-and-research/well-being-wales/?lang=en", "accessed" : { "date-parts" : [ [ "2018", "4", "30" ] ] }, "author" : [ { "dropping-particle" : "", "family" : "Welsh Government", "given" : "", "non-dropping-particle" : "", "parse-names" : false, "suffix" : "" } ], "id" : "ITEM-1", "issued" : { "date-parts" : [ [ "2017" ] ] }, "title" : "Welsh Government | Well-being of Wales", "type" : "webpage" }, "uris" : [ "http://www.mendeley.com/documents/?uuid=30c1012e-a6da-31a5-8454-7235256ac5b8" ] } ], "mendeley" : { "formattedCitation" : "(Welsh Government, 2017)", "plainTextFormattedCitation" : "(Welsh Government, 2017)", "previouslyFormattedCitation" : "(Welsh Government, 2017)"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(Welsh Government, 2017)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Research suggests children’s well-being is adversely affected by poverty, affecting a child’s psychological, emotional, social and cognitive development and physical health and development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"Moore", "given" : "Kristin", "non-dropping-particle" : "", "parse-names" : false, "suffix" : "" } ], "id" : "ITEM-1", "issued" : { "date-parts" : [ [ "2013" ] ] }, "title" : "What is Child Well-being?: Does It Matter How We Measure It?", "type" : "paper-conference" }, "uris" : [ "http://www.mendeley.com/documents/?uuid=efdcd0cb-7f29-3d73-a157-bb9910a56d1e" ] } ], "mendeley" : { "formattedCitation" : "(Moore, 2013)", "plainTextFormattedCitation" : "(Moore, 2013)", "previouslyFormattedCitation" : "(Moore, 2013)"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(Moore, 2013)</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Childhood well-being affects the child’s outcomes and what the child is able to achieve in the long term. Having a poor well-being affects children’s mental health, their behaviour, engagement levels at school and affects their everyday life skills, happiness and achievements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"Pople", "given" : "L &amp; Rees G", "non-dropping-particle" : "", "parse-names" : false, "suffix" : "" } ], "id" : "ITEM-1", "issued" : { "date-parts" : [ [ "2017" ] ] }, "title" : "Good Childhood Report 2017", "type" : "report" }, "uris" : [ "http://www.mendeley.com/documents/?uuid=5d93fce0-5c99-3c39-a66f-bd2dde8f43b7" ] } ], "mendeley" : { "formattedCitation" : "(Pople, 2017)", "plainTextFormattedCitation" : "(Pople, 2017)", "previouslyFormattedCitation" : "(Pople, 2017)"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(Pople, 2017)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Children from more affluent backgrounds not living in poverty tend to have a better well-being and are a lot happier than those children living in poverty. Children not only have their own worries and anxieties to concern themselves with but also their parents’ anxiety’s surrounding the family’s poverty status. Not being able to buy food or pay the bills can place a lot of stress on the parents and thus a knock-on effect on the child. Children in more affluent families most probable don’t need to think about the bills getting paid or whether they will have food on the table. Their parents won’t have the worry’s and stresses that parents in poor families have and thus the children are not burdened by their family’s predicament. </w:t>
      </w:r>
    </w:p>
    <w:p w14:paraId="57B51655"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59268C83" w14:textId="77777777" w:rsidR="00AD72EC" w:rsidRPr="00AD72EC" w:rsidRDefault="00AD72EC" w:rsidP="00AD72EC">
      <w:pPr>
        <w:numPr>
          <w:ilvl w:val="1"/>
          <w:numId w:val="1"/>
        </w:numPr>
        <w:spacing w:after="0" w:line="480" w:lineRule="auto"/>
        <w:outlineLvl w:val="1"/>
        <w:rPr>
          <w:rFonts w:ascii="Times New Roman" w:eastAsia="Times New Roman" w:hAnsi="Times New Roman" w:cs="Times New Roman"/>
          <w:b/>
          <w:sz w:val="24"/>
          <w:szCs w:val="24"/>
          <w:lang w:eastAsia="en-GB"/>
        </w:rPr>
      </w:pPr>
      <w:bookmarkStart w:id="8" w:name="_Hlk512586593"/>
      <w:bookmarkStart w:id="9" w:name="_Toc512623097"/>
      <w:bookmarkStart w:id="10" w:name="_Toc513062323"/>
      <w:r w:rsidRPr="00AD72EC">
        <w:rPr>
          <w:rFonts w:ascii="Times New Roman" w:eastAsia="Times New Roman" w:hAnsi="Times New Roman" w:cs="Times New Roman"/>
          <w:b/>
          <w:sz w:val="24"/>
          <w:szCs w:val="24"/>
          <w:lang w:eastAsia="en-GB"/>
        </w:rPr>
        <w:t>Childhood and Poverty</w:t>
      </w:r>
      <w:bookmarkEnd w:id="8"/>
      <w:r w:rsidRPr="00AD72EC">
        <w:rPr>
          <w:rFonts w:ascii="Times New Roman" w:eastAsia="Times New Roman" w:hAnsi="Times New Roman" w:cs="Times New Roman"/>
          <w:b/>
          <w:sz w:val="24"/>
          <w:szCs w:val="24"/>
          <w:lang w:eastAsia="en-GB"/>
        </w:rPr>
        <w:t>: Overview</w:t>
      </w:r>
      <w:bookmarkEnd w:id="9"/>
      <w:bookmarkEnd w:id="10"/>
    </w:p>
    <w:p w14:paraId="36E966A4"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33136E61"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lastRenderedPageBreak/>
        <w:t xml:space="preserve">Childhood poverty is common worldwide, even in countries such as USA and the UK. According to the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"JRF", "given" : "", "non-dropping-particle" : "", "parse-names" : false, "suffix" : "" } ], "id" : "ITEM-1", "issued" : { "date-parts" : [ [ "2017" ] ] }, "title" : "UK Poverty 2017 | JRF", "type" : "report" }, "uris" : [ "http://www.mendeley.com/documents/?uuid=bb928a8c-4c75-36ea-9ebf-579f80e4a0eb" ] } ], "mendeley" : { "formattedCitation" : "(JRF, 2017a)", "plainTextFormattedCitation" : "(JRF, 2017a)", "previouslyFormattedCitation" : "(JRF, 2017a)"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(JRF, 2017a)</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twenty three percent of those living in Wales are currently living in poverty. This includes 185,000 children in Wales and the figure is set to rise according to research by the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"JRF", "given" : "", "non-dropping-particle" : "", "parse-names" : false, "suffix" : "" } ], "id" : "ITEM-1", "issued" : { "date-parts" : [ [ "2017" ] ] }, "title" : "UK Poverty 2017 | JRF", "type" : "report" }, "uris" : [ "http://www.mendeley.com/documents/?uuid=9ce37173-50b9-3a70-85bd-15c1941b6b7c" ] } ], "mendeley" : { "formattedCitation" : "(JRF, 2017b)", "plainTextFormattedCitation" : "(JRF, 2017b)", "previouslyFormattedCitation" : "(JRF, 2017b)"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(JRF, 2017b)</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with poverty highest in families with children. Children depend on their immediate family, usually their mother and/or father, for the things they need to live, grow and prosper. Children enter or avoid poverty depending on their family’s economic status and do not have the means or resources to change their family’s circumstances by themselves. It is up to the adults in the family to ensure they have the adequate resources and income to provide for their children. However, this is not always possible. Some families have not got the appropriate education or skills to obtain better paid jobs to keep their family out of poverty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"Bird", "given" : "Kate", "non-dropping-particle" : "", "parse-names" : false, "suffix" : "" } ], "id" : "ITEM-1", "issued" : { "date-parts" : [ [ "2007" ] ] }, "title" : "The intergenerational transmission of poverty: An overview", "type" : "report" }, "uris" : [ "http://www.mendeley.com/documents/?uuid=0cc9fe46-3453-306d-aefc-f51b3d4085a8" ] } ], "mendeley" : { "formattedCitation" : "(Bird, 2007)", "plainTextFormattedCitation" : "(Bird, 2007)", "previouslyFormattedCitation" : "(Bird, 2007)"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(Bird, 2007)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It can be quite difficult for families to exit poverty on little money without getting a better paid job and without the appropriate skills to be qualified for that job. Families find it difficult to even go back to college to better themselves without the appropriate income or support. Being in poverty is like being in a vicious circle and can be very difficult to escape. This affects the whole family’s well-being with no end in sight to escape the destitute of living in poverty.</w:t>
      </w:r>
    </w:p>
    <w:p w14:paraId="0B7E600D"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0A3779EA"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Childhood poverty is seen as quite different to being an adult in poverty. Children’s needs and abilities are very different to an adult’s and suffer from different types of deprivations.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"10.1002/jid.1746", "ISSN" : "09541748", "author" : [ { "dropping-particle" : "", "family" : "Sumner", "given" : "Andy", "non-dropping-particle" : "", "parse-names" : false, "suffix" : "" } ], "container-title" : "Journal of International Development", "id" : "ITEM-1", "issue" : "8", "issued" : { "date-parts" : [ [ "2010", "11", "1" ] ] }, "page" : "1064-1075", "publisher" : "Wiley-Blackwell", "title" : "Child poverty, well-being and agency: What does a \u20183-D well-being\u2019 approach contribute?", "type" : "article-journal", "volume" : "22" }, "uris" : [ "http://www.mendeley.com/documents/?uuid=a5713bd1-c160-3f2e-99cf-d5d5ea2f5672" ] } ], "mendeley" : { "formattedCitation" : "(Sumner, 2010)", "plainTextFormattedCitation" : "(Sumner, 2010)", "previouslyFormattedCitation" : "(Sumner, 2010)"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(Sumner, 2010)</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suggests adult poverty is ‘heterogeneous’ that is poverty affects adults in different ways to an adult in similar circumstances compared to children. Children in general are affected by poverty in similar ways. For example, poverty affects children’s development but not an adult’s as they are already full developed. Children have minimum choices and abilities to change their surroundings whilst on the other hand, adults have many choices and abilities to change their life for the better if the opportunity arises. </w:t>
      </w:r>
      <w:r w:rsidRPr="00AD72EC">
        <w:rPr>
          <w:rFonts w:ascii="Times New Roman" w:eastAsia="Times New Roman" w:hAnsi="Times New Roman" w:cs="Times New Roman"/>
          <w:sz w:val="24"/>
          <w:szCs w:val="24"/>
          <w:lang w:eastAsia="en-GB"/>
        </w:rPr>
        <w:lastRenderedPageBreak/>
        <w:t>Children are said to be the powerless victims of poverty and the only chance they do have is to build up their resilience to cope with living in poverty.</w:t>
      </w:r>
    </w:p>
    <w:p w14:paraId="0D4CB969"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5371BBD9"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Poverty is generally defined as those living without material resources and money to meet basic human needs. Peter Townsend, a well-known sociologist and campaigner against poverty states those in poverty are said to:</w:t>
      </w:r>
    </w:p>
    <w:p w14:paraId="4D405158"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 </w:t>
      </w:r>
    </w:p>
    <w:p w14:paraId="377D6AD2" w14:textId="77777777" w:rsidR="00AD72EC" w:rsidRPr="00AD72EC" w:rsidRDefault="00AD72EC" w:rsidP="00AD72EC">
      <w:pPr>
        <w:spacing w:after="0" w:line="480" w:lineRule="auto"/>
        <w:ind w:left="144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“lack the resources to obtain the type of diet, participate in the activities and have the living conditions and the amenities which are customary, or at least widely encouraged or approved in the societies to which they belong. Their resources are so seriously below those commanded by the average family that they are in effect excluded from the ordinary living patterns, customs, and activities"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"Townsend", "given" : "Peter", "non-dropping-particle" : "", "parse-names" : false, "suffix" : "" } ], "id" : "ITEM-1", "issued" : { "date-parts" : [ [ "1979" ] ] }, "publisher" : "Allen Lane &amp; Penguin Books", "publisher-place" : "Middlesex", "title" : "Poverty in the UK", "type" : "book" }, "uris" : [ "http://www.mendeley.com/documents/?uuid=a2814c38-bfb3-450e-9fdd-50c9c19f17cc" ] } ], "mendeley" : { "formattedCitation" : "(Townsend, 1979)", "manualFormatting" : "(Townsend, 1979 pp- 31)", "plainTextFormattedCitation" : "(Townsend, 1979)", "previouslyFormattedCitation" : "(Townsend, 1979)"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(Townsend, 1979 pp- 31)</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w:t>
      </w:r>
    </w:p>
    <w:p w14:paraId="6177C990"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4B7C79E5"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The definition of poverty and how poverty is perceived can vary amongst demographical areas, cultures and societies. Poverty can mean different things for different people in different parts of the world. The United Nations definition of poverty is a universal definition meaning different types of poverty worldwide. The UN define poverty as:</w:t>
      </w:r>
    </w:p>
    <w:p w14:paraId="015D2534"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6D68FBA7" w14:textId="77777777" w:rsidR="00AD72EC" w:rsidRPr="00AD72EC" w:rsidRDefault="00AD72EC" w:rsidP="00AD72EC">
      <w:pPr>
        <w:spacing w:after="0" w:line="480" w:lineRule="auto"/>
        <w:ind w:left="144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“a denial of choices and opportunities, a violation of human dignity. It means lack of basic capacity to participate effectively in society. It means not having enough to feed and clothe a family, not having a school or clinic to go to, not having the land on which to grow one’s food or a job to earn one’s living, not having access to credit. It means insecurity, powerlessness and exclusion of individuals, households and communities. It means susceptibility to violence, </w:t>
      </w:r>
      <w:r w:rsidRPr="00AD72EC">
        <w:rPr>
          <w:rFonts w:ascii="Times New Roman" w:eastAsia="Times New Roman" w:hAnsi="Times New Roman" w:cs="Times New Roman"/>
          <w:sz w:val="24"/>
          <w:szCs w:val="24"/>
          <w:lang w:eastAsia="en-GB"/>
        </w:rPr>
        <w:lastRenderedPageBreak/>
        <w:t xml:space="preserve">and it often implies living on marginal or fragile environments, without access to clean water or sanitation” </w:t>
      </w:r>
      <w:r w:rsidRPr="00AD72EC">
        <w:rPr>
          <w:rFonts w:ascii="Times New Roman" w:eastAsia="Times New Roman" w:hAnsi="Times New Roman" w:cs="Times New Roman"/>
          <w:sz w:val="24"/>
          <w:szCs w:val="24"/>
          <w:lang w:eastAsia="en-GB"/>
        </w:rPr>
        <w:tab/>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"URL" : "https://www.un.org/press/en/1998/19980520.eco5759.html", "accessed" : { "date-parts" : [ [ "2018", "5", "1" ] ] }, "author" : [ { "dropping-particle" : "", "family" : "United Nations (UN)", "given" : "", "non-dropping-particle" : "", "parse-names" : false, "suffix" : "" } ], "container-title" : "1998", "id" : "ITEM-1", "issued" : { "date-parts" : [ [ "1998" ] ] }, "title" : "STATEMENT OF COMMITMENT FOR ACTION TO ERADICATE POVERTY ADOPTED BY ADMINISTRATIVE COMMITTEE ON COORDINATION | Meetings Coverage and Press Releases", "type" : "webpage" }, "uris" : [ "http://www.mendeley.com/documents/?uuid=1761ee45-2e37-3669-adb8-542ac0b001de" ] } ], "mendeley" : { "formattedCitation" : "(United Nations (UN), 1998)", "plainTextFormattedCitation" : "(United Nations (UN), 1998)", "previouslyFormattedCitation" : "(United Nations (UN), 1998)"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(United Nations (UN), 1998)</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w:t>
      </w:r>
    </w:p>
    <w:p w14:paraId="6F8B259C"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482EC549"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 Welsh Government and the UK Government has not adopted a clear definition of what poverty is. Instead they use measures of poverty to recognise who is poor. Poverty is measured and defined by the UK Government by ‘relative low income’ or ‘relative poverty’ and absolute low income or ‘absolute poverty’. According to scholars, GO’s and NGO’s children in the UK are said to be in poverty if their family has a low income below 60% of median household income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"McGuinness", "given" : "Feargal", "non-dropping-particle" : "", "parse-names" : false, "suffix" : "" } ], "id" : "ITEM-1", "issued" : { "date-parts" : [ [ "2018" ] ] }, "title" : "Poverty in the UK: statistics", "type" : "report" }, "uris" : [ "http://www.mendeley.com/documents/?uuid=7448c347-c6c4-374d-b2a9-ffd1561a09bf" ] }, { "id" : "ITEM-2", "itemData" : { "DOI" : "10.1920/re.ifs.2017.0127", "author" : [ { "dropping-particle" : "", "family" : "Hood", "given" : "Andrew ;", "non-dropping-particle" : "", "parse-names" : false, "suffix" : "" }, { "dropping-particle" : "", "family" : "Waters", "given" : "Tom", "non-dropping-particle" : "", "parse-names" : false, "suffix" : "" } ], "id" : "ITEM-2", "issued" : { "date-parts" : [ [ "2016" ] ] }, "title" : "Living Standards, Poverty and inequality in the UK: 2016-2017  to 2021-2022.", "type" : "report" }, "uris" : [ "http://www.mendeley.com/documents/?uuid=995ff382-7d85-3f96-bec0-9a10bff501e1" ] }, { "id" : "ITEM-3", "itemData" : { "ISBN" : "978-19-0719-464-1", "abstract" : "If development is about poverty reduction, then where the poorest live is an important question. This paper seeks to answer this questionusing an internationally comparable multidimensional poverty index (MPI) to identify the poor using household surveys across more than a hundred countries. We compare three approaches to identifying the bottom billion: (i) the billion living in the poorest countries; (ii) the billion living in the poorest subnational regions and (iii) the poorest billion according to the intensity of their deprivations. Although there are commonalities across these three approaches, they produce notably different findings that are relevant to the discussions of sustainable development goals.", "author" : [ { "dropping-particle" : "", "family" : "Seth", "given" : "Suman", "non-dropping-particle" : "", "parse-names" : false, "suffix" : "" }, { "dropping-particle" : "", "family" : "Sumner", "given" : "Andy", "non-dropping-particle" : "", "parse-names" : false, "suffix" : "" }, { "dropping-particle" : "", "family" : "Alkire", "given" : "Sabina", "non-dropping-particle" : "", "parse-names" : false, "suffix" : "" }, { "dropping-particle" : "", "family" : "Manuel Roche", "given" : "Jose", "non-dropping-particle" : "", "parse-names" : false, "suffix" : "" } ], "id" : "ITEM-3", "issued" : { "date-parts" : [ [ "2014" ] ] }, "title" : "Identifying the Poorest People and Groups: Strategies Using the Global Multidimensional Poverty Index", "type" : "report" }, "uris" : [ "http://www.mendeley.com/documents/?uuid=cb9ab969-1227-37e2-a2dc-5f20baea5715" ] }, { "id" : "ITEM-4", "itemData" : { "ISBN" : "1447325648", "abstract" : "Fourth edition. The 'Well-being of Children in the UK' is a comprehensive report on the physical, cognitive, behavioural and emotional well-being of children in England, Northern Ireland, Scotland and Wales. It provides an up-to-date and thorough review of existing data.", "author" : [ { "dropping-particle" : "", "family" : "Bradshaw", "given" : "Jonathan", "non-dropping-particle" : "", "parse-names" : false, "suffix" : "" } ], "id" : "ITEM-4", "issued" : { "date-parts" : [ [ "2016" ] ] }, "number-of-pages" : "425", "title" : "Well-being of children in the UK", "type" : "book" }, "uris" : [ "http://www.mendeley.com/documents/?uuid=e90b5686-6cb0-300d-ac7b-bdbaf84f1fc0" ] }, { "id" : "ITEM-5", "itemData" : { "author" : [ { "dropping-particle" : "", "family" : "Parekh, A Macinnes, T and Kerway", "given" : "P", "non-dropping-particle" : "", "parse-names" : false, "suffix" : "" } ], "id" : "ITEM-5", "issued" : { "date-parts" : [ [ "2010" ] ] }, "title" : "Monitoring poverty and social exclusion 2010 | JRF", "type" : "report" }, "uris" : [ "http://www.mendeley.com/documents/?uuid=fd05d8cf-04ea-3c13-bffa-55cdce753d66" ] }, { "id" : "ITEM-6", "itemData" : { "author" : [ { "dropping-particle" : "", "family" : "Childrens Society", "given" : "", "non-dropping-particle" : "", "parse-names" : false, "suffix" : "" } ], "id" : "ITEM-6", "issued" : { "date-parts" : [ [ "2017" ] ] }, "title" : "Welfare Reform and Work Bill: Report and 3 rd reading Briefing \u2013 Two Child Limit", "type" : "report" }, "uris" : [ "http://www.mendeley.com/documents/?uuid=bf2aeffa-a9c1-36a8-85e5-8f3b94e24292" ] } ], "mendeley" : { "formattedCitation" : "(Parekh, A Macinnes, T and Kerway, 2010; Seth &lt;i&gt;et al.&lt;/i&gt;, 2014; Bradshaw, 2016; Hood and Waters, 2016; Childrens Society, 2017; McGuinness, 2018)", "plainTextFormattedCitation" : "(Parekh, A Macinnes, T and Kerway, 2010; Seth et al., 2014; Bradshaw, 2016; Hood and Waters, 2016; Childrens Society, 2017; McGuinness, 2018)", "previouslyFormattedCitation" : "(Parekh, A Macinnes, T and Kerway, 2010; Seth &lt;i&gt;et al.&lt;/i&gt;, 2014; Bradshaw, 2016; Hood and Waters, 2016; Childrens Society, 2017; McGuinness, 2018)"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(Parekh, A Macinnes, T and Kerway, 2010; Seth </w:t>
      </w:r>
      <w:r w:rsidRPr="00AD72EC">
        <w:rPr>
          <w:rFonts w:ascii="Times New Roman" w:eastAsia="Times New Roman" w:hAnsi="Times New Roman" w:cs="Times New Roman"/>
          <w:i/>
          <w:noProof/>
          <w:sz w:val="24"/>
          <w:szCs w:val="24"/>
          <w:lang w:eastAsia="en-GB"/>
        </w:rPr>
        <w:t>et al.</w:t>
      </w:r>
      <w:r w:rsidRPr="00AD72EC">
        <w:rPr>
          <w:rFonts w:ascii="Times New Roman" w:eastAsia="Times New Roman" w:hAnsi="Times New Roman" w:cs="Times New Roman"/>
          <w:noProof/>
          <w:sz w:val="24"/>
          <w:szCs w:val="24"/>
          <w:lang w:eastAsia="en-GB"/>
        </w:rPr>
        <w:t>, 2014; Bradshaw, 2016; Hood and Waters, 2016; Childrens Society, 2017; McGuinness, 2018)</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government uses two different measures of poverty based on the average household income of all families in the UK. Families are said to be in relative poverty if their household income is below 60% of average income in that year looking at the gap between lower earning households and middle earning households. However, families are said to be in absolute poverty if their household income is below 60% of the average income in 2010/11. Families in absolute poverty haven’t had an increase in income, inflation as kept prices rising pushing families into further poverty with lack of sufficient resources for health and well-being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"McGuinness", "given" : "Feargal", "non-dropping-particle" : "", "parse-names" : false, "suffix" : "" } ], "id" : "ITEM-1", "issued" : { "date-parts" : [ [ "2018" ] ] }, "title" : "Poverty in the UK: statistics", "type" : "report" }, "uris" : [ "http://www.mendeley.com/documents/?uuid=7448c347-c6c4-374d-b2a9-ffd1561a09bf" ] }, { "id" : "ITEM-2", "itemData" : { "DOI" : "10.1920/re.ifs.2017.0127", "author" : [ { "dropping-particle" : "", "family" : "Hood", "given" : "Andrew ;", "non-dropping-particle" : "", "parse-names" : false, "suffix" : "" }, { "dropping-particle" : "", "family" : "Waters", "given" : "Tom", "non-dropping-particle" : "", "parse-names" : false, "suffix" : "" } ], "id" : "ITEM-2", "issued" : { "date-parts" : [ [ "2016" ] ] }, "title" : "Living Standards, Poverty and inequality in the UK: 2016-2017  to 2021-2022.", "type" : "report" }, "uris" : [ "http://www.mendeley.com/documents/?uuid=995ff382-7d85-3f96-bec0-9a10bff501e1" ] } ], "mendeley" : { "formattedCitation" : "(Hood and Waters, 2016; McGuinness, 2018)", "plainTextFormattedCitation" : "(Hood and Waters, 2016; McGuinness, 2018)", "previouslyFormattedCitation" : "(Hood and Waters, 2016; McGuinness, 2018)"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(Hood and Waters, 2016; McGuinness, 2018)</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w:t>
      </w:r>
    </w:p>
    <w:p w14:paraId="455365D9" w14:textId="77777777" w:rsidR="00AD72EC" w:rsidRPr="00AD72EC" w:rsidRDefault="00AD72EC" w:rsidP="00AD72EC">
      <w:pPr>
        <w:spacing w:after="0" w:line="480" w:lineRule="auto"/>
        <w:ind w:left="360"/>
        <w:rPr>
          <w:rFonts w:ascii="Times New Roman" w:eastAsia="Times New Roman" w:hAnsi="Times New Roman" w:cs="Times New Roman"/>
          <w:sz w:val="24"/>
          <w:szCs w:val="24"/>
          <w:lang w:eastAsia="en-GB"/>
        </w:rPr>
      </w:pPr>
    </w:p>
    <w:p w14:paraId="2B7717FD" w14:textId="77777777" w:rsidR="00AD72EC" w:rsidRPr="00AD72EC" w:rsidRDefault="00AD72EC" w:rsidP="00AD72EC">
      <w:pPr>
        <w:numPr>
          <w:ilvl w:val="1"/>
          <w:numId w:val="1"/>
        </w:numPr>
        <w:spacing w:after="0" w:line="480" w:lineRule="auto"/>
        <w:outlineLvl w:val="1"/>
        <w:rPr>
          <w:rFonts w:ascii="Times New Roman" w:eastAsia="Times New Roman" w:hAnsi="Times New Roman" w:cs="Times New Roman"/>
          <w:b/>
          <w:sz w:val="24"/>
          <w:szCs w:val="24"/>
          <w:lang w:eastAsia="en-GB"/>
        </w:rPr>
      </w:pPr>
      <w:bookmarkStart w:id="11" w:name="_Toc512623098"/>
      <w:bookmarkStart w:id="12" w:name="_Toc513062324"/>
      <w:r w:rsidRPr="00AD72EC">
        <w:rPr>
          <w:rFonts w:ascii="Times New Roman" w:eastAsia="Times New Roman" w:hAnsi="Times New Roman" w:cs="Times New Roman"/>
          <w:b/>
          <w:sz w:val="24"/>
          <w:szCs w:val="24"/>
          <w:lang w:eastAsia="en-GB"/>
        </w:rPr>
        <w:t>Childhood and Poverty: Current Context</w:t>
      </w:r>
      <w:bookmarkEnd w:id="11"/>
      <w:bookmarkEnd w:id="12"/>
    </w:p>
    <w:p w14:paraId="12E01CCE"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3ABDC0C9"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 consequence of childhood poverty is vast. The link between childhood health and poverty is seen as ‘extensive, strong and pervasive’ by scholar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"Reading", "given" : "Richard", "non-dropping-particle" : "", "parse-names" : false, "suffix" : "" } ], "container-title" : "Archives of Disease in Childhood", "id" : "ITEM-1", "issued" : { "date-parts" : [ [ "1997" ] ] }, "page" : "463-467", "title" : "Poverty and the health of children and adolescents", "type" : "article-journal", "volume" : "76" }, "uris" : [ "http://www.mendeley.com/documents/?uuid=eb00225f-d2a5-345a-85b3-2626965485b2" ] } ], "mendeley" : { "formattedCitation" : "(Reading, 1997)", "manualFormatting" : "(Reading, 1997 pp- 463)", "plainTextFormattedCitation" : "(Reading, 1997)", "previouslyFormattedCitation" : "(Reading, 1997)"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(Reading, 1997 pp- 463)</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Vast amounts of research in the field of childhood poverty suggest all aspects of health, physical and mental are affected considerably by living in poverty than the wealthier </w:t>
      </w:r>
      <w:r w:rsidRPr="00AD72EC">
        <w:rPr>
          <w:rFonts w:ascii="Times New Roman" w:eastAsia="Times New Roman" w:hAnsi="Times New Roman" w:cs="Times New Roman"/>
          <w:sz w:val="24"/>
          <w:szCs w:val="24"/>
          <w:lang w:eastAsia="en-GB"/>
        </w:rPr>
        <w:lastRenderedPageBreak/>
        <w:t xml:space="preserve">population.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"Reading", "given" : "Richard", "non-dropping-particle" : "", "parse-names" : false, "suffix" : "" } ], "container-title" : "Archives of Disease in Childhood", "id" : "ITEM-1", "issued" : { "date-parts" : [ [ "1997" ] ] }, "page" : "463-467", "title" : "Poverty and the health of children and adolescents", "type" : "article-journal", "volume" : "76" }, "uris" : [ "http://www.mendeley.com/documents/?uuid=29c8f490-8fb6-3a2b-8437-39cb95bc610d" ] } ], "mendeley" : { "formattedCitation" : "(Reading, 1997)", "plainTextFormattedCitation" : "(Reading, 1997)", "previouslyFormattedCitation" : "(Reading, 1997)"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(Reading, 1997)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suggests health amongst the poor varies with even slight socioeconomic differences.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"Reading", "given" : "Richard", "non-dropping-particle" : "", "parse-names" : false, "suffix" : "" } ], "container-title" : "Archives of Disease in Childhood", "id" : "ITEM-1", "issued" : { "date-parts" : [ [ "1997" ] ] }, "page" : "463-467", "title" : "Poverty and the health of children and adolescents", "type" : "article-journal", "volume" : "76" }, "uris" : [ "http://www.mendeley.com/documents/?uuid=eb00225f-d2a5-345a-85b3-2626965485b2" ] } ], "mendeley" : { "formattedCitation" : "(Reading, 1997)", "plainTextFormattedCitation" : "(Reading, 1997)", "previouslyFormattedCitation" : "(Reading, 1997)"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(Reading, 1997)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further suggests the poorer the family the poorer the health of their children due to lack of resources and poor living standards. According to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"10.1136/BMJ.298.6672.483", "ISSN" : "0959-8138", "PMID" : "2495076", "abstract" : "To determine the time trend in age at death from cystic fibrosis and the independent effects of social class, sex, and region of residence mortality data for England and Wales from 1959 to 1986 were analysed. Median age at death increased from 6 months in 1959 to 17 years in 1986 and was higher in most years from 1970 in male patients (by one to six years) and in social classes with non-manual occupations (by one to 12 years). Independent odds ratios for death above the median age for the year of death (calculated for years from 1974, when regions of residence were coded by regional health authority area) were 1.47 (95% confidence interval 1.16 to 1.87) in male compared with female patients and 2.75 (2.16 to 3.52) in non-manual compared with manual social classes. The independent odds of death at above the median age also varied significantly among regions of residence by a ratio of up to 2.67. Social class, sex, and region of residence are all potential determinants of survival of patients with cystic fibrosis. Social class is particularly likely to confound the effect of management in specialist centres on survival.", "author" : [ { "dropping-particle" : "", "family" : "Britton", "given" : "J R", "non-dropping-particle" : "", "parse-names" : false, "suffix" : "" } ], "container-title" : "BMJ (Clinical research ed.)", "id" : "ITEM-1", "issue" : "6672", "issued" : { "date-parts" : [ [ "1989", "2", "25" ] ] }, "page" : "483-7", "publisher" : "British Medical Journal Publishing Group", "title" : "Effects of social class, sex, and region of residence on age at death from cystic fibrosis.", "type" : "article-journal", "volume" : "298" }, "uris" : [ "http://www.mendeley.com/documents/?uuid=bb5173ec-546b-34eb-a7ac-9d4178844b78" ] } ], "mendeley" : { "formattedCitation" : "(Britton, 1989)", "plainTextFormattedCitation" : "(Britton, 1989)", "previouslyFormattedCitation" : "(Britton, 1989)"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(Britton, 1989)</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overcoming and surviving long term health conditions is strongly influenced by the individual’s social factors and economic status. Children are multiply deprived living in poverty. Children living in poverty are at a higher risk of homelessness, lack material resources such as adequate clothing, shoes and food, are highly likely to live in deprived neighbourhoods with high crime rates, their family is likely to depend on benefits and are unemployed or have a disability that prevents them from working and escaping poverty. Children in poverty are highly likely to also be socially deprived. Families living in poverty haven’t the income to afford day trips or give their children pocket money to go out with friends. This then results in antisocial behaviours and children turning to crime, having accidents in the home and on the roads, and stealing to survive (ref).</w:t>
      </w:r>
    </w:p>
    <w:p w14:paraId="1C99B078"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4F13B014"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According to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"abstract" : "0-4 years 8 6 0 0 0 8 40 U 4 2 5-14 years 8-6-0 0 0 I-4 2 Abstract Trends in pedestrian injury mortality for children aged 0-4 and 5-14 for England and Wales, Denmark, Sweden, the USA, and New Zealand were emined from 1968 onwards. While there has been a reduction in the pedestrian mortality in all these countries, there are striking international differences in the extent of these reductions. Denmark has achieved the greatest fail in mortality with the smallest decrease seen in New Zealand. Countries which have experienced major decreases in pedestrian mortality are distin-guished by having placed greater emphasis on environmentally based prevention strategies rather than pedestrian skills education. Pedestrian injuries are a leading cause of child-hood mortality.' 2 Each year in England and Wales approximately 230 children are killed in pedestrian-motor vehicle collisions.3 For the children who survive the injuries are often severe. A North American study found that 24% of children involved in pedestrian motor vehicle collisions required hospital admission.4 Serious head injury is common with high levels of residual disability.5'6 Over the past two decades a number of different approaches to the prevention of child pedestrian injuries have been tried in different countries. Usually these strategies are imple-mented at the national level as part of a countries road safety policy, for example, the Green Cross Code in the UK. International comparisons of child pedestrian fatality rates may therefore provide some insight into the relative efficacy of the different strategies adopted. In this study international trends in child pedestrian mortality are examined and these trends are considered in relation to the types of preventive strategy employed. Methods Pedestrian injury mortality rates (ICD 9 E code 814.7) for children aged 0-4 and 5-14 were obtained for England and Wales, Denmark, Sweden, the USA, and New Zealand from 1968 until the most recent year for which these data were available. Data for England and Wales were obtained from the Office of Population Censuses and Surveys, for Denmark from the Danish Council for Road Safety Research, for Sweden from Statistics Sweden, for the USA from the Centers for Disease Control, and for New Zealand from Health Statistical Services published data. To reduce the influence of random variability and give a clearer impression of overall trends, three year moving averages were calculated and shown graphically. Spe\u2026", "author" : [ { "dropping-particle" : "", "family" : "Roberts", "given" : "I G", "non-dropping-particle" : "", "parse-names" : false, "suffix" : "" } ], "container-title" : "Archives ofDisease in ChildhoodArch Dis Child", "id" : "ITEM-1", "issued" : { "date-parts" : [ [ "1993" ] ] }, "title" : "International trends in pedestrian injury mortality", "type" : "article-journal", "volume" : "6868" }, "uris" : [ "http://www.mendeley.com/documents/?uuid=ebac743d-da3f-31dc-b2cd-2fc9f9d22386" ] } ], "mendeley" : { "formattedCitation" : "(Roberts, 1993)", "plainTextFormattedCitation" : "(Roberts, 1993)", "previouslyFormattedCitation" : "(Roberts, 1993)"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(Roberts, 1993)</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poor children are more likely to get injured on the roads than children who are from wealthier backgrounds.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"10.1136/JECH.46.1.26", "ISSN" : "0143-005X", "PMID" : "1573356", "abstract" : "STUDY OBJECTIVE The aim was to improve the epidemiological information concerning child accidental injuries which can be extracted from routine inpatient and coroners' inquest data. DESIGN This was a retrospective study of coroners' inquest reports and inpatient case notes to undertake objective severity scaling and to extract basic data. This material was related to denominators from OPCS mid-year population estimates, to 1981 census ward populations, and to sociodemographic data collected in a local census in 1986. SETTING The study population was derived from three north east health districts and their corresponding census enumeration districts. PARTICIPANTS A stratified sample of 500 children aged 0-16 years from among residents admitted to hospital with accidental injuries in 1986 was studied, together with all accidental injury child deaths between 1980 and 1986; 94% of the relevant case notes were localised and extracted. MAIN RESULTS When differentiated by injury severity there are major systematic differences in the basic epidemiology of child accidental injury by age and place of residence of victims as well as in the nature and causes of injuries sustained. CONCLUSIONS Injury severity scores can be used to define a \"severity\" threshold, within the spectrum of injuries, leading to hospital admission or death. By ensuring complete ascertainment this technique can provide a more accurate case definition than crude admission rates for estimating the frequency of injury in a population of children.", "author" : [ { "dropping-particle" : "", "family" : "Walsh", "given" : "S S", "non-dropping-particle" : "", "parse-names" : false, "suffix" : "" }, { "dropping-particle" : "", "family" : "Jarvis", "given" : "S N", "non-dropping-particle" : "", "parse-names" : false, "suffix" : "" } ], "container-title" : "Journal of epidemiology and community health", "id" : "ITEM-1", "issue" : "1", "issued" : { "date-parts" : [ [ "1992", "2", "1" ] ] }, "page" : "26-32", "publisher" : "BMJ Publishing Group Ltd", "title" : "Measuring the frequency of &amp;quot;severe&amp;quot; accidental injury in childhood.", "type" : "article-journal", "volume" : "46" }, "uris" : [ "http://www.mendeley.com/documents/?uuid=5ce1c048-9a78-3bb7-b8d6-901e9aad7a19" ] } ], "mendeley" : { "formattedCitation" : "(Walsh and Jarvis, 1992)", "manualFormatting" : "Walsh and Jarvis, (1992) ", "plainTextFormattedCitation" : "(Walsh and Jarvis, 1992)", "previouslyFormattedCitation" : "(Walsh and Jarvis, 1992)"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Walsh and Jarvis, (1992) </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suggest children from poor backgrounds are more likely to be involved in accidents at home from trips, falls, burns, poisoning, fires and drowning. The reason being that families are unable to replace broken furniture or carpets and are at higher risk of a fall or injury.</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"Peden", "given" : "Margie", "non-dropping-particle" : "", "parse-names" : false, "suffix" : "" }, { "dropping-particle" : "", "family" : "Oyegbite", "given" : "Kayode", "non-dropping-particle" : "", "parse-names" : false, "suffix" : "" }, { "dropping-particle" : "", "family" : "Ozanne-Smith", "given" : "Joan", "non-dropping-particle" : "", "parse-names" : false, "suffix" : "" }, { "dropping-particle" : "", "family" : "Hyder", "given" : "Adnan A", "non-dropping-particle" : "", "parse-names" : false, "suffix" : "" }, { "dropping-particle" : "", "family" : "Branche", "given" : "Christine", "non-dropping-particle" : "", "parse-names" : false, "suffix" : "" }, { "dropping-particle" : "", "family" : "Rahman", "given" : "Fazlur", "non-dropping-particle" : "", "parse-names" : false, "suffix" : "" }, { "dropping-particle" : "", "family" : "Rivara", "given" : "Frederick", "non-dropping-particle" : "", "parse-names" : false, "suffix" : "" }, { "dropping-particle" : "", "family" : "Bartolomeos", "given" : "Kidist", "non-dropping-particle" : "", "parse-names" : false, "suffix" : "" } ], "container-title" : "World Health Organization", "id" : "ITEM-1", "issued" : { "date-parts" : [ [ "2008" ] ] }, "title" : "World report on child injury prevention", "type" : "report" }, "uris" : [ "http://www.mendeley.com/documents/?uuid=fdb5091e-200f-30b8-9390-beda81186eb2" ] } ], "mendeley" : { "formattedCitation" : "(Peden &lt;i&gt;et al.&lt;/i&gt;, 2008)", "plainTextFormattedCitation" : "(Peden et al., 2008)", "previouslyFormattedCitation" : "(Peden &lt;i&gt;et al.&lt;/i&gt;, 2008)"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(Peden </w:t>
      </w:r>
      <w:r w:rsidRPr="00AD72EC">
        <w:rPr>
          <w:rFonts w:ascii="Times New Roman" w:eastAsia="Times New Roman" w:hAnsi="Times New Roman" w:cs="Times New Roman"/>
          <w:i/>
          <w:noProof/>
          <w:sz w:val="24"/>
          <w:szCs w:val="24"/>
          <w:lang w:eastAsia="en-GB"/>
        </w:rPr>
        <w:t>et al.</w:t>
      </w:r>
      <w:r w:rsidRPr="00AD72EC">
        <w:rPr>
          <w:rFonts w:ascii="Times New Roman" w:eastAsia="Times New Roman" w:hAnsi="Times New Roman" w:cs="Times New Roman"/>
          <w:noProof/>
          <w:sz w:val="24"/>
          <w:szCs w:val="24"/>
          <w:lang w:eastAsia="en-GB"/>
        </w:rPr>
        <w:t>, 2008)</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suggests that 830,000 children die every year from accidents in the home with the leading cause of childhood injury and deaths from road traffic accidents. </w:t>
      </w:r>
    </w:p>
    <w:p w14:paraId="4156C9DB"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398AA130"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There is much debate about who is to blame when people are living in poverty. Is the blame placed on those who are poor for their own predicament? Or should somebody else such as </w:t>
      </w:r>
      <w:r w:rsidRPr="00AD72EC">
        <w:rPr>
          <w:rFonts w:ascii="Times New Roman" w:eastAsia="Times New Roman" w:hAnsi="Times New Roman" w:cs="Times New Roman"/>
          <w:sz w:val="24"/>
          <w:szCs w:val="24"/>
          <w:lang w:eastAsia="en-GB"/>
        </w:rPr>
        <w:lastRenderedPageBreak/>
        <w:t xml:space="preserve">the government or the rich people take the blame for people living in poverty? Are people in poverty for being lazy and not willing to work? Are people to blame for their poor education and not making the right decisions in life that contributed to their predicament? Or is the government to blame for not ensuring social policies are successful and prevent them from failing? Are government laws on alcohol not tight enough? Are governments losing the battle on keeping drugs at bay? Who should take the blame for decades of poverty worldwide in developing and developed countries and also in third world countries where governments are too poor to make a difference? </w:t>
      </w:r>
    </w:p>
    <w:p w14:paraId="165684FC"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Poverty can hit anyone at any time. An individual could be classed as living above the poverty line and struck down by serious illness such as a stroke or heart attack. The individual is in most circumstances immediately not able to work again and face early retirement. This predicament could push the individual and their family into poverty if circumstances allow. The illness doesn’t make it the fault of the individual but however others may argue it was the individual’s fault for smoking, eating unhealthy foods, drinking alcohol or taking irregular exercise. Even if the individual was living a healthier lifestyle, people and governments generally jump to the conclusion the individual couldn’t have or they wouldn’t have suffered a stroke or heart attack. Family illnesses and disabilities push many families into poverty sometimes by no fault of their own. However, if the individual is unable to work to provide for their family poverty can be unavoidable and benefits in most developed countries such as the UK and USA are the only option and they too are sometimes not adequate enough to keep families out of poverty.</w:t>
      </w:r>
    </w:p>
    <w:p w14:paraId="10386329"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5E40C46E" w14:textId="77777777" w:rsidR="00AD72EC" w:rsidRPr="00AD72EC" w:rsidRDefault="00AD72EC" w:rsidP="00AD72EC">
      <w:pPr>
        <w:numPr>
          <w:ilvl w:val="1"/>
          <w:numId w:val="1"/>
        </w:numPr>
        <w:spacing w:after="0" w:line="480" w:lineRule="auto"/>
        <w:outlineLvl w:val="1"/>
        <w:rPr>
          <w:rFonts w:ascii="Times New Roman" w:eastAsia="Times New Roman" w:hAnsi="Times New Roman" w:cs="Times New Roman"/>
          <w:b/>
          <w:sz w:val="24"/>
          <w:szCs w:val="24"/>
          <w:lang w:eastAsia="en-GB"/>
        </w:rPr>
      </w:pPr>
      <w:bookmarkStart w:id="13" w:name="_Toc512623099"/>
      <w:bookmarkStart w:id="14" w:name="_Toc513062325"/>
      <w:r w:rsidRPr="00AD72EC">
        <w:rPr>
          <w:rFonts w:ascii="Times New Roman" w:eastAsia="Times New Roman" w:hAnsi="Times New Roman" w:cs="Times New Roman"/>
          <w:b/>
          <w:sz w:val="24"/>
          <w:szCs w:val="24"/>
          <w:lang w:eastAsia="en-GB"/>
        </w:rPr>
        <w:t>Childhood and Poverty: Poverty Demographics</w:t>
      </w:r>
      <w:bookmarkEnd w:id="13"/>
      <w:bookmarkEnd w:id="14"/>
    </w:p>
    <w:p w14:paraId="75BC9410"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5E891D6D"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lastRenderedPageBreak/>
        <w:t>Poverty amongst children and adults is more prevalent in large over populated cities worldwide and many areas in developing countries such as parts of Asia, Africa and Caribbean.</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"ISBN" : "978-19-0719-464-1", "abstract" : "If development is about poverty reduction, then where the poorest live is an important question. This paper seeks to answer this questionusing an internationally comparable multidimensional poverty index (MPI) to identify the poor using household surveys across more than a hundred countries. We compare three approaches to identifying the bottom billion: (i) the billion living in the poorest countries; (ii) the billion living in the poorest subnational regions and (iii) the poorest billion according to the intensity of their deprivations. Although there are commonalities across these three approaches, they produce notably different findings that are relevant to the discussions of sustainable development goals.", "author" : [ { "dropping-particle" : "", "family" : "Seth", "given" : "Suman", "non-dropping-particle" : "", "parse-names" : false, "suffix" : "" }, { "dropping-particle" : "", "family" : "Sumner", "given" : "Andy", "non-dropping-particle" : "", "parse-names" : false, "suffix" : "" }, { "dropping-particle" : "", "family" : "Alkire", "given" : "Sabina", "non-dropping-particle" : "", "parse-names" : false, "suffix" : "" }, { "dropping-particle" : "", "family" : "Manuel Roche", "given" : "Jose", "non-dropping-particle" : "", "parse-names" : false, "suffix" : "" } ], "id" : "ITEM-1", "issued" : { "date-parts" : [ [ "2014" ] ] }, "title" : "Identifying the Poorest People and Groups: Strategies Using the Global Multidimensional Poverty Index", "type" : "report" }, "uris" : [ "http://www.mendeley.com/documents/?uuid=cb9ab969-1227-37e2-a2dc-5f20baea5715" ] } ], "mendeley" : { "formattedCitation" : "(Seth &lt;i&gt;et al.&lt;/i&gt;, 2014)", "plainTextFormattedCitation" : "(Seth et al., 2014)", "previouslyFormattedCitation" : "(Seth &lt;i&gt;et al.&lt;/i&gt;, 2014)"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(Seth </w:t>
      </w:r>
      <w:r w:rsidRPr="00AD72EC">
        <w:rPr>
          <w:rFonts w:ascii="Times New Roman" w:eastAsia="Times New Roman" w:hAnsi="Times New Roman" w:cs="Times New Roman"/>
          <w:i/>
          <w:noProof/>
          <w:sz w:val="24"/>
          <w:szCs w:val="24"/>
          <w:lang w:eastAsia="en-GB"/>
        </w:rPr>
        <w:t>et al.</w:t>
      </w:r>
      <w:r w:rsidRPr="00AD72EC">
        <w:rPr>
          <w:rFonts w:ascii="Times New Roman" w:eastAsia="Times New Roman" w:hAnsi="Times New Roman" w:cs="Times New Roman"/>
          <w:noProof/>
          <w:sz w:val="24"/>
          <w:szCs w:val="24"/>
          <w:lang w:eastAsia="en-GB"/>
        </w:rPr>
        <w:t>, 2014)</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Cities in the UK that have high rates of poverty include London, Manchester and Birmingham with pockets of poverty in areas such as of ‘Bradford, Glasgow, Newcastle and Leeds’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"URL" : "http://www.endchildpoverty.org.uk/poverty-in-your-area-2018/", "accessed" : { "date-parts" : [ [ "2018", "5", "1" ] ] }, "author" : [ { "dropping-particle" : "", "family" : "End Child Poverty", "given" : "", "non-dropping-particle" : "", "parse-names" : false, "suffix" : "" } ], "id" : "ITEM-1", "issued" : { "date-parts" : [ [ "2018" ] ] }, "title" : "Poverty in your area 2018 | Improving the lives of children and families", "type" : "webpage" }, "uris" : [ "http://www.mendeley.com/documents/?uuid=489f7b2c-6a80-368b-b31d-9afc42ae18a4" ] } ], "mendeley" : { "formattedCitation" : "(End Child Poverty, 2018)", "plainTextFormattedCitation" : "(End Child Poverty, 2018)", "previouslyFormattedCitation" : "(End Child Poverty, 2018)"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(End Child Poverty, 2018)</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Many areas in Scotland and Wales have pockets of poverty scattered throughout, due to the rurality of these areas. </w:t>
      </w:r>
    </w:p>
    <w:p w14:paraId="4D3AC2ED"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6254E040" w14:textId="77777777" w:rsidR="00AD72EC" w:rsidRPr="00AD72EC" w:rsidRDefault="00AD72EC" w:rsidP="00AD72EC">
      <w:pPr>
        <w:spacing w:after="0" w:line="240" w:lineRule="auto"/>
        <w:rPr>
          <w:rFonts w:ascii="Times New Roman" w:eastAsia="Times New Roman" w:hAnsi="Times New Roman" w:cs="Times New Roman"/>
          <w:b/>
          <w:sz w:val="24"/>
          <w:szCs w:val="24"/>
          <w:lang w:eastAsia="en-GB"/>
        </w:rPr>
      </w:pPr>
    </w:p>
    <w:p w14:paraId="6D2BF580" w14:textId="77777777" w:rsidR="00AD72EC" w:rsidRPr="00AD72EC" w:rsidRDefault="00AD72EC" w:rsidP="00AD72EC">
      <w:pPr>
        <w:numPr>
          <w:ilvl w:val="1"/>
          <w:numId w:val="1"/>
        </w:numPr>
        <w:spacing w:after="0" w:line="480" w:lineRule="auto"/>
        <w:outlineLvl w:val="1"/>
        <w:rPr>
          <w:rFonts w:ascii="Times New Roman" w:eastAsia="Times New Roman" w:hAnsi="Times New Roman" w:cs="Times New Roman"/>
          <w:b/>
          <w:sz w:val="24"/>
          <w:szCs w:val="24"/>
          <w:lang w:eastAsia="en-GB"/>
        </w:rPr>
      </w:pPr>
      <w:bookmarkStart w:id="15" w:name="_Toc512623100"/>
      <w:bookmarkStart w:id="16" w:name="_Toc513062326"/>
      <w:r w:rsidRPr="00AD72EC">
        <w:rPr>
          <w:rFonts w:ascii="Times New Roman" w:eastAsia="Times New Roman" w:hAnsi="Times New Roman" w:cs="Times New Roman"/>
          <w:b/>
          <w:sz w:val="24"/>
          <w:szCs w:val="24"/>
          <w:lang w:eastAsia="en-GB"/>
        </w:rPr>
        <w:t>Current Policy and Brexit: Future Aspiration or Future Fear</w:t>
      </w:r>
      <w:bookmarkEnd w:id="15"/>
      <w:bookmarkEnd w:id="16"/>
    </w:p>
    <w:p w14:paraId="4A76322D"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336FB9CC"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Although world governments have made great progress in reducing poverty and increasing standards of living for millions of children on a global scale, millions of children remain in poverty. The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"URL" : "http://www.worldbank.org/en/news/press-release/2018/01/09/global-economy-to-edge-up-to-3-1-percent-in-2018-but-future-potential-growth-a-concern", "accessed" : { "date-parts" : [ [ "2018", "5", "1" ] ] }, "author" : [ { "dropping-particle" : "", "family" : "World Bank", "given" : "", "non-dropping-particle" : "", "parse-names" : false, "suffix" : "" } ], "id" : "ITEM-1", "issued" : { "date-parts" : [ [ "2018" ] ] }, "title" : "Global Economy to Edge Up to 3.1 percent in 2018 but Future Potential Growth a Concern", "type" : "webpage" }, "uris" : [ "http://www.mendeley.com/documents/?uuid=14a21ce9-4adb-389c-b260-265434616286" ] } ], "mendeley" : { "formattedCitation" : "(World Bank, 2018)", "manualFormatting" : "World Bank, (2018)", "plainTextFormattedCitation" : "(World Bank, 2018)", "previouslyFormattedCitation" : "(World Bank, 2018)"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World Bank, (2018)</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suggests economic growth to be the driver in reducing poverty however they further suggest this may not happen in the current economic climate as growth of the economy is particularly slow at the present time. Ending childhood poverty is one of the Sustainable Development Goals (SDGs) adopted by the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"United Nations (UN)", "given" : "", "non-dropping-particle" : "", "parse-names" : false, "suffix" : "" } ], "id" : "ITEM-1", "issued" : { "date-parts" : [ [ "2015" ] ] }, "title" : "TRANSFORMING OUR WORLD: THE 2030 AGENDA FOR SUSTAINABLE DEVELOPMENT TRANSFORMING OUR WORLD: THE 2030 AGENDA FOR SUSTAINABLE DEVELOPMENT A/RES/70/1", "type" : "report" }, "uris" : [ "http://www.mendeley.com/documents/?uuid=fb09d54d-d5f6-3a0f-b8f3-410c490a3ba5" ] } ], "mendeley" : { "formattedCitation" : "(United Nations (UN), 2015)", "manualFormatting" : "United Nations (UN), (2015)", "plainTextFormattedCitation" : "(United Nations (UN), 2015)", "previouslyFormattedCitation" : "(United Nations (UN), 2015)"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United Nations (UN), (2015)</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SDGs expand and follow on from the millennium development goals (MDGs) introduced by the UN in 2001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"United Nations (UN)", "given" : "", "non-dropping-particle" : "", "parse-names" : false, "suffix" : "" } ], "id" : "ITEM-1", "issued" : { "date-parts" : [ [ "2006" ] ] }, "title" : "The Millennium Development Goals Report", "type" : "report" }, "uris" : [ "http://www.mendeley.com/documents/?uuid=8256e9d9-afae-3cfe-bd61-b8d28bb1fc69" ] } ], "mendeley" : { "formattedCitation" : "(United Nations (UN), 2006)", "plainTextFormattedCitation" : "(United Nations (UN), 2006)", "previouslyFormattedCitation" : "(United Nations (UN), 2006)"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(United Nations (UN), 2006)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SDGs are targets and indicators covering social, environmental and economic issues to help tackle and end poverty by 2030. The SDGs are aimed at all member states of the UN to follow when introducing and implementing political programmes and government policies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"United Nations (UN)", "given" : "", "non-dropping-particle" : "", "parse-names" : false, "suffix" : "" } ], "id" : "ITEM-1", "issued" : { "date-parts" : [ [ "2015" ] ] }, "title" : "TRANSFORMING OUR WORLD: THE 2030 AGENDA FOR SUSTAINABLE DEVELOPMENT TRANSFORMING OUR WORLD: THE 2030 AGENDA FOR SUSTAINABLE DEVELOPMENT A/RES/70/1", "type" : "report" }, "uris" : [ "http://www.mendeley.com/documents/?uuid=fb09d54d-d5f6-3a0f-b8f3-410c490a3ba5" ] } ], "mendeley" : { "formattedCitation" : "(United Nations (UN), 2015)", "plainTextFormattedCitation" : "(United Nations (UN), 2015)", "previouslyFormattedCitation" : "(United Nations (UN), 2015)"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(United Nations (UN), 2015)</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These SDGs were introduced for a more sustainable society in which nobody is left behind whilst also looking after the planet.  The UK government has suggested they are committed to implementing and delivering the SDGs in the UK in a report published December 2017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"URL" : "https://www.gov.uk/government/publications/implementing-the-sustainable-development-goals/implementing-the-sustainable-development-goals", "accessed" : { "date-parts" : [ [ "2018", "5", "1" ] ] }, "author" : [ { "dropping-particle" : "", "family" : "UK Government", "given" : "", "non-dropping-particle" : "", "parse-names" : false, "suffix" : "" } ], "container-title" : "2017", "id" : "ITEM-1", "issued" : { "date-parts" : [ [ "2017" ] ] }, "title" : "Implementing the Sustainable Development Goals - GOV.UK", "type" : "webpage" }, "uris" : [ "http://www.mendeley.com/documents/?uuid=bd8a8d2d-50b3-306f-bcab-11d96b88abc8" ] } ], "mendeley" : { "formattedCitation" : "(UK Government, 2017)", "plainTextFormattedCitation" : "(UK Government, 2017)", "previouslyFormattedCitation" : "(UK Government, 2017)"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(UK Government, 2017)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However, there is insufficient </w:t>
      </w:r>
      <w:r w:rsidRPr="00AD72EC">
        <w:rPr>
          <w:rFonts w:ascii="Times New Roman" w:eastAsia="Times New Roman" w:hAnsi="Times New Roman" w:cs="Times New Roman"/>
          <w:sz w:val="24"/>
          <w:szCs w:val="24"/>
          <w:lang w:eastAsia="en-GB"/>
        </w:rPr>
        <w:lastRenderedPageBreak/>
        <w:t xml:space="preserve">information on the government website to say if or when anything will be implemented to support the UNs SDGs.   Wales on the other hand, being a devolved government, has introduced a one kind legislation not introduced by any other country. This being the ‘Well-being of Future Generations (Wales) Act 2015’.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"Welsh Government", "given" : "", "non-dropping-particle" : "", "parse-names" : false, "suffix" : "" } ], "id" : "ITEM-1", "issued" : { "date-parts" : [ [ "2016" ] ] }, "title" : "A Guide to the Wellbeing of Future Generations Act", "type" : "report" }, "uris" : [ "http://www.mendeley.com/documents/?uuid=26645f58-5cf0-3195-9b6a-624c1c904201" ] } ], "mendeley" : { "formattedCitation" : "(Welsh Government, 2016a)", "plainTextFormattedCitation" : "(Welsh Government, 2016a)", "previouslyFormattedCitation" : "(Welsh Government, 2016a)"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(Welsh Government, 2016a)</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This is a new law introduced by the Welsh Assembly Government to make Wales a better place for all to live now and for future generations to come. The law has seven Well-being goals that all public bodies in Wales must work towards for a healthier, resilient, prosperous and globally responsible Wales as some examples taken from the goals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"Welsh Government", "given" : "", "non-dropping-particle" : "", "parse-names" : false, "suffix" : "" } ], "id" : "ITEM-1", "issued" : { "date-parts" : [ [ "2016" ] ] }, "title" : "A Guide to the Wellbeing of Future Generations Act", "type" : "report" }, "uris" : [ "http://www.mendeley.com/documents/?uuid=26645f58-5cf0-3195-9b6a-624c1c904201" ] } ], "mendeley" : { "formattedCitation" : "(Welsh Government, 2016a)", "plainTextFormattedCitation" : "(Welsh Government, 2016a)", "previouslyFormattedCitation" : "(Welsh Government, 2016a)"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(Welsh Government, 2016a)</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Within these goals Wales has a responsibility to tackle poverty in wales. At the same time the Future Generations Commissioner for Wales was also introduced to ensure the ‘Wellbeing of Future Generations Act (Wales) 2015’ is being met across Wales to encourage public bodies to take careful consideration of long term impacts and to monitor, assess and give advice so objectives are met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"URL" : "https://futuregenerations.wales/about-us/future-generations-commissioner/", "accessed" : { "date-parts" : [ [ "2018", "5", "1" ] ] }, "author" : [ { "dropping-particle" : "", "family" : "Future Commissioner for Wales", "given" : "", "non-dropping-particle" : "", "parse-names" : false, "suffix" : "" } ], "id" : "ITEM-1", "issued" : { "date-parts" : [ [ "2018" ] ] }, "title" : "Future Generations Commissioner for Wales \u2013 The Future Generations Commissioner for Wales", "type" : "webpage" }, "uris" : [ "http://www.mendeley.com/documents/?uuid=7d8586a9-ae79-3ce5-ab5f-6fb2289678a3" ] } ], "mendeley" : { "formattedCitation" : "(Future Commissioner for Wales, 2018)", "plainTextFormattedCitation" : "(Future Commissioner for Wales, 2018)", "previouslyFormattedCitation" : "(Future Commissioner for Wales, 2018)"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(Future Commissioner for Wales, 2018)</w:t>
      </w:r>
      <w:r w:rsidRPr="00AD72EC">
        <w:rPr>
          <w:rFonts w:ascii="Times New Roman" w:eastAsia="Times New Roman" w:hAnsi="Times New Roman" w:cs="Times New Roman"/>
          <w:sz w:val="24"/>
          <w:szCs w:val="24"/>
          <w:lang w:eastAsia="en-GB"/>
        </w:rPr>
        <w:fldChar w:fldCharType="end"/>
      </w:r>
    </w:p>
    <w:p w14:paraId="60378B98"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4DF320CE"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Labour came to power in 1997 introducing the welfare to work programme which saw an increase in income for families with children. The national minimum wage was introduced to further keep families out of poverty. Families were also given more employment rights such as entitlement to paid statutory sick leave, paid statutory maternity leave and opportunities to flexible working for families. During this time the government increased work incentives to encourage more families with children to take up work, offering additional support with childcare costs and encouraging families to increase their skills by taking up college courses offering incentives such as grants and including housing benefit to those attending full time courses. Welfare to work programme ‘New Deal’ a type of employment support through the job centre were introduced to certain groups of people during this time. These included single parents, disabled people and those over 50 years of </w:t>
      </w:r>
      <w:r w:rsidRPr="00AD72EC">
        <w:rPr>
          <w:rFonts w:ascii="Times New Roman" w:eastAsia="Times New Roman" w:hAnsi="Times New Roman" w:cs="Times New Roman"/>
          <w:sz w:val="24"/>
          <w:szCs w:val="24"/>
          <w:lang w:eastAsia="en-GB"/>
        </w:rPr>
        <w:lastRenderedPageBreak/>
        <w:t xml:space="preserve">age. These groups had to attend the jobcentre regularly to encourage claimants to think about work and to see if the government could do anything to break the barriers for them to enter work. Other ‘New Deal’ programmes for those not in employment were mandatory to ensure they kept receiving their benefit payments or they would stop. These included workshops to improve their job skillset and filling in job applications, attending regular visits to the job centre to prove they have been actively seeking work and attending back to work appointments with the jobcentre. Anyone failing to stick to the terms and conditions of New Deal were deprived of their benefits for a set time. Although this was a good incentive to get people back into work, suspending peoples benefits when appointment were missed or not reasonably seeking work were seen to be pushing families into poverty. Families were not able to pay bills or buy food causing knock on affects when benefits were reinstated as money was not back dated. Non-Government organisations such as the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"JRF", "given" : "", "non-dropping-particle" : "", "parse-names" : false, "suffix" : "" } ], "id" : "ITEM-1", "issued" : { "date-parts" : [ [ "2000" ] ] }, "title" : "The New Deals: the experience so far | JRF", "type" : "report" }, "uris" : [ "http://www.mendeley.com/documents/?uuid=a51fb691-2d51-385b-a130-84fcd2c8f0a0" ] } ], "mendeley" : { "formattedCitation" : "(JRF, 2000)", "plainTextFormattedCitation" : "(JRF, 2000)", "previouslyFormattedCitation" : "(JRF, 2000)"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(JRF, 2000)</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criticised the New Deal programme for being patchy and unsustainable for those with multiple barriers and special needs. They felt although the government helped many families get back into employment and reduce the risk of poverty amongst children and families, much still needed to be done to recognise the needs of those that needed more support to meet diverse needs and parental responsibilities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"JRF", "given" : "", "non-dropping-particle" : "", "parse-names" : false, "suffix" : "" } ], "id" : "ITEM-1", "issued" : { "date-parts" : [ [ "2000" ] ] }, "title" : "The New Deals: the experience so far | JRF", "type" : "report" }, "uris" : [ "http://www.mendeley.com/documents/?uuid=a51fb691-2d51-385b-a130-84fcd2c8f0a0" ] } ], "mendeley" : { "formattedCitation" : "(JRF, 2000)", "plainTextFormattedCitation" : "(JRF, 2000)", "previouslyFormattedCitation" : "(JRF, 2000)"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(JRF, 2000)</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They also felt incentives to work were not matched to help people progress in work or to get better paid jobs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"JRF", "given" : "", "non-dropping-particle" : "", "parse-names" : false, "suffix" : "" } ], "id" : "ITEM-1", "issued" : { "date-parts" : [ [ "2000" ] ] }, "title" : "The New Deals: the experience so far | JRF", "type" : "report" }, "uris" : [ "http://www.mendeley.com/documents/?uuid=a51fb691-2d51-385b-a130-84fcd2c8f0a0" ] } ], "mendeley" : { "formattedCitation" : "(JRF, 2000)", "plainTextFormattedCitation" : "(JRF, 2000)", "previouslyFormattedCitation" : "(JRF, 2000)"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(JRF, 2000)</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w:t>
      </w:r>
    </w:p>
    <w:p w14:paraId="033E6FD5"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0D54EE90"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In 2010 the labour government introduced a ‘Child Poverty Act’ with a pledge to reduce child poverty in the UK by 2020. The act committed the government to meet four income related child poverty targets to reduce levels of poverty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"Kennedy", "given" : "Steven", "non-dropping-particle" : "", "parse-names" : false, "suffix" : "" } ], "id" : "ITEM-1", "issued" : { "date-parts" : [ [ "2014" ] ] }, "title" : "Child Poverty Act 2010: a short guide", "type" : "report" }, "uris" : [ "http://www.mendeley.com/documents/?uuid=c8179b1c-4ec6-333e-ac5b-dab29a902e04" ] } ], "mendeley" : { "formattedCitation" : "(Kennedy, 2014)", "plainTextFormattedCitation" : "(Kennedy, 2014)", "previouslyFormattedCitation" : "(Kennedy, 2014)"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(Kennedy, 2014)</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Soon after in 2011 the conservatives came to power and published their child poverty strategy focusing rather on the causes of poverty instead of focussing on the symptoms of poverty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"Kennedy", "given" : "Steven", "non-dropping-particle" : "", "parse-names" : false, "suffix" : "" } ], "id" : "ITEM-1", "issued" : { "date-parts" : [ [ "2014" ] ] }, "title" : "Child Poverty Act 2010: a short guide", "type" : "report" }, "uris" : [ "http://www.mendeley.com/documents/?uuid=c8179b1c-4ec6-333e-ac5b-dab29a902e04" ] } ], "mendeley" : { "formattedCitation" : "(Kennedy, 2014)", "plainTextFormattedCitation" : "(Kennedy, 2014)", "previouslyFormattedCitation" : "(Kennedy, 2014)"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(Kennedy, </w:t>
      </w:r>
      <w:r w:rsidRPr="00AD72EC">
        <w:rPr>
          <w:rFonts w:ascii="Times New Roman" w:eastAsia="Times New Roman" w:hAnsi="Times New Roman" w:cs="Times New Roman"/>
          <w:noProof/>
          <w:sz w:val="24"/>
          <w:szCs w:val="24"/>
          <w:lang w:eastAsia="en-GB"/>
        </w:rPr>
        <w:lastRenderedPageBreak/>
        <w:t>2014)</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In 2016 under the Welfare Reform and Work Act the Child Poverty Act 2010 was abolished and instead replaced with a ‘duty to report’ on educational attainment and workless families with no legal obligations to meet previous set targets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"Kennedy", "given" : "Steven", "non-dropping-particle" : "", "parse-names" : false, "suffix" : "" } ], "id" : "ITEM-1", "issued" : { "date-parts" : [ [ "2014" ] ] }, "title" : "Child Poverty Act 2010: a short guide", "type" : "report" }, "uris" : [ "http://www.mendeley.com/documents/?uuid=c8179b1c-4ec6-333e-ac5b-dab29a902e04" ] }, { "id" : "ITEM-2", "itemData" : { "URL" : "http://www.poverty.ac.uk/analysis-poverty-measurement-life-chances-government-policy/redefining-poverty", "accessed" : { "date-parts" : [ [ "2018", "5", "1" ] ] }, "author" : [ { "dropping-particle" : "", "family" : "Lansley", "given" : "Stewart", "non-dropping-particle" : "", "parse-names" : false, "suffix" : "" } ], "id" : "ITEM-2", "issued" : { "date-parts" : [ [ "2012" ] ] }, "title" : "Redefining poverty? | Poverty and Social Exclusion", "type" : "webpage" }, "uris" : [ "http://www.mendeley.com/documents/?uuid=98f50349-ce51-3e49-9bd9-4885c1e51632" ] }, { "id" : "ITEM-3", "itemData" : { "author" : [ { "dropping-particle" : "", "family" : "McGuinness", "given" : "Feargal", "non-dropping-particle" : "", "parse-names" : false, "suffix" : "" } ], "id" : "ITEM-3", "issued" : { "date-parts" : [ [ "2017" ] ] }, "title" : "Child Poverty in the UK (Target for Reduction) Bill, 2016-17", "type" : "report" }, "uris" : [ "http://www.mendeley.com/documents/?uuid=1103f622-d610-4725-80a5-8fe28f091967" ] } ], "mendeley" : { "formattedCitation" : "(Lansley, 2012; Kennedy, 2014; McGuinness, 2017)", "plainTextFormattedCitation" : "(Lansley, 2012; Kennedy, 2014; McGuinness, 2017)", "previouslyFormattedCitation" : "(Lansley, 2012; Kennedy, 2014; McGuinness, 2017)"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(Lansley, 2012; Kennedy, 2014; McGuinness, 2017)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Instead the new legislation will ‘develop a range of measures and indicators to monitor the root causes of poverty, while also setting out a new children’s life chances strategy’ to eradicate childhood poverty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"URL" : "https://www.gov.uk/government/news/government-to-strengthen-child-poverty-measure", "accessed" : { "date-parts" : [ [ "2018", "5", "1" ] ] }, "author" : [ { "dropping-particle" : "", "family" : "Department for Work and Pensions(DWP)", "given" : "", "non-dropping-particle" : "", "parse-names" : false, "suffix" : "" } ], "id" : "ITEM-1", "issued" : { "date-parts" : [ [ "2015" ] ] }, "title" : "Government to strengthen child poverty measure - GOV.UK", "type" : "webpage" }, "uris" : [ "http://www.mendeley.com/documents/?uuid=02240b22-b0bb-3b19-abfc-9a627024c316" ] } ], "mendeley" : { "formattedCitation" : "(Department for Work and Pensions(DWP), 2015)", "manualFormatting" : "(Department for Work and Pensions (DWP), 2015 pp- 1)", "plainTextFormattedCitation" : "(Department for Work and Pensions(DWP), 2015)", "previouslyFormattedCitation" : "(Department for Work and Pensions(DWP), 2015)"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(Department for Work and Pensions (DWP), 2015 pp- 1)</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t>
      </w:r>
    </w:p>
    <w:p w14:paraId="0E50B5ED"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496004A1"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Wales introduced the 2010 Children and Families (Wales) Measure which placed a duty on the Welsh government to develop a Child Poverty Strategy for Wales and sequentially, the Welsh Assembly Government published the child poverty strategy with five key objectives to tackle inequalities and eliminate poverty amongst children and families in wales by 2020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"Welsh Assembly Government", "given" : "", "non-dropping-particle" : "", "parse-names" : false, "suffix" : "" } ], "id" : "ITEM-1", "issued" : { "date-parts" : [ [ "2011" ] ] }, "title" : "Child Poverty Strategy for Wales", "type" : "report" }, "uris" : [ "http://www.mendeley.com/documents/?uuid=696e7f13-fbd1-389c-b568-8db0ad1703f9" ] } ], "mendeley" : { "formattedCitation" : "(Welsh Assembly Government, 2011)", "plainTextFormattedCitation" : "(Welsh Assembly Government, 2011)", "previouslyFormattedCitation" : "(Welsh Assembly Government, 2011)"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(Welsh Assembly Government, 2011)</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t>
      </w:r>
    </w:p>
    <w:p w14:paraId="039E6048"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6DE06665"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Since the Conservative Government has been in power many social policy changes have occurred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"URL" : "https://www.gov.uk/government/publications/2010-to-2015-government-policy-welfare-reform/2010-to-2015-government-policy-welfare-reform", "accessed" : { "date-parts" : [ [ "2018", "5", "2" ] ] }, "author" : [ { "dropping-particle" : "", "family" : "UK Government", "given" : "", "non-dropping-particle" : "", "parse-names" : false, "suffix" : "" } ], "id" : "ITEM-1", "issued" : { "date-parts" : [ [ "2015" ] ] }, "title" : "2010 to 2015 government policy: welfare reform - GOV.UK", "type" : "webpage" }, "uris" : [ "http://www.mendeley.com/documents/?uuid=70ec192b-9d30-3621-8e0c-e11047dc6afc" ] }, { "id" : "ITEM-2", "itemData" : { "DOI" : "10.2307/j.ctt1t89dsd", "ISBN" : "9781447324591", "editor" : [ { "dropping-particle" : "", "family" : "Bochel", "given" : "Hugh", "non-dropping-particle" : "", "parse-names" : false, "suffix" : "" }, { "dropping-particle" : "", "family" : "Powell", "given" : "Martin", "non-dropping-particle" : "", "parse-names" : false, "suffix" : "" } ], "id" : "ITEM-2", "issued" : { "date-parts" : [ [ "2016", "3", "24" ] ] }, "publisher" : "Policy Press", "title" : "The coalition government and social policy", "type" : "book" }, "uris" : [ "http://www.mendeley.com/documents/?uuid=9bad4332-e070-3f4a-8a1c-2aa533ee835c" ] } ], "mendeley" : { "formattedCitation" : "(UK Government, 2015; Bochel and Powell, 2016)", "plainTextFormattedCitation" : "(UK Government, 2015; Bochel and Powell, 2016)", "previouslyFormattedCitation" : "(UK Government, 2015; Bochel and Powell, 2016)"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(UK Government, 2015; Bochel and Powell, 2016)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Recent policies have pushed families into further poverty and homelessness has increased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"Fitzpatrick", "given" : "Suzanne", "non-dropping-particle" : "", "parse-names" : false, "suffix" : "" }, { "dropping-particle" : "", "family" : "Pawson", "given" : "Hal", "non-dropping-particle" : "", "parse-names" : false, "suffix" : "" }, { "dropping-particle" : "", "family" : "Bramley", "given" : "Glen", "non-dropping-particle" : "", "parse-names" : false, "suffix" : "" }, { "dropping-particle" : "", "family" : "Wilcox", "given" : "Steve", "non-dropping-particle" : "", "parse-names" : false, "suffix" : "" }, { "dropping-particle" : "", "family" : "Watts", "given" : "Beth", "non-dropping-particle" : "", "parse-names" : false, "suffix" : "" } ], "id" : "ITEM-1", "issued" : { "date-parts" : [ [ "2017" ] ] }, "title" : "The homelessness monitor: England 2017", "type" : "article-journal" }, "uris" : [ "http://www.mendeley.com/documents/?uuid=eb4b7cfe-d4e1-3799-9d67-3b3ce8215def" ] } ], "mendeley" : { "formattedCitation" : "(Fitzpatrick &lt;i&gt;et al.&lt;/i&gt;, 2017)", "plainTextFormattedCitation" : "(Fitzpatrick et al., 2017)", "previouslyFormattedCitation" : "(Fitzpatrick &lt;i&gt;et al.&lt;/i&gt;, 2017)"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(Fitzpatrick </w:t>
      </w:r>
      <w:r w:rsidRPr="00AD72EC">
        <w:rPr>
          <w:rFonts w:ascii="Times New Roman" w:eastAsia="Times New Roman" w:hAnsi="Times New Roman" w:cs="Times New Roman"/>
          <w:i/>
          <w:noProof/>
          <w:sz w:val="24"/>
          <w:szCs w:val="24"/>
          <w:lang w:eastAsia="en-GB"/>
        </w:rPr>
        <w:t>et al.</w:t>
      </w:r>
      <w:r w:rsidRPr="00AD72EC">
        <w:rPr>
          <w:rFonts w:ascii="Times New Roman" w:eastAsia="Times New Roman" w:hAnsi="Times New Roman" w:cs="Times New Roman"/>
          <w:noProof/>
          <w:sz w:val="24"/>
          <w:szCs w:val="24"/>
          <w:lang w:eastAsia="en-GB"/>
        </w:rPr>
        <w:t>, 2017)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Compared with the Welsh Government, the UK Government responsible for England has taken a step back from current child poverty policies, and they seem to no longer be a priority as it once was. The 2007 economic recession and cuts in budgets since the recession has seen poverty levels rise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"JRF", "given" : "", "non-dropping-particle" : "", "parse-names" : false, "suffix" : "" } ], "id" : "ITEM-1", "issued" : { "date-parts" : [ [ "2016" ] ] }, "title" : "UK poverty: Causes, costs and solutions | JRF", "type" : "report" }, "uris" : [ "http://www.mendeley.com/documents/?uuid=69b6a9df-036a-3827-ab3e-48fca4cade15" ] } ], "mendeley" : { "formattedCitation" : "(JRF, 2016)", "plainTextFormattedCitation" : "(JRF, 2016)", "previouslyFormattedCitation" : "(JRF, 2016)"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(JRF, 2016)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A recent new policy ‘The Tax Credits and Universal Credit two child limit’ introduced by the government as part of the ‘Welfare Reform and Work Bill 2015-16’ has caused great controversy amongst NGO’s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"ISBN" : "9781474116152", "abstract" : "Print ISBN 9781474122733 Web ISBN 9781474122740 ID 25061566 07/15 PU1820 Printed on paper containing 75% recycled fibre content minimum Printed in the UK by the Williams Lea Group on behalf of the Controller of Her Majesty's Stationery Office The Budget report is presented pursuant to section 2 of the Budget Responsibility and National Audit Act 2011 and in accordance with the Charter for Budget Responsibility. The Budget report, combined with the Office for Budget Responsibility's Economic and fiscal outlook, will constitute part of the government's assessment under section 5 of the European Communities (Amendment) Act 1993 that will form the basis of the government's submissions to the European Commission under 121 TFEU (ex Articles 99/103 TEU) and Article 126 TFEU (ex Article 104/104c TEU) after the assessment is approved by Parliament.", "author" : [ { "dropping-particle" : "", "family" : "HM Treasury", "given" : "", "non-dropping-particle" : "", "parse-names" : false, "suffix" : "" } ], "id" : "ITEM-1", "issue" : "July", "issued" : { "date-parts" : [ [ "2015" ] ] }, "title" : "Summer Budget 2015", "type" : "report" }, "uris" : [ "http://www.mendeley.com/documents/?uuid=1a10ca6f-8bde-32ab-b5f6-5e8f259106ee" ] }, { "id" : "ITEM-2", "itemData" : { "URL" : "https://www.churchofengland.org/more/media-centre/comment-and-features/blessing-not-burden-why-every-child-should-be-valued-equally", "accessed" : { "date-parts" : [ [ "2018", "5", "2" ] ] }, "author" : [ { "dropping-particle" : "", "family" : "The Church of England", "given" : "", "non-dropping-particle" : "", "parse-names" : false, "suffix" : "" } ], "id" : "ITEM-2", "issued" : { "date-parts" : [ [ "2018" ] ] }, "title" : "A blessing not a burden: why every child should be valued equally | The Church of England", "type" : "webpage" }, "uris" : [ "http://www.mendeley.com/documents/?uuid=ba599874-97a0-35b4-806a-41e95c8bf767" ] } ], "mendeley" : { "formattedCitation" : "(HM Treasury, 2015; The Church of England, 2018)", "plainTextFormattedCitation" : "(HM Treasury, 2015; The Church of England, 2018)", "previouslyFormattedCitation" : "(HM Treasury, 2015; The Church of England, 2018)"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(HM Treasury, 2015; The Church of England, 2018)</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Those on Child Tax Credits as of April 2017 will not be able to claim for more than two children born after this date unless special </w:t>
      </w:r>
      <w:r w:rsidRPr="00AD72EC">
        <w:rPr>
          <w:rFonts w:ascii="Times New Roman" w:eastAsia="Times New Roman" w:hAnsi="Times New Roman" w:cs="Times New Roman"/>
          <w:sz w:val="24"/>
          <w:szCs w:val="24"/>
          <w:lang w:eastAsia="en-GB"/>
        </w:rPr>
        <w:lastRenderedPageBreak/>
        <w:t xml:space="preserve">circumstances apply such as rape or multiple births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"Beatty", "given" : "Christina", "non-dropping-particle" : "", "parse-names" : false, "suffix" : "" } ], "id" : "ITEM-1", "issued" : { "date-parts" : [ [ "2016" ] ] }, "title" : "The uneven impact of welfare reform : the financial losses to places and people", "type" : "article-journal" }, "uris" : [ "http://www.mendeley.com/documents/?uuid=d8671b5f-58ea-39e2-8122-f6a761a6ab79" ] } ], "mendeley" : { "formattedCitation" : "(Beatty, 2016)", "plainTextFormattedCitation" : "(Beatty, 2016)", "previouslyFormattedCitation" : "(Beatty, 2016)"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(Beatty, 2016)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Governments has also removed the family element from child tax credits at the same time and report that placing a limit on the number of children families are able to claim for and removing the family element  will save £2.3 billion per year by 2020-21 rising to £5 billion a year once policy is fully in place affecting 900,000 families in the UK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"Bate", "given" : "Alex", "non-dropping-particle" : "", "parse-names" : false, "suffix" : "" } ], "id" : "ITEM-1", "issue" : "7935", "issued" : { "date-parts" : [ [ "2017" ] ] }, "title" : "The two child limit in tax credits and Universal Credit", "type" : "article-journal" }, "uris" : [ "http://www.mendeley.com/documents/?uuid=03afe01e-b89a-3252-80eb-248e25ba22f9" ] } ], "mendeley" : { "formattedCitation" : "(Bate, 2017)", "plainTextFormattedCitation" : "(Bate, 2017)", "previouslyFormattedCitation" : "(Bate, 2017)"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(Bate, 2017)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However NGO’s and religious groups are against the government’s decision to control the amount of children families can claim for suggesting poverty will further increase and abortions in the UK will rise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"abstract" : "One of the core foundations of a just and compassionate welfare state, and one that has been embedded within our social security system since its inception, is that the level of support available to families should be linked to their level of need. On April 6 th 2017, the two-child limit came into effect, restricting financial support through tax credits or universal credit to families with more than two children \u2013 regardless of need. As this policy reaches one year old, around 160,000 families are now up to \u00a32,780 a year worse off than they would have been if their youngest child had been born in the previous year. Half a million children live in these families, and some may find that their families cannot afford to throw them a birthday party this year. Over the next few years, more and more families and children will be affected by the two-child limit \u2013 around 2 million children by 2020/21, and 3 million children by 2025. The two-child limit has not attracted as much attention as other welfare reforms, such as the bedroom tax and the benefit cap, even though its long-term impact will be greater in terms of both the number of families affected and the impact on poverty. Because it only currently applies to children born after April 2017, the impact of the two-child limit will be more gradual, with the full effects not being felt for at least a decade. Nor does it lead to a sudden fall in a family's income, like the benefit cap or bedroom tax. Instead, families having a third or subsequent child will experience a tight squeeze on their finances, because they no longer qualify for additional support.", "author" : [ { "dropping-particle" : "", "family" : "Welsh Government", "given" : "", "non-dropping-particle" : "", "parse-names" : false, "suffix" : "" } ], "id" : "ITEM-1", "issued" : { "date-parts" : [ [ "2018" ] ] }, "title" : "Unhappy Birthday! The Two-Child Limit at One Year Old", "type" : "report" }, "uris" : [ "http://www.mendeley.com/documents/?uuid=b5dd0b62-f42b-3005-9681-220c7b865274" ] }, { "id" : "ITEM-2", "itemData" : { "author" : [ { "dropping-particle" : "", "family" : "Childrens Society", "given" : "", "non-dropping-particle" : "", "parse-names" : false, "suffix" : "" } ], "id" : "ITEM-2", "issued" : { "date-parts" : [ [ "2017" ] ] }, "title" : "Welfare Reform and Work Bill: Report and 3 rd reading Briefing \u2013 Two Child Limit", "type" : "report" }, "uris" : [ "http://www.mendeley.com/documents/?uuid=bf2aeffa-a9c1-36a8-85e5-8f3b94e24292" ] }, { "id" : "ITEM-3", "itemData" : { "author" : [ { "dropping-particle" : "", "family" : "Welsh Government", "given" : "", "non-dropping-particle" : "", "parse-names" : false, "suffix" : "" } ], "id" : "ITEM-3", "issued" : { "date-parts" : [ [ "2016" ] ] }, "title" : "All Party Parliamentary Group on Health in All Policies", "type" : "article-journal" }, "uris" : [ "http://www.mendeley.com/documents/?uuid=cce7942e-4aa2-3426-8ed4-e5dd447f4f94" ] } ], "mendeley" : { "formattedCitation" : "(Welsh Government, 2016b, 2018; Childrens Society, 2017)", "plainTextFormattedCitation" : "(Welsh Government, 2016b, 2018; Childrens Society, 2017)", "previouslyFormattedCitation" : "(Welsh Government, 2016b, 2018; Childrens Society, 2017)"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(Welsh Government, 2016b, 2018; Childrens Society, 2017)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Many NGO’s suggest abortions should be freely chosen and not forced upon mothers and families due to state policies, even suggesting these children will be punished by poverty for being born by families ignoring the two-child limit claiming tax credits. The government seems to be placing a type of favouritism on to the reproduction of wealthy families. What about large families with more than two children, that were once rich but go bankrupt or the main earner being hit by disability, illness or even death and unable to work and have to claim child tax credits. What about blended families in the future with more than two children, coming together and making a new family. They would be better off staying two separate families rather than merging as one costing the government more to keep these two families. </w:t>
      </w:r>
    </w:p>
    <w:p w14:paraId="54C53264" w14:textId="77777777" w:rsidR="00AD72EC" w:rsidRPr="00AD72EC" w:rsidRDefault="00AD72EC" w:rsidP="00AD72EC">
      <w:pPr>
        <w:spacing w:after="0" w:line="480" w:lineRule="auto"/>
        <w:ind w:left="360"/>
        <w:rPr>
          <w:rFonts w:ascii="Times New Roman" w:eastAsia="Times New Roman" w:hAnsi="Times New Roman" w:cs="Times New Roman"/>
          <w:sz w:val="24"/>
          <w:szCs w:val="24"/>
          <w:lang w:eastAsia="en-GB"/>
        </w:rPr>
      </w:pPr>
    </w:p>
    <w:p w14:paraId="2C2B105A" w14:textId="77777777" w:rsidR="00AD72EC" w:rsidRPr="00AD72EC" w:rsidRDefault="00AD72EC" w:rsidP="00AD72EC">
      <w:pPr>
        <w:numPr>
          <w:ilvl w:val="1"/>
          <w:numId w:val="1"/>
        </w:numPr>
        <w:spacing w:after="0" w:line="480" w:lineRule="auto"/>
        <w:outlineLvl w:val="1"/>
        <w:rPr>
          <w:rFonts w:ascii="Times New Roman" w:eastAsia="Times New Roman" w:hAnsi="Times New Roman" w:cs="Times New Roman"/>
          <w:b/>
          <w:sz w:val="24"/>
          <w:szCs w:val="24"/>
          <w:lang w:eastAsia="en-GB"/>
        </w:rPr>
      </w:pPr>
      <w:bookmarkStart w:id="17" w:name="_Toc512623101"/>
      <w:bookmarkStart w:id="18" w:name="_Toc512623453"/>
      <w:bookmarkStart w:id="19" w:name="_Toc513062327"/>
      <w:r w:rsidRPr="00AD72EC">
        <w:rPr>
          <w:rFonts w:ascii="Times New Roman" w:eastAsia="Times New Roman" w:hAnsi="Times New Roman" w:cs="Times New Roman"/>
          <w:b/>
          <w:sz w:val="24"/>
          <w:szCs w:val="24"/>
          <w:lang w:eastAsia="en-GB"/>
        </w:rPr>
        <w:t>Conclusion</w:t>
      </w:r>
      <w:bookmarkEnd w:id="17"/>
      <w:bookmarkEnd w:id="18"/>
      <w:bookmarkEnd w:id="19"/>
    </w:p>
    <w:p w14:paraId="0B1F275D"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4535C605"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People live in poverty all over the world. Even in rich countries pockets of poverty can be found. Governments worldwide have made great progress in trying to reduce the number of children living in poverty, but research shows it is still increasing. Research also shows those living in poverty have adverse life chances than those children not in poverty which </w:t>
      </w:r>
      <w:r w:rsidRPr="00AD72EC">
        <w:rPr>
          <w:rFonts w:ascii="Times New Roman" w:eastAsia="Times New Roman" w:hAnsi="Times New Roman" w:cs="Times New Roman"/>
          <w:sz w:val="24"/>
          <w:szCs w:val="24"/>
          <w:lang w:eastAsia="en-GB"/>
        </w:rPr>
        <w:lastRenderedPageBreak/>
        <w:t xml:space="preserve">affects well-being and whole communities globally. A substantial amount of literature is available on children in poverty and how it affects well-being. Changes in family types, declining fertility rates and globalisation have seen big social changes in the number of children being born in modern society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"ISBN" : "1447325648", "abstract" : "Fourth edition. The 'Well-being of Children in the UK' is a comprehensive report on the physical, cognitive, behavioural and emotional well-being of children in England, Northern Ireland, Scotland and Wales. It provides an up-to-date and thorough review of existing data.", "author" : [ { "dropping-particle" : "", "family" : "Bradshaw", "given" : "Jonathan", "non-dropping-particle" : "", "parse-names" : false, "suffix" : "" } ], "id" : "ITEM-1", "issued" : { "date-parts" : [ [ "2016" ] ] }, "number-of-pages" : "425", "title" : "Well-being of children in the UK", "type" : "book" }, "uris" : [ "http://www.mendeley.com/documents/?uuid=e90b5686-6cb0-300d-ac7b-bdbaf84f1fc0" ] } ], "mendeley" : { "formattedCitation" : "(Bradshaw, 2016)", "plainTextFormattedCitation" : "(Bradshaw, 2016)", "previouslyFormattedCitation" : "(Bradshaw, 2016)"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(Bradshaw, 2016)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Children in poverty tend to suffer more ill health, under achieve at school and research shows they do less well than their peers in all aspects of their life and affects their well-being considerable. Children are said to be less happy living in poor communities and housing than those living in rich areas and having a better standard of living. Children are not able to influence their family’s financial circumstances, and merely have to live life alongside their families with what resources they can afford. It is not easy for families to exit poverty without support or entering higher paid employment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"author" : [ { "dropping-particle" : "", "family" : "Reading", "given" : "Richard", "non-dropping-particle" : "", "parse-names" : false, "suffix" : "" } ], "container-title" : "Archives of Disease in Childhood", "id" : "ITEM-1", "issued" : { "date-parts" : [ [ "1997" ] ] }, "page" : "463-467", "title" : "Poverty and the health of children and adolescents", "type" : "article-journal", "volume" : "76" }, "uris" : [ "http://www.mendeley.com/documents/?uuid=29c8f490-8fb6-3a2b-8437-39cb95bc610d" ] } ], "mendeley" : { "formattedCitation" : "(Reading, 1997)", "plainTextFormattedCitation" : "(Reading, 1997)"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(Reading, 1997)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Living in poverty is seen as a vicious circle with the odds stacked up against the individual and the family as a whole.</w:t>
      </w:r>
    </w:p>
    <w:p w14:paraId="3AFA803D" w14:textId="77777777" w:rsidR="00AD72EC" w:rsidRPr="00AD72EC" w:rsidRDefault="00AD72EC" w:rsidP="00AD72EC">
      <w:pPr>
        <w:spacing w:after="0" w:line="480" w:lineRule="auto"/>
        <w:jc w:val="both"/>
        <w:rPr>
          <w:rFonts w:ascii="Times New Roman" w:eastAsia="Times New Roman" w:hAnsi="Times New Roman" w:cs="Times New Roman"/>
          <w:sz w:val="24"/>
          <w:szCs w:val="24"/>
          <w:lang w:eastAsia="en-GB"/>
        </w:rPr>
      </w:pPr>
    </w:p>
    <w:p w14:paraId="37167682"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Families on low incomes in developed countries such as UK and the USA are more likely to be reliant on government welfare and state benefits. However, on occasions depending on family living costs, welfare and state benefits are not sufficient enough to cover basic living costs. The World bank has suggested economic growth to be a driver of reducing poverty but is highly unlikely to change in the foreseeable future under current economic terms on a global scale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"URL" : "http://www.worldbank.org/en/news/press-release/2018/01/09/global-economy-to-edge-up-to-3-1-percent-in-2018-but-future-potential-growth-a-concern", "accessed" : { "date-parts" : [ [ "2018", "5", "1" ] ] }, "author" : [ { "dropping-particle" : "", "family" : "World Bank", "given" : "", "non-dropping-particle" : "", "parse-names" : false, "suffix" : "" } ], "id" : "ITEM-1", "issued" : { "date-parts" : [ [ "2018" ] ] }, "title" : "Global Economy to Edge Up to 3.1 percent in 2018 but Future Potential Growth a Concern", "type" : "webpage" }, "uris" : [ "http://www.mendeley.com/documents/?uuid=14a21ce9-4adb-389c-b260-265434616286" ] } ], "mendeley" : { "formattedCitation" : "(World Bank, 2018)", "plainTextFormattedCitation" : "(World Bank, 2018)", "previouslyFormattedCitation" : "(World Bank, 2018)"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(World Bank, 2018)</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As such research shows poverty in the UK is likely to increase due to government funding cuts and many social policies not adequate for modern day society.</w:t>
      </w:r>
    </w:p>
    <w:p w14:paraId="73CD249A" w14:textId="77777777" w:rsidR="00AD72EC" w:rsidRPr="00AD72EC" w:rsidRDefault="00AD72EC" w:rsidP="00AD72EC">
      <w:pPr>
        <w:spacing w:after="0" w:line="480" w:lineRule="auto"/>
        <w:jc w:val="both"/>
        <w:rPr>
          <w:rFonts w:ascii="Times New Roman" w:eastAsia="Times New Roman" w:hAnsi="Times New Roman" w:cs="Times New Roman"/>
          <w:b/>
          <w:sz w:val="24"/>
          <w:szCs w:val="24"/>
          <w:lang w:eastAsia="en-GB"/>
        </w:rPr>
      </w:pPr>
    </w:p>
    <w:p w14:paraId="20021DCF" w14:textId="77777777" w:rsidR="00AD72EC" w:rsidRPr="00AD72EC" w:rsidRDefault="00AD72EC" w:rsidP="00AD72EC">
      <w:pPr>
        <w:spacing w:after="0" w:line="480" w:lineRule="auto"/>
        <w:jc w:val="both"/>
        <w:rPr>
          <w:rFonts w:ascii="Times New Roman" w:eastAsia="Times New Roman" w:hAnsi="Times New Roman" w:cs="Times New Roman"/>
          <w:b/>
          <w:sz w:val="24"/>
          <w:szCs w:val="24"/>
          <w:lang w:eastAsia="en-GB"/>
        </w:rPr>
      </w:pPr>
      <w:r w:rsidRPr="00AD72EC">
        <w:rPr>
          <w:rFonts w:ascii="Times New Roman" w:eastAsia="Times New Roman" w:hAnsi="Times New Roman" w:cs="Times New Roman"/>
          <w:b/>
          <w:sz w:val="24"/>
          <w:szCs w:val="24"/>
          <w:lang w:eastAsia="en-GB"/>
        </w:rPr>
        <w:br w:type="page"/>
      </w:r>
      <w:bookmarkStart w:id="20" w:name="_Toc512623102"/>
      <w:bookmarkStart w:id="21" w:name="_Toc512623454"/>
      <w:bookmarkStart w:id="22" w:name="_Toc513062328"/>
      <w:r w:rsidRPr="00AD72EC">
        <w:rPr>
          <w:rFonts w:ascii="Times New Roman" w:eastAsia="Times New Roman" w:hAnsi="Times New Roman" w:cs="Times New Roman"/>
          <w:b/>
          <w:sz w:val="24"/>
          <w:szCs w:val="24"/>
          <w:lang w:eastAsia="en-GB"/>
        </w:rPr>
        <w:lastRenderedPageBreak/>
        <w:t>RESULTS AND DISCUSSION</w:t>
      </w:r>
      <w:bookmarkEnd w:id="20"/>
      <w:bookmarkEnd w:id="21"/>
      <w:bookmarkEnd w:id="22"/>
      <w:r w:rsidRPr="00AD72EC">
        <w:rPr>
          <w:rFonts w:ascii="Times New Roman" w:eastAsia="Times New Roman" w:hAnsi="Times New Roman" w:cs="Times New Roman"/>
          <w:b/>
          <w:sz w:val="24"/>
          <w:szCs w:val="24"/>
          <w:lang w:eastAsia="en-GB"/>
        </w:rPr>
        <w:t xml:space="preserve"> </w:t>
      </w:r>
    </w:p>
    <w:p w14:paraId="0C3E5D67" w14:textId="77777777" w:rsidR="00AD72EC" w:rsidRPr="00AD72EC" w:rsidRDefault="00AD72EC" w:rsidP="00AD72EC">
      <w:pPr>
        <w:spacing w:after="0" w:line="480" w:lineRule="auto"/>
        <w:outlineLvl w:val="0"/>
        <w:rPr>
          <w:rFonts w:ascii="Times New Roman" w:eastAsia="Times New Roman" w:hAnsi="Times New Roman" w:cs="Times New Roman"/>
          <w:b/>
          <w:sz w:val="24"/>
          <w:szCs w:val="24"/>
          <w:lang w:eastAsia="en-GB"/>
        </w:rPr>
      </w:pPr>
    </w:p>
    <w:p w14:paraId="4F91EBAB" w14:textId="77777777" w:rsidR="00AD72EC" w:rsidRPr="00AD72EC" w:rsidRDefault="00AD72EC" w:rsidP="00AD72EC">
      <w:pPr>
        <w:numPr>
          <w:ilvl w:val="1"/>
          <w:numId w:val="1"/>
        </w:numPr>
        <w:spacing w:after="0" w:line="480" w:lineRule="auto"/>
        <w:outlineLvl w:val="1"/>
        <w:rPr>
          <w:rFonts w:ascii="Times New Roman" w:eastAsia="Times New Roman" w:hAnsi="Times New Roman" w:cs="Times New Roman"/>
          <w:b/>
          <w:sz w:val="24"/>
          <w:szCs w:val="24"/>
          <w:lang w:eastAsia="en-GB"/>
        </w:rPr>
      </w:pPr>
      <w:bookmarkStart w:id="23" w:name="_Toc512623103"/>
      <w:bookmarkStart w:id="24" w:name="_Toc512623455"/>
      <w:bookmarkStart w:id="25" w:name="_Toc513062329"/>
      <w:r w:rsidRPr="00AD72EC">
        <w:rPr>
          <w:rFonts w:ascii="Times New Roman" w:eastAsia="Times New Roman" w:hAnsi="Times New Roman" w:cs="Times New Roman"/>
          <w:b/>
          <w:sz w:val="24"/>
          <w:szCs w:val="24"/>
          <w:lang w:eastAsia="en-GB"/>
        </w:rPr>
        <w:t>Introduction</w:t>
      </w:r>
      <w:bookmarkEnd w:id="23"/>
      <w:bookmarkEnd w:id="24"/>
      <w:bookmarkEnd w:id="25"/>
    </w:p>
    <w:p w14:paraId="2C0AE241" w14:textId="77777777" w:rsidR="00AD72EC" w:rsidRPr="00AD72EC" w:rsidRDefault="00AD72EC" w:rsidP="00AD72EC">
      <w:pPr>
        <w:spacing w:after="0" w:line="480" w:lineRule="auto"/>
        <w:ind w:left="792"/>
        <w:outlineLvl w:val="1"/>
        <w:rPr>
          <w:rFonts w:ascii="Times New Roman" w:eastAsia="Times New Roman" w:hAnsi="Times New Roman" w:cs="Times New Roman"/>
          <w:b/>
          <w:sz w:val="24"/>
          <w:szCs w:val="24"/>
          <w:lang w:eastAsia="en-GB"/>
        </w:rPr>
      </w:pPr>
    </w:p>
    <w:p w14:paraId="38969701"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In order to produce a comprehensive review on childhood poverty and wellbeing, a quantitative review using qualitative data was undertaken using Scopus. Scopus is used by many research institutions worldwide and according to Norris &amp; Oppenheim (2007) has significant advantages when compared to other scholarly databases and for that reason it is ranked as number one overall in the social sciences.  In order to capture data relevant to childhood poverty and wellbeing, several search terms were used. The reason for several search terms was due to the ambiguity between the keywords. Furthermore, by researching the areas of childhood poverty and childhood wellbeing as separate domains these could then be analysed as one entity to see if there was a relationship between them. All of the search terms were narrowed to include the search within either “title” OR “Abstract” Or Keyword”. The first term utilised a search criterion of: (“Childhood” AND “Poverty”). This produced an initial dataset of 5358 records.  The second term utilised a search criterion of (“Childhood” AND “Well-being”). This produced an initial dataset of </w:t>
      </w:r>
      <w:r w:rsidRPr="00AD72EC">
        <w:rPr>
          <w:rFonts w:ascii="Times New Roman" w:eastAsia="Times New Roman" w:hAnsi="Times New Roman" w:cs="Times New Roman"/>
          <w:color w:val="000000"/>
          <w:sz w:val="24"/>
          <w:szCs w:val="24"/>
          <w:lang w:eastAsia="en-GB"/>
        </w:rPr>
        <w:t>4751</w:t>
      </w:r>
      <w:r w:rsidRPr="00AD72EC">
        <w:rPr>
          <w:rFonts w:ascii="Times New Roman" w:eastAsia="Times New Roman" w:hAnsi="Times New Roman" w:cs="Times New Roman"/>
          <w:sz w:val="24"/>
          <w:szCs w:val="24"/>
          <w:lang w:eastAsia="en-GB"/>
        </w:rPr>
        <w:t xml:space="preserve"> records. The Third term utilised a search criterion of: ((“Childhood” AND “Poverty” AND (“Wellbeing” Well-being”)). This produced an initial dataset of 378 records. As the results contained various types of documents, these were then narrowed to limit the documents to a subject area equal to social sciences and document types as peer reviewed articles. This returned datasets of 1016, 912, 378 for the first, second and third search terms respectively as shown in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_Ref512365159 \h  \* MERGEFORMAT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 xml:space="preserve">Table </w:t>
      </w:r>
      <w:r w:rsidRPr="00AD72EC">
        <w:rPr>
          <w:rFonts w:ascii="Times New Roman" w:eastAsia="Times New Roman" w:hAnsi="Times New Roman" w:cs="Times New Roman"/>
          <w:noProof/>
          <w:sz w:val="24"/>
          <w:szCs w:val="24"/>
          <w:lang w:eastAsia="en-GB"/>
        </w:rPr>
        <w:t>1</w:t>
      </w:r>
      <w:r w:rsidRPr="00AD72EC">
        <w:rPr>
          <w:rFonts w:ascii="Times New Roman" w:eastAsia="Times New Roman" w:hAnsi="Times New Roman" w:cs="Times New Roman"/>
          <w:sz w:val="24"/>
          <w:szCs w:val="24"/>
          <w:lang w:eastAsia="en-GB"/>
        </w:rPr>
        <w:t>: Results of initial searches</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_Ref512365159 \p \h  \* MERGEFORMAT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below</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t>
      </w:r>
    </w:p>
    <w:p w14:paraId="042BCE78"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1F9C818D" w14:textId="77777777" w:rsidR="00AD72EC" w:rsidRPr="00AD72EC" w:rsidRDefault="00AD72EC" w:rsidP="00AD72EC">
      <w:pPr>
        <w:keepNext/>
        <w:numPr>
          <w:ilvl w:val="0"/>
          <w:numId w:val="1"/>
        </w:numPr>
        <w:spacing w:after="200" w:line="240" w:lineRule="auto"/>
        <w:jc w:val="center"/>
        <w:rPr>
          <w:rFonts w:ascii="Calibri" w:eastAsia="Calibri" w:hAnsi="Calibri" w:cs="Times New Roman"/>
          <w:i/>
          <w:iCs/>
          <w:color w:val="44546A"/>
          <w:sz w:val="18"/>
          <w:szCs w:val="18"/>
        </w:rPr>
      </w:pPr>
      <w:bookmarkStart w:id="26" w:name="_Ref512365159"/>
      <w:r w:rsidRPr="00AD72EC">
        <w:rPr>
          <w:rFonts w:ascii="Calibri" w:eastAsia="Calibri" w:hAnsi="Calibri" w:cs="Times New Roman"/>
          <w:i/>
          <w:iCs/>
          <w:color w:val="44546A"/>
          <w:sz w:val="18"/>
          <w:szCs w:val="18"/>
        </w:rPr>
        <w:lastRenderedPageBreak/>
        <w:t xml:space="preserve">Table </w:t>
      </w:r>
      <w:r w:rsidRPr="00AD72EC">
        <w:rPr>
          <w:rFonts w:ascii="Calibri" w:eastAsia="Calibri" w:hAnsi="Calibri" w:cs="Times New Roman"/>
          <w:i/>
          <w:iCs/>
          <w:color w:val="44546A"/>
          <w:sz w:val="18"/>
          <w:szCs w:val="18"/>
        </w:rPr>
        <w:fldChar w:fldCharType="begin"/>
      </w:r>
      <w:r w:rsidRPr="00AD72EC">
        <w:rPr>
          <w:rFonts w:ascii="Calibri" w:eastAsia="Calibri" w:hAnsi="Calibri" w:cs="Times New Roman"/>
          <w:i/>
          <w:iCs/>
          <w:color w:val="44546A"/>
          <w:sz w:val="18"/>
          <w:szCs w:val="18"/>
        </w:rPr>
        <w:instrText xml:space="preserve"> SEQ Table \* ARABIC </w:instrText>
      </w:r>
      <w:r w:rsidRPr="00AD72EC">
        <w:rPr>
          <w:rFonts w:ascii="Calibri" w:eastAsia="Calibri" w:hAnsi="Calibri" w:cs="Times New Roman"/>
          <w:i/>
          <w:iCs/>
          <w:color w:val="44546A"/>
          <w:sz w:val="18"/>
          <w:szCs w:val="18"/>
        </w:rPr>
        <w:fldChar w:fldCharType="separate"/>
      </w:r>
      <w:r w:rsidRPr="00AD72EC">
        <w:rPr>
          <w:rFonts w:ascii="Calibri" w:eastAsia="Calibri" w:hAnsi="Calibri" w:cs="Times New Roman"/>
          <w:i/>
          <w:iCs/>
          <w:noProof/>
          <w:color w:val="44546A"/>
          <w:sz w:val="18"/>
          <w:szCs w:val="18"/>
        </w:rPr>
        <w:t>1</w:t>
      </w:r>
      <w:r w:rsidRPr="00AD72EC">
        <w:rPr>
          <w:rFonts w:ascii="Calibri" w:eastAsia="Calibri" w:hAnsi="Calibri" w:cs="Times New Roman"/>
          <w:i/>
          <w:iCs/>
          <w:noProof/>
          <w:color w:val="44546A"/>
          <w:sz w:val="18"/>
          <w:szCs w:val="18"/>
        </w:rPr>
        <w:fldChar w:fldCharType="end"/>
      </w:r>
      <w:r w:rsidRPr="00AD72EC">
        <w:rPr>
          <w:rFonts w:ascii="Calibri" w:eastAsia="Calibri" w:hAnsi="Calibri" w:cs="Times New Roman"/>
          <w:i/>
          <w:iCs/>
          <w:color w:val="44546A"/>
          <w:sz w:val="18"/>
          <w:szCs w:val="18"/>
        </w:rPr>
        <w:t>: Results of initial searches</w:t>
      </w:r>
      <w:bookmarkEnd w:id="26"/>
    </w:p>
    <w:tbl>
      <w:tblPr>
        <w:tblW w:w="8080" w:type="dxa"/>
        <w:jc w:val="center"/>
        <w:tblLook w:val="04A0" w:firstRow="1" w:lastRow="0" w:firstColumn="1" w:lastColumn="0" w:noHBand="0" w:noVBand="1"/>
      </w:tblPr>
      <w:tblGrid>
        <w:gridCol w:w="6040"/>
        <w:gridCol w:w="960"/>
        <w:gridCol w:w="1080"/>
      </w:tblGrid>
      <w:tr w:rsidR="00AD72EC" w:rsidRPr="00AD72EC" w14:paraId="27052B6C" w14:textId="77777777" w:rsidTr="00A502E7">
        <w:trPr>
          <w:trHeight w:val="357"/>
          <w:jc w:val="center"/>
        </w:trPr>
        <w:tc>
          <w:tcPr>
            <w:tcW w:w="6040" w:type="dxa"/>
            <w:tcBorders>
              <w:top w:val="nil"/>
              <w:left w:val="nil"/>
              <w:bottom w:val="nil"/>
              <w:right w:val="nil"/>
            </w:tcBorders>
            <w:shd w:val="clear" w:color="auto" w:fill="auto"/>
            <w:noWrap/>
            <w:vAlign w:val="bottom"/>
            <w:hideMark/>
          </w:tcPr>
          <w:p w14:paraId="5222BB4A" w14:textId="77777777" w:rsidR="00AD72EC" w:rsidRPr="00AD72EC" w:rsidRDefault="00AD72EC" w:rsidP="00AD72EC">
            <w:pPr>
              <w:spacing w:after="0" w:line="240" w:lineRule="auto"/>
              <w:rPr>
                <w:rFonts w:ascii="Times New Roman" w:eastAsia="Times New Roman" w:hAnsi="Times New Roman" w:cs="Times New Roman"/>
                <w:sz w:val="24"/>
                <w:szCs w:val="24"/>
                <w:lang w:eastAsia="en-GB"/>
              </w:rPr>
            </w:pPr>
          </w:p>
        </w:tc>
        <w:tc>
          <w:tcPr>
            <w:tcW w:w="20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77E126" w14:textId="77777777" w:rsidR="00AD72EC" w:rsidRPr="00AD72EC" w:rsidRDefault="00AD72EC" w:rsidP="00AD72EC">
            <w:pPr>
              <w:spacing w:after="0" w:line="240" w:lineRule="auto"/>
              <w:rPr>
                <w:rFonts w:ascii="Calibri" w:eastAsia="Times New Roman" w:hAnsi="Calibri" w:cs="Calibri"/>
                <w:color w:val="000000"/>
                <w:sz w:val="24"/>
                <w:szCs w:val="24"/>
                <w:lang w:eastAsia="en-GB"/>
              </w:rPr>
            </w:pPr>
            <w:r w:rsidRPr="00AD72EC">
              <w:rPr>
                <w:rFonts w:ascii="Calibri" w:eastAsia="Times New Roman" w:hAnsi="Calibri" w:cs="Calibri"/>
                <w:color w:val="000000"/>
                <w:sz w:val="24"/>
                <w:szCs w:val="24"/>
                <w:lang w:eastAsia="en-GB"/>
              </w:rPr>
              <w:t>Number of records</w:t>
            </w:r>
          </w:p>
        </w:tc>
      </w:tr>
      <w:tr w:rsidR="00AD72EC" w:rsidRPr="00AD72EC" w14:paraId="61F6E67F" w14:textId="77777777" w:rsidTr="00A502E7">
        <w:trPr>
          <w:trHeight w:val="300"/>
          <w:jc w:val="center"/>
        </w:trPr>
        <w:tc>
          <w:tcPr>
            <w:tcW w:w="6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5FA60E" w14:textId="77777777" w:rsidR="00AD72EC" w:rsidRPr="00AD72EC" w:rsidRDefault="00AD72EC" w:rsidP="00AD72EC">
            <w:pPr>
              <w:spacing w:after="0" w:line="240" w:lineRule="auto"/>
              <w:jc w:val="center"/>
              <w:rPr>
                <w:rFonts w:ascii="Calibri" w:eastAsia="Times New Roman" w:hAnsi="Calibri" w:cs="Calibri"/>
                <w:color w:val="000000"/>
                <w:sz w:val="24"/>
                <w:szCs w:val="24"/>
                <w:lang w:eastAsia="en-GB"/>
              </w:rPr>
            </w:pPr>
            <w:r w:rsidRPr="00AD72EC">
              <w:rPr>
                <w:rFonts w:ascii="Calibri" w:eastAsia="Times New Roman" w:hAnsi="Calibri" w:cs="Calibri"/>
                <w:color w:val="000000"/>
                <w:sz w:val="24"/>
                <w:szCs w:val="24"/>
                <w:lang w:eastAsia="en-GB"/>
              </w:rPr>
              <w:t xml:space="preserve">Search Term </w:t>
            </w:r>
          </w:p>
        </w:tc>
        <w:tc>
          <w:tcPr>
            <w:tcW w:w="960" w:type="dxa"/>
            <w:tcBorders>
              <w:top w:val="nil"/>
              <w:left w:val="nil"/>
              <w:bottom w:val="single" w:sz="4" w:space="0" w:color="auto"/>
              <w:right w:val="single" w:sz="4" w:space="0" w:color="auto"/>
            </w:tcBorders>
            <w:shd w:val="clear" w:color="auto" w:fill="auto"/>
            <w:noWrap/>
            <w:vAlign w:val="bottom"/>
            <w:hideMark/>
          </w:tcPr>
          <w:p w14:paraId="4C721611" w14:textId="77777777" w:rsidR="00AD72EC" w:rsidRPr="00AD72EC" w:rsidRDefault="00AD72EC" w:rsidP="00AD72EC">
            <w:pPr>
              <w:spacing w:after="0" w:line="240" w:lineRule="auto"/>
              <w:jc w:val="center"/>
              <w:rPr>
                <w:rFonts w:ascii="Calibri" w:eastAsia="Times New Roman" w:hAnsi="Calibri" w:cs="Calibri"/>
                <w:color w:val="000000"/>
                <w:sz w:val="24"/>
                <w:szCs w:val="24"/>
                <w:lang w:eastAsia="en-GB"/>
              </w:rPr>
            </w:pPr>
            <w:r w:rsidRPr="00AD72EC">
              <w:rPr>
                <w:rFonts w:ascii="Calibri" w:eastAsia="Times New Roman" w:hAnsi="Calibri" w:cs="Calibri"/>
                <w:color w:val="000000"/>
                <w:sz w:val="24"/>
                <w:szCs w:val="24"/>
                <w:lang w:eastAsia="en-GB"/>
              </w:rPr>
              <w:t>Initial</w:t>
            </w:r>
          </w:p>
        </w:tc>
        <w:tc>
          <w:tcPr>
            <w:tcW w:w="1080" w:type="dxa"/>
            <w:tcBorders>
              <w:top w:val="nil"/>
              <w:left w:val="nil"/>
              <w:bottom w:val="single" w:sz="4" w:space="0" w:color="auto"/>
              <w:right w:val="single" w:sz="4" w:space="0" w:color="auto"/>
            </w:tcBorders>
            <w:shd w:val="clear" w:color="auto" w:fill="auto"/>
            <w:noWrap/>
            <w:vAlign w:val="bottom"/>
            <w:hideMark/>
          </w:tcPr>
          <w:p w14:paraId="4FC55FBE" w14:textId="77777777" w:rsidR="00AD72EC" w:rsidRPr="00AD72EC" w:rsidRDefault="00AD72EC" w:rsidP="00AD72EC">
            <w:pPr>
              <w:spacing w:after="0" w:line="240" w:lineRule="auto"/>
              <w:jc w:val="center"/>
              <w:rPr>
                <w:rFonts w:ascii="Calibri" w:eastAsia="Times New Roman" w:hAnsi="Calibri" w:cs="Calibri"/>
                <w:color w:val="000000"/>
                <w:sz w:val="24"/>
                <w:szCs w:val="24"/>
                <w:lang w:eastAsia="en-GB"/>
              </w:rPr>
            </w:pPr>
            <w:r w:rsidRPr="00AD72EC">
              <w:rPr>
                <w:rFonts w:ascii="Calibri" w:eastAsia="Times New Roman" w:hAnsi="Calibri" w:cs="Calibri"/>
                <w:color w:val="000000"/>
                <w:sz w:val="24"/>
                <w:szCs w:val="24"/>
                <w:lang w:eastAsia="en-GB"/>
              </w:rPr>
              <w:t>Focused</w:t>
            </w:r>
          </w:p>
        </w:tc>
      </w:tr>
      <w:tr w:rsidR="00AD72EC" w:rsidRPr="00AD72EC" w14:paraId="0C7F9732" w14:textId="77777777" w:rsidTr="00A502E7">
        <w:trPr>
          <w:trHeight w:val="300"/>
          <w:jc w:val="center"/>
        </w:trPr>
        <w:tc>
          <w:tcPr>
            <w:tcW w:w="6040" w:type="dxa"/>
            <w:tcBorders>
              <w:top w:val="nil"/>
              <w:left w:val="single" w:sz="4" w:space="0" w:color="auto"/>
              <w:bottom w:val="single" w:sz="4" w:space="0" w:color="auto"/>
              <w:right w:val="single" w:sz="4" w:space="0" w:color="auto"/>
            </w:tcBorders>
            <w:shd w:val="clear" w:color="auto" w:fill="auto"/>
            <w:noWrap/>
            <w:vAlign w:val="bottom"/>
            <w:hideMark/>
          </w:tcPr>
          <w:p w14:paraId="57F5743F" w14:textId="77777777" w:rsidR="00AD72EC" w:rsidRPr="00AD72EC" w:rsidRDefault="00AD72EC" w:rsidP="00AD72EC">
            <w:pPr>
              <w:spacing w:after="0" w:line="240" w:lineRule="auto"/>
              <w:rPr>
                <w:rFonts w:ascii="Calibri" w:eastAsia="Times New Roman" w:hAnsi="Calibri" w:cs="Calibri"/>
                <w:color w:val="000000"/>
                <w:sz w:val="24"/>
                <w:szCs w:val="24"/>
                <w:lang w:eastAsia="en-GB"/>
              </w:rPr>
            </w:pPr>
            <w:r w:rsidRPr="00AD72EC">
              <w:rPr>
                <w:rFonts w:ascii="Calibri" w:eastAsia="Times New Roman" w:hAnsi="Calibri" w:cs="Calibri"/>
                <w:color w:val="000000"/>
                <w:sz w:val="24"/>
                <w:szCs w:val="24"/>
                <w:lang w:eastAsia="en-GB"/>
              </w:rPr>
              <w:t>"Childhood" AND "Poverty"</w:t>
            </w:r>
          </w:p>
        </w:tc>
        <w:tc>
          <w:tcPr>
            <w:tcW w:w="960" w:type="dxa"/>
            <w:tcBorders>
              <w:top w:val="nil"/>
              <w:left w:val="nil"/>
              <w:bottom w:val="single" w:sz="4" w:space="0" w:color="auto"/>
              <w:right w:val="single" w:sz="4" w:space="0" w:color="auto"/>
            </w:tcBorders>
            <w:shd w:val="clear" w:color="auto" w:fill="auto"/>
            <w:noWrap/>
            <w:vAlign w:val="bottom"/>
            <w:hideMark/>
          </w:tcPr>
          <w:p w14:paraId="7E79741E" w14:textId="77777777" w:rsidR="00AD72EC" w:rsidRPr="00AD72EC" w:rsidRDefault="00AD72EC" w:rsidP="00AD72EC">
            <w:pPr>
              <w:spacing w:after="0" w:line="240" w:lineRule="auto"/>
              <w:jc w:val="right"/>
              <w:rPr>
                <w:rFonts w:ascii="Calibri" w:eastAsia="Times New Roman" w:hAnsi="Calibri" w:cs="Calibri"/>
                <w:color w:val="000000"/>
                <w:sz w:val="24"/>
                <w:szCs w:val="24"/>
                <w:lang w:eastAsia="en-GB"/>
              </w:rPr>
            </w:pPr>
            <w:r w:rsidRPr="00AD72EC">
              <w:rPr>
                <w:rFonts w:ascii="Calibri" w:eastAsia="Times New Roman" w:hAnsi="Calibri" w:cs="Calibri"/>
                <w:color w:val="000000"/>
                <w:sz w:val="24"/>
                <w:szCs w:val="24"/>
                <w:lang w:eastAsia="en-GB"/>
              </w:rPr>
              <w:t>5358</w:t>
            </w:r>
          </w:p>
        </w:tc>
        <w:tc>
          <w:tcPr>
            <w:tcW w:w="1080" w:type="dxa"/>
            <w:tcBorders>
              <w:top w:val="nil"/>
              <w:left w:val="nil"/>
              <w:bottom w:val="single" w:sz="4" w:space="0" w:color="auto"/>
              <w:right w:val="single" w:sz="4" w:space="0" w:color="auto"/>
            </w:tcBorders>
            <w:shd w:val="clear" w:color="auto" w:fill="auto"/>
            <w:noWrap/>
            <w:vAlign w:val="bottom"/>
            <w:hideMark/>
          </w:tcPr>
          <w:p w14:paraId="14689DEF" w14:textId="77777777" w:rsidR="00AD72EC" w:rsidRPr="00AD72EC" w:rsidRDefault="00AD72EC" w:rsidP="00AD72EC">
            <w:pPr>
              <w:spacing w:after="0" w:line="240" w:lineRule="auto"/>
              <w:jc w:val="right"/>
              <w:rPr>
                <w:rFonts w:ascii="Calibri" w:eastAsia="Times New Roman" w:hAnsi="Calibri" w:cs="Calibri"/>
                <w:color w:val="000000"/>
                <w:sz w:val="24"/>
                <w:szCs w:val="24"/>
                <w:lang w:eastAsia="en-GB"/>
              </w:rPr>
            </w:pPr>
            <w:r w:rsidRPr="00AD72EC">
              <w:rPr>
                <w:rFonts w:ascii="Calibri" w:eastAsia="Times New Roman" w:hAnsi="Calibri" w:cs="Calibri"/>
                <w:color w:val="000000"/>
                <w:sz w:val="24"/>
                <w:szCs w:val="24"/>
                <w:lang w:eastAsia="en-GB"/>
              </w:rPr>
              <w:t>1016</w:t>
            </w:r>
          </w:p>
        </w:tc>
      </w:tr>
      <w:tr w:rsidR="00AD72EC" w:rsidRPr="00AD72EC" w14:paraId="195FB245" w14:textId="77777777" w:rsidTr="00A502E7">
        <w:trPr>
          <w:trHeight w:val="300"/>
          <w:jc w:val="center"/>
        </w:trPr>
        <w:tc>
          <w:tcPr>
            <w:tcW w:w="6040" w:type="dxa"/>
            <w:tcBorders>
              <w:top w:val="nil"/>
              <w:left w:val="single" w:sz="4" w:space="0" w:color="auto"/>
              <w:bottom w:val="single" w:sz="4" w:space="0" w:color="auto"/>
              <w:right w:val="single" w:sz="4" w:space="0" w:color="auto"/>
            </w:tcBorders>
            <w:shd w:val="clear" w:color="auto" w:fill="auto"/>
            <w:noWrap/>
            <w:vAlign w:val="bottom"/>
            <w:hideMark/>
          </w:tcPr>
          <w:p w14:paraId="15D80394" w14:textId="77777777" w:rsidR="00AD72EC" w:rsidRPr="00AD72EC" w:rsidRDefault="00AD72EC" w:rsidP="00AD72EC">
            <w:pPr>
              <w:spacing w:after="0" w:line="240" w:lineRule="auto"/>
              <w:rPr>
                <w:rFonts w:ascii="Calibri" w:eastAsia="Times New Roman" w:hAnsi="Calibri" w:cs="Calibri"/>
                <w:color w:val="000000"/>
                <w:sz w:val="24"/>
                <w:szCs w:val="24"/>
                <w:lang w:eastAsia="en-GB"/>
              </w:rPr>
            </w:pPr>
            <w:r w:rsidRPr="00AD72EC">
              <w:rPr>
                <w:rFonts w:ascii="Calibri" w:eastAsia="Times New Roman" w:hAnsi="Calibri" w:cs="Calibri"/>
                <w:color w:val="000000"/>
                <w:sz w:val="24"/>
                <w:szCs w:val="24"/>
                <w:lang w:eastAsia="en-GB"/>
              </w:rPr>
              <w:t>"Childhood" AND ("Wellbeing" OR "Well-being")</w:t>
            </w:r>
          </w:p>
        </w:tc>
        <w:tc>
          <w:tcPr>
            <w:tcW w:w="960" w:type="dxa"/>
            <w:tcBorders>
              <w:top w:val="nil"/>
              <w:left w:val="nil"/>
              <w:bottom w:val="single" w:sz="4" w:space="0" w:color="auto"/>
              <w:right w:val="single" w:sz="4" w:space="0" w:color="auto"/>
            </w:tcBorders>
            <w:shd w:val="clear" w:color="auto" w:fill="auto"/>
            <w:noWrap/>
            <w:vAlign w:val="bottom"/>
            <w:hideMark/>
          </w:tcPr>
          <w:p w14:paraId="1B0DF0E7" w14:textId="77777777" w:rsidR="00AD72EC" w:rsidRPr="00AD72EC" w:rsidRDefault="00AD72EC" w:rsidP="00AD72EC">
            <w:pPr>
              <w:spacing w:after="0" w:line="240" w:lineRule="auto"/>
              <w:jc w:val="right"/>
              <w:rPr>
                <w:rFonts w:ascii="Calibri" w:eastAsia="Times New Roman" w:hAnsi="Calibri" w:cs="Calibri"/>
                <w:color w:val="000000"/>
                <w:sz w:val="24"/>
                <w:szCs w:val="24"/>
                <w:lang w:eastAsia="en-GB"/>
              </w:rPr>
            </w:pPr>
            <w:r w:rsidRPr="00AD72EC">
              <w:rPr>
                <w:rFonts w:ascii="Calibri" w:eastAsia="Times New Roman" w:hAnsi="Calibri" w:cs="Calibri"/>
                <w:color w:val="000000"/>
                <w:sz w:val="24"/>
                <w:szCs w:val="24"/>
                <w:lang w:eastAsia="en-GB"/>
              </w:rPr>
              <w:t>4751</w:t>
            </w:r>
          </w:p>
        </w:tc>
        <w:tc>
          <w:tcPr>
            <w:tcW w:w="1080" w:type="dxa"/>
            <w:tcBorders>
              <w:top w:val="nil"/>
              <w:left w:val="nil"/>
              <w:bottom w:val="single" w:sz="4" w:space="0" w:color="auto"/>
              <w:right w:val="single" w:sz="4" w:space="0" w:color="auto"/>
            </w:tcBorders>
            <w:shd w:val="clear" w:color="auto" w:fill="auto"/>
            <w:noWrap/>
            <w:vAlign w:val="bottom"/>
            <w:hideMark/>
          </w:tcPr>
          <w:p w14:paraId="00DF80E0" w14:textId="77777777" w:rsidR="00AD72EC" w:rsidRPr="00AD72EC" w:rsidRDefault="00AD72EC" w:rsidP="00AD72EC">
            <w:pPr>
              <w:spacing w:after="0" w:line="240" w:lineRule="auto"/>
              <w:jc w:val="right"/>
              <w:rPr>
                <w:rFonts w:ascii="Calibri" w:eastAsia="Times New Roman" w:hAnsi="Calibri" w:cs="Calibri"/>
                <w:color w:val="000000"/>
                <w:sz w:val="24"/>
                <w:szCs w:val="24"/>
                <w:lang w:eastAsia="en-GB"/>
              </w:rPr>
            </w:pPr>
            <w:r w:rsidRPr="00AD72EC">
              <w:rPr>
                <w:rFonts w:ascii="Calibri" w:eastAsia="Times New Roman" w:hAnsi="Calibri" w:cs="Calibri"/>
                <w:color w:val="000000"/>
                <w:sz w:val="24"/>
                <w:szCs w:val="24"/>
                <w:lang w:eastAsia="en-GB"/>
              </w:rPr>
              <w:t>912</w:t>
            </w:r>
          </w:p>
        </w:tc>
      </w:tr>
      <w:tr w:rsidR="00AD72EC" w:rsidRPr="00AD72EC" w14:paraId="0B5F9559" w14:textId="77777777" w:rsidTr="00A502E7">
        <w:trPr>
          <w:trHeight w:val="300"/>
          <w:jc w:val="center"/>
        </w:trPr>
        <w:tc>
          <w:tcPr>
            <w:tcW w:w="6040" w:type="dxa"/>
            <w:tcBorders>
              <w:top w:val="nil"/>
              <w:left w:val="single" w:sz="4" w:space="0" w:color="auto"/>
              <w:bottom w:val="single" w:sz="4" w:space="0" w:color="auto"/>
              <w:right w:val="single" w:sz="4" w:space="0" w:color="auto"/>
            </w:tcBorders>
            <w:shd w:val="clear" w:color="auto" w:fill="auto"/>
            <w:noWrap/>
            <w:vAlign w:val="bottom"/>
            <w:hideMark/>
          </w:tcPr>
          <w:p w14:paraId="0746D0F2" w14:textId="77777777" w:rsidR="00AD72EC" w:rsidRPr="00AD72EC" w:rsidRDefault="00AD72EC" w:rsidP="00AD72EC">
            <w:pPr>
              <w:spacing w:after="0" w:line="240" w:lineRule="auto"/>
              <w:rPr>
                <w:rFonts w:ascii="Calibri" w:eastAsia="Times New Roman" w:hAnsi="Calibri" w:cs="Calibri"/>
                <w:color w:val="000000"/>
                <w:sz w:val="24"/>
                <w:szCs w:val="24"/>
                <w:lang w:eastAsia="en-GB"/>
              </w:rPr>
            </w:pPr>
            <w:r w:rsidRPr="00AD72EC">
              <w:rPr>
                <w:rFonts w:ascii="Calibri" w:eastAsia="Times New Roman" w:hAnsi="Calibri" w:cs="Calibri"/>
                <w:color w:val="000000"/>
                <w:sz w:val="24"/>
                <w:szCs w:val="24"/>
                <w:lang w:eastAsia="en-GB"/>
              </w:rPr>
              <w:t>"Childhood" AND "Poverty" AND ("Wellbeing or "Well-being")</w:t>
            </w:r>
          </w:p>
        </w:tc>
        <w:tc>
          <w:tcPr>
            <w:tcW w:w="960" w:type="dxa"/>
            <w:tcBorders>
              <w:top w:val="nil"/>
              <w:left w:val="nil"/>
              <w:bottom w:val="single" w:sz="4" w:space="0" w:color="auto"/>
              <w:right w:val="single" w:sz="4" w:space="0" w:color="auto"/>
            </w:tcBorders>
            <w:shd w:val="clear" w:color="auto" w:fill="auto"/>
            <w:noWrap/>
            <w:vAlign w:val="bottom"/>
            <w:hideMark/>
          </w:tcPr>
          <w:p w14:paraId="42CA84A8" w14:textId="77777777" w:rsidR="00AD72EC" w:rsidRPr="00AD72EC" w:rsidRDefault="00AD72EC" w:rsidP="00AD72EC">
            <w:pPr>
              <w:spacing w:after="0" w:line="240" w:lineRule="auto"/>
              <w:jc w:val="right"/>
              <w:rPr>
                <w:rFonts w:ascii="Calibri" w:eastAsia="Times New Roman" w:hAnsi="Calibri" w:cs="Calibri"/>
                <w:color w:val="000000"/>
                <w:sz w:val="24"/>
                <w:szCs w:val="24"/>
                <w:lang w:eastAsia="en-GB"/>
              </w:rPr>
            </w:pPr>
            <w:r w:rsidRPr="00AD72EC">
              <w:rPr>
                <w:rFonts w:ascii="Calibri" w:eastAsia="Times New Roman" w:hAnsi="Calibri" w:cs="Calibri"/>
                <w:color w:val="000000"/>
                <w:sz w:val="24"/>
                <w:szCs w:val="24"/>
                <w:lang w:eastAsia="en-GB"/>
              </w:rPr>
              <w:t>378</w:t>
            </w:r>
          </w:p>
        </w:tc>
        <w:tc>
          <w:tcPr>
            <w:tcW w:w="1080" w:type="dxa"/>
            <w:tcBorders>
              <w:top w:val="nil"/>
              <w:left w:val="nil"/>
              <w:bottom w:val="single" w:sz="4" w:space="0" w:color="auto"/>
              <w:right w:val="single" w:sz="4" w:space="0" w:color="auto"/>
            </w:tcBorders>
            <w:shd w:val="clear" w:color="auto" w:fill="auto"/>
            <w:noWrap/>
            <w:vAlign w:val="bottom"/>
            <w:hideMark/>
          </w:tcPr>
          <w:p w14:paraId="6E4FEDB8" w14:textId="77777777" w:rsidR="00AD72EC" w:rsidRPr="00AD72EC" w:rsidRDefault="00AD72EC" w:rsidP="00AD72EC">
            <w:pPr>
              <w:spacing w:after="0" w:line="240" w:lineRule="auto"/>
              <w:jc w:val="right"/>
              <w:rPr>
                <w:rFonts w:ascii="Calibri" w:eastAsia="Times New Roman" w:hAnsi="Calibri" w:cs="Calibri"/>
                <w:color w:val="000000"/>
                <w:sz w:val="24"/>
                <w:szCs w:val="24"/>
                <w:lang w:eastAsia="en-GB"/>
              </w:rPr>
            </w:pPr>
            <w:r w:rsidRPr="00AD72EC">
              <w:rPr>
                <w:rFonts w:ascii="Calibri" w:eastAsia="Times New Roman" w:hAnsi="Calibri" w:cs="Calibri"/>
                <w:color w:val="000000"/>
                <w:sz w:val="24"/>
                <w:szCs w:val="24"/>
                <w:lang w:eastAsia="en-GB"/>
              </w:rPr>
              <w:t>107</w:t>
            </w:r>
          </w:p>
        </w:tc>
      </w:tr>
    </w:tbl>
    <w:p w14:paraId="6CF12137" w14:textId="77777777" w:rsidR="00AD72EC" w:rsidRPr="00AD72EC" w:rsidRDefault="00AD72EC" w:rsidP="00AD72EC">
      <w:pPr>
        <w:spacing w:after="0" w:line="480" w:lineRule="auto"/>
        <w:ind w:left="360"/>
        <w:jc w:val="both"/>
        <w:outlineLvl w:val="1"/>
        <w:rPr>
          <w:rFonts w:ascii="Times New Roman" w:eastAsia="Times New Roman" w:hAnsi="Times New Roman" w:cs="Times New Roman"/>
          <w:b/>
          <w:sz w:val="24"/>
          <w:szCs w:val="24"/>
          <w:lang w:eastAsia="en-GB"/>
        </w:rPr>
      </w:pPr>
    </w:p>
    <w:p w14:paraId="7994296C"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The subsequent search terms have been designated into particular theme numbers so that childhood and poverty is designated theme 1, childhood and wellbeing is designated theme 2 and childhood and poverty and wellbeing is designated theme 3.</w:t>
      </w:r>
    </w:p>
    <w:p w14:paraId="44060A8C"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36CF6F82" w14:textId="77777777" w:rsidR="00AD72EC" w:rsidRPr="00AD72EC" w:rsidRDefault="00AD72EC" w:rsidP="00AD72EC">
      <w:pPr>
        <w:numPr>
          <w:ilvl w:val="1"/>
          <w:numId w:val="1"/>
        </w:numPr>
        <w:spacing w:after="0" w:line="480" w:lineRule="auto"/>
        <w:outlineLvl w:val="1"/>
        <w:rPr>
          <w:rFonts w:ascii="Times New Roman" w:eastAsia="Times New Roman" w:hAnsi="Times New Roman" w:cs="Times New Roman"/>
          <w:b/>
          <w:sz w:val="24"/>
          <w:szCs w:val="24"/>
          <w:lang w:eastAsia="en-GB"/>
        </w:rPr>
      </w:pPr>
      <w:bookmarkStart w:id="27" w:name="_Toc512623104"/>
      <w:bookmarkStart w:id="28" w:name="_Toc512623456"/>
      <w:bookmarkStart w:id="29" w:name="_Toc513062330"/>
      <w:r w:rsidRPr="00AD72EC">
        <w:rPr>
          <w:rFonts w:ascii="Times New Roman" w:eastAsia="Times New Roman" w:hAnsi="Times New Roman" w:cs="Times New Roman"/>
          <w:b/>
          <w:sz w:val="24"/>
          <w:szCs w:val="24"/>
          <w:lang w:eastAsia="en-GB"/>
        </w:rPr>
        <w:t>Theme 1</w:t>
      </w:r>
      <w:bookmarkEnd w:id="27"/>
      <w:bookmarkEnd w:id="28"/>
      <w:bookmarkEnd w:id="29"/>
    </w:p>
    <w:p w14:paraId="4EF58F1D"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3D8030EA"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From the initial results of the distribution of publications over time for theme 1 as shown in figure 1 below, it can be seen that there is an overall trend of an increase in publications. </w:t>
      </w:r>
    </w:p>
    <w:p w14:paraId="79E151A1"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54057869" w14:textId="77777777" w:rsidR="00AD72EC" w:rsidRPr="00AD72EC" w:rsidRDefault="00AD72EC" w:rsidP="00AD72EC">
      <w:pPr>
        <w:keepNext/>
        <w:spacing w:after="200" w:line="240" w:lineRule="auto"/>
        <w:jc w:val="center"/>
        <w:rPr>
          <w:rFonts w:ascii="Calibri" w:eastAsia="Calibri" w:hAnsi="Calibri" w:cs="Times New Roman"/>
          <w:i/>
          <w:iCs/>
          <w:color w:val="44546A"/>
          <w:sz w:val="18"/>
          <w:szCs w:val="18"/>
        </w:rPr>
      </w:pPr>
      <w:r w:rsidRPr="00AD72EC">
        <w:rPr>
          <w:rFonts w:ascii="Calibri" w:eastAsia="Calibri" w:hAnsi="Calibri" w:cs="Times New Roman"/>
          <w:i/>
          <w:iCs/>
          <w:color w:val="44546A"/>
          <w:sz w:val="18"/>
          <w:szCs w:val="18"/>
        </w:rPr>
        <w:t xml:space="preserve">Figure </w:t>
      </w:r>
      <w:r w:rsidRPr="00AD72EC">
        <w:rPr>
          <w:rFonts w:ascii="Calibri" w:eastAsia="Calibri" w:hAnsi="Calibri" w:cs="Times New Roman"/>
          <w:i/>
          <w:iCs/>
          <w:color w:val="44546A"/>
          <w:sz w:val="18"/>
          <w:szCs w:val="18"/>
        </w:rPr>
        <w:fldChar w:fldCharType="begin"/>
      </w:r>
      <w:r w:rsidRPr="00AD72EC">
        <w:rPr>
          <w:rFonts w:ascii="Calibri" w:eastAsia="Calibri" w:hAnsi="Calibri" w:cs="Times New Roman"/>
          <w:i/>
          <w:iCs/>
          <w:color w:val="44546A"/>
          <w:sz w:val="18"/>
          <w:szCs w:val="18"/>
        </w:rPr>
        <w:instrText xml:space="preserve"> SEQ Figure \* ARABIC </w:instrText>
      </w:r>
      <w:r w:rsidRPr="00AD72EC">
        <w:rPr>
          <w:rFonts w:ascii="Calibri" w:eastAsia="Calibri" w:hAnsi="Calibri" w:cs="Times New Roman"/>
          <w:i/>
          <w:iCs/>
          <w:color w:val="44546A"/>
          <w:sz w:val="18"/>
          <w:szCs w:val="18"/>
        </w:rPr>
        <w:fldChar w:fldCharType="separate"/>
      </w:r>
      <w:r w:rsidRPr="00AD72EC">
        <w:rPr>
          <w:rFonts w:ascii="Calibri" w:eastAsia="Calibri" w:hAnsi="Calibri" w:cs="Times New Roman"/>
          <w:i/>
          <w:iCs/>
          <w:noProof/>
          <w:color w:val="44546A"/>
          <w:sz w:val="18"/>
          <w:szCs w:val="18"/>
        </w:rPr>
        <w:t>1</w:t>
      </w:r>
      <w:r w:rsidRPr="00AD72EC">
        <w:rPr>
          <w:rFonts w:ascii="Calibri" w:eastAsia="Calibri" w:hAnsi="Calibri" w:cs="Times New Roman"/>
          <w:i/>
          <w:iCs/>
          <w:noProof/>
          <w:color w:val="44546A"/>
          <w:sz w:val="18"/>
          <w:szCs w:val="18"/>
        </w:rPr>
        <w:fldChar w:fldCharType="end"/>
      </w:r>
      <w:r w:rsidRPr="00AD72EC">
        <w:rPr>
          <w:rFonts w:ascii="Calibri" w:eastAsia="Calibri" w:hAnsi="Calibri" w:cs="Times New Roman"/>
          <w:i/>
          <w:iCs/>
          <w:color w:val="44546A"/>
          <w:sz w:val="18"/>
          <w:szCs w:val="18"/>
        </w:rPr>
        <w:t>: Distribution of papers over time for theme 1</w:t>
      </w:r>
    </w:p>
    <w:p w14:paraId="70E935C6"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noProof/>
          <w:sz w:val="24"/>
          <w:szCs w:val="24"/>
          <w:lang w:eastAsia="en-GB"/>
        </w:rPr>
        <w:drawing>
          <wp:inline distT="0" distB="0" distL="0" distR="0" wp14:anchorId="28E9E165" wp14:editId="2F78A261">
            <wp:extent cx="4724400" cy="2266950"/>
            <wp:effectExtent l="0" t="0" r="0" b="0"/>
            <wp:docPr id="1" name="Chart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
                    <pic:cNvPicPr>
                      <a:picLocks noChangeArrowheads="1"/>
                    </pic:cNvPicPr>
                  </pic:nvPicPr>
                  <pic:blipFill>
                    <a:blip r:embed="rId5">
                      <a:extLst>
                        <a:ext uri="{28A0092B-C50C-407E-A947-70E740481C1C}">
                          <a14:useLocalDpi xmlns:a14="http://schemas.microsoft.com/office/drawing/2010/main" val="0"/>
                        </a:ext>
                      </a:extLst>
                    </a:blip>
                    <a:srcRect t="12177" r="10451"/>
                    <a:stretch>
                      <a:fillRect/>
                    </a:stretch>
                  </pic:blipFill>
                  <pic:spPr bwMode="auto">
                    <a:xfrm>
                      <a:off x="0" y="0"/>
                      <a:ext cx="4724400" cy="2266950"/>
                    </a:xfrm>
                    <a:prstGeom prst="rect">
                      <a:avLst/>
                    </a:prstGeom>
                    <a:noFill/>
                    <a:ln>
                      <a:noFill/>
                    </a:ln>
                  </pic:spPr>
                </pic:pic>
              </a:graphicData>
            </a:graphic>
          </wp:inline>
        </w:drawing>
      </w:r>
    </w:p>
    <w:p w14:paraId="3DC0E0C5"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2B7BB883"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 first publication with this search term was produced in 1967 which discussed the theme of poverty, children and teacher’s views. During this time research was focused on </w:t>
      </w:r>
      <w:r w:rsidRPr="00AD72EC">
        <w:rPr>
          <w:rFonts w:ascii="Times New Roman" w:eastAsia="Times New Roman" w:hAnsi="Times New Roman" w:cs="Times New Roman"/>
          <w:sz w:val="24"/>
          <w:szCs w:val="24"/>
          <w:lang w:eastAsia="en-GB"/>
        </w:rPr>
        <w:lastRenderedPageBreak/>
        <w:t xml:space="preserve">relationships between teaching, poverty and looking at how race influences poverty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"10.1080/00220671.1967.10883583", "ISSN" : "0022-0671", "abstract" : "To assses the favorabillty disposition and content of teachers' views of poverty children, 167 teachers were asked to select 50 of 300 words which best describe poverty children. Proportion of poverty children In present teaching assignment was unrelated to favorabillty, but those with many such children showed a more frustrated view. Teachers\u2019 age and teachers' childhood economic background were unrelated to favorabillty or content of view of these children. Teachers rated as most successful with poverty children showed a more favorable disposition and a less frustrated attitude. Negro and Caucasian teachers did not differ in favorabillty, though Negro teachers seemed to think of these children as more active and resistant. The general stereotype of poverty children Is quite negative. \u00a9 Taylor &amp; Francis Group, LLC.", "author" : [ { "dropping-particle" : "", "family" : "North", "given" : "George E.", "non-dropping-particle" : "", "parse-names" : false, "suffix" : "" }, { "dropping-particle" : "", "family" : "Lee Buchanan", "given" : "O.", "non-dropping-particle" : "", "parse-names" : false, "suffix" : "" } ], "container-title" : "The Journal of Educational Research", "id" : "ITEM-1", "issue" : "2", "issued" : { "date-parts" : [ [ "1967", "10", "8" ] ] }, "page" : "53-55", "title" : "Teacher Views of Poverty Area Children", "type" : "article-journal", "volume" : "61" }, "uris" : [ "http://www.mendeley.com/documents/?uuid=280358dc-0d2b-3eff-bdd3-75cba2cebbd4" ] } ], "mendeley" : { "formattedCitation" : "(North and Lee Buchanan, 1967)", "plainTextFormattedCitation" : "(North and Lee Buchanan, 1967)", "previouslyFormattedCitation" : "(North and Lee Buchanan, 1967)"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(North and Lee Buchanan, 1967)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general trend during the next 20 years remained relatively stable with around 1 – 2 papers produced around the world annually. </w:t>
      </w:r>
    </w:p>
    <w:p w14:paraId="4462565A"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0B978F98"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There was a peak in 1990 when 8 papers were produced. There could be a number of reasons for this spike in papers that relate to the search terms used. On closer analysis of the papers, it shows that the journal source featuring the most relates to child development. There were a few articles which looked at producing predictions of school competence as well as how children adapt following developmental change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"10.1111/j.1467-8624.1990.tb02867.x", "ISSN" : "14678624", "abstract" : "2 strategies were used to investigate the continued impact of early experience and adaptation given subsequent experience and/or developmental change in a poverty sample (N = 190). Groups were defined whose adaptation was similar during the preschool years but consistently different earlier; then these 2 groups were compared in elementary school. In addition, a series of regression analyses was performed in which variance accounted for by near\u2010in or contemporary predictors of adaptation in middle childhood was removed before adding earlier adaptation in subsequent steps. Children showing positive adaptation in the infant/toddler period showed greater rebound in the elementary school years, despite poor functioning in the preschool period. Regression analyses revealed some incremental power of early predictors with intermediate predictors removed. The results were interpreted as supporting Bowlby's thesis that adaptation is always a product of both developmental history and current circumstances. While this research cannot resolve such a complicated issue, it does point to the need for complex formulations to guide research on individual development. Copyright \u00a9 1990, Wiley Blackwell. All rights reserved", "author" : [ { "dropping-particle" : "", "family" : "Sroufe", "given" : "L. Alan", "non-dropping-particle" : "", "parse-names" : false, "suffix" : "" }, { "dropping-particle" : "", "family" : "Egeland", "given" : "Byron", "non-dropping-particle" : "", "parse-names" : false, "suffix" : "" }, { "dropping-particle" : "", "family" : "Kreutzer", "given" : "Terri", "non-dropping-particle" : "", "parse-names" : false, "suffix" : "" } ], "container-title" : "Child Development", "id" : "ITEM-1", "issue" : "5", "issued" : { "date-parts" : [ [ "1990", "10" ] ] }, "page" : "1363-1373", "title" : "The Fate of Early Experience Following Developmental Change: Longitudinal Approaches to Individual Adaptation in Childhood", "type" : "article-journal", "volume" : "61" }, "uris" : [ "http://www.mendeley.com/documents/?uuid=54d0007e-4205-3d15-9986-940ca95eb539" ] }, { "id" : "ITEM-2", "itemData" : { "DOI" : "10.1111/j.1467-8624.1990.tb02794.x", "ISSN" : "14678624", "abstract" : "In the United States, being black, male, or growing up in a low\u2010income and/or single\u2010parent household have all been identified as risk factors for maladjustment during childhood. Interpretation of these findings is, however, often difficult because of the wellknown associations among these variables. In the present study, we compared predictions of 3 different forms of children's competence from each of these 4 variables. In a sample of 868 black and white elementary school children from 2\u2010parent and mother\u2010headed 1\u2010parent homes, we studied 3 aspects of school\u2010based competence: conduct, peer relations, and academic achievement. Results showed that although the independent variables accounted for different amounts of variance in each domain of competence, income level and gender were better overall predictors of children's competence in conduct and peer relations than were ethnicity or household composition. Income level and ethnicity were better overall predictors of academic achievement than were gender or household composition, although each of the 4 variables made a significant contribution. Overall, income level and gender were thus the strongest predictors of children's competence. Black children were, however, more likely than white children to live in low\u2010income homes. Our results thus highlighted some correlates of the unequal distribution of economic resources among black and white children growing up in the United States today. Copyright \u00a9 1990, Wiley Blackwell. All rights reserved", "author" : [ { "dropping-particle" : "", "family" : "Patterson", "given" : "Charlotte J.", "non-dropping-particle" : "", "parse-names" : false, "suffix" : "" }, { "dropping-particle" : "", "family" : "Kupersmidt", "given" : "Janis B.", "non-dropping-particle" : "", "parse-names" : false, "suffix" : "" }, { "dropping-particle" : "", "family" : "Vaden", "given" : "Nancy A.", "non-dropping-particle" : "", "parse-names" : false, "suffix" : "" } ], "container-title" : "Child Development", "id" : "ITEM-2", "issue" : "2", "issued" : { "date-parts" : [ [ "1990", "4" ] ] }, "page" : "485-494", "title" : "Income Level, Gender, Ethnicity, and Household Composition as Predictors of Children's School\u2010based Competence", "type" : "article-journal", "volume" : "61" }, "uris" : [ "http://www.mendeley.com/documents/?uuid=292bc8e4-f4f8-37ab-9d22-8211bdceb3e0" ] }, { "id" : "ITEM-3", "itemData" : { "DOI" : "10.1111/j.1467-8624.1990.tb02787.x", "ISSN" : "14678624", "abstract" : "Perinatal and early childhood influences on the development of 66 Haitian\u2010American children were examined as part of an ongoing home visiting program. Although all participants were impoverished, approximately two\u2010thirds lived in an urban setting with some access to social and health services, while one\u2010third lived in a rural farmworkers' community where housing and services were sharply substandard. Measures used to examine the development of infants in these 2 settings included birthweight, household crowding, parental contributions to the child\u2010rearing environment (the HOME), and developmental progress at 12 months on the Bayley Scales of Infant Development. Results showed that the urban sample was advanced on the Mental Development Index of the Bayley Scales. Regression analyses showed birthweight and the HOME score measuring child\u2010rearing environment to be significant predictors of mental development, while psychomotor development was related to birthweight and household crowding. The results indicate that even within this disadvantaged Haitian entrant population, environmental differences exist that influence infant development in subtle but significant ways. Copyright \u00a9 1990, Wiley Blackwell. All rights reserved", "author" : [ { "dropping-particle" : "", "family" : "Widmayer", "given" : "Susan M.", "non-dropping-particle" : "", "parse-names" : false, "suffix" : "" }, { "dropping-particle" : "", "family" : "Peterson", "given" : "Linda M.", "non-dropping-particle" : "", "parse-names" : false, "suffix" : "" }, { "dropping-particle" : "", "family" : "Larner", "given" : "Mary", "non-dropping-particle" : "", "parse-names" : false, "suffix" : "" }, { "dropping-particle" : "", "family" : "Carnahan", "given" : "Sharon", "non-dropping-particle" : "", "parse-names" : false, "suffix" : "" }, { "dropping-particle" : "", "family" : "Calderon", "given" : "Ana", "non-dropping-particle" : "", "parse-names" : false, "suffix" : "" }, { "dropping-particle" : "", "family" : "Wingerd", "given" : "Judy", "non-dropping-particle" : "", "parse-names" : false, "suffix" : "" }, { "dropping-particle" : "", "family" : "Marshall", "given" : "Richard", "non-dropping-particle" : "", "parse-names" : false, "suffix" : "" } ], "container-title" : "Child Development", "id" : "ITEM-3", "issue" : "2", "issued" : { "date-parts" : [ [ "1990", "4" ] ] }, "page" : "410-415", "title" : "Predictors of Haitian\u2010American Infant Development at Twelve Months", "type" : "article-journal", "volume" : "61" }, "uris" : [ "http://www.mendeley.com/documents/?uuid=cf8c60a8-43e7-3116-91c7-0467a34b8012" ] } ], "mendeley" : { "formattedCitation" : "(Patterson, Kupersmidt and Vaden, 1990; Sroufe, Egeland and Kreutzer, 1990; Widmayer &lt;i&gt;et al.&lt;/i&gt;, 1990)", "plainTextFormattedCitation" : "(Patterson, Kupersmidt and Vaden, 1990; Sroufe, Egeland and Kreutzer, 1990; Widmayer et al., 1990)", "previouslyFormattedCitation" : "(Patterson, Kupersmidt and Vaden, 1990; Sroufe, Egeland and Kreutzer, 1990; Widmayer &lt;i&gt;et al.&lt;/i&gt;, 1990)"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(Patterson, Kupersmidt and Vaden, 1990; Sroufe, Egeland and Kreutzer, 1990; Widmayer </w:t>
      </w:r>
      <w:r w:rsidRPr="00AD72EC">
        <w:rPr>
          <w:rFonts w:ascii="Times New Roman" w:eastAsia="Times New Roman" w:hAnsi="Times New Roman" w:cs="Times New Roman"/>
          <w:i/>
          <w:noProof/>
          <w:sz w:val="24"/>
          <w:szCs w:val="24"/>
          <w:lang w:eastAsia="en-GB"/>
        </w:rPr>
        <w:t>et al.</w:t>
      </w:r>
      <w:r w:rsidRPr="00AD72EC">
        <w:rPr>
          <w:rFonts w:ascii="Times New Roman" w:eastAsia="Times New Roman" w:hAnsi="Times New Roman" w:cs="Times New Roman"/>
          <w:noProof/>
          <w:sz w:val="24"/>
          <w:szCs w:val="24"/>
          <w:lang w:eastAsia="en-GB"/>
        </w:rPr>
        <w:t>, 1990)</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w:t>
      </w:r>
    </w:p>
    <w:p w14:paraId="506C65FA"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699104A7"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 There is a steady increase with a peak in 1994,1997 and 1998 through to 2002 when again there is a peak in the number of articles which number 25. Ordering the result by the most cited articles shows that the top 3 relate to environmental poverty: 521, family processes: 338 and human rights: 155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"ISSN" : "00093920", "abstract" : "The one in five children growing up in poverty in America have elevated risk for socioemotional difficulties. One contributing factor to their elevated risk may be exposure to multiple physical and psychosocial Stressors. This study demonstrated that 8- to 10-year-old, low-income, rural children (N = 287) confront a wider array of multiple physical (substandard housing, noise, crowding) and psychosocial (family turmoil, early childhood separation, community violence) Stressors than do their middle-income counterparts. Prior research on self-reported distress among inner-city minority children is replicated and extended among low-income, rural White children with evidence of higher levels of self- and parent-reported psychological distress, greater difficulties in self-regulatory behavior (delayed gratification), and elevated psychophysiological stress (resting blood pressure, overnight neuroendocrine hormones). Preliminary mediational analyses with cross-sectional data suggest that cumulative Stressor exposure may partially account for the well-documented, elevated risk of socio-emotional difficulties accompanying poverty. \u00a9 2002 by the Society for Research in Child Development, Inc. All rights reserved.", "author" : [ { "dropping-particle" : "", "family" : "Evans", "given" : "Gary W.", "non-dropping-particle" : "", "parse-names" : false, "suffix" : "" }, { "dropping-particle" : "", "family" : "English", "given" : "Kimberly", "non-dropping-particle" : "", "parse-names" : false, "suffix" : "" } ], "id" : "ITEM-1", "issue" : "4", "issued" : { "date-parts" : [ [ "2002", "7" ] ] }, "page" : "1238-1248", "title" : "The environment of poverty: Multiple stressor exposure, psychophysiological stress, and socioemotional adjustment", "type" : "article-journal", "volume" : "73" }, "uris" : [ "http://www.mendeley.com/documents/?uuid=42f0f143-9d6e-34d5-b50d-1db6886c1d9c" ] }, { "id" : "ITEM-2", "itemData" : { "DOI" : "10.1037/0012-1649.38.5.719", "ISSN" : "00121649", "abstract" : "A variety of family processes have been hypothesized to mediate associations between income and young children's development. Maternal emotional distress, parental authoritative and authoritarian behavior (videotaped mother-child interactions), and provision of cognitively stimulating activities (Home Observation for Measurement of the Environment [HOME] scales) were examined as possible mediators in a sample of 493 White and African American low-birth-weight premature infants who were followed from birth through age 5. Cognitive ability was assessed by standardized test, and child behavior problems by maternal report, when the children were 3 and 5 years of age. As expected, family income was associated with child outcomes. The provision of stimulating experiences in the home mediated the relation between family income and both children's outcomes; maternal emotional distress and parenting practices mediated the relation between income and children's behavior problems.", "author" : [ { "dropping-particle" : "", "family" : "Linver", "given" : "Miriam R.", "non-dropping-particle" : "", "parse-names" : false, "suffix" : "" }, { "dropping-particle" : "", "family" : "Brooks-Gunn", "given" : "Jeanne", "non-dropping-particle" : "", "parse-names" : false, "suffix" : "" }, { "dropping-particle" : "", "family" : "Kohen", "given" : "Dafna E.", "non-dropping-particle" : "", "parse-names" : false, "suffix" : "" } ], "container-title" : "Developmental Psychology", "id" : "ITEM-2", "issue" : "5", "issued" : { "date-parts" : [ [ "2002" ] ] }, "page" : "719-734", "title" : "Family processes as pathways from income to young children's development.", "type" : "article-journal", "volume" : "38" }, "uris" : [ "http://www.mendeley.com/documents/?uuid=4fa3b4fb-c76f-360f-b0f6-45b10dca4435" ] }, { "id" : "ITEM-3", "itemData" : { "DOI" : "10.1146/annurev.anthro.31.040402.085359", "ISSN" : "00846570", "abstract" : "This review presents a critique of the academic and welfare literature on street children in developing countries, with supporting evidence from studies of homelessness in industrialized nations. The turn of the twenty-first century has seen a sea change of perspective in studies concerning street youth. This review examines five stark criticisms of the category \"street child\" and of research that focuses on the identifying characteristics of a street lifestyle rather than on the children themselves and the depth or diversity of their actual experiences. Second, it relates the change of approach to a powerful human rights discourse - the legal and conceptual framework provided by the United Nations Convention on the Rights of the Child - which emphasizes children's rights as citizens and recognizes their capabilities to enact change in their own lives. Finally, this article examines literature focusing specifically on the risks to health associated with street or homeless lifestyles. Risk assessment that assigns street children to a category \"at risk\" should not overshadow helpful analytical approaches focusing on children's resiliency and long-term career life prospects. This review thus highlights some of the challenging academic and practical questions that have been raised regarding current understandings of street children.", "author" : [ { "dropping-particle" : "", "family" : "Panter-Brick", "given" : "Catherine", "non-dropping-particle" : "", "parse-names" : false, "suffix" : "" } ], "container-title" : "Annual Review of Anthropology", "id" : "ITEM-3", "issue" : "1", "issued" : { "date-parts" : [ [ "2002", "10" ] ] }, "page" : "147-171", "title" : "Street children, human rights, and public health: A Critique and Future Directions", "type" : "article-journal", "volume" : "31" }, "uris" : [ "http://www.mendeley.com/documents/?uuid=220fe63c-dd80-3c21-87a3-22784ffb98bc" ] } ], "mendeley" : { "formattedCitation" : "(Evans and English, 2002; Linver, Brooks-Gunn and Kohen, 2002; Panter-Brick, 2002)", "plainTextFormattedCitation" : "(Evans and English, 2002; Linver, Brooks-Gunn and Kohen, 2002; Panter-Brick, 2002)", "previouslyFormattedCitation" : "(Evans and English, 2002; Linver, Brooks-Gunn and Kohen, 2002; Panter-Brick, 2002)"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(Evans and English, 2002; Linver, Brooks-Gunn and Kohen, 2002; Panter-Brick, 2002)</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The peak in 1994 relates to a paper discussing economic deprivation and childhood development, this paper is the top cited paper relating to poverty and childhood being cited 1145 times</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"10.1111/j.1467-8624.1994.tb00752.x", "ISSN" : "0009-3920", "abstract" : "We consider 3 questions regarding the effects of economic deprivation on child development. First, how are developmental outcomes in childhood affected by poverty and such poverty correlates as single parenthood, ethnicity, and maternal education? Second, what are the developmental consequences of the duration and timing of family economic deprivation? And, third, what is the comparative influence of economic deprivation at the family and neighborhood level? We investigate these issues with longitudinal data from the Infant Health and Development Program. We find that family income and poverty status are powerful correlates of the cognitive development and behavior of children, even after accounting for other differences\u2014in particular family structure and maternal schooling\u2014between low\u2010 and high\u2010income families. While the duration of poverty matters, its timing in early childhood does not. Age\u20105 IQs are found to be higher in neighborhoods with greater concentrations of affluent neighbors, while the prevalence of low\u2010income neighbors appears to increase the incidence of externalizing behavior problems. Copyright \u00a9 1994, Wiley Blackwell. All rights reserved", "author" : [ { "dropping-particle" : "", "family" : "Duncan", "given" : "Greg J.", "non-dropping-particle" : "", "parse-names" : false, "suffix" : "" }, { "dropping-particle" : "", "family" : "Brooks-Gunn", "given" : "Jeanne", "non-dropping-particle" : "", "parse-names" : false, "suffix" : "" }, { "dropping-particle" : "", "family" : "Klebanov", "given" : "Pamela Kato", "non-dropping-particle" : "", "parse-names" : false, "suffix" : "" } ], "container-title" : "Child Development", "id" : "ITEM-1", "issue" : "2", "issued" : { "date-parts" : [ [ "1994", "4" ] ] }, "page" : "296-318", "title" : "Economic Deprivation and Early Childhood Development", "type" : "article-journal", "volume" : "65" }, "uris" : [ "http://www.mendeley.com/documents/?uuid=abd80cf6-d229-3249-9486-7ba47ed60629" ] } ], "mendeley" : { "formattedCitation" : "(Duncan, Brooks-Gunn and Klebanov, 1994)", "plainTextFormattedCitation" : "(Duncan, Brooks-Gunn and Klebanov, 1994)", "previouslyFormattedCitation" : "(Duncan, Brooks-Gunn and Klebanov, 1994)"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(Duncan, Brooks-Gunn and Klebanov, 1994)</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peak in 1997 relates to a paper discussing behaviour and poverty in children which was cited by 683 papers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"10.1016/S0277-9536(96)00191-8", "ISSN" : "02779536", "author" : [ { "dropping-particle" : "", "family" : "Lynch", "given" : "J.W.", "non-dropping-particle" : "", "parse-names" : false, "suffix" : "" }, { "dropping-particle" : "", "family" : "Kaplan", "given" : "G.A.", "non-dropping-particle" : "", "parse-names" : false, "suffix" : "" }, { "dropping-particle" : "", "family" : "Salonen", "given" : "J.T.", "non-dropping-particle" : "", "parse-names" : false, "suffix" : "" } ], "container-title" : "Social Science &amp; Medicine", "id" : "ITEM-1", "issue" : "6", "issued" : { "date-parts" : [ [ "1997", "3" ] ] }, "page" : "809-819", "title" : "Why do poor people behave poorly? Variation in adult health behaviours and psychosocial characteristics by stages of the socioeconomic lifecourse", "type" : "article-journal", "volume" : "44" }, "uris" : [ "http://www.mendeley.com/documents/?uuid=34f931ae-7184-3256-a580-baeda605ab59" ] } ], "mendeley" : { "formattedCitation" : "(Lynch, Kaplan and Salonen, 1997)", "plainTextFormattedCitation" : "(Lynch, Kaplan and Salonen, 1997)", "previouslyFormattedCitation" : "(Lynch, Kaplan and Salonen, 1997)"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(Lynch, Kaplan and Salonen, 1997)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There was then a drop in the number of papers produced over the next 3 years after which there was a rapid increase in the number of articles. This period produced the most cited papers relating to the theme of childhood and poverty and may explain the subsequent decrease of papers during these three years as researchers analysed these influential findings.  The number increased from 18 in 2005 up to 57 in 2009. The most cited paper for 2009 discussed the relationship </w:t>
      </w:r>
      <w:r w:rsidRPr="00AD72EC">
        <w:rPr>
          <w:rFonts w:ascii="Times New Roman" w:eastAsia="Times New Roman" w:hAnsi="Times New Roman" w:cs="Times New Roman"/>
          <w:sz w:val="24"/>
          <w:szCs w:val="24"/>
          <w:lang w:eastAsia="en-GB"/>
        </w:rPr>
        <w:lastRenderedPageBreak/>
        <w:t xml:space="preserve">between adult height and poverty suggesting that the taller populations are generally richer than the poorer ones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"10.1353/dem.0.0079", "ISSN" : "00703370", "abstract" : "Taller populations are typically richer populations, and taller individuals live longer and earn more. In consequence, adult height has recently become a focus in understanding the relationship between health and wealth. We investigate the childhood determinants of population adult height, focusing on the respective roles of income and of disease. Across a range of European countries and the United States, we find a strong inverse relationship between postneonatal (ages 1 month to 1 year) mortality, interpreted as a measure of the disease and nutritional burden in childhood, and the mean height of those children as adults. Consistent with these findings, we develop a model of selection and stunting in which the early-life burden of undernutrition and disease not only is responsible for mortality in childhood but also leaves a residue of long-term health risks for survivors, risks that express themselves in adult height and in late-life disease. The model predicts that at sufficiently high mortality levels, selection can dominate scarring, leaving a taller population of survivors. We find evidence of this effect in the poorest and highest-mortality countries of the world, supplementing recentfindings on the effects of the Great Chinese Famine.", "author" : [ { "dropping-particle" : "", "family" : "Bozzoli", "given" : "Carlos", "non-dropping-particle" : "", "parse-names" : false, "suffix" : "" }, { "dropping-particle" : "", "family" : "Deaton", "given" : "Angus", "non-dropping-particle" : "", "parse-names" : false, "suffix" : "" }, { "dropping-particle" : "", "family" : "Quintana-Domeque", "given" : "Climent", "non-dropping-particle" : "", "parse-names" : false, "suffix" : "" } ], "container-title" : "Demography", "id" : "ITEM-1", "issue" : "4", "issued" : { "date-parts" : [ [ "2009", "11" ] ] }, "page" : "647-669", "title" : "Adult height and childhood disease", "type" : "article-journal", "volume" : "46" }, "uris" : [ "http://www.mendeley.com/documents/?uuid=98c00a4d-e2f4-38ea-8b40-819886f94078" ] } ], "mendeley" : { "formattedCitation" : "(Bozzoli, Deaton and Quintana-Domeque, 2009)", "plainTextFormattedCitation" : "(Bozzoli, Deaton and Quintana-Domeque, 2009)", "previouslyFormattedCitation" : "(Bozzoli, Deaton and Quintana-Domeque, 2009)"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(Bozzoli, Deaton and Quintana-Domeque, 2009)</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next most cited paper looked at childhood maltreatment and how the issues relate to women.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"10.1177/1524838009339757", "ISSN" : "15248380", "abstract" : "This article reviews the complex relationship between child maltreatment and later psychosocial difficulties among adult women. Specifically addressed are (a) the various forms of childhood maltreatment, (b) the range of potential long-term psychological outcomes, and (c) important contextual variables that mediate or add to these maltreatment-symptom relationships. Among the latter are characteristics of the abuse and/or neglect; effects of impaired parental functioning; premaltreatment and postmaltreatment psychobiology; qualities of the parent-child attachment; abuse and/or neglect-related affect dysregulation that may lead to further symptomatology; the extent to which the child responds with significant emotional or behavioral avoidance; and whether later traumas are also present. Also relevant are sociocultural contributors to both child maltreatment and maltreatment effects, especially poverty and marginalization. Clinical and research implications are considered. \u00a9 2009 SAGE Publications.", "author" : [ { "dropping-particle" : "", "family" : "Briere", "given" : "John", "non-dropping-particle" : "", "parse-names" : false, "suffix" : "" }, { "dropping-particle" : "", "family" : "Jordan", "given" : "Carol E.", "non-dropping-particle" : "", "parse-names" : false, "suffix" : "" } ], "container-title" : "Trauma, Violence, &amp; Abuse", "id" : "ITEM-1", "issue" : "4", "issued" : { "date-parts" : [ [ "2009", "10", "23" ] ] }, "page" : "375-388", "title" : "Childhood maltreatment, intervening variables, and adult psychological difficulties in women: An overview", "type" : "article-journal", "volume" : "10" }, "uris" : [ "http://www.mendeley.com/documents/?uuid=3505a620-509e-3489-b8ba-a5f5506b87b4" ] } ], "mendeley" : { "formattedCitation" : "(Briere and Jordan, 2009)", "plainTextFormattedCitation" : "(Briere and Jordan, 2009)", "previouslyFormattedCitation" : "(Briere and Jordan, 2009)"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(Briere and Jordan, 2009)</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Apart from a slight drop in 2010, there is again a rapid increase in the number of papers produced until 2014 when it peaks at 89. The top cited paper at this time relates to parenting and childhood development, cited 39 times</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"10.1037/a0033647", "ISSN" : "00121649", "abstract" : "In the current article, we contrast 2 analytical approaches to estimate the relation of parenting to executive function development in a sample of 1,292 children assessed longitudinally between the ages of 36 and 60 months of age. Children were administered a newly developed and validated battery of 6 executive function tasks tapping inhibitory control, working memory, and attention shifting. Residualized change analysis indicated that higher quality parenting as indicated by higher scores on widely used measures of parenting at both earlier and later time points predicted more positive gain in executive function at 60 months. Latent change score models in which parenting and executive function over time were held to standards of longitudinal measurement invariance provided additional evidence of the association between change in parenting quality and change in executive function. In these models, cross-lagged paths indicated that in addition to parenting predicting change in executive function, executive function bidirectionally predicted change in parenting quality. Results were robust with the addition of covariates, including child sex, race, maternal education, and household income-to-need. Strengths and drawbacks of the 2 analytic approaches are discussed, and the findings are considered in light of emerging methodological innovations for testing the extent to which executive function is malleable and open to the influence of experience. \u00a9 2013 American Psychological Association.", "author" : [ { "dropping-particle" : "", "family" : "Blair", "given" : "Clancy", "non-dropping-particle" : "", "parse-names" : false, "suffix" : "" }, { "dropping-particle" : "", "family" : "Cybele Raver", "given" : "C.", "non-dropping-particle" : "", "parse-names" : false, "suffix" : "" }, { "dropping-particle" : "", "family" : "Berry", "given" : "Daniel J.", "non-dropping-particle" : "", "parse-names" : false, "suffix" : "" } ], "container-title" : "Developmental Psychology", "id" : "ITEM-1", "issue" : "2", "issued" : { "date-parts" : [ [ "2014", "2" ] ] }, "page" : "554-565", "title" : "Two approaches to estimating the effect of parenting on the development of executive function in early childhood", "type" : "article-journal", "volume" : "50" }, "uris" : [ "http://www.mendeley.com/documents/?uuid=b33bd628-72f2-30fc-bd73-7a7bbf12756b" ] } ], "mendeley" : { "formattedCitation" : "(Blair, Cybele Raver and Berry, 2014)", "plainTextFormattedCitation" : "(Blair, Cybele Raver and Berry, 2014)", "previouslyFormattedCitation" : "(Blair, Cybele Raver and Berry, 2014)"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(Blair, Cybele Raver and Berry, 2014)</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The next top paper relates to housing and school readiness, cited 37 times</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"10.1111/cdev.12105", "ISSN" : "00093920", "abstract" : "This study assesses the consequences of housing instability during the first 5 years of a child's life for a host of school readiness outcomes. Using data from the Fragile Families and Child Wellbeing Study (n = 2,810), this study examines the relation between multiple moves and children's language and literacy and behavior problems at age 5. The moderating role of poverty is further tested in this relation. The findings show that moving three or more times in a child's first 5 years is significantly associated with increases in attention problems, and internalizing and externalizing behavior, but only among poor children. \u00a9 2013 Society for Research in Child Development, Inc.", "author" : [ { "dropping-particle" : "", "family" : "Ziol-Guest", "given" : "Kathleen M.", "non-dropping-particle" : "", "parse-names" : false, "suffix" : "" }, { "dropping-particle" : "", "family" : "Mckenna", "given" : "Claire C.", "non-dropping-particle" : "", "parse-names" : false, "suffix" : "" } ], "container-title" : "Child Development", "id" : "ITEM-1", "issue" : "1", "issued" : { "date-parts" : [ [ "2014", "1" ] ] }, "page" : "103-113", "title" : "Early childhood housing instability and school readiness", "type" : "article-journal", "volume" : "85" }, "uris" : [ "http://www.mendeley.com/documents/?uuid=e826aa5c-5550-39f1-8bc3-c84441456fa3" ] } ], "mendeley" : { "formattedCitation" : "(Ziol-Guest and Mckenna, 2014)", "plainTextFormattedCitation" : "(Ziol-Guest and Mckenna, 2014)", "previouslyFormattedCitation" : "(Ziol-Guest and Mckenna, 2014)"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(Ziol-Guest and Mckenna, 2014)</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third top cited paper relates to how poverty is related to food environments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"10.1016/j.healthplace.2014.01.007", "ISSN" : "18732054", "abstract" : "Using a large cross sectional English sample, we quantified the association between weight status in children aged 4-5 and 10-11 year, characteristics of the food environment, and area deprivation. We observed a positive association between the density of unhealthy food outlets in a neighbourhood and the prevalence of overweight and obesity in children. An association in the opposite direction was observed for other types of food outlets, although after adjustment this was only statistically significant for older children. The prevalence of fast food and other unhealthy food outlets explained only a small proportion of the observed associations between weight status and socioeconomic deprivation. Children[U+05F3]s weight status may be influenced by their local environment, particularly older children, but associations between obesity and deprivation do not appear strongly due to local food environment characteristics. \u00a9 2014 Elsevier Ltd.", "author" : [ { "dropping-particle" : "", "family" : "Cetateanu", "given" : "Andreea", "non-dropping-particle" : "", "parse-names" : false, "suffix" : "" }, { "dropping-particle" : "", "family" : "Jones", "given" : "Andy", "non-dropping-particle" : "", "parse-names" : false, "suffix" : "" } ], "container-title" : "Health &amp; Place", "id" : "ITEM-1", "issued" : { "date-parts" : [ [ "2014", "5" ] ] }, "page" : "68-76", "publisher" : "Elsevier Ltd", "title" : "Understanding the relationship between food environments, deprivation and childhood overweight and obesity: Evidence from a cross sectional England-wide study", "type" : "article-journal", "volume" : "27" }, "uris" : [ "http://www.mendeley.com/documents/?uuid=41023b83-d6fb-364b-9375-0fe4f5518d9e" ] } ], "mendeley" : { "formattedCitation" : "(Cetateanu and Jones, 2014)", "plainTextFormattedCitation" : "(Cetateanu and Jones, 2014)", "previouslyFormattedCitation" : "(Cetateanu and Jones, 2014)"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(Cetateanu and Jones, 2014)</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During the overall period, it is clear to see that from 1967 when there was only one paper found through to 2017, there is a large variation of the number of citations where it peaked in 1994 and then again in 1997 and finally 1998. After this period, the research relating to poverty seemed to branch out into many areas with no centralised theme. </w:t>
      </w:r>
    </w:p>
    <w:p w14:paraId="7B6C7CE4"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0C002B32"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A comparison was also undertaken between the top 10 number of countries producing research papers for this theme. This is shown in in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_Ref512600148 \h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 xml:space="preserve">Figure </w:t>
      </w:r>
      <w:r w:rsidRPr="00AD72EC">
        <w:rPr>
          <w:rFonts w:ascii="Times New Roman" w:eastAsia="Times New Roman" w:hAnsi="Times New Roman" w:cs="Times New Roman"/>
          <w:noProof/>
          <w:sz w:val="24"/>
          <w:szCs w:val="24"/>
          <w:lang w:eastAsia="en-GB"/>
        </w:rPr>
        <w:t>2</w:t>
      </w:r>
      <w:r w:rsidRPr="00AD72EC">
        <w:rPr>
          <w:rFonts w:ascii="Times New Roman" w:eastAsia="Times New Roman" w:hAnsi="Times New Roman" w:cs="Times New Roman"/>
          <w:sz w:val="24"/>
          <w:szCs w:val="24"/>
          <w:lang w:eastAsia="en-GB"/>
        </w:rPr>
        <w:t>: Distribution of research in theme 1 by country</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_Ref512600148 \p \h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below</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Overall it can clearly be seen that the United States of America (USA) have produced the highest number of papers followed by the United Kingdom (UK). These two countries account for over 82% of the entire research undertaken based upon this theme. The remaining 18% of research is undertaken by Canada, Australia, South Africa, Sweden, Germany, Brazil and India respectively. A further comparison was then undertaken against the top two countries against the papers over time. This is shown in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_Ref512600684 \h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 xml:space="preserve">Figure </w:t>
      </w:r>
      <w:r w:rsidRPr="00AD72EC">
        <w:rPr>
          <w:rFonts w:ascii="Times New Roman" w:eastAsia="Times New Roman" w:hAnsi="Times New Roman" w:cs="Times New Roman"/>
          <w:noProof/>
          <w:sz w:val="24"/>
          <w:szCs w:val="24"/>
          <w:lang w:eastAsia="en-GB"/>
        </w:rPr>
        <w:t>3</w:t>
      </w:r>
      <w:r w:rsidRPr="00AD72EC">
        <w:rPr>
          <w:rFonts w:ascii="Times New Roman" w:eastAsia="Times New Roman" w:hAnsi="Times New Roman" w:cs="Times New Roman"/>
          <w:sz w:val="24"/>
          <w:szCs w:val="24"/>
          <w:lang w:eastAsia="en-GB"/>
        </w:rPr>
        <w:t>: Comparison of UK vs USA publication over time for theme 1</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_Ref512600684 \p \h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below</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w:t>
      </w:r>
    </w:p>
    <w:p w14:paraId="7D85D415"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12262F4E" w14:textId="77777777" w:rsidR="00AD72EC" w:rsidRPr="00AD72EC" w:rsidRDefault="00AD72EC" w:rsidP="00AD72EC">
      <w:pPr>
        <w:keepNext/>
        <w:spacing w:after="200" w:line="240" w:lineRule="auto"/>
        <w:jc w:val="center"/>
        <w:rPr>
          <w:rFonts w:ascii="Calibri" w:eastAsia="Calibri" w:hAnsi="Calibri" w:cs="Times New Roman"/>
          <w:i/>
          <w:iCs/>
          <w:color w:val="44546A"/>
          <w:sz w:val="18"/>
          <w:szCs w:val="18"/>
        </w:rPr>
      </w:pPr>
      <w:bookmarkStart w:id="30" w:name="_Ref512600148"/>
      <w:r w:rsidRPr="00AD72EC">
        <w:rPr>
          <w:rFonts w:ascii="Calibri" w:eastAsia="Calibri" w:hAnsi="Calibri" w:cs="Times New Roman"/>
          <w:i/>
          <w:iCs/>
          <w:color w:val="44546A"/>
          <w:sz w:val="18"/>
          <w:szCs w:val="18"/>
        </w:rPr>
        <w:lastRenderedPageBreak/>
        <w:t xml:space="preserve">Figure </w:t>
      </w:r>
      <w:r w:rsidRPr="00AD72EC">
        <w:rPr>
          <w:rFonts w:ascii="Calibri" w:eastAsia="Calibri" w:hAnsi="Calibri" w:cs="Times New Roman"/>
          <w:i/>
          <w:iCs/>
          <w:color w:val="44546A"/>
          <w:sz w:val="18"/>
          <w:szCs w:val="18"/>
        </w:rPr>
        <w:fldChar w:fldCharType="begin"/>
      </w:r>
      <w:r w:rsidRPr="00AD72EC">
        <w:rPr>
          <w:rFonts w:ascii="Calibri" w:eastAsia="Calibri" w:hAnsi="Calibri" w:cs="Times New Roman"/>
          <w:i/>
          <w:iCs/>
          <w:color w:val="44546A"/>
          <w:sz w:val="18"/>
          <w:szCs w:val="18"/>
        </w:rPr>
        <w:instrText xml:space="preserve"> SEQ Figure \* ARABIC </w:instrText>
      </w:r>
      <w:r w:rsidRPr="00AD72EC">
        <w:rPr>
          <w:rFonts w:ascii="Calibri" w:eastAsia="Calibri" w:hAnsi="Calibri" w:cs="Times New Roman"/>
          <w:i/>
          <w:iCs/>
          <w:color w:val="44546A"/>
          <w:sz w:val="18"/>
          <w:szCs w:val="18"/>
        </w:rPr>
        <w:fldChar w:fldCharType="separate"/>
      </w:r>
      <w:r w:rsidRPr="00AD72EC">
        <w:rPr>
          <w:rFonts w:ascii="Calibri" w:eastAsia="Calibri" w:hAnsi="Calibri" w:cs="Times New Roman"/>
          <w:i/>
          <w:iCs/>
          <w:noProof/>
          <w:color w:val="44546A"/>
          <w:sz w:val="18"/>
          <w:szCs w:val="18"/>
        </w:rPr>
        <w:t>2</w:t>
      </w:r>
      <w:r w:rsidRPr="00AD72EC">
        <w:rPr>
          <w:rFonts w:ascii="Calibri" w:eastAsia="Calibri" w:hAnsi="Calibri" w:cs="Times New Roman"/>
          <w:i/>
          <w:iCs/>
          <w:noProof/>
          <w:color w:val="44546A"/>
          <w:sz w:val="18"/>
          <w:szCs w:val="18"/>
        </w:rPr>
        <w:fldChar w:fldCharType="end"/>
      </w:r>
      <w:r w:rsidRPr="00AD72EC">
        <w:rPr>
          <w:rFonts w:ascii="Calibri" w:eastAsia="Calibri" w:hAnsi="Calibri" w:cs="Times New Roman"/>
          <w:i/>
          <w:iCs/>
          <w:color w:val="44546A"/>
          <w:sz w:val="18"/>
          <w:szCs w:val="18"/>
        </w:rPr>
        <w:t>: Distribution of research in theme 1 by country</w:t>
      </w:r>
      <w:bookmarkEnd w:id="30"/>
    </w:p>
    <w:p w14:paraId="5DF1789C" w14:textId="77777777" w:rsidR="00AD72EC" w:rsidRPr="00AD72EC" w:rsidRDefault="00AD72EC" w:rsidP="00AD72EC">
      <w:pPr>
        <w:spacing w:after="0" w:line="480" w:lineRule="auto"/>
        <w:ind w:left="360"/>
        <w:jc w:val="center"/>
        <w:rPr>
          <w:rFonts w:ascii="Times New Roman" w:eastAsia="Times New Roman" w:hAnsi="Times New Roman" w:cs="Times New Roman"/>
          <w:noProof/>
          <w:sz w:val="24"/>
          <w:szCs w:val="24"/>
          <w:lang w:eastAsia="en-GB"/>
        </w:rPr>
      </w:pPr>
      <w:r w:rsidRPr="00AD72EC">
        <w:rPr>
          <w:rFonts w:ascii="Times New Roman" w:eastAsia="Times New Roman" w:hAnsi="Times New Roman" w:cs="Times New Roman"/>
          <w:noProof/>
          <w:sz w:val="24"/>
          <w:szCs w:val="24"/>
          <w:lang w:eastAsia="en-GB"/>
        </w:rPr>
        <w:drawing>
          <wp:inline distT="0" distB="0" distL="0" distR="0" wp14:anchorId="41FA300A" wp14:editId="3611D071">
            <wp:extent cx="3362325" cy="3112135"/>
            <wp:effectExtent l="0" t="0" r="0" b="0"/>
            <wp:docPr id="2"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3ACD822" w14:textId="77777777" w:rsidR="00AD72EC" w:rsidRPr="00AD72EC" w:rsidRDefault="00AD72EC" w:rsidP="00AD72EC">
      <w:pPr>
        <w:spacing w:after="0" w:line="480" w:lineRule="auto"/>
        <w:ind w:left="360"/>
        <w:jc w:val="both"/>
        <w:rPr>
          <w:rFonts w:ascii="Times New Roman" w:eastAsia="Times New Roman" w:hAnsi="Times New Roman" w:cs="Times New Roman"/>
          <w:noProof/>
          <w:sz w:val="24"/>
          <w:szCs w:val="24"/>
          <w:lang w:eastAsia="en-GB"/>
        </w:rPr>
      </w:pPr>
      <w:r w:rsidRPr="00AD72EC">
        <w:rPr>
          <w:rFonts w:ascii="Times New Roman" w:eastAsia="Times New Roman" w:hAnsi="Times New Roman" w:cs="Times New Roman"/>
          <w:noProof/>
          <w:sz w:val="24"/>
          <w:szCs w:val="24"/>
          <w:lang w:eastAsia="en-GB"/>
        </w:rPr>
        <w:t xml:space="preserve">This shows the united states was the first county to produce a paper that realted to poverty and childhood and it wasn’t  until 1986, that the United kingdom produced a paper relating to the terms Poverty and Childhood. </w:t>
      </w:r>
    </w:p>
    <w:p w14:paraId="68EC538F" w14:textId="77777777" w:rsidR="00AD72EC" w:rsidRPr="00AD72EC" w:rsidRDefault="00AD72EC" w:rsidP="00AD72EC">
      <w:pPr>
        <w:spacing w:after="0" w:line="480" w:lineRule="auto"/>
        <w:ind w:left="360"/>
        <w:jc w:val="both"/>
        <w:rPr>
          <w:rFonts w:ascii="Times New Roman" w:eastAsia="Times New Roman" w:hAnsi="Times New Roman" w:cs="Times New Roman"/>
          <w:noProof/>
          <w:sz w:val="24"/>
          <w:szCs w:val="24"/>
          <w:lang w:eastAsia="en-GB"/>
        </w:rPr>
      </w:pPr>
    </w:p>
    <w:p w14:paraId="4D4E9287" w14:textId="77777777" w:rsidR="00AD72EC" w:rsidRPr="00AD72EC" w:rsidRDefault="00AD72EC" w:rsidP="00AD72EC">
      <w:pPr>
        <w:keepNext/>
        <w:spacing w:after="200" w:line="240" w:lineRule="auto"/>
        <w:jc w:val="center"/>
        <w:rPr>
          <w:rFonts w:ascii="Calibri" w:eastAsia="Calibri" w:hAnsi="Calibri" w:cs="Times New Roman"/>
          <w:i/>
          <w:iCs/>
          <w:color w:val="44546A"/>
          <w:sz w:val="18"/>
          <w:szCs w:val="18"/>
        </w:rPr>
      </w:pPr>
      <w:bookmarkStart w:id="31" w:name="_Ref512600684"/>
      <w:r w:rsidRPr="00AD72EC">
        <w:rPr>
          <w:rFonts w:ascii="Calibri" w:eastAsia="Calibri" w:hAnsi="Calibri" w:cs="Times New Roman"/>
          <w:i/>
          <w:iCs/>
          <w:color w:val="44546A"/>
          <w:sz w:val="18"/>
          <w:szCs w:val="18"/>
        </w:rPr>
        <w:t xml:space="preserve">Figure </w:t>
      </w:r>
      <w:r w:rsidRPr="00AD72EC">
        <w:rPr>
          <w:rFonts w:ascii="Calibri" w:eastAsia="Calibri" w:hAnsi="Calibri" w:cs="Times New Roman"/>
          <w:i/>
          <w:iCs/>
          <w:color w:val="44546A"/>
          <w:sz w:val="18"/>
          <w:szCs w:val="18"/>
        </w:rPr>
        <w:fldChar w:fldCharType="begin"/>
      </w:r>
      <w:r w:rsidRPr="00AD72EC">
        <w:rPr>
          <w:rFonts w:ascii="Calibri" w:eastAsia="Calibri" w:hAnsi="Calibri" w:cs="Times New Roman"/>
          <w:i/>
          <w:iCs/>
          <w:color w:val="44546A"/>
          <w:sz w:val="18"/>
          <w:szCs w:val="18"/>
        </w:rPr>
        <w:instrText xml:space="preserve"> SEQ Figure \* ARABIC </w:instrText>
      </w:r>
      <w:r w:rsidRPr="00AD72EC">
        <w:rPr>
          <w:rFonts w:ascii="Calibri" w:eastAsia="Calibri" w:hAnsi="Calibri" w:cs="Times New Roman"/>
          <w:i/>
          <w:iCs/>
          <w:color w:val="44546A"/>
          <w:sz w:val="18"/>
          <w:szCs w:val="18"/>
        </w:rPr>
        <w:fldChar w:fldCharType="separate"/>
      </w:r>
      <w:r w:rsidRPr="00AD72EC">
        <w:rPr>
          <w:rFonts w:ascii="Calibri" w:eastAsia="Calibri" w:hAnsi="Calibri" w:cs="Times New Roman"/>
          <w:i/>
          <w:iCs/>
          <w:noProof/>
          <w:color w:val="44546A"/>
          <w:sz w:val="18"/>
          <w:szCs w:val="18"/>
        </w:rPr>
        <w:t>3</w:t>
      </w:r>
      <w:r w:rsidRPr="00AD72EC">
        <w:rPr>
          <w:rFonts w:ascii="Calibri" w:eastAsia="Calibri" w:hAnsi="Calibri" w:cs="Times New Roman"/>
          <w:i/>
          <w:iCs/>
          <w:noProof/>
          <w:color w:val="44546A"/>
          <w:sz w:val="18"/>
          <w:szCs w:val="18"/>
        </w:rPr>
        <w:fldChar w:fldCharType="end"/>
      </w:r>
      <w:r w:rsidRPr="00AD72EC">
        <w:rPr>
          <w:rFonts w:ascii="Calibri" w:eastAsia="Calibri" w:hAnsi="Calibri" w:cs="Times New Roman"/>
          <w:i/>
          <w:iCs/>
          <w:color w:val="44546A"/>
          <w:sz w:val="18"/>
          <w:szCs w:val="18"/>
        </w:rPr>
        <w:t>: Comparison of UK vs USA publication over time for theme 1</w:t>
      </w:r>
      <w:bookmarkEnd w:id="31"/>
    </w:p>
    <w:p w14:paraId="5A582F5D" w14:textId="77777777" w:rsidR="00AD72EC" w:rsidRPr="00AD72EC" w:rsidRDefault="00AD72EC" w:rsidP="00AD72EC">
      <w:pPr>
        <w:spacing w:after="0" w:line="480" w:lineRule="auto"/>
        <w:ind w:left="360"/>
        <w:jc w:val="both"/>
        <w:rPr>
          <w:rFonts w:ascii="Times New Roman" w:eastAsia="Times New Roman" w:hAnsi="Times New Roman" w:cs="Times New Roman"/>
          <w:noProof/>
          <w:sz w:val="24"/>
          <w:szCs w:val="24"/>
          <w:lang w:eastAsia="en-GB"/>
        </w:rPr>
      </w:pPr>
      <w:r w:rsidRPr="00AD72EC">
        <w:rPr>
          <w:rFonts w:ascii="Times New Roman" w:eastAsia="Times New Roman" w:hAnsi="Times New Roman" w:cs="Times New Roman"/>
          <w:noProof/>
          <w:sz w:val="24"/>
          <w:szCs w:val="24"/>
          <w:lang w:eastAsia="en-GB"/>
        </w:rPr>
        <w:drawing>
          <wp:inline distT="0" distB="0" distL="0" distR="0" wp14:anchorId="64764C9A" wp14:editId="296589B6">
            <wp:extent cx="5734050" cy="2162175"/>
            <wp:effectExtent l="0" t="0" r="0" b="0"/>
            <wp:docPr id="3" name="Chart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41DF953" w14:textId="77777777" w:rsidR="00AD72EC" w:rsidRPr="00AD72EC" w:rsidRDefault="00AD72EC" w:rsidP="00AD72EC">
      <w:pPr>
        <w:spacing w:after="0" w:line="480" w:lineRule="auto"/>
        <w:ind w:left="360"/>
        <w:jc w:val="both"/>
        <w:rPr>
          <w:rFonts w:ascii="Times New Roman" w:eastAsia="Times New Roman" w:hAnsi="Times New Roman" w:cs="Times New Roman"/>
          <w:noProof/>
          <w:sz w:val="24"/>
          <w:szCs w:val="24"/>
          <w:lang w:eastAsia="en-GB"/>
        </w:rPr>
      </w:pPr>
      <w:r w:rsidRPr="00AD72EC">
        <w:rPr>
          <w:rFonts w:ascii="Times New Roman" w:eastAsia="Times New Roman" w:hAnsi="Times New Roman" w:cs="Times New Roman"/>
          <w:noProof/>
          <w:sz w:val="24"/>
          <w:szCs w:val="24"/>
          <w:lang w:eastAsia="en-GB"/>
        </w:rPr>
        <w:t xml:space="preserve">Even from this time, it is clear to see that the united kingdom was not a great producer of research  realting to these terms. There are though many peaks and troughs from 1997 onwards up until 2007, a period of 10 years.During 1997 the number of papers nealry equaled that produced by the USA which had continued to see a decline from their 1994 </w:t>
      </w:r>
      <w:r w:rsidRPr="00AD72EC">
        <w:rPr>
          <w:rFonts w:ascii="Times New Roman" w:eastAsia="Times New Roman" w:hAnsi="Times New Roman" w:cs="Times New Roman"/>
          <w:noProof/>
          <w:sz w:val="24"/>
          <w:szCs w:val="24"/>
          <w:lang w:eastAsia="en-GB"/>
        </w:rPr>
        <w:lastRenderedPageBreak/>
        <w:t xml:space="preserve">peak.  There could be a number of explanations for the increase in this period although one of the main reasons could be related to politics. In 1997 the Labour government came to power and with it introduced their tax credit policy which was designed to tackle poverty in the UK. From 2007 up to 2017, there was only an average of 10 papers a year which relate to these search terms. In direct comparrison, the USA produced a vast quantity of papers from 2004 with a few peaks and troughs which seem to match that of the UK with some attenuation. These peaks and troughs may relate to some world event that had an effect on the overal amount of reasearch unertaken in this area. As an example, there is a distinct drop in research prodcued by both countries during both 2012 and 2016. </w:t>
      </w:r>
    </w:p>
    <w:p w14:paraId="0CF2A645" w14:textId="77777777" w:rsidR="00AD72EC" w:rsidRPr="00AD72EC" w:rsidRDefault="00AD72EC" w:rsidP="00AD72EC">
      <w:pPr>
        <w:spacing w:after="0" w:line="480" w:lineRule="auto"/>
        <w:ind w:left="360"/>
        <w:jc w:val="both"/>
        <w:rPr>
          <w:rFonts w:ascii="Times New Roman" w:eastAsia="Times New Roman" w:hAnsi="Times New Roman" w:cs="Times New Roman"/>
          <w:noProof/>
          <w:sz w:val="24"/>
          <w:szCs w:val="24"/>
          <w:lang w:eastAsia="en-GB"/>
        </w:rPr>
      </w:pPr>
    </w:p>
    <w:p w14:paraId="53E1529F" w14:textId="77777777" w:rsidR="00AD72EC" w:rsidRPr="00AD72EC" w:rsidRDefault="00AD72EC" w:rsidP="00AD72EC">
      <w:pPr>
        <w:spacing w:after="0" w:line="480" w:lineRule="auto"/>
        <w:ind w:left="360"/>
        <w:jc w:val="both"/>
        <w:rPr>
          <w:rFonts w:ascii="Times New Roman" w:eastAsia="Times New Roman" w:hAnsi="Times New Roman" w:cs="Times New Roman"/>
          <w:noProof/>
          <w:sz w:val="24"/>
          <w:szCs w:val="24"/>
          <w:lang w:eastAsia="en-GB"/>
        </w:rPr>
      </w:pPr>
      <w:r w:rsidRPr="00AD72EC">
        <w:rPr>
          <w:rFonts w:ascii="Times New Roman" w:eastAsia="Times New Roman" w:hAnsi="Times New Roman" w:cs="Times New Roman"/>
          <w:noProof/>
          <w:sz w:val="24"/>
          <w:szCs w:val="24"/>
          <w:lang w:eastAsia="en-GB"/>
        </w:rPr>
        <w:t xml:space="preserve">The final research undertaken in relation to theme 1 looked at the relationship between the number of papers and the Journal title. The results of this can be seen  in </w:t>
      </w:r>
      <w:r w:rsidRPr="00AD72EC">
        <w:rPr>
          <w:rFonts w:ascii="Times New Roman" w:eastAsia="Times New Roman" w:hAnsi="Times New Roman" w:cs="Times New Roman"/>
          <w:noProof/>
          <w:sz w:val="24"/>
          <w:szCs w:val="24"/>
          <w:lang w:eastAsia="en-GB"/>
        </w:rPr>
        <w:fldChar w:fldCharType="begin"/>
      </w:r>
      <w:r w:rsidRPr="00AD72EC">
        <w:rPr>
          <w:rFonts w:ascii="Times New Roman" w:eastAsia="Times New Roman" w:hAnsi="Times New Roman" w:cs="Times New Roman"/>
          <w:noProof/>
          <w:sz w:val="24"/>
          <w:szCs w:val="24"/>
          <w:lang w:eastAsia="en-GB"/>
        </w:rPr>
        <w:instrText xml:space="preserve"> REF _Ref512602614 \h </w:instrText>
      </w:r>
      <w:r w:rsidRPr="00AD72EC">
        <w:rPr>
          <w:rFonts w:ascii="Times New Roman" w:eastAsia="Times New Roman" w:hAnsi="Times New Roman" w:cs="Times New Roman"/>
          <w:noProof/>
          <w:sz w:val="24"/>
          <w:szCs w:val="24"/>
          <w:lang w:eastAsia="en-GB"/>
        </w:rPr>
      </w:r>
      <w:r w:rsidRPr="00AD72EC">
        <w:rPr>
          <w:rFonts w:ascii="Times New Roman" w:eastAsia="Times New Roman" w:hAnsi="Times New Roman" w:cs="Times New Roman"/>
          <w:noProof/>
          <w:sz w:val="24"/>
          <w:szCs w:val="24"/>
          <w:lang w:eastAsia="en-GB"/>
        </w:rPr>
        <w:fldChar w:fldCharType="separate"/>
      </w:r>
      <w:r w:rsidRPr="00AD72EC">
        <w:rPr>
          <w:rFonts w:ascii="Times New Roman" w:eastAsia="Times New Roman" w:hAnsi="Times New Roman" w:cs="Times New Roman"/>
          <w:sz w:val="24"/>
          <w:szCs w:val="24"/>
          <w:lang w:eastAsia="en-GB"/>
        </w:rPr>
        <w:t xml:space="preserve">Figure </w:t>
      </w:r>
      <w:r w:rsidRPr="00AD72EC">
        <w:rPr>
          <w:rFonts w:ascii="Times New Roman" w:eastAsia="Times New Roman" w:hAnsi="Times New Roman" w:cs="Times New Roman"/>
          <w:noProof/>
          <w:sz w:val="24"/>
          <w:szCs w:val="24"/>
          <w:lang w:eastAsia="en-GB"/>
        </w:rPr>
        <w:t>4</w:t>
      </w:r>
      <w:r w:rsidRPr="00AD72EC">
        <w:rPr>
          <w:rFonts w:ascii="Times New Roman" w:eastAsia="Times New Roman" w:hAnsi="Times New Roman" w:cs="Times New Roman"/>
          <w:sz w:val="24"/>
          <w:szCs w:val="24"/>
          <w:lang w:eastAsia="en-GB"/>
        </w:rPr>
        <w:t>: Top 5 Journals for theme 1</w:t>
      </w:r>
      <w:r w:rsidRPr="00AD72EC">
        <w:rPr>
          <w:rFonts w:ascii="Times New Roman" w:eastAsia="Times New Roman" w:hAnsi="Times New Roman" w:cs="Times New Roman"/>
          <w:noProof/>
          <w:sz w:val="24"/>
          <w:szCs w:val="24"/>
          <w:lang w:eastAsia="en-GB"/>
        </w:rPr>
        <w:fldChar w:fldCharType="end"/>
      </w:r>
      <w:r w:rsidRPr="00AD72EC">
        <w:rPr>
          <w:rFonts w:ascii="Times New Roman" w:eastAsia="Times New Roman" w:hAnsi="Times New Roman" w:cs="Times New Roman"/>
          <w:noProof/>
          <w:sz w:val="24"/>
          <w:szCs w:val="24"/>
          <w:lang w:eastAsia="en-GB"/>
        </w:rPr>
        <w:t xml:space="preserve">, </w:t>
      </w:r>
      <w:r w:rsidRPr="00AD72EC">
        <w:rPr>
          <w:rFonts w:ascii="Times New Roman" w:eastAsia="Times New Roman" w:hAnsi="Times New Roman" w:cs="Times New Roman"/>
          <w:noProof/>
          <w:sz w:val="24"/>
          <w:szCs w:val="24"/>
          <w:lang w:eastAsia="en-GB"/>
        </w:rPr>
        <w:fldChar w:fldCharType="begin"/>
      </w:r>
      <w:r w:rsidRPr="00AD72EC">
        <w:rPr>
          <w:rFonts w:ascii="Times New Roman" w:eastAsia="Times New Roman" w:hAnsi="Times New Roman" w:cs="Times New Roman"/>
          <w:noProof/>
          <w:sz w:val="24"/>
          <w:szCs w:val="24"/>
          <w:lang w:eastAsia="en-GB"/>
        </w:rPr>
        <w:instrText xml:space="preserve"> REF _Ref512602614 \p \h </w:instrText>
      </w:r>
      <w:r w:rsidRPr="00AD72EC">
        <w:rPr>
          <w:rFonts w:ascii="Times New Roman" w:eastAsia="Times New Roman" w:hAnsi="Times New Roman" w:cs="Times New Roman"/>
          <w:noProof/>
          <w:sz w:val="24"/>
          <w:szCs w:val="24"/>
          <w:lang w:eastAsia="en-GB"/>
        </w:rPr>
      </w:r>
      <w:r w:rsidRPr="00AD72EC">
        <w:rPr>
          <w:rFonts w:ascii="Times New Roman" w:eastAsia="Times New Roman" w:hAnsi="Times New Roman" w:cs="Times New Roman"/>
          <w:noProof/>
          <w:sz w:val="24"/>
          <w:szCs w:val="24"/>
          <w:lang w:eastAsia="en-GB"/>
        </w:rPr>
        <w:fldChar w:fldCharType="separate"/>
      </w:r>
      <w:r w:rsidRPr="00AD72EC">
        <w:rPr>
          <w:rFonts w:ascii="Times New Roman" w:eastAsia="Times New Roman" w:hAnsi="Times New Roman" w:cs="Times New Roman"/>
          <w:noProof/>
          <w:sz w:val="24"/>
          <w:szCs w:val="24"/>
          <w:lang w:eastAsia="en-GB"/>
        </w:rPr>
        <w:t>below</w:t>
      </w:r>
      <w:r w:rsidRPr="00AD72EC">
        <w:rPr>
          <w:rFonts w:ascii="Times New Roman" w:eastAsia="Times New Roman" w:hAnsi="Times New Roman" w:cs="Times New Roman"/>
          <w:noProof/>
          <w:sz w:val="24"/>
          <w:szCs w:val="24"/>
          <w:lang w:eastAsia="en-GB"/>
        </w:rPr>
        <w:fldChar w:fldCharType="end"/>
      </w:r>
      <w:r w:rsidRPr="00AD72EC">
        <w:rPr>
          <w:rFonts w:ascii="Times New Roman" w:eastAsia="Times New Roman" w:hAnsi="Times New Roman" w:cs="Times New Roman"/>
          <w:noProof/>
          <w:sz w:val="24"/>
          <w:szCs w:val="24"/>
          <w:lang w:eastAsia="en-GB"/>
        </w:rPr>
        <w:t xml:space="preserve">. This shows that the top Journal for Childhood and Poverty is Social Science And Medicine. This Journal has more than 50% more papers than the next close one which is Child Development which has over 42. The top 5 Journals have between them only 120 research papers published in them compared to the sample size of 1016. This suggests that the research related to poverty is dispered amoungst many different areas and different topics. Futher research may look into categorsing poverty and childhood into distinct areas which could allow for more focused research into particular areas. </w:t>
      </w:r>
    </w:p>
    <w:p w14:paraId="062B8863" w14:textId="77777777" w:rsidR="00AD72EC" w:rsidRPr="00AD72EC" w:rsidRDefault="00AD72EC" w:rsidP="00AD72EC">
      <w:pPr>
        <w:spacing w:after="0" w:line="480" w:lineRule="auto"/>
        <w:ind w:left="360"/>
        <w:jc w:val="center"/>
        <w:rPr>
          <w:rFonts w:ascii="Times New Roman" w:eastAsia="Times New Roman" w:hAnsi="Times New Roman" w:cs="Times New Roman"/>
          <w:noProof/>
          <w:sz w:val="24"/>
          <w:szCs w:val="24"/>
          <w:lang w:eastAsia="en-GB"/>
        </w:rPr>
      </w:pPr>
    </w:p>
    <w:p w14:paraId="4F1C03A6" w14:textId="77777777" w:rsidR="00AD72EC" w:rsidRPr="00AD72EC" w:rsidRDefault="00AD72EC" w:rsidP="00AD72EC">
      <w:pPr>
        <w:keepNext/>
        <w:spacing w:after="200" w:line="240" w:lineRule="auto"/>
        <w:jc w:val="center"/>
        <w:rPr>
          <w:rFonts w:ascii="Calibri" w:eastAsia="Calibri" w:hAnsi="Calibri" w:cs="Times New Roman"/>
          <w:i/>
          <w:iCs/>
          <w:color w:val="44546A"/>
          <w:sz w:val="18"/>
          <w:szCs w:val="18"/>
        </w:rPr>
      </w:pPr>
      <w:bookmarkStart w:id="32" w:name="_Ref512602614"/>
      <w:r w:rsidRPr="00AD72EC">
        <w:rPr>
          <w:rFonts w:ascii="Calibri" w:eastAsia="Calibri" w:hAnsi="Calibri" w:cs="Times New Roman"/>
          <w:i/>
          <w:iCs/>
          <w:color w:val="44546A"/>
          <w:sz w:val="18"/>
          <w:szCs w:val="18"/>
        </w:rPr>
        <w:lastRenderedPageBreak/>
        <w:t xml:space="preserve">Figure </w:t>
      </w:r>
      <w:r w:rsidRPr="00AD72EC">
        <w:rPr>
          <w:rFonts w:ascii="Calibri" w:eastAsia="Calibri" w:hAnsi="Calibri" w:cs="Times New Roman"/>
          <w:i/>
          <w:iCs/>
          <w:color w:val="44546A"/>
          <w:sz w:val="18"/>
          <w:szCs w:val="18"/>
        </w:rPr>
        <w:fldChar w:fldCharType="begin"/>
      </w:r>
      <w:r w:rsidRPr="00AD72EC">
        <w:rPr>
          <w:rFonts w:ascii="Calibri" w:eastAsia="Calibri" w:hAnsi="Calibri" w:cs="Times New Roman"/>
          <w:i/>
          <w:iCs/>
          <w:color w:val="44546A"/>
          <w:sz w:val="18"/>
          <w:szCs w:val="18"/>
        </w:rPr>
        <w:instrText xml:space="preserve"> SEQ Figure \* ARABIC </w:instrText>
      </w:r>
      <w:r w:rsidRPr="00AD72EC">
        <w:rPr>
          <w:rFonts w:ascii="Calibri" w:eastAsia="Calibri" w:hAnsi="Calibri" w:cs="Times New Roman"/>
          <w:i/>
          <w:iCs/>
          <w:color w:val="44546A"/>
          <w:sz w:val="18"/>
          <w:szCs w:val="18"/>
        </w:rPr>
        <w:fldChar w:fldCharType="separate"/>
      </w:r>
      <w:r w:rsidRPr="00AD72EC">
        <w:rPr>
          <w:rFonts w:ascii="Calibri" w:eastAsia="Calibri" w:hAnsi="Calibri" w:cs="Times New Roman"/>
          <w:i/>
          <w:iCs/>
          <w:noProof/>
          <w:color w:val="44546A"/>
          <w:sz w:val="18"/>
          <w:szCs w:val="18"/>
        </w:rPr>
        <w:t>4</w:t>
      </w:r>
      <w:r w:rsidRPr="00AD72EC">
        <w:rPr>
          <w:rFonts w:ascii="Calibri" w:eastAsia="Calibri" w:hAnsi="Calibri" w:cs="Times New Roman"/>
          <w:i/>
          <w:iCs/>
          <w:noProof/>
          <w:color w:val="44546A"/>
          <w:sz w:val="18"/>
          <w:szCs w:val="18"/>
        </w:rPr>
        <w:fldChar w:fldCharType="end"/>
      </w:r>
      <w:r w:rsidRPr="00AD72EC">
        <w:rPr>
          <w:rFonts w:ascii="Calibri" w:eastAsia="Calibri" w:hAnsi="Calibri" w:cs="Times New Roman"/>
          <w:i/>
          <w:iCs/>
          <w:color w:val="44546A"/>
          <w:sz w:val="18"/>
          <w:szCs w:val="18"/>
        </w:rPr>
        <w:t>: Top 5 Journals for theme 1</w:t>
      </w:r>
      <w:bookmarkEnd w:id="32"/>
    </w:p>
    <w:p w14:paraId="00C4CE4D" w14:textId="77777777" w:rsidR="00AD72EC" w:rsidRPr="00AD72EC" w:rsidRDefault="00AD72EC" w:rsidP="00AD72EC">
      <w:pPr>
        <w:spacing w:after="0" w:line="480" w:lineRule="auto"/>
        <w:ind w:left="360"/>
        <w:jc w:val="center"/>
        <w:rPr>
          <w:rFonts w:ascii="Times New Roman" w:eastAsia="Times New Roman" w:hAnsi="Times New Roman" w:cs="Times New Roman"/>
          <w:noProof/>
          <w:sz w:val="24"/>
          <w:szCs w:val="24"/>
          <w:lang w:eastAsia="en-GB"/>
        </w:rPr>
      </w:pPr>
      <w:r w:rsidRPr="00AD72EC">
        <w:rPr>
          <w:rFonts w:ascii="Times New Roman" w:eastAsia="Times New Roman" w:hAnsi="Times New Roman" w:cs="Times New Roman"/>
          <w:noProof/>
          <w:sz w:val="24"/>
          <w:szCs w:val="24"/>
          <w:lang w:eastAsia="en-GB"/>
        </w:rPr>
        <w:drawing>
          <wp:inline distT="0" distB="0" distL="0" distR="0" wp14:anchorId="3760D5D2" wp14:editId="18F7B6CD">
            <wp:extent cx="4284345" cy="2177415"/>
            <wp:effectExtent l="0" t="0" r="0" b="0"/>
            <wp:docPr id="18" name="Char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92B0F08" w14:textId="77777777" w:rsidR="00AD72EC" w:rsidRPr="00AD72EC" w:rsidRDefault="00AD72EC" w:rsidP="00AD72EC">
      <w:pPr>
        <w:spacing w:after="0" w:line="480" w:lineRule="auto"/>
        <w:jc w:val="both"/>
        <w:rPr>
          <w:rFonts w:ascii="Times New Roman" w:eastAsia="Times New Roman" w:hAnsi="Times New Roman" w:cs="Times New Roman"/>
          <w:noProof/>
          <w:sz w:val="24"/>
          <w:szCs w:val="24"/>
          <w:lang w:eastAsia="en-GB"/>
        </w:rPr>
      </w:pPr>
    </w:p>
    <w:p w14:paraId="23EC5C15"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3D955D1F"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26223509"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09595012"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4261860D"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32606D73"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3853AE9E"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7D5EB511"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br w:type="page"/>
      </w:r>
    </w:p>
    <w:p w14:paraId="35554CEE" w14:textId="77777777" w:rsidR="00AD72EC" w:rsidRPr="00AD72EC" w:rsidRDefault="00AD72EC" w:rsidP="00AD72EC">
      <w:pPr>
        <w:numPr>
          <w:ilvl w:val="1"/>
          <w:numId w:val="1"/>
        </w:numPr>
        <w:spacing w:after="0" w:line="480" w:lineRule="auto"/>
        <w:outlineLvl w:val="1"/>
        <w:rPr>
          <w:rFonts w:ascii="Times New Roman" w:eastAsia="Times New Roman" w:hAnsi="Times New Roman" w:cs="Times New Roman"/>
          <w:b/>
          <w:sz w:val="24"/>
          <w:szCs w:val="24"/>
          <w:lang w:eastAsia="en-GB"/>
        </w:rPr>
      </w:pPr>
      <w:bookmarkStart w:id="33" w:name="_Toc512623105"/>
      <w:bookmarkStart w:id="34" w:name="_Toc512623457"/>
      <w:bookmarkStart w:id="35" w:name="_Toc513062331"/>
      <w:r w:rsidRPr="00AD72EC">
        <w:rPr>
          <w:rFonts w:ascii="Times New Roman" w:eastAsia="Times New Roman" w:hAnsi="Times New Roman" w:cs="Times New Roman"/>
          <w:b/>
          <w:sz w:val="24"/>
          <w:szCs w:val="24"/>
          <w:lang w:eastAsia="en-GB"/>
        </w:rPr>
        <w:lastRenderedPageBreak/>
        <w:t>Theme 2</w:t>
      </w:r>
      <w:bookmarkEnd w:id="33"/>
      <w:bookmarkEnd w:id="34"/>
      <w:bookmarkEnd w:id="35"/>
    </w:p>
    <w:p w14:paraId="247514C3"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3AAA4F90"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From the result of the distribution of publications over time as shown in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_Ref512606148 \h  \* MERGEFORMAT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 xml:space="preserve">Figure </w:t>
      </w:r>
      <w:r w:rsidRPr="00AD72EC">
        <w:rPr>
          <w:rFonts w:ascii="Times New Roman" w:eastAsia="Times New Roman" w:hAnsi="Times New Roman" w:cs="Times New Roman"/>
          <w:noProof/>
          <w:sz w:val="24"/>
          <w:szCs w:val="24"/>
          <w:lang w:eastAsia="en-GB"/>
        </w:rPr>
        <w:t>5</w:t>
      </w:r>
      <w:r w:rsidRPr="00AD72EC">
        <w:rPr>
          <w:rFonts w:ascii="Times New Roman" w:eastAsia="Times New Roman" w:hAnsi="Times New Roman" w:cs="Times New Roman"/>
          <w:sz w:val="24"/>
          <w:szCs w:val="24"/>
          <w:lang w:eastAsia="en-GB"/>
        </w:rPr>
        <w:t>: Distribution of publications over time</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_Ref512606148 \p \h  \* MERGEFORMAT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below</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it can be seen that there is an overall increase in trend. The first paper published in 1978 which discusses the issues of childhood and wellbeing looks at education in early years and how happiness establishes the basic feeling of wellbeing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"10.3102/00346543048004537", "ISSN" : "0034-6543", "abstract" : "The nursery school is a school serving the needs of two-, three-, and four-year-old children in today\u2019s world by offering them experiences adapted to what is now known about growth needs of these age levels. It shares with parents the responsibility for promoting sound growth and learning in a period when growth is rapid and significant. Respect for the individual child and his needs is the basis for a good nursery school program.\u2014Read, The Nursery School, p. 24\u2014 [There are] four functions of the teacher of young children: care-taking, providing emotional support and guidance, instructing, and facilitating. \u2014Almy, The Early Childhood Educator at Work, p. 21\u2014 We in child development and early childhood education [have as] our goal to develop optimum personal competence in all children.\u2014Hildebrand, Guiding Young Children, p. 15\u2014 [T]he teacher must attempt to build an educational climate that enhances the children\u2019s development and whets their appetite for further learning. The milieu must also nourish and sustain emotional health, encourage physical growth and muscular prowess, foster satisfying social interactions, enhance creativity, develop language skills, and promote the development of mental ability. Moreover, this must all be garbed in an aura of happiness and affection in order to establish that basic feeling of well-being, which is essential to successful learning. \u2014Hendrick, The Whole Child, p. 4. \u00a9 1978, Sage Publications. All rights reserved.", "author" : [ { "dropping-particle" : "", "family" : "Essa", "given" : "Eva L.", "non-dropping-particle" : "", "parse-names" : false, "suffix" : "" } ], "container-title" : "Review of Educational Research", "id" : "ITEM-1", "issue" : "4", "issued" : { "date-parts" : [ [ "1978", "12", "30" ] ] }, "page" : "537-575", "title" : "The Preschool: Setting for Applied Behavior Analysis Research", "type" : "article-journal", "volume" : "48" }, "uris" : [ "http://www.mendeley.com/documents/?uuid=e547c0f9-ef2d-3ff3-aa33-1058d1f561bb" ] } ], "mendeley" : { "formattedCitation" : "(Essa, 1978)", "plainTextFormattedCitation" : "(Essa, 1978)", "previouslyFormattedCitation" : "(Essa, 1978)"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(Essa, 1978)</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Like theme 1, the is little research undertaken for a number of years which refers to the search results for theme 2. The next time slice which shows a very small increase in results relates to 1986 and 1991. The results in 1986 relates to cultural investigations in Erikson’s Theory of personality development which was cited 78 times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"10.1037/0022-3514.50.6.1240", "ISSN" : "00223514", "abstract" : "A self-report questionnaire was constructed for measuring the personality components that, according to Erikson, are formed before the onset of old age. This was applied to a sample of 1,859 South African white and black men and women. The reliability of the total scale is high for white and black subjects. The reliabilities of the subscales are adequate. Evidence of the validity of the scale is discussed. The components of personality that theoretically develop in childhood seem strongly interrelated in adolescent and adult whites. White women appear to solve the identity crisis earlier, and they experience a higher degree of intimacy than do white men, although the difference narrows with age. In both sexes, psychosocial development is related to well-being. Black men seem to resolve the identity crisis only after age 40, and there are indications that the psychosocial development of black adult women is frustrated. \u00a9 1986 American Psychological Association.", "author" : [ { "dropping-particle" : "", "family" : "Ochse", "given" : "Rhona", "non-dropping-particle" : "", "parse-names" : false, "suffix" : "" }, { "dropping-particle" : "", "family" : "Plug", "given" : "Cornelis", "non-dropping-particle" : "", "parse-names" : false, "suffix" : "" } ], "container-title" : "Journal of Personality and Social Psychology", "id" : "ITEM-1", "issue" : "6", "issued" : { "date-parts" : [ [ "1986", "6" ] ] }, "page" : "1240-1252", "title" : "Cross-Cultural Investigation of the Validity of Erikson's Theory of Personality Development", "type" : "article-journal", "volume" : "50" }, "uris" : [ "http://www.mendeley.com/documents/?uuid=54dfd216-c403-38fc-bc20-74dbf6da5789" ] } ], "mendeley" : { "formattedCitation" : "(Ochse and Plug, 1986)", "plainTextFormattedCitation" : "(Ochse and Plug, 1986)", "previouslyFormattedCitation" : "(Ochse and Plug, 1986)"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(Ochse and Plug, 1986)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results in 1991 show a paper which is cited 72 times about how wellbeing in children  effects their adulthood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"10.1037/0022-3514.60.4.586", "ISSN" : "00223514", "abstract" : "In a 36-year prospective study of the children of the Sears, Maccoby, and Levin (1957) Patterns of Child Rearing sample, the relationship was examined between mothers' child-rearing practices when child was 5, other childhood experiences, and conventional social accomplishment at age 41. Having a warm and affectionate father or mother was significantly associated with adult social accomplishment-operationalized as having a long, happy marriage, children, and relationships with close friends at midlife (Vaillant, 1977). Ss who were more socially accomplished at 41 were significantly more likely to engage in affiliative behaviors and to report good relationships with significant others. They also reported higher levels of generativity, work accomplishment, psychological well-being, lower levels of strain, and less use of emotion-focused coping styles.", "author" : [ { "dropping-particle" : "", "family" : "Franz", "given" : "Carol E.", "non-dropping-particle" : "", "parse-names" : false, "suffix" : "" }, { "dropping-particle" : "", "family" : "McClelland", "given" : "David C.", "non-dropping-particle" : "", "parse-names" : false, "suffix" : "" }, { "dropping-particle" : "", "family" : "Weinberger", "given" : "Joel", "non-dropping-particle" : "", "parse-names" : false, "suffix" : "" } ], "container-title" : "Journal of Personality and Social Psychology", "id" : "ITEM-1", "issue" : "4", "issued" : { "date-parts" : [ [ "1991" ] ] }, "page" : "586-595", "title" : "Childhood Antecedents of Conventional Social Accomplishment in Midlife Adults: A 36-Year Prospective Study", "type" : "article-journal", "volume" : "60" }, "uris" : [ "http://www.mendeley.com/documents/?uuid=b8afe02b-f682-3a05-9218-736a56793d3c" ] } ], "mendeley" : { "formattedCitation" : "(Franz, McClelland and Weinberger, 1991)", "plainTextFormattedCitation" : "(Franz, McClelland and Weinberger, 1991)", "previouslyFormattedCitation" : "(Franz, McClelland and Weinberger, 1991)"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(Franz, McClelland and Weinberger, 1991)</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next substantial increase relates to 1996. The most cited paper during this year was cited 161 times and looked at how the childhood experience can effect health along with wellbeing and how interventions can improve the outcome long-term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"10.1016/0277-9536(96)00028-7", "ISSN" : "02779536", "abstract" : "Studies of socioeconomic gradients in mortality in wealthy societies reveal that they have been persistent, and included most of the principal causes of death, even during the era when these principal causes of death have entirely changed. This observation has led to an interest in the ways in which the diversity of conditions of life, unfolding over the life cycle, can become embedded in human biology and subsequently affect health status and vitality. There is evidence that childhood experiences affect subsequent health status (as well as well-being and competence) in profound and long-lasting ways. Conflicting explanatory models of the impact of childhood experiences have been advanced, whose conflicts are political in nature, in that they reflect divergent beliefs about how human potential expresses itself, and, also, about the nature of the obligations which members of society have to one another. Notwithstanding these conflicts, a body of evidence derived from intervention studies in the post-neonatal, preschool, and school age periods suggest that performance in two basic domains of child development, the cognitive and the social-emotional, can be modified in ways which improve health, well-being, and competence in the long-term.", "author" : [ { "dropping-particle" : "", "family" : "Hertzman", "given" : "C.", "non-dropping-particle" : "", "parse-names" : false, "suffix" : "" }, { "dropping-particle" : "", "family" : "Wiens", "given" : "M.", "non-dropping-particle" : "", "parse-names" : false, "suffix" : "" } ], "container-title" : "Social Science &amp; Medicine", "id" : "ITEM-1", "issue" : "7", "issued" : { "date-parts" : [ [ "1996", "10" ] ] }, "page" : "1083-1095", "publisher" : "Elsevier Ltd", "title" : "Child development and long-term outcomes: A population health perspective and summary of successful interventions", "type" : "article-journal", "volume" : "43" }, "uris" : [ "http://www.mendeley.com/documents/?uuid=311d08a7-66f7-3538-ad02-aa1dfe316494" ] } ], "mendeley" : { "formattedCitation" : "(Hertzman and Wiens, 1996)", "plainTextFormattedCitation" : "(Hertzman and Wiens, 1996)", "previouslyFormattedCitation" : "(Hertzman and Wiens, 1996)"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(Hertzman and Wiens, 1996)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next most cited paper that year was cited 79 times and looked at how a father’s role can have a positive influence on an adolescent wellbeing. It then further discusses how a mother in a single parent family protects adolescents from adverse outcomes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"10.1177/019251396017005003", "ISSN" : "0192513X", "abstract" : "In this article, we explore the role that parents play in family processes in poor and nonpoor two-parent families and the extent to which paternal participation varies across family income. Using longitudinal data from the National Survey of Children, we observe patterns of poverty over time in childhood and adolescence and examine whether father involvement buffers the effects of poverty on long-term outcomes of adolescents. We measure emotional and behavioral dimensions of parenting and contrast levels of father involvement with levels of mother involvement in their relations with adolescents across poverty experiences. Fathers in poor and welfare families are less involved with youth in adolescence and the greater the persistence of poverty, the less involvement by fathers. Although we document some buffering effects of fathers in poor families, mother involvement plays a more important role in protecting low-income youth from adverse outcomes.", "author" : [ { "dropping-particle" : "", "family" : "Harris", "given" : "Kathleen Mullan", "non-dropping-particle" : "", "parse-names" : false, "suffix" : "" }, { "dropping-particle" : "", "family" : "Marmer", "given" : "Jeremy K.", "non-dropping-particle" : "", "parse-names" : false, "suffix" : "" } ], "container-title" : "Journal of Family Issues", "id" : "ITEM-1", "issue" : "5", "issued" : { "date-parts" : [ [ "1996", "9", "30" ] ] }, "page" : "614-640", "publisher" : "SAGE Publications Inc.", "title" : "Poverty, paternal involvement, and adolescent well-being", "type" : "article-journal", "volume" : "17" }, "uris" : [ "http://www.mendeley.com/documents/?uuid=f1376b76-4927-3496-a6b8-d224827b73a3" ] } ], "mendeley" : { "formattedCitation" : "(Harris and Marmer, 1996)", "plainTextFormattedCitation" : "(Harris and Marmer, 1996)", "previouslyFormattedCitation" : "(Harris and Marmer, 1996)"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(Harris and Marmer, 1996)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From this point, there as a gradual increase in research papers being produced. It could be argued that these early papers had the effect of creating a catalyst for future work. This could provide areas for further research by looking at the relationships between these early papers are the citation reports of the later ones using applications such as citespace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"10.1002/asi.20317", "ISSN" : "15322882", "author" : [ { "dropping-particle" : "", "family" : "Chen", "given" : "Chaomei", "non-dropping-particle" : "", "parse-names" : false, "suffix" : "" } ], "container-title" : "Journal of the American Society for Information Science and Technology", "id" : "ITEM-1", "issue" : "3", "issued" : { "date-parts" : [ [ "2006", "2", "1" ] ] }, "page" : "359-377", "title" : "CiteSpace II: Detecting and visualizing emerging trends and transient patterns in scientific literature", "type" : "article-journal", "volume" : "57" }, "uris" : [ "http://www.mendeley.com/documents/?uuid=184b9775-6369-3650-a99f-236ad24e2e40" ] } ], "mendeley" : { "formattedCitation" : "(Chen, 2006)", "plainTextFormattedCitation" : "(Chen, 2006)", "previouslyFormattedCitation" : "(Chen, 2006)"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(Chen, 2006)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next peak is in 2002. The paper with the most citations for this year looks at how adults are effected later in life if they are subjected to witnessing abuse as children and was cited 153 times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"10.1891/vivi.17.1.3.33635", "ISSN" : "08866708", "abstract" : "Intimate partner violence (IPV) damages a woman's physical and mental well-being, and indicates that her children are likely to experience abuse, neglect and other traumatic experiences. Adult HMO members completed a questionnaire about adverse childhood experiences (ACEs) including childhood abuse, neglect, and household dysfunction. We used their responses to retrospectively assess the relationship between witnessing intimate partner violence and experiencing any of the 9 ACEs and multiple ACEs (ACE score). Compared to persons who grew up with no domestic violence, the adjusted odds ratio for any individual ACE was approximately two to six times higher if IPV occurred (p &lt; 0.05). There was a powerful graded increase in the prevalence of every category of ACE as the frequency of witnessing IPV increased. In addition, the total number of ACEs was increased dramatically for persons who had witnessed IPV during childhood. There was a positive graded risk for self-reported alcoholism, illicit drug use, IV drug use and depressed affect as the frequency of witnessing IPV increased. Identification of victims of IPV must include screening of their children for abuse, neglect and other types of adverse exposures, as well as recognition that substance abuse and depressed affect are likely consequences of witnessing IPV. Finally, this data strongly suggest that future studies, which focus on the effect of witnessing IPV on long-term health outcomes, may need to take into consideration the co-occurrence of multiple ACEs, which can also affect these outcomes.", "author" : [ { "dropping-particle" : "", "family" : "Dube", "given" : "Shanta R.", "non-dropping-particle" : "", "parse-names" : false, "suffix" : "" }, { "dropping-particle" : "", "family" : "Anda", "given" : "Robert F.", "non-dropping-particle" : "", "parse-names" : false, "suffix" : "" }, { "dropping-particle" : "", "family" : "Felitti", "given" : "Vincent J.", "non-dropping-particle" : "", "parse-names" : false, "suffix" : "" }, { "dropping-particle" : "", "family" : "Edwards", "given" : "Valerie J.", "non-dropping-particle" : "", "parse-names" : false, "suffix" : "" }, { "dropping-particle" : "", "family" : "Williamson", "given" : "David F.", "non-dropping-particle" : "", "parse-names" : false, "suffix" : "" } ], "container-title" : "Violence and Victims", "id" : "ITEM-1", "issue" : "1", "issued" : { "date-parts" : [ [ "2002", "2", "1" ] ] }, "page" : "3-17", "publisher" : "Springer Publishing Company", "title" : "Exposure to abuse, neglect, and household dysfunction among adults who witnessed intimate partner violence as children: Implications for health and social services", "type" : "article-journal", "volume" : "17" }, "uris" : [ "http://www.mendeley.com/documents/?uuid=a455ec79-c12c-39c1-a8b9-546915fedb3f" ] } ], "mendeley" : { "formattedCitation" : "(Dube &lt;i&gt;et al.&lt;/i&gt;, 2002)", "plainTextFormattedCitation" : "(Dube et al., 2002)", "previouslyFormattedCitation" : "(Dube &lt;i&gt;et al.&lt;/i&gt;, 2002)"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(Dube </w:t>
      </w:r>
      <w:r w:rsidRPr="00AD72EC">
        <w:rPr>
          <w:rFonts w:ascii="Times New Roman" w:eastAsia="Times New Roman" w:hAnsi="Times New Roman" w:cs="Times New Roman"/>
          <w:i/>
          <w:noProof/>
          <w:sz w:val="24"/>
          <w:szCs w:val="24"/>
          <w:lang w:eastAsia="en-GB"/>
        </w:rPr>
        <w:t>et al.</w:t>
      </w:r>
      <w:r w:rsidRPr="00AD72EC">
        <w:rPr>
          <w:rFonts w:ascii="Times New Roman" w:eastAsia="Times New Roman" w:hAnsi="Times New Roman" w:cs="Times New Roman"/>
          <w:noProof/>
          <w:sz w:val="24"/>
          <w:szCs w:val="24"/>
          <w:lang w:eastAsia="en-GB"/>
        </w:rPr>
        <w:t>, 2002)</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It is worth </w:t>
      </w:r>
      <w:r w:rsidRPr="00AD72EC">
        <w:rPr>
          <w:rFonts w:ascii="Times New Roman" w:eastAsia="Times New Roman" w:hAnsi="Times New Roman" w:cs="Times New Roman"/>
          <w:sz w:val="24"/>
          <w:szCs w:val="24"/>
          <w:lang w:eastAsia="en-GB"/>
        </w:rPr>
        <w:lastRenderedPageBreak/>
        <w:t xml:space="preserve">noting that although not shown by figure 5, 2004 2000 and 2001 were significant years for research relating to the search terms. This was due to them producing the most cited papers with 378, 255 and 232 citations respectively. The first of these popular papers suggests that childhood polices that effect wellbeing have a direct effect on men’s mortality. The second most popular paper looked at the social psychological aspects of wellbeing and the relationship between interpersonal difficulties in a term defined as rejection sensitivity (RS)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"10.1037/0022-3514.79.5.776", "ISSN" : "1939-1315", "abstract" : "People high in rejection sensitivity (RS) anxiously expect rejection and are at risk for interpersonal and personal distress. Two studies examined the role of self-regulation through strategic attention deployment in moderating the link between RS and maladaptive outcomes. Self-regulation was assessed by the delay of gratification (DG) paradigm in childhood. In Study 1, preschoolers from the Stanford University community who participated in the DG paradigm were assessed 20 years later. Study 2 assessed low-income, minority middle school children on comparable measures. DG ability buffered high-RS people from interpersonal difficulties (aggression, peer rejection) and diminished well-being (e.g., low self-worth, higher drug use). The protective effect of DG ability on high-RS children's self-worth is explained by reduced interpersonal problems. Attentional mechanisms underlying the interaction between RS and strategic self-regulation are discussed.", "author" : [ { "dropping-particle" : "", "family" : "Ayduk", "given" : "Ozlem", "non-dropping-particle" : "", "parse-names" : false, "suffix" : "" }, { "dropping-particle" : "", "family" : "Mendoza-Denton", "given" : "Rodolfo", "non-dropping-particle" : "", "parse-names" : false, "suffix" : "" }, { "dropping-particle" : "", "family" : "Mischel", "given" : "Walter", "non-dropping-particle" : "", "parse-names" : false, "suffix" : "" }, { "dropping-particle" : "", "family" : "Downey", "given" : "Geraldine", "non-dropping-particle" : "", "parse-names" : false, "suffix" : "" }, { "dropping-particle" : "", "family" : "Peake", "given" : "Philip K.", "non-dropping-particle" : "", "parse-names" : false, "suffix" : "" }, { "dropping-particle" : "", "family" : "Rodriguez", "given" : "Monica", "non-dropping-particle" : "", "parse-names" : false, "suffix" : "" } ], "container-title" : "Journal of Personality and Social Psychology", "id" : "ITEM-1", "issue" : "5", "issued" : { "date-parts" : [ [ "2000" ] ] }, "page" : "776-792", "publisher" : "American Psychological Association Inc.", "title" : "Regulating the interpersonal self: Strategic self-regulation for coping with rejection sensitivity.", "type" : "article-journal", "volume" : "79" }, "uris" : [ "http://www.mendeley.com/documents/?uuid=5c50dbfa-ab9b-3a74-be91-66fa82d016fb" ] } ], "mendeley" : { "formattedCitation" : "(Ayduk &lt;i&gt;et al.&lt;/i&gt;, 2000)", "plainTextFormattedCitation" : "(Ayduk et al., 2000)", "previouslyFormattedCitation" : "(Ayduk &lt;i&gt;et al.&lt;/i&gt;, 2000)"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(Ayduk </w:t>
      </w:r>
      <w:r w:rsidRPr="00AD72EC">
        <w:rPr>
          <w:rFonts w:ascii="Times New Roman" w:eastAsia="Times New Roman" w:hAnsi="Times New Roman" w:cs="Times New Roman"/>
          <w:i/>
          <w:noProof/>
          <w:sz w:val="24"/>
          <w:szCs w:val="24"/>
          <w:lang w:eastAsia="en-GB"/>
        </w:rPr>
        <w:t>et al.</w:t>
      </w:r>
      <w:r w:rsidRPr="00AD72EC">
        <w:rPr>
          <w:rFonts w:ascii="Times New Roman" w:eastAsia="Times New Roman" w:hAnsi="Times New Roman" w:cs="Times New Roman"/>
          <w:noProof/>
          <w:sz w:val="24"/>
          <w:szCs w:val="24"/>
          <w:lang w:eastAsia="en-GB"/>
        </w:rPr>
        <w:t>, 2000)</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third paper looked at the relationship between physical activity and wellbeing between childhood, adolescence and finally adulthood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"10.1002/1520-6300(200102/03)13:2&lt;162::AID-AJHB1025&gt;3.0.CO;2-T", "ISSN" : "1042-0533", "abstract" : "Contemporary thinking in public health posits that childhood and adolescent physical activity and physical fitness may influence health status during childhood and adolescence, as well as throughout adulthood. This paper addresses the evidence dealing with potential associations of physical activity and physical fitness in childhood and adolescence to health status during childhood, adolescence, and adulthood. There are generally low to moderate relationships between childhood and adolescent physical activity and health (operationalized largely in terms of health-related physical fitness) and adult physical activity and health. A large part of the variability in health-related fitness is not accounted for by physical activity as assessed in the available studies. Nevertheless, the trends emphasize the importance of a lifestyle of regular physical activity during childhood and adolescence, which continues into and throughout adulthood, for the health and well-being of the individuals and populations.", "author" : [ { "dropping-particle" : "", "family" : "Malina", "given" : "Robert M.", "non-dropping-particle" : "", "parse-names" : false, "suffix" : "" } ], "container-title" : "American Journal of Human Biology", "id" : "ITEM-1", "issue" : "2", "issued" : { "date-parts" : [ [ "2001", "2" ] ] }, "page" : "162-172", "title" : "Physical activity and fitness: Pathways from childhood to adulthood", "type" : "article-journal", "volume" : "13" }, "uris" : [ "http://www.mendeley.com/documents/?uuid=ff7e93a7-5e45-374f-9a49-ce9ef281520a" ] } ], "mendeley" : { "formattedCitation" : "(Malina, 2001)", "plainTextFormattedCitation" : "(Malina, 2001)", "previouslyFormattedCitation" : "(Malina, 2001)"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(Malina, 2001)</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This period between 2000 and 2004 could be defined as the birth of Childhood wellbeing research. This is due to the period after this point showing an increase in the number papers growing from 8 a year in 2000 to 115 in 2017. </w:t>
      </w:r>
    </w:p>
    <w:p w14:paraId="32BB0F2B" w14:textId="77777777" w:rsidR="00AD72EC" w:rsidRPr="00AD72EC" w:rsidRDefault="00AD72EC" w:rsidP="00AD72EC">
      <w:pPr>
        <w:spacing w:after="0" w:line="480" w:lineRule="auto"/>
        <w:ind w:firstLine="360"/>
        <w:rPr>
          <w:rFonts w:ascii="Times New Roman" w:eastAsia="Times New Roman" w:hAnsi="Times New Roman" w:cs="Times New Roman"/>
          <w:sz w:val="24"/>
          <w:szCs w:val="24"/>
          <w:lang w:eastAsia="en-GB"/>
        </w:rPr>
      </w:pPr>
    </w:p>
    <w:p w14:paraId="4D41C5E1" w14:textId="77777777" w:rsidR="00AD72EC" w:rsidRPr="00AD72EC" w:rsidRDefault="00AD72EC" w:rsidP="00AD72EC">
      <w:pPr>
        <w:keepNext/>
        <w:spacing w:after="200" w:line="240" w:lineRule="auto"/>
        <w:jc w:val="center"/>
        <w:rPr>
          <w:rFonts w:ascii="Calibri" w:eastAsia="Calibri" w:hAnsi="Calibri" w:cs="Times New Roman"/>
          <w:i/>
          <w:iCs/>
          <w:color w:val="44546A"/>
          <w:sz w:val="18"/>
          <w:szCs w:val="18"/>
        </w:rPr>
      </w:pPr>
      <w:bookmarkStart w:id="36" w:name="_Ref512606148"/>
      <w:r w:rsidRPr="00AD72EC">
        <w:rPr>
          <w:rFonts w:ascii="Calibri" w:eastAsia="Calibri" w:hAnsi="Calibri" w:cs="Times New Roman"/>
          <w:i/>
          <w:iCs/>
          <w:color w:val="44546A"/>
          <w:sz w:val="18"/>
          <w:szCs w:val="18"/>
        </w:rPr>
        <w:t xml:space="preserve">Figure </w:t>
      </w:r>
      <w:r w:rsidRPr="00AD72EC">
        <w:rPr>
          <w:rFonts w:ascii="Calibri" w:eastAsia="Calibri" w:hAnsi="Calibri" w:cs="Times New Roman"/>
          <w:i/>
          <w:iCs/>
          <w:color w:val="44546A"/>
          <w:sz w:val="18"/>
          <w:szCs w:val="18"/>
        </w:rPr>
        <w:fldChar w:fldCharType="begin"/>
      </w:r>
      <w:r w:rsidRPr="00AD72EC">
        <w:rPr>
          <w:rFonts w:ascii="Calibri" w:eastAsia="Calibri" w:hAnsi="Calibri" w:cs="Times New Roman"/>
          <w:i/>
          <w:iCs/>
          <w:color w:val="44546A"/>
          <w:sz w:val="18"/>
          <w:szCs w:val="18"/>
        </w:rPr>
        <w:instrText xml:space="preserve"> SEQ Figure \* ARABIC </w:instrText>
      </w:r>
      <w:r w:rsidRPr="00AD72EC">
        <w:rPr>
          <w:rFonts w:ascii="Calibri" w:eastAsia="Calibri" w:hAnsi="Calibri" w:cs="Times New Roman"/>
          <w:i/>
          <w:iCs/>
          <w:color w:val="44546A"/>
          <w:sz w:val="18"/>
          <w:szCs w:val="18"/>
        </w:rPr>
        <w:fldChar w:fldCharType="separate"/>
      </w:r>
      <w:r w:rsidRPr="00AD72EC">
        <w:rPr>
          <w:rFonts w:ascii="Calibri" w:eastAsia="Calibri" w:hAnsi="Calibri" w:cs="Times New Roman"/>
          <w:i/>
          <w:iCs/>
          <w:noProof/>
          <w:color w:val="44546A"/>
          <w:sz w:val="18"/>
          <w:szCs w:val="18"/>
        </w:rPr>
        <w:t>5</w:t>
      </w:r>
      <w:r w:rsidRPr="00AD72EC">
        <w:rPr>
          <w:rFonts w:ascii="Calibri" w:eastAsia="Calibri" w:hAnsi="Calibri" w:cs="Times New Roman"/>
          <w:i/>
          <w:iCs/>
          <w:noProof/>
          <w:color w:val="44546A"/>
          <w:sz w:val="18"/>
          <w:szCs w:val="18"/>
        </w:rPr>
        <w:fldChar w:fldCharType="end"/>
      </w:r>
      <w:r w:rsidRPr="00AD72EC">
        <w:rPr>
          <w:rFonts w:ascii="Calibri" w:eastAsia="Calibri" w:hAnsi="Calibri" w:cs="Times New Roman"/>
          <w:i/>
          <w:iCs/>
          <w:color w:val="44546A"/>
          <w:sz w:val="18"/>
          <w:szCs w:val="18"/>
        </w:rPr>
        <w:t>: Distribution of publications over time</w:t>
      </w:r>
      <w:bookmarkEnd w:id="36"/>
    </w:p>
    <w:p w14:paraId="6F5119BC" w14:textId="77777777" w:rsidR="00AD72EC" w:rsidRPr="00AD72EC" w:rsidRDefault="00AD72EC" w:rsidP="00AD72EC">
      <w:pPr>
        <w:spacing w:after="0" w:line="480" w:lineRule="auto"/>
        <w:ind w:firstLine="360"/>
        <w:jc w:val="center"/>
        <w:rPr>
          <w:rFonts w:ascii="Times New Roman" w:eastAsia="Times New Roman" w:hAnsi="Times New Roman" w:cs="Times New Roman"/>
          <w:sz w:val="24"/>
          <w:szCs w:val="24"/>
          <w:lang w:eastAsia="en-GB"/>
        </w:rPr>
      </w:pPr>
      <w:r w:rsidRPr="00AD72EC">
        <w:rPr>
          <w:rFonts w:ascii="Times New Roman" w:eastAsia="Times New Roman" w:hAnsi="Times New Roman" w:cs="Times New Roman"/>
          <w:noProof/>
          <w:sz w:val="24"/>
          <w:szCs w:val="24"/>
          <w:lang w:eastAsia="en-GB"/>
        </w:rPr>
        <w:drawing>
          <wp:inline distT="0" distB="0" distL="0" distR="0" wp14:anchorId="722CA452" wp14:editId="35A8D36D">
            <wp:extent cx="5274310" cy="2579889"/>
            <wp:effectExtent l="0" t="0" r="254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55528B3"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There was however a slight decrease in the number of papers produced in 2013 and 2007 although as discussed above there was still an increase overall in the number produced from 2000 onwards. </w:t>
      </w:r>
    </w:p>
    <w:p w14:paraId="7F0727FA"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 most cited paper for the next significant increase in 2015 relates to a paper which looks at early life and how the effect later on in life and is cited only 29 times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"10.1002/pam.21805", "ISSN" : "15206688", "abstract" : "Mounting evidence across different disciplines suggests that early-life conditions can have consequences on individual outcomes throughout the life cycle. Relative to other developed countries, the United States fares poorly on standard indicators of early-life health, and this disadvantage may have profound consequences not only for population well-being, but also for economic growth and competitiveness in a global economy. In this paper, we first discuss the research on the strength of the link between early-life health and adult outcomes, and then provide an evidence-based review of the effectiveness of existing U.S. policies targeting the early-life environment. We conclude that there is a robust and economically meaningful relationship between early-life conditions and well-being throughout the life cycle, as measured by adult health, educational attainment, labor market attachment, and other indicators of socioeconomic status. However, there is some variation in the degree to which current policies in the United States are effective in improving early-life conditions. Among existing programs, some of the most effective are the Special Supplemental Program for Women, Infants, and Children (WIC), home visiting with nurse practitioners, and high-quality, center-based early-childhood care and education. In contrast, the evidence on other policies such as prenatal care and family leave is more mixed and limited.", "author" : [ { "dropping-particle" : "", "family" : "Currie", "given" : "Janet", "non-dropping-particle" : "", "parse-names" : false, "suffix" : "" }, { "dropping-particle" : "", "family" : "Rossin-Slater", "given" : "Maya", "non-dropping-particle" : "", "parse-names" : false, "suffix" : "" } ], "container-title" : "Journal of Policy Analysis and Management", "id" : "ITEM-1", "issue" : "1", "issued" : { "date-parts" : [ [ "2015", "12", "1" ] ] }, "page" : "208-242", "publisher" : "Wiley-Liss Inc.", "title" : "Early-Life Origins of Life-Cycle Well-Being: Research and Policy Implications", "type" : "article-journal", "volume" : "34" }, "uris" : [ "http://www.mendeley.com/documents/?uuid=36f33966-ffdb-32f4-b82e-0dfbbec8034b" ] } ], "mendeley" : { "formattedCitation" : "(Currie and Rossin-Slater, 2015)", "plainTextFormattedCitation" : "(Currie and Rossin-Slater, 2015)", "previouslyFormattedCitation" : "(Currie and Rossin-Slater, 2015)"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(Currie and Rossin-</w:t>
      </w:r>
      <w:r w:rsidRPr="00AD72EC">
        <w:rPr>
          <w:rFonts w:ascii="Times New Roman" w:eastAsia="Times New Roman" w:hAnsi="Times New Roman" w:cs="Times New Roman"/>
          <w:noProof/>
          <w:sz w:val="24"/>
          <w:szCs w:val="24"/>
          <w:lang w:eastAsia="en-GB"/>
        </w:rPr>
        <w:lastRenderedPageBreak/>
        <w:t>Slater, 2015)</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next two top cited papers during this time are cited only 29 and 28 times respectively. This shows that although there are only a few early papers around the turn of century, these are cited over 200 times, this is in direct contrast with 2017 when over 115 papers are produced but are only citied an average of 28 times. </w:t>
      </w:r>
    </w:p>
    <w:p w14:paraId="50959090"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14D7D023"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 next part of the research into this theme looked at the top 10 countries producing papers based on the search terms as listed above. The result of which are shown in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_Ref512611347 \h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 xml:space="preserve">Figure </w:t>
      </w:r>
      <w:r w:rsidRPr="00AD72EC">
        <w:rPr>
          <w:rFonts w:ascii="Times New Roman" w:eastAsia="Times New Roman" w:hAnsi="Times New Roman" w:cs="Times New Roman"/>
          <w:noProof/>
          <w:sz w:val="24"/>
          <w:szCs w:val="24"/>
          <w:lang w:eastAsia="en-GB"/>
        </w:rPr>
        <w:t>6</w:t>
      </w:r>
      <w:r w:rsidRPr="00AD72EC">
        <w:rPr>
          <w:rFonts w:ascii="Times New Roman" w:eastAsia="Times New Roman" w:hAnsi="Times New Roman" w:cs="Times New Roman"/>
          <w:sz w:val="24"/>
          <w:szCs w:val="24"/>
          <w:lang w:eastAsia="en-GB"/>
        </w:rPr>
        <w:t>: Result of research papers by country - TOP 10</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_Ref512611347 \p \h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below</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w:t>
      </w:r>
    </w:p>
    <w:p w14:paraId="365890CD"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7EB7EA40" w14:textId="77777777" w:rsidR="00AD72EC" w:rsidRPr="00AD72EC" w:rsidRDefault="00AD72EC" w:rsidP="00AD72EC">
      <w:pPr>
        <w:keepNext/>
        <w:spacing w:after="200" w:line="240" w:lineRule="auto"/>
        <w:jc w:val="center"/>
        <w:rPr>
          <w:rFonts w:ascii="Calibri" w:eastAsia="Calibri" w:hAnsi="Calibri" w:cs="Times New Roman"/>
          <w:i/>
          <w:iCs/>
          <w:color w:val="44546A"/>
          <w:sz w:val="18"/>
          <w:szCs w:val="18"/>
        </w:rPr>
      </w:pPr>
      <w:bookmarkStart w:id="37" w:name="_Ref512611347"/>
      <w:r w:rsidRPr="00AD72EC">
        <w:rPr>
          <w:rFonts w:ascii="Calibri" w:eastAsia="Calibri" w:hAnsi="Calibri" w:cs="Times New Roman"/>
          <w:i/>
          <w:iCs/>
          <w:color w:val="44546A"/>
          <w:sz w:val="18"/>
          <w:szCs w:val="18"/>
        </w:rPr>
        <w:t xml:space="preserve">Figure </w:t>
      </w:r>
      <w:r w:rsidRPr="00AD72EC">
        <w:rPr>
          <w:rFonts w:ascii="Calibri" w:eastAsia="Calibri" w:hAnsi="Calibri" w:cs="Times New Roman"/>
          <w:i/>
          <w:iCs/>
          <w:color w:val="44546A"/>
          <w:sz w:val="18"/>
          <w:szCs w:val="18"/>
        </w:rPr>
        <w:fldChar w:fldCharType="begin"/>
      </w:r>
      <w:r w:rsidRPr="00AD72EC">
        <w:rPr>
          <w:rFonts w:ascii="Calibri" w:eastAsia="Calibri" w:hAnsi="Calibri" w:cs="Times New Roman"/>
          <w:i/>
          <w:iCs/>
          <w:color w:val="44546A"/>
          <w:sz w:val="18"/>
          <w:szCs w:val="18"/>
        </w:rPr>
        <w:instrText xml:space="preserve"> SEQ Figure \* ARABIC </w:instrText>
      </w:r>
      <w:r w:rsidRPr="00AD72EC">
        <w:rPr>
          <w:rFonts w:ascii="Calibri" w:eastAsia="Calibri" w:hAnsi="Calibri" w:cs="Times New Roman"/>
          <w:i/>
          <w:iCs/>
          <w:color w:val="44546A"/>
          <w:sz w:val="18"/>
          <w:szCs w:val="18"/>
        </w:rPr>
        <w:fldChar w:fldCharType="separate"/>
      </w:r>
      <w:r w:rsidRPr="00AD72EC">
        <w:rPr>
          <w:rFonts w:ascii="Calibri" w:eastAsia="Calibri" w:hAnsi="Calibri" w:cs="Times New Roman"/>
          <w:i/>
          <w:iCs/>
          <w:noProof/>
          <w:color w:val="44546A"/>
          <w:sz w:val="18"/>
          <w:szCs w:val="18"/>
        </w:rPr>
        <w:t>6</w:t>
      </w:r>
      <w:r w:rsidRPr="00AD72EC">
        <w:rPr>
          <w:rFonts w:ascii="Calibri" w:eastAsia="Calibri" w:hAnsi="Calibri" w:cs="Times New Roman"/>
          <w:i/>
          <w:iCs/>
          <w:noProof/>
          <w:color w:val="44546A"/>
          <w:sz w:val="18"/>
          <w:szCs w:val="18"/>
        </w:rPr>
        <w:fldChar w:fldCharType="end"/>
      </w:r>
      <w:r w:rsidRPr="00AD72EC">
        <w:rPr>
          <w:rFonts w:ascii="Calibri" w:eastAsia="Calibri" w:hAnsi="Calibri" w:cs="Times New Roman"/>
          <w:i/>
          <w:iCs/>
          <w:color w:val="44546A"/>
          <w:sz w:val="18"/>
          <w:szCs w:val="18"/>
        </w:rPr>
        <w:t>: Result of research papers by country - TOP 10</w:t>
      </w:r>
      <w:bookmarkEnd w:id="37"/>
    </w:p>
    <w:p w14:paraId="70A29B06" w14:textId="77777777" w:rsidR="00AD72EC" w:rsidRPr="00AD72EC" w:rsidRDefault="00AD72EC" w:rsidP="00AD72EC">
      <w:pPr>
        <w:spacing w:after="0" w:line="480" w:lineRule="auto"/>
        <w:ind w:left="360"/>
        <w:jc w:val="center"/>
        <w:rPr>
          <w:rFonts w:ascii="Times New Roman" w:eastAsia="Times New Roman" w:hAnsi="Times New Roman" w:cs="Times New Roman"/>
          <w:sz w:val="24"/>
          <w:szCs w:val="24"/>
          <w:lang w:eastAsia="en-GB"/>
        </w:rPr>
      </w:pPr>
      <w:r w:rsidRPr="00AD72EC">
        <w:rPr>
          <w:rFonts w:ascii="Times New Roman" w:eastAsia="Times New Roman" w:hAnsi="Times New Roman" w:cs="Times New Roman"/>
          <w:noProof/>
          <w:sz w:val="24"/>
          <w:szCs w:val="24"/>
          <w:lang w:eastAsia="en-GB"/>
        </w:rPr>
        <w:drawing>
          <wp:inline distT="0" distB="0" distL="0" distR="0" wp14:anchorId="28C3DD55" wp14:editId="7D0ECC75">
            <wp:extent cx="3362400" cy="31140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9222619" w14:textId="77777777" w:rsidR="00AD72EC" w:rsidRPr="00AD72EC" w:rsidRDefault="00AD72EC" w:rsidP="00AD72EC">
      <w:pPr>
        <w:spacing w:after="0" w:line="480" w:lineRule="auto"/>
        <w:ind w:firstLine="360"/>
        <w:rPr>
          <w:rFonts w:ascii="Times New Roman" w:eastAsia="Times New Roman" w:hAnsi="Times New Roman" w:cs="Times New Roman"/>
          <w:sz w:val="24"/>
          <w:szCs w:val="24"/>
          <w:lang w:eastAsia="en-GB"/>
        </w:rPr>
      </w:pPr>
    </w:p>
    <w:p w14:paraId="1E1C5CBC"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This shows that by the overall institution that published the data, the USA is a dominant leader in the area of Childhood and Wellbeing. Although when the data is segregated out by the authors county like theme 1 above a different picture emerges and shows that the UK is the leader overall in this area. This is shown in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_Ref512612219 \h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 xml:space="preserve">Figure </w:t>
      </w:r>
      <w:r w:rsidRPr="00AD72EC">
        <w:rPr>
          <w:rFonts w:ascii="Times New Roman" w:eastAsia="Times New Roman" w:hAnsi="Times New Roman" w:cs="Times New Roman"/>
          <w:noProof/>
          <w:sz w:val="24"/>
          <w:szCs w:val="24"/>
          <w:lang w:eastAsia="en-GB"/>
        </w:rPr>
        <w:t>7</w:t>
      </w:r>
      <w:r w:rsidRPr="00AD72EC">
        <w:rPr>
          <w:rFonts w:ascii="Times New Roman" w:eastAsia="Times New Roman" w:hAnsi="Times New Roman" w:cs="Times New Roman"/>
          <w:sz w:val="24"/>
          <w:szCs w:val="24"/>
          <w:lang w:eastAsia="en-GB"/>
        </w:rPr>
        <w:t>: Comparison of UK vs USA publications over time</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_Ref512612219 \p \h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below</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In the initial early years, it can be seen that there is a general </w:t>
      </w:r>
      <w:r w:rsidRPr="00AD72EC">
        <w:rPr>
          <w:rFonts w:ascii="Times New Roman" w:eastAsia="Times New Roman" w:hAnsi="Times New Roman" w:cs="Times New Roman"/>
          <w:sz w:val="24"/>
          <w:szCs w:val="24"/>
          <w:lang w:eastAsia="en-GB"/>
        </w:rPr>
        <w:lastRenderedPageBreak/>
        <w:t xml:space="preserve">trend of the amount of papers being roughly equal up until 2000. At this point, the amount of papers produced by the USA drops slightly before increasing in 2004 to a similar level of the UK. </w:t>
      </w:r>
    </w:p>
    <w:p w14:paraId="411E4EFF" w14:textId="77777777" w:rsidR="00AD72EC" w:rsidRPr="00AD72EC" w:rsidRDefault="00AD72EC" w:rsidP="00AD72EC">
      <w:pPr>
        <w:spacing w:after="0" w:line="480" w:lineRule="auto"/>
        <w:ind w:firstLine="360"/>
        <w:jc w:val="both"/>
        <w:rPr>
          <w:rFonts w:ascii="Times New Roman" w:eastAsia="Times New Roman" w:hAnsi="Times New Roman" w:cs="Times New Roman"/>
          <w:sz w:val="24"/>
          <w:szCs w:val="24"/>
          <w:lang w:eastAsia="en-GB"/>
        </w:rPr>
      </w:pPr>
    </w:p>
    <w:p w14:paraId="42C9570A" w14:textId="77777777" w:rsidR="00AD72EC" w:rsidRPr="00AD72EC" w:rsidRDefault="00AD72EC" w:rsidP="00AD72EC">
      <w:pPr>
        <w:keepNext/>
        <w:spacing w:after="200" w:line="240" w:lineRule="auto"/>
        <w:jc w:val="center"/>
        <w:rPr>
          <w:rFonts w:ascii="Calibri" w:eastAsia="Calibri" w:hAnsi="Calibri" w:cs="Times New Roman"/>
          <w:i/>
          <w:iCs/>
          <w:color w:val="44546A"/>
          <w:sz w:val="18"/>
          <w:szCs w:val="18"/>
        </w:rPr>
      </w:pPr>
      <w:bookmarkStart w:id="38" w:name="_Ref512612219"/>
      <w:r w:rsidRPr="00AD72EC">
        <w:rPr>
          <w:rFonts w:ascii="Calibri" w:eastAsia="Calibri" w:hAnsi="Calibri" w:cs="Times New Roman"/>
          <w:i/>
          <w:iCs/>
          <w:color w:val="44546A"/>
          <w:sz w:val="18"/>
          <w:szCs w:val="18"/>
        </w:rPr>
        <w:t xml:space="preserve">Figure </w:t>
      </w:r>
      <w:r w:rsidRPr="00AD72EC">
        <w:rPr>
          <w:rFonts w:ascii="Calibri" w:eastAsia="Calibri" w:hAnsi="Calibri" w:cs="Times New Roman"/>
          <w:i/>
          <w:iCs/>
          <w:color w:val="44546A"/>
          <w:sz w:val="18"/>
          <w:szCs w:val="18"/>
        </w:rPr>
        <w:fldChar w:fldCharType="begin"/>
      </w:r>
      <w:r w:rsidRPr="00AD72EC">
        <w:rPr>
          <w:rFonts w:ascii="Calibri" w:eastAsia="Calibri" w:hAnsi="Calibri" w:cs="Times New Roman"/>
          <w:i/>
          <w:iCs/>
          <w:color w:val="44546A"/>
          <w:sz w:val="18"/>
          <w:szCs w:val="18"/>
        </w:rPr>
        <w:instrText xml:space="preserve"> SEQ Figure \* ARABIC </w:instrText>
      </w:r>
      <w:r w:rsidRPr="00AD72EC">
        <w:rPr>
          <w:rFonts w:ascii="Calibri" w:eastAsia="Calibri" w:hAnsi="Calibri" w:cs="Times New Roman"/>
          <w:i/>
          <w:iCs/>
          <w:color w:val="44546A"/>
          <w:sz w:val="18"/>
          <w:szCs w:val="18"/>
        </w:rPr>
        <w:fldChar w:fldCharType="separate"/>
      </w:r>
      <w:r w:rsidRPr="00AD72EC">
        <w:rPr>
          <w:rFonts w:ascii="Calibri" w:eastAsia="Calibri" w:hAnsi="Calibri" w:cs="Times New Roman"/>
          <w:i/>
          <w:iCs/>
          <w:noProof/>
          <w:color w:val="44546A"/>
          <w:sz w:val="18"/>
          <w:szCs w:val="18"/>
        </w:rPr>
        <w:t>7</w:t>
      </w:r>
      <w:r w:rsidRPr="00AD72EC">
        <w:rPr>
          <w:rFonts w:ascii="Calibri" w:eastAsia="Calibri" w:hAnsi="Calibri" w:cs="Times New Roman"/>
          <w:i/>
          <w:iCs/>
          <w:noProof/>
          <w:color w:val="44546A"/>
          <w:sz w:val="18"/>
          <w:szCs w:val="18"/>
        </w:rPr>
        <w:fldChar w:fldCharType="end"/>
      </w:r>
      <w:r w:rsidRPr="00AD72EC">
        <w:rPr>
          <w:rFonts w:ascii="Calibri" w:eastAsia="Calibri" w:hAnsi="Calibri" w:cs="Times New Roman"/>
          <w:i/>
          <w:iCs/>
          <w:color w:val="44546A"/>
          <w:sz w:val="18"/>
          <w:szCs w:val="18"/>
        </w:rPr>
        <w:t>: Comparison of UK vs USA publications over time</w:t>
      </w:r>
      <w:bookmarkEnd w:id="38"/>
    </w:p>
    <w:p w14:paraId="411D02A2" w14:textId="77777777" w:rsidR="00AD72EC" w:rsidRPr="00AD72EC" w:rsidRDefault="00AD72EC" w:rsidP="00AD72EC">
      <w:pPr>
        <w:spacing w:after="0" w:line="480" w:lineRule="auto"/>
        <w:ind w:firstLine="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noProof/>
          <w:sz w:val="24"/>
          <w:szCs w:val="24"/>
          <w:lang w:eastAsia="en-GB"/>
        </w:rPr>
        <w:drawing>
          <wp:inline distT="0" distB="0" distL="0" distR="0" wp14:anchorId="3BC6A8C1" wp14:editId="4F44BE84">
            <wp:extent cx="5274310" cy="2329789"/>
            <wp:effectExtent l="0" t="0" r="254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0FADF31"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In 2005 the number of papers produced by both countries decreases before increasing back in 2006. The reason for the decrease in papers in 2006 cannot be explained by events around that time either politically or otherwise and further research is needed to find out the reasons. After 2006, the number of articles produced by the USA again decreases but the number produced by the UK increase at a steady rate until 2007 when there is a sharp increase to over 40 papers in 2010. The USA recovers slightly and follows the trends of the UK but at a lower rate overall. It is worth noting that a comparison between the number of citations between the two countries was not carried out which may produce different results again. In 2012 there was significant drop in the number of paper produced by both countries. In the years since 2012 there has been a large gap created by the two countries. Since that time, the two countries have produced a significant number compared to previous years although the UK has produced nearly 50% more. </w:t>
      </w:r>
    </w:p>
    <w:p w14:paraId="03510238"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lastRenderedPageBreak/>
        <w:t xml:space="preserve">There could be several reasons for the difference in the number of papers produced which may be related to the social policies and government policies of the two countries and requires further research. </w:t>
      </w:r>
    </w:p>
    <w:p w14:paraId="55CEC049"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77B39539"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 final area of research relating to theme 2 looked at the relationship between the number of papers and Journal title as shown in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_Ref512613344 \h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 xml:space="preserve">Figure </w:t>
      </w:r>
      <w:r w:rsidRPr="00AD72EC">
        <w:rPr>
          <w:rFonts w:ascii="Times New Roman" w:eastAsia="Times New Roman" w:hAnsi="Times New Roman" w:cs="Times New Roman"/>
          <w:noProof/>
          <w:sz w:val="24"/>
          <w:szCs w:val="24"/>
          <w:lang w:eastAsia="en-GB"/>
        </w:rPr>
        <w:t>8</w:t>
      </w:r>
      <w:r w:rsidRPr="00AD72EC">
        <w:rPr>
          <w:rFonts w:ascii="Times New Roman" w:eastAsia="Times New Roman" w:hAnsi="Times New Roman" w:cs="Times New Roman"/>
          <w:sz w:val="24"/>
          <w:szCs w:val="24"/>
          <w:lang w:eastAsia="en-GB"/>
        </w:rPr>
        <w:t>: Top 5 Journals for theme 2.</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_Ref512613344 \p \h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below</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t>
      </w:r>
    </w:p>
    <w:p w14:paraId="3F70A158" w14:textId="77777777" w:rsidR="00AD72EC" w:rsidRPr="00AD72EC" w:rsidRDefault="00AD72EC" w:rsidP="00AD72EC">
      <w:pPr>
        <w:keepNext/>
        <w:spacing w:after="200" w:line="240" w:lineRule="auto"/>
        <w:jc w:val="center"/>
        <w:rPr>
          <w:rFonts w:ascii="Calibri" w:eastAsia="Calibri" w:hAnsi="Calibri" w:cs="Times New Roman"/>
          <w:i/>
          <w:iCs/>
          <w:color w:val="44546A"/>
          <w:sz w:val="18"/>
          <w:szCs w:val="18"/>
        </w:rPr>
      </w:pPr>
      <w:bookmarkStart w:id="39" w:name="_Ref512613344"/>
      <w:r w:rsidRPr="00AD72EC">
        <w:rPr>
          <w:rFonts w:ascii="Calibri" w:eastAsia="Calibri" w:hAnsi="Calibri" w:cs="Times New Roman"/>
          <w:i/>
          <w:iCs/>
          <w:color w:val="44546A"/>
          <w:sz w:val="18"/>
          <w:szCs w:val="18"/>
        </w:rPr>
        <w:t xml:space="preserve">Figure </w:t>
      </w:r>
      <w:r w:rsidRPr="00AD72EC">
        <w:rPr>
          <w:rFonts w:ascii="Calibri" w:eastAsia="Calibri" w:hAnsi="Calibri" w:cs="Times New Roman"/>
          <w:i/>
          <w:iCs/>
          <w:color w:val="44546A"/>
          <w:sz w:val="18"/>
          <w:szCs w:val="18"/>
        </w:rPr>
        <w:fldChar w:fldCharType="begin"/>
      </w:r>
      <w:r w:rsidRPr="00AD72EC">
        <w:rPr>
          <w:rFonts w:ascii="Calibri" w:eastAsia="Calibri" w:hAnsi="Calibri" w:cs="Times New Roman"/>
          <w:i/>
          <w:iCs/>
          <w:color w:val="44546A"/>
          <w:sz w:val="18"/>
          <w:szCs w:val="18"/>
        </w:rPr>
        <w:instrText xml:space="preserve"> SEQ Figure \* ARABIC </w:instrText>
      </w:r>
      <w:r w:rsidRPr="00AD72EC">
        <w:rPr>
          <w:rFonts w:ascii="Calibri" w:eastAsia="Calibri" w:hAnsi="Calibri" w:cs="Times New Roman"/>
          <w:i/>
          <w:iCs/>
          <w:color w:val="44546A"/>
          <w:sz w:val="18"/>
          <w:szCs w:val="18"/>
        </w:rPr>
        <w:fldChar w:fldCharType="separate"/>
      </w:r>
      <w:r w:rsidRPr="00AD72EC">
        <w:rPr>
          <w:rFonts w:ascii="Calibri" w:eastAsia="Calibri" w:hAnsi="Calibri" w:cs="Times New Roman"/>
          <w:i/>
          <w:iCs/>
          <w:noProof/>
          <w:color w:val="44546A"/>
          <w:sz w:val="18"/>
          <w:szCs w:val="18"/>
        </w:rPr>
        <w:t>8</w:t>
      </w:r>
      <w:r w:rsidRPr="00AD72EC">
        <w:rPr>
          <w:rFonts w:ascii="Calibri" w:eastAsia="Calibri" w:hAnsi="Calibri" w:cs="Times New Roman"/>
          <w:i/>
          <w:iCs/>
          <w:noProof/>
          <w:color w:val="44546A"/>
          <w:sz w:val="18"/>
          <w:szCs w:val="18"/>
        </w:rPr>
        <w:fldChar w:fldCharType="end"/>
      </w:r>
      <w:r w:rsidRPr="00AD72EC">
        <w:rPr>
          <w:rFonts w:ascii="Calibri" w:eastAsia="Calibri" w:hAnsi="Calibri" w:cs="Times New Roman"/>
          <w:i/>
          <w:iCs/>
          <w:color w:val="44546A"/>
          <w:sz w:val="18"/>
          <w:szCs w:val="18"/>
        </w:rPr>
        <w:t>: Top 5 Journals for theme 2.</w:t>
      </w:r>
      <w:bookmarkEnd w:id="39"/>
    </w:p>
    <w:p w14:paraId="5EEA8DB3" w14:textId="77777777" w:rsidR="00AD72EC" w:rsidRPr="00AD72EC" w:rsidRDefault="00AD72EC" w:rsidP="00AD72EC">
      <w:pPr>
        <w:spacing w:after="0" w:line="480" w:lineRule="auto"/>
        <w:ind w:left="360"/>
        <w:jc w:val="center"/>
        <w:rPr>
          <w:rFonts w:ascii="Times New Roman" w:eastAsia="Times New Roman" w:hAnsi="Times New Roman" w:cs="Times New Roman"/>
          <w:sz w:val="24"/>
          <w:szCs w:val="24"/>
          <w:lang w:eastAsia="en-GB"/>
        </w:rPr>
      </w:pPr>
      <w:r w:rsidRPr="00AD72EC">
        <w:rPr>
          <w:rFonts w:ascii="Times New Roman" w:eastAsia="Times New Roman" w:hAnsi="Times New Roman" w:cs="Times New Roman"/>
          <w:noProof/>
          <w:sz w:val="24"/>
          <w:szCs w:val="24"/>
          <w:lang w:eastAsia="en-GB"/>
        </w:rPr>
        <w:drawing>
          <wp:inline distT="0" distB="0" distL="0" distR="0" wp14:anchorId="1B4DB5F5" wp14:editId="0F4A2FFB">
            <wp:extent cx="4314825" cy="1752600"/>
            <wp:effectExtent l="0" t="0" r="9525"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74AF8F9"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423E4658"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This shows that like theme 1, the top journal for this area of research is Social Science And Medicine followed by Children. The next close journal is Children And Youth Services Review. Compared to theme 1, there is not a significant difference between the amount of papers published between the top 5 journals although like theme 1, there are only 164 papers in the top 5. This is in contrast to the 912 results showing that the make-up is only 18%. This is 8% higher than the result shown in theme 1. The reason for this closeness may be attributed to the fact that the sub-themes within well-being are more closely defined than that of poverty. As an example, the top citations within wellbeing all follow a sub-theme of either health or psychosocial. In direct contrast, poverty is less well defined and follows sub-themes with a diverse range. </w:t>
      </w:r>
    </w:p>
    <w:p w14:paraId="6A1D684C"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05370CA5" w14:textId="77777777" w:rsidR="00AD72EC" w:rsidRPr="00AD72EC" w:rsidRDefault="00AD72EC" w:rsidP="00AD72EC">
      <w:pPr>
        <w:numPr>
          <w:ilvl w:val="1"/>
          <w:numId w:val="1"/>
        </w:numPr>
        <w:spacing w:after="0" w:line="480" w:lineRule="auto"/>
        <w:outlineLvl w:val="1"/>
        <w:rPr>
          <w:rFonts w:ascii="Times New Roman" w:eastAsia="Times New Roman" w:hAnsi="Times New Roman" w:cs="Times New Roman"/>
          <w:b/>
          <w:sz w:val="24"/>
          <w:szCs w:val="24"/>
          <w:lang w:eastAsia="en-GB"/>
        </w:rPr>
      </w:pPr>
      <w:bookmarkStart w:id="40" w:name="_Toc512623106"/>
      <w:bookmarkStart w:id="41" w:name="_Toc512623458"/>
      <w:bookmarkStart w:id="42" w:name="_Toc513062332"/>
      <w:r w:rsidRPr="00AD72EC">
        <w:rPr>
          <w:rFonts w:ascii="Times New Roman" w:eastAsia="Times New Roman" w:hAnsi="Times New Roman" w:cs="Times New Roman"/>
          <w:b/>
          <w:sz w:val="24"/>
          <w:szCs w:val="24"/>
          <w:lang w:eastAsia="en-GB"/>
        </w:rPr>
        <w:t>Theme 3</w:t>
      </w:r>
      <w:bookmarkEnd w:id="40"/>
      <w:bookmarkEnd w:id="41"/>
      <w:bookmarkEnd w:id="42"/>
    </w:p>
    <w:p w14:paraId="2BECD209" w14:textId="77777777" w:rsidR="00AD72EC" w:rsidRPr="00AD72EC" w:rsidRDefault="00AD72EC" w:rsidP="00AD72EC">
      <w:pPr>
        <w:spacing w:after="0" w:line="480" w:lineRule="auto"/>
        <w:ind w:firstLine="360"/>
        <w:jc w:val="both"/>
        <w:rPr>
          <w:rFonts w:ascii="Times New Roman" w:eastAsia="Times New Roman" w:hAnsi="Times New Roman" w:cs="Times New Roman"/>
          <w:sz w:val="24"/>
          <w:szCs w:val="24"/>
          <w:lang w:eastAsia="en-GB"/>
        </w:rPr>
      </w:pPr>
    </w:p>
    <w:p w14:paraId="374270AC"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From the initial results of the distribution of papers over time for theme 3 as shown in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_Ref512614906 \h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 xml:space="preserve">Figure </w:t>
      </w:r>
      <w:r w:rsidRPr="00AD72EC">
        <w:rPr>
          <w:rFonts w:ascii="Times New Roman" w:eastAsia="Times New Roman" w:hAnsi="Times New Roman" w:cs="Times New Roman"/>
          <w:noProof/>
          <w:sz w:val="24"/>
          <w:szCs w:val="24"/>
          <w:lang w:eastAsia="en-GB"/>
        </w:rPr>
        <w:t>9</w:t>
      </w:r>
      <w:r w:rsidRPr="00AD72EC">
        <w:rPr>
          <w:rFonts w:ascii="Times New Roman" w:eastAsia="Times New Roman" w:hAnsi="Times New Roman" w:cs="Times New Roman"/>
          <w:sz w:val="24"/>
          <w:szCs w:val="24"/>
          <w:lang w:eastAsia="en-GB"/>
        </w:rPr>
        <w:t>: Distribution of publications over time for theme 3</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w:t>
      </w:r>
      <w:r w:rsidRPr="00AD72EC">
        <w:rPr>
          <w:rFonts w:ascii="Times New Roman" w:eastAsia="Times New Roman" w:hAnsi="Times New Roman" w:cs="Times New Roman"/>
          <w:sz w:val="24"/>
          <w:szCs w:val="24"/>
          <w:lang w:eastAsia="en-GB"/>
        </w:rPr>
        <w:fldChar w:fldCharType="begin"/>
      </w:r>
      <w:r w:rsidRPr="00AD72EC">
        <w:rPr>
          <w:rFonts w:ascii="Times New Roman" w:eastAsia="Times New Roman" w:hAnsi="Times New Roman" w:cs="Times New Roman"/>
          <w:sz w:val="24"/>
          <w:szCs w:val="24"/>
          <w:lang w:eastAsia="en-GB"/>
        </w:rPr>
        <w:instrText xml:space="preserve"> REF _Ref512614906 \p \h </w:instrText>
      </w:r>
      <w:r w:rsidRPr="00AD72EC">
        <w:rPr>
          <w:rFonts w:ascii="Times New Roman" w:eastAsia="Times New Roman" w:hAnsi="Times New Roman" w:cs="Times New Roman"/>
          <w:sz w:val="24"/>
          <w:szCs w:val="24"/>
          <w:lang w:eastAsia="en-GB"/>
        </w:rPr>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sz w:val="24"/>
          <w:szCs w:val="24"/>
          <w:lang w:eastAsia="en-GB"/>
        </w:rPr>
        <w:t>below</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it can be seen that there is an overall increase in the number of publications over time. The first publication relating to this theme occurred in 1986. This paper looked at the relationship between milk supply, poverty and relationship conflicts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"ISSN" : "00472328", "abstract" : "In this article my aim is to discuss the care of children within the rural Punjabi family as manifested in problems concerning milk supply and milk availability, seeing both as limited by a family's overall poverty, the conflict relationship within the family between elderly members of the husband's kin-group and the mother-in-law on the one hand and the daughter-in-law on the other, and the labour conditions and work load of women as daughters-in-law. Indirectly the data will also reveal the contributory causes of female mortality. The data presented came from a medium sized village of under 1,500 people in the Ferozepur district of the southern Punjab.", "author" : [ { "dropping-particle" : "", "family" : "Pettigrew", "given" : "J.", "non-dropping-particle" : "", "parse-names" : false, "suffix" : "" } ], "id" : "ITEM-1", "issue" : "1", "issued" : { "date-parts" : [ [ "1986" ] ] }, "page" : "63-85", "title" : "Child neglect in rural Punjabi families", "type" : "article-journal", "volume" : "17" }, "uris" : [ "http://www.mendeley.com/documents/?uuid=fc607c82-dc9e-33d0-ba7b-8c02adaaddac" ] } ], "mendeley" : { "formattedCitation" : "(Pettigrew, 1986)", "plainTextFormattedCitation" : "(Pettigrew, 1986)", "previouslyFormattedCitation" : "(Pettigrew, 1986)"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(Pettigrew, 1986)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This paper has been cited 11 times. </w:t>
      </w:r>
    </w:p>
    <w:p w14:paraId="0AE94251"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31A1CA02"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Until 1999, there were only a few papers produced for the interceding years. These were 1992,1994,1996,1997 and 1998 when only 1 paper a year was returned in the results. </w:t>
      </w:r>
    </w:p>
    <w:p w14:paraId="26CF8B7D" w14:textId="77777777" w:rsidR="00AD72EC" w:rsidRPr="00AD72EC" w:rsidRDefault="00AD72EC" w:rsidP="00AD72EC">
      <w:pPr>
        <w:keepNext/>
        <w:spacing w:after="200" w:line="240" w:lineRule="auto"/>
        <w:jc w:val="center"/>
        <w:rPr>
          <w:rFonts w:ascii="Calibri" w:eastAsia="Calibri" w:hAnsi="Calibri" w:cs="Times New Roman"/>
          <w:i/>
          <w:iCs/>
          <w:color w:val="44546A"/>
          <w:sz w:val="18"/>
          <w:szCs w:val="18"/>
        </w:rPr>
      </w:pPr>
      <w:bookmarkStart w:id="43" w:name="_Ref512614906"/>
      <w:r w:rsidRPr="00AD72EC">
        <w:rPr>
          <w:rFonts w:ascii="Calibri" w:eastAsia="Calibri" w:hAnsi="Calibri" w:cs="Times New Roman"/>
          <w:i/>
          <w:iCs/>
          <w:color w:val="44546A"/>
          <w:sz w:val="18"/>
          <w:szCs w:val="18"/>
        </w:rPr>
        <w:t xml:space="preserve">Figure </w:t>
      </w:r>
      <w:r w:rsidRPr="00AD72EC">
        <w:rPr>
          <w:rFonts w:ascii="Calibri" w:eastAsia="Calibri" w:hAnsi="Calibri" w:cs="Times New Roman"/>
          <w:i/>
          <w:iCs/>
          <w:color w:val="44546A"/>
          <w:sz w:val="18"/>
          <w:szCs w:val="18"/>
        </w:rPr>
        <w:fldChar w:fldCharType="begin"/>
      </w:r>
      <w:r w:rsidRPr="00AD72EC">
        <w:rPr>
          <w:rFonts w:ascii="Calibri" w:eastAsia="Calibri" w:hAnsi="Calibri" w:cs="Times New Roman"/>
          <w:i/>
          <w:iCs/>
          <w:color w:val="44546A"/>
          <w:sz w:val="18"/>
          <w:szCs w:val="18"/>
        </w:rPr>
        <w:instrText xml:space="preserve"> SEQ Figure \* ARABIC </w:instrText>
      </w:r>
      <w:r w:rsidRPr="00AD72EC">
        <w:rPr>
          <w:rFonts w:ascii="Calibri" w:eastAsia="Calibri" w:hAnsi="Calibri" w:cs="Times New Roman"/>
          <w:i/>
          <w:iCs/>
          <w:color w:val="44546A"/>
          <w:sz w:val="18"/>
          <w:szCs w:val="18"/>
        </w:rPr>
        <w:fldChar w:fldCharType="separate"/>
      </w:r>
      <w:r w:rsidRPr="00AD72EC">
        <w:rPr>
          <w:rFonts w:ascii="Calibri" w:eastAsia="Calibri" w:hAnsi="Calibri" w:cs="Times New Roman"/>
          <w:i/>
          <w:iCs/>
          <w:noProof/>
          <w:color w:val="44546A"/>
          <w:sz w:val="18"/>
          <w:szCs w:val="18"/>
        </w:rPr>
        <w:t>9</w:t>
      </w:r>
      <w:r w:rsidRPr="00AD72EC">
        <w:rPr>
          <w:rFonts w:ascii="Calibri" w:eastAsia="Calibri" w:hAnsi="Calibri" w:cs="Times New Roman"/>
          <w:i/>
          <w:iCs/>
          <w:noProof/>
          <w:color w:val="44546A"/>
          <w:sz w:val="18"/>
          <w:szCs w:val="18"/>
        </w:rPr>
        <w:fldChar w:fldCharType="end"/>
      </w:r>
      <w:r w:rsidRPr="00AD72EC">
        <w:rPr>
          <w:rFonts w:ascii="Calibri" w:eastAsia="Calibri" w:hAnsi="Calibri" w:cs="Times New Roman"/>
          <w:i/>
          <w:iCs/>
          <w:color w:val="44546A"/>
          <w:sz w:val="18"/>
          <w:szCs w:val="18"/>
        </w:rPr>
        <w:t>: Distribution of publications over time for theme 3</w:t>
      </w:r>
      <w:bookmarkEnd w:id="43"/>
    </w:p>
    <w:p w14:paraId="03270F4F" w14:textId="77777777" w:rsidR="00AD72EC" w:rsidRPr="00AD72EC" w:rsidRDefault="00AD72EC" w:rsidP="00AD72EC">
      <w:pPr>
        <w:spacing w:after="0" w:line="240" w:lineRule="auto"/>
        <w:ind w:left="360"/>
        <w:jc w:val="center"/>
        <w:rPr>
          <w:rFonts w:ascii="Times New Roman" w:eastAsia="Times New Roman" w:hAnsi="Times New Roman" w:cs="Times New Roman"/>
          <w:sz w:val="24"/>
          <w:szCs w:val="24"/>
          <w:lang w:eastAsia="en-GB"/>
        </w:rPr>
      </w:pPr>
      <w:r w:rsidRPr="00AD72EC">
        <w:rPr>
          <w:rFonts w:ascii="Times New Roman" w:eastAsia="Times New Roman" w:hAnsi="Times New Roman" w:cs="Times New Roman"/>
          <w:noProof/>
          <w:sz w:val="24"/>
          <w:szCs w:val="24"/>
          <w:lang w:eastAsia="en-GB"/>
        </w:rPr>
        <w:drawing>
          <wp:inline distT="0" distB="0" distL="0" distR="0" wp14:anchorId="2C1F5799" wp14:editId="497050E3">
            <wp:extent cx="5274310" cy="2579889"/>
            <wp:effectExtent l="0" t="0" r="254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C82F576"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170F6658" w14:textId="77777777" w:rsidR="00AD72EC" w:rsidRPr="00AD72EC" w:rsidRDefault="00AD72EC" w:rsidP="00AD72EC">
      <w:pPr>
        <w:widowControl w:val="0"/>
        <w:autoSpaceDE w:val="0"/>
        <w:autoSpaceDN w:val="0"/>
        <w:adjustRightInd w:val="0"/>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 top 3 cited papers during these first years up until 1998 had citation of 90, 79 and 45 respectively. The first paper details how education is a strong predictor of wellbeing and the effect of poverty can be offset by it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"ISSN" : "00377791", "abstract" : "Stratification research has established education's critical role in the intervene rational transmission of parental socioeconomic status to adult work and economic status. However, almost no research examines the intergenerational processes by which socioeconomic origins affect adult physical and psychological well-being. Furthermore, stratification theories disagree on whether education endows people with meaningful skills, or whether education merely represents a symbolic marker used to pass on socioeconomic advantage from one generation to the next. Using data from the 1987-1988 National Survey of Families and Households and the 1995 Aging, Status, and the Sense of Control Survey, we compare the effects of social origins, education, work, and economic status on physical and psychological well-being. Education is one of the strongest predictors of both physical and psychological well-being in both surveys, and its effects are not spuriously due to socioeconomic origins. Education has positive effects on well-being beyond the access it provides to privileged positions in the economy and higher incomes. People from high and low statuses benefit from more years of education. Finally, effects of parental education, father's occupation, and childhood poverty on adult well-being are largely mediated by respondent's education and its consequences for work and economic resources. However, some aspects of social origins, especially the experience of poverty in childhood, continue to affect adult well-being even accounting for one's own socioeconomic status.", "author" : [ { "dropping-particle" : "", "family" : "Reynolds", "given" : "John R.", "non-dropping-particle" : "", "parse-names" : false, "suffix" : "" }, { "dropping-particle" : "", "family" : "Ross", "given" : "Catherine E.", "non-dropping-particle" : "", "parse-names" : false, "suffix" : "" } ], "id" : "ITEM-1", "issue" : "2", "issued" : { "date-parts" : [ [ "1998" ] ] }, "page" : "221-245", "title" : "Social stratification and health: Education's benefit beyond economic status and social origins", "type" : "article-journal", "volume" : "45" }, "uris" : [ "http://www.mendeley.com/documents/?uuid=1504449e-c1f3-3855-8887-b758af74cee9" ] } ], "mendeley" : { "formattedCitation" : "(Reynolds and Ross, 1998)", "plainTextFormattedCitation" : "(Reynolds and Ross, 1998)", "previouslyFormattedCitation" : "(Reynolds and Ross, 1998)"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(Reynolds and Ross, 1998)</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second most cited paper looked at how a father’s role can have a positive influence on an adolescent wellbeing. It then further discusses how a mother in a single parent family protects adolescents from adverse outcomes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"10.1177/019251396017005003", "ISSN" : "0192513X", "abstract" : "In this article, we explore the role that parents play in family processes in poor and nonpoor two-parent families and the extent to which paternal participation varies across family income. Using longitudinal data from the National Survey of Children, we observe patterns of poverty over time in childhood and adolescence and examine whether father involvement buffers the effects of poverty on long-term outcomes of adolescents. We measure emotional and behavioral dimensions of parenting and contrast levels of father involvement with levels of mother involvement in their relations with adolescents across poverty experiences. Fathers in poor and welfare families are less involved with youth in adolescence and the greater the persistence of poverty, the less involvement by fathers. Although we document some buffering effects of fathers in poor families, mother involvement plays a more important role in protecting low-income youth from adverse outcomes.", "author" : [ { "dropping-particle" : "", "family" : "Harris", "given" : "Kathleen Mullan", "non-dropping-particle" : "", "parse-names" : false, "suffix" : "" }, { "dropping-particle" : "", "family" : "Marmer", "given" : "Jeremy K.", "non-dropping-particle" : "", "parse-names" : false, "suffix" : "" } ], "container-title" : "Journal of Family Issues", "id" : "ITEM-1", "issue" : "5", "issued" : { "date-parts" : [ [ "1996", "9", "30" ] ] }, "page" : "614-640", "publisher" : "SAGE Publications Inc.", "title" : "Poverty, paternal involvement, and adolescent well-being", "type" : "article-journal", "volume" : "17" }, "uris" : [ "http://www.mendeley.com/documents/?uuid=f1376b76-4927-3496-a6b8-d224827b73a3" ] } ], "mendeley" : { "formattedCitation" : "(Harris and Marmer, 1996)", "plainTextFormattedCitation" : "(Harris and Marmer, 1996)", "previouslyFormattedCitation" : "(Harris and Marmer, 1996)"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(Harris and Marmer, 1996)</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third most cited paper looked at the relationship between social support, depression and pregnancy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"10.1016/S0277-9536(97)00059-2", "ISSN" : "02779536", "abstract" : "Poorer health has been consistently associated with both low levels of social support and material deprivation. It has been proposed that social support constitutes a causal link between health and deprivation such that those with lower socio-economic status have poorer health because their lack of social support makes them more vulnerable to disease. This assumption was tested in this study for women moving from pregnancy to early motherhood. The sample of 9208 women was drawn from the Avon Longitudinal Study of Pregnancy and Childhood (ALSPAC). Health status was measured by self-report of morbidity for three contrasting conditions: backache, depression and urinary infection. Data were collected by self-completion questionnaire at eight weeks prepartum and at eight weeks postpartum. The sample was divided into four groups for each condition on the basis of identification of the condition (1) on both occasions, (2) on neither occasion, (3) at eight weeks prepartum only, and (4) at eight weeks postpartum only. Chi-square tests were used to measure the association between presence or absence of a condition as defined above, material deprivation and low social support. Responses on an eight item social support questionnaire tapping emotional, instrumental and communal aspects of perceived social support were compared between these groups for each condition. Results showed significant associations, in late pregnancy and early motherhood, between poorer health and both material deprivation and low social support for two of the three conditions, depression and urinary infection. Changes in levels of perceived social support occurred as a consequence of motherhood; the percentage of women perceiving their partner to be supportive decreased as did the percentage of those who felt that their family or friends would help with financial difficulties; in contrast, the percentage of those perceiving that other mothers/neighbours offered support increased from late pregnancy to early motherhood. The extent and direction of such change was consistently associated with the presence or absence of depression, but not with backache or urinary infection. When mental health 'improved', in that depression was present pre- but not postpartum, the percentage feeling supported increased and vice versa. This pattern was in evidence across all items of social support. It was concluded that perceived social support was unlikely in itself to constitute a causal link between poorer \u2026", "author" : [ { "dropping-particle" : "", "family" : "Baker", "given" : "Deborah", "non-dropping-particle" : "", "parse-names" : false, "suffix" : "" }, { "dropping-particle" : "", "family" : "Taylor", "given" : "Hazel", "non-dropping-particle" : "", "parse-names" : false, "suffix" : "" }, { "dropping-particle" : "", "family" : "The Alspac Survey Team", "given" : "", "non-dropping-particle" : "", "parse-names" : false, "suffix" : "" } ], "container-title" : "Social Science &amp; Medicine", "id" : "ITEM-1", "issue" : "9", "issued" : { "date-parts" : [ [ "1997", "11" ] ] }, "page" : "1325-1336", "title" : "The relationship between condition-specific morbidity, social support and material deprivation in pregnancy and early motherhood", "type" : "article-journal", "volume" : "45" }, "uris" : [ "http://www.mendeley.com/documents/?uuid=0b474319-ef83-34fb-a971-2719313dceab" ] } ], "mendeley" : { "formattedCitation" : "(Baker, Taylor and The Alspac Survey Team, 1997)", "plainTextFormattedCitation" : "(Baker, Taylor and The Alspac Survey Team, 1997)", "previouslyFormattedCitation" : "(Baker, Taylor and The Alspac Survey Team, 1997)"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(Baker, Taylor </w:t>
      </w:r>
      <w:r w:rsidRPr="00AD72EC">
        <w:rPr>
          <w:rFonts w:ascii="Times New Roman" w:eastAsia="Times New Roman" w:hAnsi="Times New Roman" w:cs="Times New Roman"/>
          <w:noProof/>
          <w:sz w:val="24"/>
          <w:szCs w:val="24"/>
          <w:lang w:eastAsia="en-GB"/>
        </w:rPr>
        <w:lastRenderedPageBreak/>
        <w:t>and The Alspac Survey Team, 1997)</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There was no paper published in 2000 and then in 2002 the number peaked to 3 papers. This can be considered relatively low but in comparison to earlier years, is a significant volume. The Top cited paper for 2002 with 20 citations, discusses the Mexican American wellbeing in relation to a few variables including a mothers’ education and poverty and immigration status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"10.1353/sof.2002.0014", "ISSN" : "0037-7732", "abstract" : "We examine the influence of the relative good health at birth in the Mexican American population on their subsequent well-being. Using the National Longitudinal Survey of Youth Child Data (NLSY-CD), we conduct a comparative analysis of child development among Mexican American, non-Hispanic black, and non-Hispanic white children ages 3 and 4 (N = 3,710). We use the Peabody Picture Vocabulary Test-Revised (PPVT-R) as our operationalization of child development. Descriptive results suggest that, unlike the relative similarity in the rates of low birth weight between the white and Mexican American populations, Mexican Americans have much lower developmental outcomes. Multivariate analysis shows that birth weight is not a powerful predictor of child development, nor does it explain pronounced racial and ethnic differences. Mother's education, poverty, and immigrant status of parents remain significantly more important in the developmental process of all children in our sample.", "author" : [ { "dropping-particle" : "", "family" : "Padilla", "given" : "Y. C.", "non-dropping-particle" : "", "parse-names" : false, "suffix" : "" }, { "dropping-particle" : "", "family" : "Boardman", "given" : "J. D.", "non-dropping-particle" : "", "parse-names" : false, "suffix" : "" }, { "dropping-particle" : "", "family" : "Hummer", "given" : "R. A.", "non-dropping-particle" : "", "parse-names" : false, "suffix" : "" }, { "dropping-particle" : "", "family" : "Espitia", "given" : "M.", "non-dropping-particle" : "", "parse-names" : false, "suffix" : "" } ], "container-title" : "Social Forces", "id" : "ITEM-1", "issue" : "3", "issued" : { "date-parts" : [ [ "2002", "3", "1" ] ] }, "page" : "1101-1123", "publisher" : "University of North Carolina Press", "title" : "Is the Mexican American &amp;quot;Epidemiologic Paradox&amp;quot; Advantage at Birth Maintained through Early Childhood?", "type" : "article-journal", "volume" : "80" }, "uris" : [ "http://www.mendeley.com/documents/?uuid=e961b9dd-e5cf-35ab-bd69-18519ccfa78e" ] } ], "mendeley" : { "formattedCitation" : "(Padilla &lt;i&gt;et al.&lt;/i&gt;, 2002)", "plainTextFormattedCitation" : "(Padilla et al., 2002)", "previouslyFormattedCitation" : "(Padilla &lt;i&gt;et al.&lt;/i&gt;, 2002)"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(Padilla </w:t>
      </w:r>
      <w:r w:rsidRPr="00AD72EC">
        <w:rPr>
          <w:rFonts w:ascii="Times New Roman" w:eastAsia="Times New Roman" w:hAnsi="Times New Roman" w:cs="Times New Roman"/>
          <w:i/>
          <w:noProof/>
          <w:sz w:val="24"/>
          <w:szCs w:val="24"/>
          <w:lang w:eastAsia="en-GB"/>
        </w:rPr>
        <w:t>et al.</w:t>
      </w:r>
      <w:r w:rsidRPr="00AD72EC">
        <w:rPr>
          <w:rFonts w:ascii="Times New Roman" w:eastAsia="Times New Roman" w:hAnsi="Times New Roman" w:cs="Times New Roman"/>
          <w:noProof/>
          <w:sz w:val="24"/>
          <w:szCs w:val="24"/>
          <w:lang w:eastAsia="en-GB"/>
        </w:rPr>
        <w:t>, 2002)</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second most cited paper with 13 citations, looks at implementing a more effective policy in order to reduce poverty and increase the wellbeing of children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"10.1002/jid.953", "ISSN" : "0954-1748", "abstract" : "Poverty Reduction Strategy Papers (PRSPs) are currently at the centre of development assistance and planning in many countries and donor agencies. As such, they are potentially of enormous significance for children living in poverty. Based on a review of PRSP documents, authors' experiences and other evidence, the paper explores the main policies of economic growth and social sector investment laid out in PRSPs and some likely implications for children's lives and equitable development. It examines how far PRSPs recognize childhood poverty as a priority, and the strategies' often limited commitments to tackle it. The paper reflects on changes in policy planning, budgeting and review processes associated with PRSPs and examines their potential to contribute to effective poverty reduction. It concludes that, to date, changes in these processes are the most significant contribution of PRSPs; while the potential for more effective policy is strong, much work is required by all involved before they are a comprehensive or strategic approach to reducing childhood poverty or securing the wellbeing of future generations. \u00a9 2002 John Wiley and Sons, Ltd.", "author" : [ { "dropping-particle" : "", "family" : "Marcus", "given" : "Rachel", "non-dropping-particle" : "", "parse-names" : false, "suffix" : "" }, { "dropping-particle" : "", "family" : "Wilkinson", "given" : "John", "non-dropping-particle" : "", "parse-names" : false, "suffix" : "" }, { "dropping-particle" : "", "family" : "Marshali", "given" : "Jenni", "non-dropping-particle" : "", "parse-names" : false, "suffix" : "" } ], "container-title" : "Journal of International Development", "id" : "ITEM-1", "issue" : "8", "issued" : { "date-parts" : [ [ "2002", "11" ] ] }, "page" : "1117-1128", "title" : "Poverty reduction strategy papers (PRSPs)?fulfilling their potential for children in poverty?", "type" : "article-journal", "volume" : "14" }, "uris" : [ "http://www.mendeley.com/documents/?uuid=ec57e4bf-f58f-3fae-afcd-81420a5c3b1e" ] } ], "mendeley" : { "formattedCitation" : "(Marcus, Wilkinson and Marshali, 2002)", "plainTextFormattedCitation" : "(Marcus, Wilkinson and Marshali, 2002)", "previouslyFormattedCitation" : "(Marcus, Wilkinson and Marshali, 2002)"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(Marcus, Wilkinson and Marshali, 2002)</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In 2004 the number dropped to 2 papers and remained at this low level until 2006 when there were 3 papers. The most cited paper during this year, cited 76 times looked at how a child’s exposure to economic poverty had an effect on the wellbeing later on in life. Not only that but the time in a child’s life also had a bearing on the wellbeing. This finding in 2006 led to papers in which there were citations as high as 216. It could be argued that this particular paper has had an influential effect on the outcomes of research in this theme although the highest citation up until this year was in 2003 and 2001 respectively. There was only one paper released during each of these years which looked at firstly the effect of childhood on the older generations in terms of different aspects of their life including wellbeing and had 159 citations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"10.1016/S0277-9536(02)00093-X", "ISSN" : "02779536", "author" : [ { "dropping-particle" : "", "family" : "Grundy", "given" : "Emily", "non-dropping-particle" : "", "parse-names" : false, "suffix" : "" }, { "dropping-particle" : "", "family" : "Sloggett", "given" : "Andy", "non-dropping-particle" : "", "parse-names" : false, "suffix" : "" } ], "container-title" : "Social Science &amp; Medicine", "id" : "ITEM-1", "issue" : "5", "issued" : { "date-parts" : [ [ "2003", "3" ] ] }, "page" : "935-947", "title" : "Health inequalities in the older population: the role of personal capital, social resources and socio-economic circumstances", "type" : "article-journal", "volume" : "56" }, "uris" : [ "http://www.mendeley.com/documents/?uuid=59f69538-fb36-3f3a-a96d-41c31347f608" ] } ], "mendeley" : { "formattedCitation" : "(Grundy and Sloggett, 2003)", "plainTextFormattedCitation" : "(Grundy and Sloggett, 2003)", "previouslyFormattedCitation" : "(Grundy and Sloggett, 2003)"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(Grundy and Sloggett, 2003)</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second paper with 132 citations, looked at the effect of a child’s wellbeing in relation to the age of their parents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"ISSN" : "00071315", "abstract" : "Childhood poverty and early parenthood are both high on the current political agenda. The key new issue that this research addresses is the relative importance of childhood poverty and of early motherhood as correlates of outcomes later in life. How far are the 'effects' of early motherhood on later outcomes due to childhood precursors, especially experience of childhood poverty? Subsidiary questions relate to the magnitude of these associations, the particular levels of childhood poverty that prove most critical, and whether, as often assumed, only teenage mothers are subsequently disadvantaged, or are those who have their first birth in their early twenties similarly disadvantaged? The source of data for this study is the National Child Development Study. We examine outcomes at age 33 for several domains of adult social exclusion: welfare, socio-economic, physical health, emotional well-being and demographic behaviour. We control for a wide range of childhood factors: poverty; social class of origin and of father; mother's and father's school leaving age; family structure; housing tenure; mother's and father's interest in education; personality attributes; performance on educational tests; and contact with the police by age 16. There are clear associations for the adult outcomes with age at first birth, even after controlling for childhood poverty and the other childhood background factors. Moreover, we demonstrate that the widest gulf in adult outcomes occurs for those who enter motherhood early (before age 23), though further reinforced by teenage motherhood for most adult outcomes. We also show that any experience of childhood poverty is clearly associated with adverse outcomes in adulthood, with reinforcement for higher levels of childhood poverty for a few outcomes.", "author" : [ { "dropping-particle" : "", "family" : "Hobcraft", "given" : "John", "non-dropping-particle" : "", "parse-names" : false, "suffix" : "" }, { "dropping-particle" : "", "family" : "Kiernan", "given" : "Kathleen", "non-dropping-particle" : "", "parse-names" : false, "suffix" : "" } ], "id" : "ITEM-1", "issue" : "3", "issued" : { "date-parts" : [ [ "2001" ] ] }, "page" : "495-517", "title" : "Childhood poverty, early motherhood and adult social exclusion", "type" : "article-journal", "volume" : "52" }, "uris" : [ "http://www.mendeley.com/documents/?uuid=5633b6ae-a56a-30d2-acd0-286310adf2a8" ] } ], "mendeley" : { "formattedCitation" : "(Hobcraft and Kiernan, 2001)", "plainTextFormattedCitation" : "(Hobcraft and Kiernan, 2001)", "previouslyFormattedCitation" : "(Hobcraft and Kiernan, 2001)"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(Hobcraft and Kiernan, 2001)</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Between 2009 and 2013, the amount of results is fairly consistent with between 5 and 8 papers a year being published. The amount of citations for these years is 70, 21 ,92,12 and 45 respectively. </w:t>
      </w:r>
      <w:r w:rsidRPr="00AD72EC">
        <w:rPr>
          <w:rFonts w:ascii="Times New Roman" w:eastAsia="Times New Roman" w:hAnsi="Times New Roman" w:cs="Times New Roman"/>
          <w:color w:val="FF0000"/>
          <w:sz w:val="24"/>
          <w:szCs w:val="24"/>
          <w:lang w:eastAsia="en-GB"/>
        </w:rPr>
        <w:t xml:space="preserve">The most cited work in 2009 relates to a continuation of earlier work undertaken in 2008 by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"10.1111/j.1468-4446.2008.00219.x", "ISSN" : "00071315", "abstract" : "This study uses data from the UK Millennium Cohort Study to examine the extent to which economic circumstances in infancy and mother's mental well-being are associated with children's cognitive development and behaviour problems at age 3 years, and what part parenting behaviours and attitudes play in mediating these factors. The analyses derived from Structural Equation Modelling show that economic deprivation and maternal depression separately and collectively diminish the cognitive and emotional well-being of children, and part of this diminution emanates from less nurturing and engaged parenting by those with less economic and emotional resources. \u00a9 London School of Economics and Political Science 2008.", "author" : [ { "dropping-particle" : "", "family" : "Kiernan", "given" : "Kathleen E.", "non-dropping-particle" : "", "parse-names" : false, "suffix" : "" }, { "dropping-particle" : "", "family" : "Huerta", "given" : "M. Carmen", "non-dropping-particle" : "", "parse-names" : false, "suffix" : "" } ], "container-title" : "The British Journal of Sociology", "id" : "ITEM-1", "issue" : "4", "issued" : { "date-parts" : [ [ "2008", "11", "25" ] ] }, "page" : "783-806", "title" : "Economic deprivation, maternal depression, parenting and children's cognitive and emotional development in early childhood1", "type" : "article-journal", "volume" : "59" }, "uris" : [ "http://www.mendeley.com/documents/?uuid=c7893798-9828-32ae-9b4f-fdb5fbfcf247" ] } ], "mendeley" : { "formattedCitation" : "(Kiernan and Huerta, 2008)", "plainTextFormattedCitation" : "(Kiernan and Huerta, 2008)", "previouslyFormattedCitation" : "(Kiernan and Huerta, 2008)"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(Kiernan and Huerta, 2008)</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Their work in 2009 involves the use of maternal depressions and poverty but also build upon that work and looks at family status amongst other items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"10.1017/S0047279409003250", "ISSN" : "00472794", "abstract" : "Improving children's lives is high on the UK policy agenda. In this study for a recent birth cohort of UK children we examine how three aspects of parental resources - income, mother's mental well-being and family status - in early childhood enhance or compromise their children's cognitive and behavioural development. As well as examining how these three aspects of parental resources separately and jointly affect children's well-being, we also enquire whether persistent poverty or persistent maternal depression are more deleterious for children's current well-being than periodic episodes of poverty and depression. We find strong associations between poverty and young children's intellectual and behavioural development, and persistent poverty was found to be particularly important in relation to children's cognitive development. Maternal depression (net of other factors) was more weakly related to cognitive development but strongly related to whether children were exhibiting behaviour problems, and persistent depression amplified the situation. Family status, net of other factors (most noticeably poverty), was only weakly associated with children's development. \u00a9 2009 Cambridge University Press.", "author" : [ { "dropping-particle" : "", "family" : "Kiernan", "given" : "Kathleen E.", "non-dropping-particle" : "", "parse-names" : false, "suffix" : "" }, { "dropping-particle" : "", "family" : "Mensah", "given" : "Fiona K.", "non-dropping-particle" : "", "parse-names" : false, "suffix" : "" } ], "container-title" : "Journal of Social Policy", "id" : "ITEM-1", "issue" : "4", "issued" : { "date-parts" : [ [ "2009", "10", "27" ] ] }, "page" : "569-588", "title" : "Poverty, maternal depression, family status and children's cognitive and behavioural development in early childhood: A longitudinal study", "type" : "article-journal", "volume" : "38" }, "uris" : [ "http://www.mendeley.com/documents/?uuid=a15f082e-4a9a-3b2f-85cc-2dc4d73d29cd" ] } ], "mendeley" : { "formattedCitation" : "(Kiernan and Mensah, 2009)", "plainTextFormattedCitation" : "(Kiernan and Mensah, 2009)", "previouslyFormattedCitation" : "(Kiernan and Mensah, 2009)"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(Kiernan and Mensah, 2009)</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The journal used in 2009 is also a different one to the earlier one that they </w:t>
      </w:r>
      <w:r w:rsidRPr="00AD72EC">
        <w:rPr>
          <w:rFonts w:ascii="Times New Roman" w:eastAsia="Times New Roman" w:hAnsi="Times New Roman" w:cs="Times New Roman"/>
          <w:sz w:val="24"/>
          <w:szCs w:val="24"/>
          <w:lang w:eastAsia="en-GB"/>
        </w:rPr>
        <w:lastRenderedPageBreak/>
        <w:t>published in: Journal of social policy in 2009 compared to the British Journal of sociology in 2008.It is worth noting that the impact ratings of these 2 Journals has not been analysed. The Highest citations for 2010 was only 21 and relates to a paper which looks at child harm and homelessness and the effect that it has on the child educational welling. In 2011, there was a paper about how early intervention by government money had a positive influence in a children’s outcome up to age 26</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"10.1111/j.1467-8624.2010.01563.x", "ISSN" : "00093920", "abstract" : "Using data collected up to age 26 in the Chicago Longitudinal Study, this cost-benefit analysis of the Child-Parent Centers (CPC) is the first for a sustained publicly funded early intervention. The program provides services for low-income families beginning at age 3 in 20 school sites. Kindergarten and school-age services are provided up to age 9 (third grade). Findings from a complete cohort of over 1,400 program and comparison group participants indicated that the CPCs had economic benefits in 2007 dollars that exceeded costs. The preschool program provided a total return to society of $10.83 per dollar invested (18% annual return). The primary sources of benefits were increased earnings and tax revenues and averted criminal justice system costs. The school-age program had a societal return of $3.97 per dollar invested (10% annual return). The extended intervention program (4-6 years) had a societal return of $8.24 (18% annual return). Estimates were robust across a wide range of analyses including Monte Carlo simulations. Males, 1-year preschool participants, and children from higher risk families derived greater benefits. Findings provide strong evidence that sustained programs can contribute to well-being for individuals and society. \u00a9 2011 The Authors. Child Development \u00a9 2011 Society for Research in Child Development, Inc.", "author" : [ { "dropping-particle" : "", "family" : "Reynolds", "given" : "Arthur J.", "non-dropping-particle" : "", "parse-names" : false, "suffix" : "" }, { "dropping-particle" : "", "family" : "Temple", "given" : "Judy A.", "non-dropping-particle" : "", "parse-names" : false, "suffix" : "" }, { "dropping-particle" : "", "family" : "White", "given" : "Barry A. B.", "non-dropping-particle" : "", "parse-names" : false, "suffix" : "" }, { "dropping-particle" : "", "family" : "Ou", "given" : "Suh-Ruu", "non-dropping-particle" : "", "parse-names" : false, "suffix" : "" }, { "dropping-particle" : "", "family" : "Robertson", "given" : "Dylan L.", "non-dropping-particle" : "", "parse-names" : false, "suffix" : "" } ], "container-title" : "Child Development", "id" : "ITEM-1", "issue" : "1", "issued" : { "date-parts" : [ [ "2011", "1" ] ] }, "page" : "379-404", "title" : "Age 26 Cost-Benefit Analysis of the Child-Parent Center Early Education Program", "type" : "article-journal", "volume" : "82" }, "uris" : [ "http://www.mendeley.com/documents/?uuid=5ee1b83f-7a8a-3d2f-bc74-0f7358ad2564", "http://www.mendeley.com/documents/?uuid=f9a8b421-0053-4d65-98e6-2be4ba4769a1" ] } ], "mendeley" : { "formattedCitation" : "(Reynolds &lt;i&gt;et al.&lt;/i&gt;, 2011)", "plainTextFormattedCitation" : "(Reynolds et al., 2011)", "previouslyFormattedCitation" : "(Reynolds &lt;i&gt;et al.&lt;/i&gt;, 2011)"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(Reynolds </w:t>
      </w:r>
      <w:r w:rsidRPr="00AD72EC">
        <w:rPr>
          <w:rFonts w:ascii="Times New Roman" w:eastAsia="Times New Roman" w:hAnsi="Times New Roman" w:cs="Times New Roman"/>
          <w:i/>
          <w:noProof/>
          <w:sz w:val="24"/>
          <w:szCs w:val="24"/>
          <w:lang w:eastAsia="en-GB"/>
        </w:rPr>
        <w:t>et al.</w:t>
      </w:r>
      <w:r w:rsidRPr="00AD72EC">
        <w:rPr>
          <w:rFonts w:ascii="Times New Roman" w:eastAsia="Times New Roman" w:hAnsi="Times New Roman" w:cs="Times New Roman"/>
          <w:noProof/>
          <w:sz w:val="24"/>
          <w:szCs w:val="24"/>
          <w:lang w:eastAsia="en-GB"/>
        </w:rPr>
        <w:t>, 2011)</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It has been cited by 92 other papers. One of the reasons that it was so popular is that it appears to be the first paper which takes a longitudinal study on this theme and produces a monetary value showing the positive outcomes that can be had. In 2012 although there were 8 papers returned in the search, the highest citation was only 35. This paper looked at the role the early childhood poverty has on an adult’s wellbeing. It also tried to correlate the date to look at the effect on poverty and earnings of an adult and showed that if a child has poverty then their later life may also be in poverty. One reason for the low citations may be that there has been other work which has already made the link between childhood poverty and adult poverty. The novel idea in this paper is that they added other factors such as “Out-of-wedlock” childbearing and tried to find a correlation </w:t>
      </w:r>
      <w:r w:rsidRPr="00AD72EC">
        <w:rPr>
          <w:rFonts w:ascii="Times New Roman" w:eastAsia="Times New Roman" w:hAnsi="Times New Roman" w:cs="Times New Roman"/>
          <w:sz w:val="24"/>
          <w:szCs w:val="24"/>
          <w:lang w:eastAsia="en-GB"/>
        </w:rPr>
        <w:fldChar w:fldCharType="begin" w:fldLock="1"/>
      </w:r>
      <w:r w:rsidRPr="00AD72EC">
        <w:rPr>
          <w:rFonts w:ascii="Times New Roman" w:eastAsia="Times New Roman" w:hAnsi="Times New Roman" w:cs="Times New Roman"/>
          <w:sz w:val="24"/>
          <w:szCs w:val="24"/>
          <w:lang w:eastAsia="en-GB"/>
        </w:rPr>
        <w:instrText>ADDIN CSL_CITATION { "citationItems" : [ { "id" : "ITEM-1", "itemData" : { "DOI" : "10.1007/s11205-011-9867-9", "ISSN" : "0303-8300", "abstract" : "Most poor children achieve less, exhibit more problem behaviors and are less healthy than children reared in more affluent families. We look beyond correlations such as these to a recent set of studies that attempt to assess the causal impact of childhood poverty on adult well-being. We pay particular attention to the potentially harmful effects of poverty early in childhood on adult labor market success (as measured by earnings), but also show results for other outcomes, including out-of-wedlock childbearing, criminal arrests and health status. Evidence suggests that early poverty has substantial detrimental effects on adult earnings and work hours, but on neither general adult health nor such behavioral outcomes as out-of-wedlock childbearing and arrests. We discuss implications for indicators tracking child well-being as well as policies designed to promote the well-being of children. \u00a9 2011 Springer Science+Business Media B.V.", "author" : [ { "dropping-particle" : "", "family" : "Duncan", "given" : "Greg J.", "non-dropping-particle" : "", "parse-names" : false, "suffix" : "" }, { "dropping-particle" : "", "family" : "Magnuson", "given" : "Katherine", "non-dropping-particle" : "", "parse-names" : false, "suffix" : "" }, { "dropping-particle" : "", "family" : "Kalil", "given" : "Ariel", "non-dropping-particle" : "", "parse-names" : false, "suffix" : "" }, { "dropping-particle" : "", "family" : "Ziol-Guest", "given" : "Kathleen", "non-dropping-particle" : "", "parse-names" : false, "suffix" : "" } ], "container-title" : "Social Indicators Research", "id" : "ITEM-1", "issue" : "1", "issued" : { "date-parts" : [ [ "2012", "8" ] ] }, "page" : "87-98", "title" : "The Importance of Early Childhood Poverty", "type" : "article-journal", "volume" : "108" }, "uris" : [ "http://www.mendeley.com/documents/?uuid=870e456a-1630-3666-89d9-20a569abb799", "http://www.mendeley.com/documents/?uuid=0151d95f-37f3-4362-ac85-141c3c27d202" ] } ], "mendeley" : { "formattedCitation" : "(Duncan &lt;i&gt;et al.&lt;/i&gt;, 2012)", "plainTextFormattedCitation" : "(Duncan et al., 2012)", "previouslyFormattedCitation" : "(Duncan &lt;i&gt;et al.&lt;/i&gt;, 2012)" }, "properties" : { "noteIndex" : 0 }, "schema" : "https://github.com/citation-style-language/schema/raw/master/csl-citation.json" }</w:instrText>
      </w:r>
      <w:r w:rsidRPr="00AD72EC">
        <w:rPr>
          <w:rFonts w:ascii="Times New Roman" w:eastAsia="Times New Roman" w:hAnsi="Times New Roman" w:cs="Times New Roman"/>
          <w:sz w:val="24"/>
          <w:szCs w:val="24"/>
          <w:lang w:eastAsia="en-GB"/>
        </w:rPr>
        <w:fldChar w:fldCharType="separate"/>
      </w:r>
      <w:r w:rsidRPr="00AD72EC">
        <w:rPr>
          <w:rFonts w:ascii="Times New Roman" w:eastAsia="Times New Roman" w:hAnsi="Times New Roman" w:cs="Times New Roman"/>
          <w:noProof/>
          <w:sz w:val="24"/>
          <w:szCs w:val="24"/>
          <w:lang w:eastAsia="en-GB"/>
        </w:rPr>
        <w:t xml:space="preserve">(Duncan </w:t>
      </w:r>
      <w:r w:rsidRPr="00AD72EC">
        <w:rPr>
          <w:rFonts w:ascii="Times New Roman" w:eastAsia="Times New Roman" w:hAnsi="Times New Roman" w:cs="Times New Roman"/>
          <w:i/>
          <w:noProof/>
          <w:sz w:val="24"/>
          <w:szCs w:val="24"/>
          <w:lang w:eastAsia="en-GB"/>
        </w:rPr>
        <w:t>et al.</w:t>
      </w:r>
      <w:r w:rsidRPr="00AD72EC">
        <w:rPr>
          <w:rFonts w:ascii="Times New Roman" w:eastAsia="Times New Roman" w:hAnsi="Times New Roman" w:cs="Times New Roman"/>
          <w:noProof/>
          <w:sz w:val="24"/>
          <w:szCs w:val="24"/>
          <w:lang w:eastAsia="en-GB"/>
        </w:rPr>
        <w:t>, 2012)</w:t>
      </w:r>
      <w:r w:rsidRPr="00AD72EC">
        <w:rPr>
          <w:rFonts w:ascii="Times New Roman" w:eastAsia="Times New Roman" w:hAnsi="Times New Roman" w:cs="Times New Roman"/>
          <w:sz w:val="24"/>
          <w:szCs w:val="24"/>
          <w:lang w:eastAsia="en-GB"/>
        </w:rPr>
        <w:fldChar w:fldCharType="end"/>
      </w:r>
      <w:r w:rsidRPr="00AD72EC">
        <w:rPr>
          <w:rFonts w:ascii="Times New Roman" w:eastAsia="Times New Roman" w:hAnsi="Times New Roman" w:cs="Times New Roman"/>
          <w:sz w:val="24"/>
          <w:szCs w:val="24"/>
          <w:lang w:eastAsia="en-GB"/>
        </w:rPr>
        <w:t xml:space="preserve">.  During 2014, there was a substantial increase in results when compared to previous years. The total number of results returned was 14, which was 50% higher than the previous year. </w:t>
      </w:r>
    </w:p>
    <w:p w14:paraId="44D60A76" w14:textId="77777777" w:rsidR="00AD72EC" w:rsidRPr="00AD72EC" w:rsidRDefault="00AD72EC" w:rsidP="00AD72EC">
      <w:pPr>
        <w:spacing w:after="0" w:line="240" w:lineRule="auto"/>
        <w:ind w:left="360"/>
        <w:jc w:val="both"/>
        <w:rPr>
          <w:rFonts w:ascii="Times New Roman" w:eastAsia="Times New Roman" w:hAnsi="Times New Roman" w:cs="Times New Roman"/>
          <w:sz w:val="24"/>
          <w:szCs w:val="24"/>
          <w:lang w:eastAsia="en-GB"/>
        </w:rPr>
      </w:pPr>
    </w:p>
    <w:p w14:paraId="625C2CEA" w14:textId="77777777" w:rsidR="00AD72EC" w:rsidRPr="00AD72EC" w:rsidRDefault="00AD72EC" w:rsidP="00AD72EC">
      <w:pPr>
        <w:numPr>
          <w:ilvl w:val="1"/>
          <w:numId w:val="1"/>
        </w:numPr>
        <w:spacing w:after="0" w:line="480" w:lineRule="auto"/>
        <w:outlineLvl w:val="1"/>
        <w:rPr>
          <w:rFonts w:ascii="Times New Roman" w:eastAsia="Times New Roman" w:hAnsi="Times New Roman" w:cs="Times New Roman"/>
          <w:b/>
          <w:sz w:val="24"/>
          <w:szCs w:val="24"/>
          <w:lang w:eastAsia="en-GB"/>
        </w:rPr>
      </w:pPr>
      <w:bookmarkStart w:id="44" w:name="_Toc512623107"/>
      <w:bookmarkStart w:id="45" w:name="_Toc512623459"/>
      <w:bookmarkStart w:id="46" w:name="_Toc513062333"/>
      <w:r w:rsidRPr="00AD72EC">
        <w:rPr>
          <w:rFonts w:ascii="Times New Roman" w:eastAsia="Times New Roman" w:hAnsi="Times New Roman" w:cs="Times New Roman"/>
          <w:b/>
          <w:sz w:val="24"/>
          <w:szCs w:val="24"/>
          <w:lang w:eastAsia="en-GB"/>
        </w:rPr>
        <w:t>Conclusion</w:t>
      </w:r>
      <w:bookmarkEnd w:id="44"/>
      <w:bookmarkEnd w:id="45"/>
      <w:bookmarkEnd w:id="46"/>
    </w:p>
    <w:p w14:paraId="0533FFA7" w14:textId="77777777" w:rsidR="00AD72EC" w:rsidRPr="00AD72EC" w:rsidRDefault="00AD72EC" w:rsidP="00AD72EC">
      <w:pPr>
        <w:spacing w:after="0" w:line="480" w:lineRule="auto"/>
        <w:ind w:left="360"/>
        <w:outlineLvl w:val="1"/>
        <w:rPr>
          <w:rFonts w:ascii="Times New Roman" w:eastAsia="Times New Roman" w:hAnsi="Times New Roman" w:cs="Times New Roman"/>
          <w:b/>
          <w:sz w:val="24"/>
          <w:szCs w:val="24"/>
          <w:lang w:eastAsia="en-GB"/>
        </w:rPr>
      </w:pPr>
    </w:p>
    <w:p w14:paraId="36E359B3"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Theme 1 shows that there is a general trend of first recognising poverty in literature in 1967 to developing themes around poverty around the 1990’s through to there being many different themes in today’s research. There has a been a general upwards trend in the amount of papers produced since this time. </w:t>
      </w:r>
    </w:p>
    <w:p w14:paraId="4AF4EC10"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3110F8F5"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lastRenderedPageBreak/>
        <w:t xml:space="preserve">Theme 2 shows that there is a general trend of first recognising wellbeing in literature in 1978 to developing key themes around 2000 through to there being many different themes in today’s research. This is shown by the fact that the top citations occurred between 200 and 2004. There has been a general upwards trend in publications since this time. </w:t>
      </w:r>
    </w:p>
    <w:p w14:paraId="732B8BFE"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p>
    <w:p w14:paraId="68A689EE" w14:textId="77777777" w:rsidR="00AD72EC" w:rsidRPr="00AD72EC" w:rsidRDefault="00AD72EC" w:rsidP="00AD72EC">
      <w:pPr>
        <w:spacing w:after="0" w:line="480" w:lineRule="auto"/>
        <w:ind w:left="360"/>
        <w:jc w:val="both"/>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 xml:space="preserve">Theme 3 shows there is at present a very slow upwards trend involving both poverty and wellbeing in children with the first time being in 1986. </w:t>
      </w:r>
    </w:p>
    <w:p w14:paraId="580656A3" w14:textId="77777777" w:rsidR="00AD72EC" w:rsidRPr="00AD72EC" w:rsidRDefault="00AD72EC" w:rsidP="00AD72EC">
      <w:pPr>
        <w:spacing w:after="0" w:line="480" w:lineRule="auto"/>
        <w:rPr>
          <w:rFonts w:ascii="Times New Roman" w:eastAsia="Times New Roman" w:hAnsi="Times New Roman" w:cs="Times New Roman"/>
          <w:sz w:val="24"/>
          <w:szCs w:val="24"/>
          <w:lang w:eastAsia="en-GB"/>
        </w:rPr>
      </w:pPr>
    </w:p>
    <w:p w14:paraId="063689A1" w14:textId="77777777" w:rsidR="00AD72EC" w:rsidRPr="00AD72EC" w:rsidRDefault="00AD72EC" w:rsidP="00AD72EC">
      <w:pPr>
        <w:spacing w:after="0" w:line="480" w:lineRule="auto"/>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ab/>
      </w:r>
    </w:p>
    <w:p w14:paraId="754A93DE" w14:textId="77777777" w:rsidR="00AD72EC" w:rsidRPr="00AD72EC" w:rsidRDefault="00AD72EC" w:rsidP="00AD72EC">
      <w:pPr>
        <w:numPr>
          <w:ilvl w:val="0"/>
          <w:numId w:val="1"/>
        </w:numPr>
        <w:spacing w:after="0" w:line="480" w:lineRule="auto"/>
        <w:outlineLvl w:val="0"/>
        <w:rPr>
          <w:rFonts w:ascii="Times New Roman" w:eastAsia="Times New Roman" w:hAnsi="Times New Roman" w:cs="Times New Roman"/>
          <w:b/>
          <w:sz w:val="24"/>
          <w:szCs w:val="24"/>
          <w:lang w:eastAsia="en-GB"/>
        </w:rPr>
      </w:pPr>
      <w:bookmarkStart w:id="47" w:name="_GoBack"/>
      <w:bookmarkEnd w:id="47"/>
      <w:r w:rsidRPr="00AD72EC">
        <w:rPr>
          <w:rFonts w:ascii="Times New Roman" w:eastAsia="Times New Roman" w:hAnsi="Times New Roman" w:cs="Times New Roman"/>
          <w:b/>
          <w:sz w:val="24"/>
          <w:szCs w:val="24"/>
          <w:lang w:eastAsia="en-GB"/>
        </w:rPr>
        <w:br w:type="page"/>
      </w:r>
      <w:bookmarkStart w:id="48" w:name="_Toc512623108"/>
      <w:bookmarkStart w:id="49" w:name="_Toc512623460"/>
      <w:bookmarkStart w:id="50" w:name="_Toc513062334"/>
      <w:r w:rsidRPr="00AD72EC">
        <w:rPr>
          <w:rFonts w:ascii="Times New Roman" w:eastAsia="Times New Roman" w:hAnsi="Times New Roman" w:cs="Times New Roman"/>
          <w:b/>
          <w:sz w:val="24"/>
          <w:szCs w:val="24"/>
          <w:lang w:eastAsia="en-GB"/>
        </w:rPr>
        <w:lastRenderedPageBreak/>
        <w:t>CONCLUSION AND RECOMMENDATIONS</w:t>
      </w:r>
      <w:bookmarkEnd w:id="48"/>
      <w:bookmarkEnd w:id="49"/>
      <w:bookmarkEnd w:id="50"/>
      <w:r w:rsidRPr="00AD72EC">
        <w:rPr>
          <w:rFonts w:ascii="Times New Roman" w:eastAsia="Times New Roman" w:hAnsi="Times New Roman" w:cs="Times New Roman"/>
          <w:b/>
          <w:sz w:val="24"/>
          <w:szCs w:val="24"/>
          <w:lang w:eastAsia="en-GB"/>
        </w:rPr>
        <w:t xml:space="preserve"> </w:t>
      </w:r>
    </w:p>
    <w:p w14:paraId="49179632" w14:textId="77777777" w:rsidR="00AD72EC" w:rsidRPr="00AD72EC" w:rsidRDefault="00AD72EC" w:rsidP="00AD72EC">
      <w:pPr>
        <w:spacing w:after="0" w:line="480" w:lineRule="auto"/>
        <w:rPr>
          <w:rFonts w:ascii="Times New Roman" w:eastAsia="Times New Roman" w:hAnsi="Times New Roman" w:cs="Times New Roman"/>
          <w:sz w:val="24"/>
          <w:szCs w:val="24"/>
          <w:lang w:eastAsia="en-GB"/>
        </w:rPr>
      </w:pPr>
      <w:r w:rsidRPr="00AD72EC">
        <w:rPr>
          <w:rFonts w:ascii="Times New Roman" w:eastAsia="Times New Roman" w:hAnsi="Times New Roman" w:cs="Times New Roman"/>
          <w:sz w:val="24"/>
          <w:szCs w:val="24"/>
          <w:lang w:eastAsia="en-GB"/>
        </w:rPr>
        <w:t>General overview of methods to be used and comments plus possible other research that may be needed.</w:t>
      </w:r>
    </w:p>
    <w:p w14:paraId="137B8C84" w14:textId="77777777" w:rsidR="00F66CFD" w:rsidRDefault="00F66CFD"/>
    <w:sectPr w:rsidR="00F66C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3696" w:hanging="720"/>
      </w:pPr>
      <w:rPr>
        <w:rFonts w:hint="default"/>
      </w:rPr>
    </w:lvl>
    <w:lvl w:ilvl="1" w:tplc="08090019" w:tentative="1">
      <w:start w:val="1"/>
      <w:numFmt w:val="lowerLetter"/>
      <w:lvlText w:val="%2."/>
      <w:lvlJc w:val="left"/>
      <w:pPr>
        <w:ind w:left="4056" w:hanging="360"/>
      </w:pPr>
    </w:lvl>
    <w:lvl w:ilvl="2" w:tplc="0809001B" w:tentative="1">
      <w:start w:val="1"/>
      <w:numFmt w:val="lowerRoman"/>
      <w:lvlText w:val="%3."/>
      <w:lvlJc w:val="right"/>
      <w:pPr>
        <w:ind w:left="4776" w:hanging="180"/>
      </w:pPr>
    </w:lvl>
    <w:lvl w:ilvl="3" w:tplc="0809000F" w:tentative="1">
      <w:start w:val="1"/>
      <w:numFmt w:val="decimal"/>
      <w:lvlText w:val="%4."/>
      <w:lvlJc w:val="left"/>
      <w:pPr>
        <w:ind w:left="5496" w:hanging="360"/>
      </w:pPr>
    </w:lvl>
    <w:lvl w:ilvl="4" w:tplc="08090019" w:tentative="1">
      <w:start w:val="1"/>
      <w:numFmt w:val="lowerLetter"/>
      <w:lvlText w:val="%5."/>
      <w:lvlJc w:val="left"/>
      <w:pPr>
        <w:ind w:left="6216" w:hanging="360"/>
      </w:pPr>
    </w:lvl>
    <w:lvl w:ilvl="5" w:tplc="0809001B" w:tentative="1">
      <w:start w:val="1"/>
      <w:numFmt w:val="lowerRoman"/>
      <w:lvlText w:val="%6."/>
      <w:lvlJc w:val="right"/>
      <w:pPr>
        <w:ind w:left="6936" w:hanging="180"/>
      </w:pPr>
    </w:lvl>
    <w:lvl w:ilvl="6" w:tplc="0809000F" w:tentative="1">
      <w:start w:val="1"/>
      <w:numFmt w:val="decimal"/>
      <w:lvlText w:val="%7."/>
      <w:lvlJc w:val="left"/>
      <w:pPr>
        <w:ind w:left="7656" w:hanging="360"/>
      </w:pPr>
    </w:lvl>
    <w:lvl w:ilvl="7" w:tplc="08090019" w:tentative="1">
      <w:start w:val="1"/>
      <w:numFmt w:val="lowerLetter"/>
      <w:lvlText w:val="%8."/>
      <w:lvlJc w:val="left"/>
      <w:pPr>
        <w:ind w:left="8376" w:hanging="360"/>
      </w:pPr>
    </w:lvl>
    <w:lvl w:ilvl="8" w:tplc="0809001B" w:tentative="1">
      <w:start w:val="1"/>
      <w:numFmt w:val="lowerRoman"/>
      <w:lvlText w:val="%9."/>
      <w:lvlJc w:val="right"/>
      <w:pPr>
        <w:ind w:left="9096"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15CA3"/>
    <w:multiLevelType w:val="hybridMultilevel"/>
    <w:tmpl w:val="218AFB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F860999"/>
    <w:multiLevelType w:val="hybridMultilevel"/>
    <w:tmpl w:val="A30218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3"/>
  </w:num>
  <w:num w:numId="3">
    <w:abstractNumId w:val="25"/>
  </w:num>
  <w:num w:numId="4">
    <w:abstractNumId w:val="11"/>
  </w:num>
  <w:num w:numId="5">
    <w:abstractNumId w:val="19"/>
  </w:num>
  <w:num w:numId="6">
    <w:abstractNumId w:val="4"/>
  </w:num>
  <w:num w:numId="7">
    <w:abstractNumId w:val="24"/>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9"/>
  </w:num>
  <w:num w:numId="13">
    <w:abstractNumId w:val="10"/>
  </w:num>
  <w:num w:numId="14">
    <w:abstractNumId w:val="22"/>
  </w:num>
  <w:num w:numId="15">
    <w:abstractNumId w:val="20"/>
  </w:num>
  <w:num w:numId="16">
    <w:abstractNumId w:val="21"/>
  </w:num>
  <w:num w:numId="17">
    <w:abstractNumId w:val="0"/>
  </w:num>
  <w:num w:numId="18">
    <w:abstractNumId w:val="7"/>
  </w:num>
  <w:num w:numId="19">
    <w:abstractNumId w:val="8"/>
  </w:num>
  <w:num w:numId="20">
    <w:abstractNumId w:val="12"/>
  </w:num>
  <w:num w:numId="21">
    <w:abstractNumId w:val="13"/>
  </w:num>
  <w:num w:numId="22">
    <w:abstractNumId w:val="23"/>
  </w:num>
  <w:num w:numId="23">
    <w:abstractNumId w:val="6"/>
  </w:num>
  <w:num w:numId="24">
    <w:abstractNumId w:val="14"/>
  </w:num>
  <w:num w:numId="25">
    <w:abstractNumId w:val="17"/>
  </w:num>
  <w:num w:numId="26">
    <w:abstractNumId w:val="1"/>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2EC"/>
    <w:rsid w:val="00AD72EC"/>
    <w:rsid w:val="00F66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126D3"/>
  <w15:chartTrackingRefBased/>
  <w15:docId w15:val="{E549C8E3-AC76-40B5-93C0-D05152980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D72EC"/>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paragraph" w:styleId="Heading3">
    <w:name w:val="heading 3"/>
    <w:basedOn w:val="Normal"/>
    <w:next w:val="Normal"/>
    <w:link w:val="Heading3Char"/>
    <w:uiPriority w:val="9"/>
    <w:semiHidden/>
    <w:unhideWhenUsed/>
    <w:qFormat/>
    <w:rsid w:val="00AD72EC"/>
    <w:pPr>
      <w:keepNext/>
      <w:spacing w:before="240" w:after="60" w:line="240" w:lineRule="auto"/>
      <w:outlineLvl w:val="2"/>
    </w:pPr>
    <w:rPr>
      <w:rFonts w:ascii="Cambria" w:eastAsia="Times New Roman" w:hAnsi="Cambria" w:cs="Times New Roman"/>
      <w:b/>
      <w:bCs/>
      <w:sz w:val="26"/>
      <w:szCs w:val="26"/>
      <w:lang w:eastAsia="en-GB"/>
    </w:rPr>
  </w:style>
  <w:style w:type="paragraph" w:styleId="Heading4">
    <w:name w:val="heading 4"/>
    <w:basedOn w:val="Normal"/>
    <w:next w:val="Normal"/>
    <w:link w:val="Heading4Char"/>
    <w:uiPriority w:val="99"/>
    <w:qFormat/>
    <w:rsid w:val="00AD72E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D72EC"/>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AD72EC"/>
    <w:rPr>
      <w:rFonts w:ascii="Cambria" w:eastAsia="Times New Roman" w:hAnsi="Cambria" w:cs="Times New Roman"/>
      <w:b/>
      <w:bCs/>
      <w:sz w:val="26"/>
      <w:szCs w:val="26"/>
      <w:lang w:eastAsia="en-GB"/>
    </w:rPr>
  </w:style>
  <w:style w:type="character" w:customStyle="1" w:styleId="Heading4Char">
    <w:name w:val="Heading 4 Char"/>
    <w:basedOn w:val="DefaultParagraphFont"/>
    <w:link w:val="Heading4"/>
    <w:uiPriority w:val="99"/>
    <w:rsid w:val="00AD72EC"/>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AD72EC"/>
  </w:style>
  <w:style w:type="paragraph" w:styleId="BalloonText">
    <w:name w:val="Balloon Text"/>
    <w:basedOn w:val="Normal"/>
    <w:link w:val="BalloonTextChar"/>
    <w:uiPriority w:val="99"/>
    <w:semiHidden/>
    <w:rsid w:val="00AD72EC"/>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AD72EC"/>
    <w:rPr>
      <w:rFonts w:ascii="Tahoma" w:eastAsia="Times New Roman" w:hAnsi="Tahoma" w:cs="Tahoma"/>
      <w:sz w:val="16"/>
      <w:szCs w:val="16"/>
      <w:lang w:eastAsia="en-GB"/>
    </w:rPr>
  </w:style>
  <w:style w:type="paragraph" w:styleId="TOC1">
    <w:name w:val="toc 1"/>
    <w:basedOn w:val="Normal"/>
    <w:next w:val="Normal"/>
    <w:autoRedefine/>
    <w:uiPriority w:val="39"/>
    <w:rsid w:val="00AD72EC"/>
    <w:pPr>
      <w:spacing w:after="0" w:line="240" w:lineRule="auto"/>
    </w:pPr>
    <w:rPr>
      <w:rFonts w:ascii="Times New Roman" w:eastAsia="Times New Roman" w:hAnsi="Times New Roman" w:cs="Times New Roman"/>
      <w:sz w:val="24"/>
      <w:szCs w:val="24"/>
      <w:lang w:eastAsia="en-GB"/>
    </w:rPr>
  </w:style>
  <w:style w:type="character" w:styleId="Hyperlink">
    <w:name w:val="Hyperlink"/>
    <w:uiPriority w:val="99"/>
    <w:rsid w:val="00AD72EC"/>
    <w:rPr>
      <w:color w:val="0000FF"/>
      <w:u w:val="single"/>
    </w:rPr>
  </w:style>
  <w:style w:type="paragraph" w:styleId="TOC2">
    <w:name w:val="toc 2"/>
    <w:basedOn w:val="Normal"/>
    <w:next w:val="Normal"/>
    <w:autoRedefine/>
    <w:uiPriority w:val="39"/>
    <w:rsid w:val="00AD72EC"/>
    <w:pPr>
      <w:spacing w:after="0" w:line="240" w:lineRule="auto"/>
      <w:ind w:left="240"/>
    </w:pPr>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AD72EC"/>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AD72EC"/>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D72EC"/>
  </w:style>
  <w:style w:type="paragraph" w:styleId="FootnoteText">
    <w:name w:val="footnote text"/>
    <w:basedOn w:val="Normal"/>
    <w:link w:val="FootnoteTextChar"/>
    <w:uiPriority w:val="99"/>
    <w:semiHidden/>
    <w:unhideWhenUsed/>
    <w:rsid w:val="00AD72EC"/>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AD72EC"/>
    <w:rPr>
      <w:rFonts w:ascii="Calibri" w:eastAsia="Calibri" w:hAnsi="Calibri" w:cs="Times New Roman"/>
      <w:sz w:val="20"/>
      <w:szCs w:val="20"/>
    </w:rPr>
  </w:style>
  <w:style w:type="character" w:styleId="FootnoteReference">
    <w:name w:val="footnote reference"/>
    <w:uiPriority w:val="99"/>
    <w:semiHidden/>
    <w:unhideWhenUsed/>
    <w:rsid w:val="00AD72EC"/>
    <w:rPr>
      <w:vertAlign w:val="superscript"/>
    </w:rPr>
  </w:style>
  <w:style w:type="table" w:styleId="TableGrid">
    <w:name w:val="Table Grid"/>
    <w:basedOn w:val="TableNormal"/>
    <w:uiPriority w:val="59"/>
    <w:rsid w:val="00AD72E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D72EC"/>
    <w:pPr>
      <w:spacing w:after="0" w:line="240" w:lineRule="auto"/>
      <w:ind w:left="480"/>
    </w:pPr>
    <w:rPr>
      <w:rFonts w:ascii="Times New Roman" w:eastAsia="Times New Roman" w:hAnsi="Times New Roman" w:cs="Times New Roman"/>
      <w:sz w:val="24"/>
      <w:szCs w:val="24"/>
      <w:lang w:eastAsia="en-GB"/>
    </w:rPr>
  </w:style>
  <w:style w:type="paragraph" w:styleId="NoSpacing">
    <w:name w:val="No Spacing"/>
    <w:uiPriority w:val="1"/>
    <w:qFormat/>
    <w:rsid w:val="00AD72EC"/>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D72EC"/>
    <w:pPr>
      <w:spacing w:after="0" w:line="240" w:lineRule="auto"/>
      <w:ind w:left="720"/>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AD72EC"/>
    <w:pPr>
      <w:spacing w:after="200" w:line="240" w:lineRule="auto"/>
    </w:pPr>
    <w:rPr>
      <w:rFonts w:ascii="Calibri" w:eastAsia="Calibri" w:hAnsi="Calibri" w:cs="Times New Roman"/>
      <w:i/>
      <w:iCs/>
      <w:color w:val="44546A"/>
      <w:sz w:val="18"/>
      <w:szCs w:val="18"/>
    </w:rPr>
  </w:style>
  <w:style w:type="paragraph" w:styleId="Header">
    <w:name w:val="header"/>
    <w:basedOn w:val="Normal"/>
    <w:link w:val="HeaderChar"/>
    <w:uiPriority w:val="99"/>
    <w:unhideWhenUsed/>
    <w:rsid w:val="00AD72EC"/>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AD72EC"/>
    <w:rPr>
      <w:rFonts w:ascii="Times New Roman" w:eastAsia="Times New Roman" w:hAnsi="Times New Roman" w:cs="Times New Roman"/>
      <w:sz w:val="24"/>
      <w:szCs w:val="24"/>
      <w:lang w:eastAsia="en-GB"/>
    </w:rPr>
  </w:style>
  <w:style w:type="paragraph" w:styleId="Revision">
    <w:name w:val="Revision"/>
    <w:hidden/>
    <w:uiPriority w:val="99"/>
    <w:semiHidden/>
    <w:rsid w:val="00AD72EC"/>
    <w:pPr>
      <w:spacing w:after="0" w:line="240" w:lineRule="auto"/>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AD72E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AD72EC"/>
    <w:rPr>
      <w:rFonts w:ascii="Times New Roman" w:eastAsia="Times New Roman" w:hAnsi="Times New Roman" w:cs="Times New Roman"/>
      <w:b/>
      <w:bCs/>
    </w:rPr>
  </w:style>
  <w:style w:type="paragraph" w:customStyle="1" w:styleId="deannah1">
    <w:name w:val="deannah1"/>
    <w:basedOn w:val="Normal"/>
    <w:uiPriority w:val="99"/>
    <w:rsid w:val="00AD72EC"/>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AD72EC"/>
    <w:rPr>
      <w:color w:val="800080"/>
      <w:u w:val="single"/>
    </w:rPr>
  </w:style>
  <w:style w:type="paragraph" w:styleId="NormalWeb">
    <w:name w:val="Normal (Web)"/>
    <w:basedOn w:val="Normal"/>
    <w:uiPriority w:val="99"/>
    <w:rsid w:val="00AD72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AD72EC"/>
    <w:rPr>
      <w:color w:val="535353"/>
      <w:u w:val="single"/>
      <w:effect w:val="none"/>
    </w:rPr>
  </w:style>
  <w:style w:type="paragraph" w:customStyle="1" w:styleId="NormalWeb1">
    <w:name w:val="Normal (Web)1"/>
    <w:basedOn w:val="Normal"/>
    <w:uiPriority w:val="99"/>
    <w:rsid w:val="00AD72EC"/>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AD72EC"/>
    <w:rPr>
      <w:sz w:val="16"/>
      <w:szCs w:val="16"/>
    </w:rPr>
  </w:style>
  <w:style w:type="paragraph" w:styleId="CommentText">
    <w:name w:val="annotation text"/>
    <w:basedOn w:val="Normal"/>
    <w:link w:val="CommentTextChar"/>
    <w:uiPriority w:val="99"/>
    <w:semiHidden/>
    <w:unhideWhenUsed/>
    <w:rsid w:val="00AD72E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D72E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D72EC"/>
    <w:rPr>
      <w:b/>
      <w:bCs/>
    </w:rPr>
  </w:style>
  <w:style w:type="character" w:customStyle="1" w:styleId="CommentSubjectChar">
    <w:name w:val="Comment Subject Char"/>
    <w:basedOn w:val="CommentTextChar"/>
    <w:link w:val="CommentSubject"/>
    <w:uiPriority w:val="99"/>
    <w:semiHidden/>
    <w:rsid w:val="00AD72EC"/>
    <w:rPr>
      <w:rFonts w:ascii="Times New Roman" w:eastAsia="Times New Roman" w:hAnsi="Times New Roman" w:cs="Times New Roman"/>
      <w:b/>
      <w:bCs/>
      <w:sz w:val="20"/>
      <w:szCs w:val="20"/>
    </w:rPr>
  </w:style>
  <w:style w:type="character" w:styleId="Strong">
    <w:name w:val="Strong"/>
    <w:uiPriority w:val="22"/>
    <w:qFormat/>
    <w:rsid w:val="00AD72EC"/>
    <w:rPr>
      <w:b/>
      <w:bCs/>
    </w:rPr>
  </w:style>
  <w:style w:type="paragraph" w:styleId="TOC4">
    <w:name w:val="toc 4"/>
    <w:basedOn w:val="Normal"/>
    <w:next w:val="Normal"/>
    <w:autoRedefine/>
    <w:uiPriority w:val="39"/>
    <w:unhideWhenUsed/>
    <w:rsid w:val="00AD72EC"/>
    <w:pPr>
      <w:spacing w:after="100"/>
      <w:ind w:left="660"/>
    </w:pPr>
    <w:rPr>
      <w:rFonts w:eastAsiaTheme="minorEastAsia"/>
      <w:lang w:eastAsia="en-GB"/>
    </w:rPr>
  </w:style>
  <w:style w:type="paragraph" w:styleId="TOC5">
    <w:name w:val="toc 5"/>
    <w:basedOn w:val="Normal"/>
    <w:next w:val="Normal"/>
    <w:autoRedefine/>
    <w:uiPriority w:val="39"/>
    <w:unhideWhenUsed/>
    <w:rsid w:val="00AD72EC"/>
    <w:pPr>
      <w:spacing w:after="100"/>
      <w:ind w:left="880"/>
    </w:pPr>
    <w:rPr>
      <w:rFonts w:eastAsiaTheme="minorEastAsia"/>
      <w:lang w:eastAsia="en-GB"/>
    </w:rPr>
  </w:style>
  <w:style w:type="paragraph" w:styleId="TOC6">
    <w:name w:val="toc 6"/>
    <w:basedOn w:val="Normal"/>
    <w:next w:val="Normal"/>
    <w:autoRedefine/>
    <w:uiPriority w:val="39"/>
    <w:unhideWhenUsed/>
    <w:rsid w:val="00AD72EC"/>
    <w:pPr>
      <w:spacing w:after="100"/>
      <w:ind w:left="1100"/>
    </w:pPr>
    <w:rPr>
      <w:rFonts w:eastAsiaTheme="minorEastAsia"/>
      <w:lang w:eastAsia="en-GB"/>
    </w:rPr>
  </w:style>
  <w:style w:type="paragraph" w:styleId="TOC7">
    <w:name w:val="toc 7"/>
    <w:basedOn w:val="Normal"/>
    <w:next w:val="Normal"/>
    <w:autoRedefine/>
    <w:uiPriority w:val="39"/>
    <w:unhideWhenUsed/>
    <w:rsid w:val="00AD72EC"/>
    <w:pPr>
      <w:spacing w:after="100"/>
      <w:ind w:left="1320"/>
    </w:pPr>
    <w:rPr>
      <w:rFonts w:eastAsiaTheme="minorEastAsia"/>
      <w:lang w:eastAsia="en-GB"/>
    </w:rPr>
  </w:style>
  <w:style w:type="paragraph" w:styleId="TOC8">
    <w:name w:val="toc 8"/>
    <w:basedOn w:val="Normal"/>
    <w:next w:val="Normal"/>
    <w:autoRedefine/>
    <w:uiPriority w:val="39"/>
    <w:unhideWhenUsed/>
    <w:rsid w:val="00AD72EC"/>
    <w:pPr>
      <w:spacing w:after="100"/>
      <w:ind w:left="1540"/>
    </w:pPr>
    <w:rPr>
      <w:rFonts w:eastAsiaTheme="minorEastAsia"/>
      <w:lang w:eastAsia="en-GB"/>
    </w:rPr>
  </w:style>
  <w:style w:type="paragraph" w:styleId="TOC9">
    <w:name w:val="toc 9"/>
    <w:basedOn w:val="Normal"/>
    <w:next w:val="Normal"/>
    <w:autoRedefine/>
    <w:uiPriority w:val="39"/>
    <w:unhideWhenUsed/>
    <w:rsid w:val="00AD72EC"/>
    <w:pPr>
      <w:spacing w:after="100"/>
      <w:ind w:left="1760"/>
    </w:pPr>
    <w:rPr>
      <w:rFonts w:eastAsiaTheme="minorEastAsia"/>
      <w:lang w:eastAsia="en-GB"/>
    </w:rPr>
  </w:style>
  <w:style w:type="character" w:styleId="UnresolvedMention">
    <w:name w:val="Unresolved Mention"/>
    <w:basedOn w:val="DefaultParagraphFont"/>
    <w:uiPriority w:val="99"/>
    <w:semiHidden/>
    <w:unhideWhenUsed/>
    <w:rsid w:val="00AD72E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076-4919-8180-F14B44B538D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076-4919-8180-F14B44B538D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076-4919-8180-F14B44B538D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076-4919-8180-F14B44B538D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076-4919-8180-F14B44B538D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F076-4919-8180-F14B44B538D2}"/>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F076-4919-8180-F14B44B538D2}"/>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F076-4919-8180-F14B44B538D2}"/>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F076-4919-8180-F14B44B538D2}"/>
              </c:ext>
            </c:extLst>
          </c:dPt>
          <c:dLbls>
            <c:dLbl>
              <c:idx val="1"/>
              <c:layout>
                <c:manualLayout>
                  <c:x val="-2.2371364653243849E-2"/>
                  <c:y val="0.11581923480119996"/>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076-4919-8180-F14B44B538D2}"/>
                </c:ext>
              </c:extLst>
            </c:dLbl>
            <c:dLbl>
              <c:idx val="2"/>
              <c:layout>
                <c:manualLayout>
                  <c:x val="-0.16778523489932887"/>
                  <c:y val="7.408093644755915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076-4919-8180-F14B44B538D2}"/>
                </c:ext>
              </c:extLst>
            </c:dLbl>
            <c:dLbl>
              <c:idx val="3"/>
              <c:layout>
                <c:manualLayout>
                  <c:x val="-0.17897091722595079"/>
                  <c:y val="-9.9372770001505857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076-4919-8180-F14B44B538D2}"/>
                </c:ext>
              </c:extLst>
            </c:dLbl>
            <c:dLbl>
              <c:idx val="4"/>
              <c:layout>
                <c:manualLayout>
                  <c:x val="-0.13870246085011187"/>
                  <c:y val="-4.529828846885725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076-4919-8180-F14B44B538D2}"/>
                </c:ext>
              </c:extLst>
            </c:dLbl>
            <c:dLbl>
              <c:idx val="5"/>
              <c:layout>
                <c:manualLayout>
                  <c:x val="-8.0536912751677805E-2"/>
                  <c:y val="-4.23728907809268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F076-4919-8180-F14B44B538D2}"/>
                </c:ext>
              </c:extLst>
            </c:dLbl>
            <c:dLbl>
              <c:idx val="6"/>
              <c:layout>
                <c:manualLayout>
                  <c:x val="-3.3557046979865772E-2"/>
                  <c:y val="-4.802260955171706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076-4919-8180-F14B44B538D2}"/>
                </c:ext>
              </c:extLst>
            </c:dLbl>
            <c:dLbl>
              <c:idx val="8"/>
              <c:layout>
                <c:manualLayout>
                  <c:x val="0.23114505536593333"/>
                  <c:y val="3.3250207813798837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076-4919-8180-F14B44B538D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Sheet2!$B$8:$B$16</c:f>
              <c:strCache>
                <c:ptCount val="9"/>
                <c:pt idx="0">
                  <c:v>United States</c:v>
                </c:pt>
                <c:pt idx="1">
                  <c:v>United Kingdom</c:v>
                </c:pt>
                <c:pt idx="2">
                  <c:v>Canada</c:v>
                </c:pt>
                <c:pt idx="3">
                  <c:v>Australia</c:v>
                </c:pt>
                <c:pt idx="4">
                  <c:v>South Africa</c:v>
                </c:pt>
                <c:pt idx="5">
                  <c:v>Sweden</c:v>
                </c:pt>
                <c:pt idx="6">
                  <c:v>Germany</c:v>
                </c:pt>
                <c:pt idx="7">
                  <c:v>Brazil</c:v>
                </c:pt>
                <c:pt idx="8">
                  <c:v>India</c:v>
                </c:pt>
              </c:strCache>
            </c:strRef>
          </c:cat>
          <c:val>
            <c:numRef>
              <c:f>Sheet2!$C$8:$C$16</c:f>
              <c:numCache>
                <c:formatCode>General</c:formatCode>
                <c:ptCount val="9"/>
                <c:pt idx="0">
                  <c:v>605</c:v>
                </c:pt>
                <c:pt idx="1">
                  <c:v>166</c:v>
                </c:pt>
                <c:pt idx="2">
                  <c:v>39</c:v>
                </c:pt>
                <c:pt idx="3">
                  <c:v>29</c:v>
                </c:pt>
                <c:pt idx="4">
                  <c:v>29</c:v>
                </c:pt>
                <c:pt idx="5">
                  <c:v>25</c:v>
                </c:pt>
                <c:pt idx="6">
                  <c:v>17</c:v>
                </c:pt>
                <c:pt idx="7">
                  <c:v>16</c:v>
                </c:pt>
                <c:pt idx="8">
                  <c:v>11</c:v>
                </c:pt>
              </c:numCache>
            </c:numRef>
          </c:val>
          <c:extLst>
            <c:ext xmlns:c16="http://schemas.microsoft.com/office/drawing/2014/chart" uri="{C3380CC4-5D6E-409C-BE32-E72D297353CC}">
              <c16:uniqueId val="{00000012-F076-4919-8180-F14B44B538D2}"/>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Sheet4!$B$1:$B$2</c:f>
              <c:strCache>
                <c:ptCount val="2"/>
                <c:pt idx="1">
                  <c:v>UK</c:v>
                </c:pt>
              </c:strCache>
            </c:strRef>
          </c:tx>
          <c:spPr>
            <a:ln w="28575" cap="rnd">
              <a:solidFill>
                <a:schemeClr val="accent1"/>
              </a:solidFill>
              <a:round/>
            </a:ln>
            <a:effectLst/>
          </c:spPr>
          <c:marker>
            <c:symbol val="none"/>
          </c:marker>
          <c:cat>
            <c:numRef>
              <c:f>Sheet4!$A$3:$A$54</c:f>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f>Sheet4!$B$3:$B$54</c:f>
              <c:numCache>
                <c:formatCode>General</c:formatCode>
                <c:ptCount val="52"/>
                <c:pt idx="0">
                  <c:v>6</c:v>
                </c:pt>
                <c:pt idx="1">
                  <c:v>11</c:v>
                </c:pt>
                <c:pt idx="2">
                  <c:v>7</c:v>
                </c:pt>
                <c:pt idx="3">
                  <c:v>12</c:v>
                </c:pt>
                <c:pt idx="4">
                  <c:v>11</c:v>
                </c:pt>
                <c:pt idx="5">
                  <c:v>10</c:v>
                </c:pt>
                <c:pt idx="6">
                  <c:v>8</c:v>
                </c:pt>
                <c:pt idx="7">
                  <c:v>10</c:v>
                </c:pt>
                <c:pt idx="8">
                  <c:v>10</c:v>
                </c:pt>
                <c:pt idx="9">
                  <c:v>7</c:v>
                </c:pt>
                <c:pt idx="10">
                  <c:v>8</c:v>
                </c:pt>
                <c:pt idx="11">
                  <c:v>8</c:v>
                </c:pt>
                <c:pt idx="12">
                  <c:v>3</c:v>
                </c:pt>
                <c:pt idx="13">
                  <c:v>2</c:v>
                </c:pt>
                <c:pt idx="14">
                  <c:v>6</c:v>
                </c:pt>
                <c:pt idx="15">
                  <c:v>4</c:v>
                </c:pt>
                <c:pt idx="16">
                  <c:v>7</c:v>
                </c:pt>
                <c:pt idx="17">
                  <c:v>1</c:v>
                </c:pt>
                <c:pt idx="18">
                  <c:v>3</c:v>
                </c:pt>
                <c:pt idx="19">
                  <c:v>3</c:v>
                </c:pt>
                <c:pt idx="20">
                  <c:v>0</c:v>
                </c:pt>
                <c:pt idx="21">
                  <c:v>2</c:v>
                </c:pt>
                <c:pt idx="22">
                  <c:v>1</c:v>
                </c:pt>
                <c:pt idx="23">
                  <c:v>1</c:v>
                </c:pt>
                <c:pt idx="24">
                  <c:v>0</c:v>
                </c:pt>
                <c:pt idx="25">
                  <c:v>0</c:v>
                </c:pt>
                <c:pt idx="26">
                  <c:v>2</c:v>
                </c:pt>
                <c:pt idx="27">
                  <c:v>0</c:v>
                </c:pt>
                <c:pt idx="28">
                  <c:v>1</c:v>
                </c:pt>
                <c:pt idx="29">
                  <c:v>0</c:v>
                </c:pt>
                <c:pt idx="30">
                  <c:v>0</c:v>
                </c:pt>
                <c:pt idx="31">
                  <c:v>1</c:v>
                </c:pt>
                <c:pt idx="32">
                  <c:v>1</c:v>
                </c:pt>
              </c:numCache>
            </c:numRef>
          </c:val>
          <c:smooth val="0"/>
          <c:extLst>
            <c:ext xmlns:c16="http://schemas.microsoft.com/office/drawing/2014/chart" uri="{C3380CC4-5D6E-409C-BE32-E72D297353CC}">
              <c16:uniqueId val="{00000000-1604-4ED5-A17B-78A63777B53A}"/>
            </c:ext>
          </c:extLst>
        </c:ser>
        <c:ser>
          <c:idx val="1"/>
          <c:order val="1"/>
          <c:tx>
            <c:strRef>
              <c:f>Sheet4!$C$1:$C$2</c:f>
              <c:strCache>
                <c:ptCount val="2"/>
                <c:pt idx="1">
                  <c:v>USA</c:v>
                </c:pt>
              </c:strCache>
            </c:strRef>
          </c:tx>
          <c:spPr>
            <a:ln w="28575" cap="rnd">
              <a:solidFill>
                <a:schemeClr val="accent2"/>
              </a:solidFill>
              <a:round/>
            </a:ln>
            <a:effectLst/>
          </c:spPr>
          <c:marker>
            <c:symbol val="none"/>
          </c:marker>
          <c:cat>
            <c:numRef>
              <c:f>Sheet4!$A$3:$A$54</c:f>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f>Sheet4!$C$3:$C$54</c:f>
              <c:numCache>
                <c:formatCode>General</c:formatCode>
                <c:ptCount val="52"/>
                <c:pt idx="0">
                  <c:v>17</c:v>
                </c:pt>
                <c:pt idx="1">
                  <c:v>63</c:v>
                </c:pt>
                <c:pt idx="2">
                  <c:v>54</c:v>
                </c:pt>
                <c:pt idx="3">
                  <c:v>41</c:v>
                </c:pt>
                <c:pt idx="4">
                  <c:v>50</c:v>
                </c:pt>
                <c:pt idx="5">
                  <c:v>46</c:v>
                </c:pt>
                <c:pt idx="6">
                  <c:v>39</c:v>
                </c:pt>
                <c:pt idx="7">
                  <c:v>43</c:v>
                </c:pt>
                <c:pt idx="8">
                  <c:v>27</c:v>
                </c:pt>
                <c:pt idx="9">
                  <c:v>33</c:v>
                </c:pt>
                <c:pt idx="10">
                  <c:v>26</c:v>
                </c:pt>
                <c:pt idx="11">
                  <c:v>22</c:v>
                </c:pt>
                <c:pt idx="12">
                  <c:v>19</c:v>
                </c:pt>
                <c:pt idx="13">
                  <c:v>14</c:v>
                </c:pt>
                <c:pt idx="14">
                  <c:v>11</c:v>
                </c:pt>
                <c:pt idx="15">
                  <c:v>14</c:v>
                </c:pt>
                <c:pt idx="16">
                  <c:v>12</c:v>
                </c:pt>
                <c:pt idx="17">
                  <c:v>11</c:v>
                </c:pt>
                <c:pt idx="18">
                  <c:v>10</c:v>
                </c:pt>
                <c:pt idx="19">
                  <c:v>6</c:v>
                </c:pt>
                <c:pt idx="20">
                  <c:v>6</c:v>
                </c:pt>
                <c:pt idx="21">
                  <c:v>3</c:v>
                </c:pt>
                <c:pt idx="22">
                  <c:v>5</c:v>
                </c:pt>
                <c:pt idx="23">
                  <c:v>6</c:v>
                </c:pt>
                <c:pt idx="24">
                  <c:v>9</c:v>
                </c:pt>
                <c:pt idx="25">
                  <c:v>5</c:v>
                </c:pt>
                <c:pt idx="26">
                  <c:v>2</c:v>
                </c:pt>
                <c:pt idx="27">
                  <c:v>1</c:v>
                </c:pt>
                <c:pt idx="28">
                  <c:v>4</c:v>
                </c:pt>
                <c:pt idx="29">
                  <c:v>2</c:v>
                </c:pt>
                <c:pt idx="30">
                  <c:v>0</c:v>
                </c:pt>
                <c:pt idx="31">
                  <c:v>0</c:v>
                </c:pt>
                <c:pt idx="32">
                  <c:v>0</c:v>
                </c:pt>
                <c:pt idx="33">
                  <c:v>0</c:v>
                </c:pt>
                <c:pt idx="34">
                  <c:v>0</c:v>
                </c:pt>
                <c:pt idx="35">
                  <c:v>0</c:v>
                </c:pt>
                <c:pt idx="36">
                  <c:v>0</c:v>
                </c:pt>
                <c:pt idx="37">
                  <c:v>0</c:v>
                </c:pt>
                <c:pt idx="38">
                  <c:v>1</c:v>
                </c:pt>
                <c:pt idx="39">
                  <c:v>0</c:v>
                </c:pt>
                <c:pt idx="40">
                  <c:v>0</c:v>
                </c:pt>
                <c:pt idx="41">
                  <c:v>0</c:v>
                </c:pt>
                <c:pt idx="42">
                  <c:v>0</c:v>
                </c:pt>
                <c:pt idx="43">
                  <c:v>0</c:v>
                </c:pt>
                <c:pt idx="44">
                  <c:v>0</c:v>
                </c:pt>
                <c:pt idx="45">
                  <c:v>1</c:v>
                </c:pt>
                <c:pt idx="46">
                  <c:v>0</c:v>
                </c:pt>
                <c:pt idx="47">
                  <c:v>1</c:v>
                </c:pt>
                <c:pt idx="48">
                  <c:v>0</c:v>
                </c:pt>
                <c:pt idx="49">
                  <c:v>0</c:v>
                </c:pt>
                <c:pt idx="50">
                  <c:v>0</c:v>
                </c:pt>
                <c:pt idx="51">
                  <c:v>1</c:v>
                </c:pt>
              </c:numCache>
            </c:numRef>
          </c:val>
          <c:smooth val="0"/>
          <c:extLst>
            <c:ext xmlns:c16="http://schemas.microsoft.com/office/drawing/2014/chart" uri="{C3380CC4-5D6E-409C-BE32-E72D297353CC}">
              <c16:uniqueId val="{00000001-1604-4ED5-A17B-78A63777B53A}"/>
            </c:ext>
          </c:extLst>
        </c:ser>
        <c:dLbls>
          <c:showLegendKey val="0"/>
          <c:showVal val="0"/>
          <c:showCatName val="0"/>
          <c:showSerName val="0"/>
          <c:showPercent val="0"/>
          <c:showBubbleSize val="0"/>
        </c:dLbls>
        <c:smooth val="0"/>
        <c:axId val="494519488"/>
        <c:axId val="494509088"/>
      </c:lineChart>
      <c:catAx>
        <c:axId val="4945194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509088"/>
        <c:crosses val="autoZero"/>
        <c:auto val="1"/>
        <c:lblAlgn val="ctr"/>
        <c:lblOffset val="100"/>
        <c:noMultiLvlLbl val="0"/>
      </c:catAx>
      <c:valAx>
        <c:axId val="494509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Results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5194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1"/>
            </a:solidFill>
            <a:ln>
              <a:noFill/>
            </a:ln>
            <a:effectLst/>
          </c:spPr>
          <c:invertIfNegative val="0"/>
          <c:cat>
            <c:strRef>
              <c:f>Sheet3!$A$3:$A$7</c:f>
              <c:strCache>
                <c:ptCount val="5"/>
                <c:pt idx="0">
                  <c:v>Social Science And Medicine</c:v>
                </c:pt>
                <c:pt idx="1">
                  <c:v>Child Development</c:v>
                </c:pt>
                <c:pt idx="2">
                  <c:v>Developmental Psychology</c:v>
                </c:pt>
                <c:pt idx="3">
                  <c:v>Children And Youth Services Review</c:v>
                </c:pt>
                <c:pt idx="4">
                  <c:v>Early Childhood Research Quarterly</c:v>
                </c:pt>
              </c:strCache>
            </c:strRef>
          </c:cat>
          <c:val>
            <c:numRef>
              <c:f>Sheet3!$B$3:$B$7</c:f>
              <c:numCache>
                <c:formatCode>General</c:formatCode>
                <c:ptCount val="5"/>
                <c:pt idx="0">
                  <c:v>82</c:v>
                </c:pt>
                <c:pt idx="1">
                  <c:v>43</c:v>
                </c:pt>
                <c:pt idx="2">
                  <c:v>32</c:v>
                </c:pt>
                <c:pt idx="3">
                  <c:v>29</c:v>
                </c:pt>
                <c:pt idx="4">
                  <c:v>21</c:v>
                </c:pt>
              </c:numCache>
            </c:numRef>
          </c:val>
          <c:extLst>
            <c:ext xmlns:c16="http://schemas.microsoft.com/office/drawing/2014/chart" uri="{C3380CC4-5D6E-409C-BE32-E72D297353CC}">
              <c16:uniqueId val="{00000000-FC0F-4A6A-AF21-E48DC6F0104B}"/>
            </c:ext>
          </c:extLst>
        </c:ser>
        <c:dLbls>
          <c:showLegendKey val="0"/>
          <c:showVal val="0"/>
          <c:showCatName val="0"/>
          <c:showSerName val="0"/>
          <c:showPercent val="0"/>
          <c:showBubbleSize val="0"/>
        </c:dLbls>
        <c:gapWidth val="182"/>
        <c:axId val="475387808"/>
        <c:axId val="475396128"/>
      </c:barChart>
      <c:catAx>
        <c:axId val="47538780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Journal Title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396128"/>
        <c:crosses val="autoZero"/>
        <c:auto val="1"/>
        <c:lblAlgn val="ctr"/>
        <c:lblOffset val="100"/>
        <c:noMultiLvlLbl val="0"/>
      </c:catAx>
      <c:valAx>
        <c:axId val="4753961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Results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387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020202355051287"/>
          <c:y val="0.15442808607021519"/>
          <c:w val="0.7755502476659728"/>
          <c:h val="0.5979693421674499"/>
        </c:manualLayout>
      </c:layout>
      <c:lineChart>
        <c:grouping val="standard"/>
        <c:varyColors val="0"/>
        <c:ser>
          <c:idx val="1"/>
          <c:order val="1"/>
          <c:tx>
            <c:v>2</c:v>
          </c:tx>
          <c:spPr>
            <a:ln w="28575" cap="rnd">
              <a:solidFill>
                <a:schemeClr val="accent2"/>
              </a:solidFill>
              <a:round/>
            </a:ln>
            <a:effectLst/>
          </c:spPr>
          <c:marker>
            <c:symbol val="none"/>
          </c:marker>
          <c:cat>
            <c:numRef>
              <c:f>Sheet1!$C$9:$C$60</c:f>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f>Sheet1!$E$9:$E$60</c:f>
              <c:numCache>
                <c:formatCode>General</c:formatCode>
                <c:ptCount val="52"/>
                <c:pt idx="0">
                  <c:v>37</c:v>
                </c:pt>
                <c:pt idx="1">
                  <c:v>115</c:v>
                </c:pt>
                <c:pt idx="2">
                  <c:v>108</c:v>
                </c:pt>
                <c:pt idx="3">
                  <c:v>102</c:v>
                </c:pt>
                <c:pt idx="4">
                  <c:v>78</c:v>
                </c:pt>
                <c:pt idx="5">
                  <c:v>60</c:v>
                </c:pt>
                <c:pt idx="6">
                  <c:v>63</c:v>
                </c:pt>
                <c:pt idx="7">
                  <c:v>58</c:v>
                </c:pt>
                <c:pt idx="8">
                  <c:v>55</c:v>
                </c:pt>
                <c:pt idx="9">
                  <c:v>36</c:v>
                </c:pt>
                <c:pt idx="10">
                  <c:v>33</c:v>
                </c:pt>
                <c:pt idx="11">
                  <c:v>22</c:v>
                </c:pt>
                <c:pt idx="12">
                  <c:v>25</c:v>
                </c:pt>
                <c:pt idx="13">
                  <c:v>13</c:v>
                </c:pt>
                <c:pt idx="14">
                  <c:v>13</c:v>
                </c:pt>
                <c:pt idx="15">
                  <c:v>11</c:v>
                </c:pt>
                <c:pt idx="16">
                  <c:v>15</c:v>
                </c:pt>
                <c:pt idx="17">
                  <c:v>10</c:v>
                </c:pt>
                <c:pt idx="18">
                  <c:v>8</c:v>
                </c:pt>
                <c:pt idx="19">
                  <c:v>8</c:v>
                </c:pt>
                <c:pt idx="20">
                  <c:v>7</c:v>
                </c:pt>
                <c:pt idx="21">
                  <c:v>3</c:v>
                </c:pt>
                <c:pt idx="22">
                  <c:v>8</c:v>
                </c:pt>
                <c:pt idx="23">
                  <c:v>4</c:v>
                </c:pt>
                <c:pt idx="24">
                  <c:v>3</c:v>
                </c:pt>
                <c:pt idx="25">
                  <c:v>3</c:v>
                </c:pt>
                <c:pt idx="26">
                  <c:v>3</c:v>
                </c:pt>
                <c:pt idx="27">
                  <c:v>3</c:v>
                </c:pt>
                <c:pt idx="28">
                  <c:v>2</c:v>
                </c:pt>
                <c:pt idx="29">
                  <c:v>0</c:v>
                </c:pt>
                <c:pt idx="30">
                  <c:v>0</c:v>
                </c:pt>
                <c:pt idx="31">
                  <c:v>0</c:v>
                </c:pt>
                <c:pt idx="32">
                  <c:v>2</c:v>
                </c:pt>
                <c:pt idx="33">
                  <c:v>0</c:v>
                </c:pt>
                <c:pt idx="34">
                  <c:v>1</c:v>
                </c:pt>
                <c:pt idx="35">
                  <c:v>0</c:v>
                </c:pt>
                <c:pt idx="36">
                  <c:v>1</c:v>
                </c:pt>
                <c:pt idx="37">
                  <c:v>0</c:v>
                </c:pt>
                <c:pt idx="38">
                  <c:v>0</c:v>
                </c:pt>
                <c:pt idx="39">
                  <c:v>1</c:v>
                </c:pt>
                <c:pt idx="40">
                  <c:v>1</c:v>
                </c:pt>
              </c:numCache>
            </c:numRef>
          </c:val>
          <c:smooth val="0"/>
          <c:extLst>
            <c:ext xmlns:c16="http://schemas.microsoft.com/office/drawing/2014/chart" uri="{C3380CC4-5D6E-409C-BE32-E72D297353CC}">
              <c16:uniqueId val="{00000000-C73C-4164-8C51-C8BB0DCB63CD}"/>
            </c:ext>
          </c:extLst>
        </c:ser>
        <c:dLbls>
          <c:showLegendKey val="0"/>
          <c:showVal val="0"/>
          <c:showCatName val="0"/>
          <c:showSerName val="0"/>
          <c:showPercent val="0"/>
          <c:showBubbleSize val="0"/>
        </c:dLbls>
        <c:smooth val="0"/>
        <c:axId val="290922016"/>
        <c:axId val="290924096"/>
        <c:extLst>
          <c:ext xmlns:c15="http://schemas.microsoft.com/office/drawing/2012/chart" uri="{02D57815-91ED-43cb-92C2-25804820EDAC}">
            <c15:filteredLineSeries>
              <c15:ser>
                <c:idx val="0"/>
                <c:order val="0"/>
                <c:tx>
                  <c:v>1</c:v>
                </c:tx>
                <c:spPr>
                  <a:ln w="28575" cap="rnd">
                    <a:solidFill>
                      <a:schemeClr val="accent1"/>
                    </a:solidFill>
                    <a:round/>
                  </a:ln>
                  <a:effectLst/>
                </c:spPr>
                <c:marker>
                  <c:symbol val="none"/>
                </c:marker>
                <c:cat>
                  <c:numRef>
                    <c:extLst>
                      <c:ext uri="{02D57815-91ED-43cb-92C2-25804820EDAC}">
                        <c15:formulaRef>
                          <c15:sqref>Sheet1!$C$9:$C$60</c15:sqref>
                        </c15:formulaRef>
                      </c:ext>
                    </c:extLst>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extLst>
                      <c:ext uri="{02D57815-91ED-43cb-92C2-25804820EDAC}">
                        <c15:formulaRef>
                          <c15:sqref>Sheet1!$D$9:$D$60</c15:sqref>
                        </c15:formulaRef>
                      </c:ext>
                    </c:extLst>
                    <c:numCache>
                      <c:formatCode>General</c:formatCode>
                      <c:ptCount val="52"/>
                      <c:pt idx="0">
                        <c:v>26</c:v>
                      </c:pt>
                      <c:pt idx="1">
                        <c:v>94</c:v>
                      </c:pt>
                      <c:pt idx="2">
                        <c:v>87</c:v>
                      </c:pt>
                      <c:pt idx="3">
                        <c:v>70</c:v>
                      </c:pt>
                      <c:pt idx="4">
                        <c:v>89</c:v>
                      </c:pt>
                      <c:pt idx="5">
                        <c:v>71</c:v>
                      </c:pt>
                      <c:pt idx="6">
                        <c:v>70</c:v>
                      </c:pt>
                      <c:pt idx="7">
                        <c:v>65</c:v>
                      </c:pt>
                      <c:pt idx="8">
                        <c:v>49</c:v>
                      </c:pt>
                      <c:pt idx="9">
                        <c:v>57</c:v>
                      </c:pt>
                      <c:pt idx="10">
                        <c:v>46</c:v>
                      </c:pt>
                      <c:pt idx="11">
                        <c:v>40</c:v>
                      </c:pt>
                      <c:pt idx="12">
                        <c:v>30</c:v>
                      </c:pt>
                      <c:pt idx="13">
                        <c:v>18</c:v>
                      </c:pt>
                      <c:pt idx="14">
                        <c:v>19</c:v>
                      </c:pt>
                      <c:pt idx="15">
                        <c:v>20</c:v>
                      </c:pt>
                      <c:pt idx="16">
                        <c:v>25</c:v>
                      </c:pt>
                      <c:pt idx="17">
                        <c:v>15</c:v>
                      </c:pt>
                      <c:pt idx="18">
                        <c:v>15</c:v>
                      </c:pt>
                      <c:pt idx="19">
                        <c:v>15</c:v>
                      </c:pt>
                      <c:pt idx="20">
                        <c:v>10</c:v>
                      </c:pt>
                      <c:pt idx="21">
                        <c:v>9</c:v>
                      </c:pt>
                      <c:pt idx="22">
                        <c:v>9</c:v>
                      </c:pt>
                      <c:pt idx="23">
                        <c:v>10</c:v>
                      </c:pt>
                      <c:pt idx="24">
                        <c:v>11</c:v>
                      </c:pt>
                      <c:pt idx="25">
                        <c:v>8</c:v>
                      </c:pt>
                      <c:pt idx="26">
                        <c:v>6</c:v>
                      </c:pt>
                      <c:pt idx="27">
                        <c:v>2</c:v>
                      </c:pt>
                      <c:pt idx="28">
                        <c:v>8</c:v>
                      </c:pt>
                      <c:pt idx="29">
                        <c:v>3</c:v>
                      </c:pt>
                      <c:pt idx="30">
                        <c:v>0</c:v>
                      </c:pt>
                      <c:pt idx="31">
                        <c:v>2</c:v>
                      </c:pt>
                      <c:pt idx="32">
                        <c:v>2</c:v>
                      </c:pt>
                      <c:pt idx="33">
                        <c:v>1</c:v>
                      </c:pt>
                      <c:pt idx="34">
                        <c:v>2</c:v>
                      </c:pt>
                      <c:pt idx="35">
                        <c:v>0</c:v>
                      </c:pt>
                      <c:pt idx="36">
                        <c:v>0</c:v>
                      </c:pt>
                      <c:pt idx="37">
                        <c:v>0</c:v>
                      </c:pt>
                      <c:pt idx="38">
                        <c:v>2</c:v>
                      </c:pt>
                      <c:pt idx="39">
                        <c:v>0</c:v>
                      </c:pt>
                      <c:pt idx="40">
                        <c:v>0</c:v>
                      </c:pt>
                      <c:pt idx="41">
                        <c:v>2</c:v>
                      </c:pt>
                      <c:pt idx="42">
                        <c:v>0</c:v>
                      </c:pt>
                      <c:pt idx="43">
                        <c:v>3</c:v>
                      </c:pt>
                      <c:pt idx="44">
                        <c:v>0</c:v>
                      </c:pt>
                      <c:pt idx="45">
                        <c:v>2</c:v>
                      </c:pt>
                      <c:pt idx="46">
                        <c:v>0</c:v>
                      </c:pt>
                      <c:pt idx="47">
                        <c:v>2</c:v>
                      </c:pt>
                      <c:pt idx="48">
                        <c:v>0</c:v>
                      </c:pt>
                      <c:pt idx="49">
                        <c:v>0</c:v>
                      </c:pt>
                      <c:pt idx="50">
                        <c:v>0</c:v>
                      </c:pt>
                      <c:pt idx="51">
                        <c:v>1</c:v>
                      </c:pt>
                    </c:numCache>
                  </c:numRef>
                </c:val>
                <c:smooth val="0"/>
                <c:extLst>
                  <c:ext xmlns:c16="http://schemas.microsoft.com/office/drawing/2014/chart" uri="{C3380CC4-5D6E-409C-BE32-E72D297353CC}">
                    <c16:uniqueId val="{00000001-C73C-4164-8C51-C8BB0DCB63CD}"/>
                  </c:ext>
                </c:extLst>
              </c15:ser>
            </c15:filteredLineSeries>
            <c15:filteredLineSeries>
              <c15:ser>
                <c:idx val="2"/>
                <c:order val="2"/>
                <c:tx>
                  <c:v>3</c:v>
                </c:tx>
                <c:spPr>
                  <a:ln w="28575" cap="rnd">
                    <a:solidFill>
                      <a:schemeClr val="accent3"/>
                    </a:solidFill>
                    <a:round/>
                  </a:ln>
                  <a:effectLst/>
                </c:spPr>
                <c:marker>
                  <c:symbol val="none"/>
                </c:marker>
                <c:cat>
                  <c:numRef>
                    <c:extLst xmlns:c15="http://schemas.microsoft.com/office/drawing/2012/chart">
                      <c:ext xmlns:c15="http://schemas.microsoft.com/office/drawing/2012/chart" uri="{02D57815-91ED-43cb-92C2-25804820EDAC}">
                        <c15:formulaRef>
                          <c15:sqref>Sheet1!$C$9:$C$60</c15:sqref>
                        </c15:formulaRef>
                      </c:ext>
                    </c:extLst>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extLst xmlns:c15="http://schemas.microsoft.com/office/drawing/2012/chart">
                      <c:ext xmlns:c15="http://schemas.microsoft.com/office/drawing/2012/chart" uri="{02D57815-91ED-43cb-92C2-25804820EDAC}">
                        <c15:formulaRef>
                          <c15:sqref>Sheet1!$F$9:$F$60</c15:sqref>
                        </c15:formulaRef>
                      </c:ext>
                    </c:extLst>
                    <c:numCache>
                      <c:formatCode>General</c:formatCode>
                      <c:ptCount val="52"/>
                      <c:pt idx="0">
                        <c:v>4</c:v>
                      </c:pt>
                      <c:pt idx="1">
                        <c:v>8</c:v>
                      </c:pt>
                      <c:pt idx="2">
                        <c:v>13</c:v>
                      </c:pt>
                      <c:pt idx="3">
                        <c:v>7</c:v>
                      </c:pt>
                      <c:pt idx="4">
                        <c:v>14</c:v>
                      </c:pt>
                      <c:pt idx="5">
                        <c:v>7</c:v>
                      </c:pt>
                      <c:pt idx="6">
                        <c:v>8</c:v>
                      </c:pt>
                      <c:pt idx="7">
                        <c:v>8</c:v>
                      </c:pt>
                      <c:pt idx="8">
                        <c:v>6</c:v>
                      </c:pt>
                      <c:pt idx="9">
                        <c:v>5</c:v>
                      </c:pt>
                      <c:pt idx="10">
                        <c:v>3</c:v>
                      </c:pt>
                      <c:pt idx="11">
                        <c:v>3</c:v>
                      </c:pt>
                      <c:pt idx="12">
                        <c:v>3</c:v>
                      </c:pt>
                      <c:pt idx="13">
                        <c:v>2</c:v>
                      </c:pt>
                      <c:pt idx="14">
                        <c:v>2</c:v>
                      </c:pt>
                      <c:pt idx="15">
                        <c:v>2</c:v>
                      </c:pt>
                      <c:pt idx="16">
                        <c:v>3</c:v>
                      </c:pt>
                      <c:pt idx="17">
                        <c:v>1</c:v>
                      </c:pt>
                      <c:pt idx="18">
                        <c:v>0</c:v>
                      </c:pt>
                      <c:pt idx="19">
                        <c:v>2</c:v>
                      </c:pt>
                      <c:pt idx="20">
                        <c:v>1</c:v>
                      </c:pt>
                      <c:pt idx="21">
                        <c:v>1</c:v>
                      </c:pt>
                      <c:pt idx="22">
                        <c:v>1</c:v>
                      </c:pt>
                      <c:pt idx="23">
                        <c:v>0</c:v>
                      </c:pt>
                      <c:pt idx="24">
                        <c:v>1</c:v>
                      </c:pt>
                      <c:pt idx="25">
                        <c:v>0</c:v>
                      </c:pt>
                      <c:pt idx="26">
                        <c:v>1</c:v>
                      </c:pt>
                      <c:pt idx="27">
                        <c:v>0</c:v>
                      </c:pt>
                      <c:pt idx="28">
                        <c:v>0</c:v>
                      </c:pt>
                      <c:pt idx="29">
                        <c:v>0</c:v>
                      </c:pt>
                      <c:pt idx="30">
                        <c:v>0</c:v>
                      </c:pt>
                      <c:pt idx="31">
                        <c:v>0</c:v>
                      </c:pt>
                      <c:pt idx="32">
                        <c:v>1</c:v>
                      </c:pt>
                    </c:numCache>
                  </c:numRef>
                </c:val>
                <c:smooth val="0"/>
                <c:extLst xmlns:c15="http://schemas.microsoft.com/office/drawing/2012/chart">
                  <c:ext xmlns:c16="http://schemas.microsoft.com/office/drawing/2014/chart" uri="{C3380CC4-5D6E-409C-BE32-E72D297353CC}">
                    <c16:uniqueId val="{00000002-C73C-4164-8C51-C8BB0DCB63CD}"/>
                  </c:ext>
                </c:extLst>
              </c15:ser>
            </c15:filteredLineSeries>
          </c:ext>
        </c:extLst>
      </c:lineChart>
      <c:catAx>
        <c:axId val="2909220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0924096"/>
        <c:crosses val="autoZero"/>
        <c:auto val="1"/>
        <c:lblAlgn val="ctr"/>
        <c:lblOffset val="100"/>
        <c:noMultiLvlLbl val="0"/>
      </c:catAx>
      <c:valAx>
        <c:axId val="290924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a:t>
                </a:r>
                <a:r>
                  <a:rPr lang="en-GB" baseline="0"/>
                  <a:t> of results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092201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358194496074258"/>
          <c:y val="0.10240016756010237"/>
          <c:w val="0.69000371734649046"/>
          <c:h val="0.80184970644255504"/>
        </c:manualLayout>
      </c:layout>
      <c:pieChart>
        <c:varyColors val="1"/>
        <c:ser>
          <c:idx val="0"/>
          <c:order val="0"/>
          <c:dPt>
            <c:idx val="0"/>
            <c:bubble3D val="0"/>
            <c:spPr>
              <a:solidFill>
                <a:schemeClr val="accent1"/>
              </a:solidFill>
              <a:ln w="19050">
                <a:noFill/>
              </a:ln>
              <a:effectLst/>
            </c:spPr>
            <c:extLst>
              <c:ext xmlns:c16="http://schemas.microsoft.com/office/drawing/2014/chart" uri="{C3380CC4-5D6E-409C-BE32-E72D297353CC}">
                <c16:uniqueId val="{00000001-9AC0-4FBB-867C-D4A120433E1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AC0-4FBB-867C-D4A120433E1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AC0-4FBB-867C-D4A120433E1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AC0-4FBB-867C-D4A120433E1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AC0-4FBB-867C-D4A120433E1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9AC0-4FBB-867C-D4A120433E15}"/>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9AC0-4FBB-867C-D4A120433E15}"/>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9AC0-4FBB-867C-D4A120433E15}"/>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9AC0-4FBB-867C-D4A120433E15}"/>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9AC0-4FBB-867C-D4A120433E15}"/>
              </c:ext>
            </c:extLst>
          </c:dPt>
          <c:dLbls>
            <c:dLbl>
              <c:idx val="0"/>
              <c:layout>
                <c:manualLayout>
                  <c:x val="-1.1585729895350015E-3"/>
                  <c:y val="-0.1451612438719474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AC0-4FBB-867C-D4A120433E15}"/>
                </c:ext>
              </c:extLst>
            </c:dLbl>
            <c:dLbl>
              <c:idx val="1"/>
              <c:layout>
                <c:manualLayout>
                  <c:x val="-8.5300936095434418E-2"/>
                  <c:y val="-3.538188649112127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AC0-4FBB-867C-D4A120433E15}"/>
                </c:ext>
              </c:extLst>
            </c:dLbl>
            <c:dLbl>
              <c:idx val="2"/>
              <c:layout>
                <c:manualLayout>
                  <c:x val="-1.2086219909206629E-2"/>
                  <c:y val="-1.514769506679489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AC0-4FBB-867C-D4A120433E15}"/>
                </c:ext>
              </c:extLst>
            </c:dLbl>
            <c:dLbl>
              <c:idx val="3"/>
              <c:layout>
                <c:manualLayout>
                  <c:x val="-6.9968796818852583E-2"/>
                  <c:y val="6.722485125768257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AC0-4FBB-867C-D4A120433E15}"/>
                </c:ext>
              </c:extLst>
            </c:dLbl>
            <c:dLbl>
              <c:idx val="4"/>
              <c:layout>
                <c:manualLayout>
                  <c:x val="-0.12859090038637874"/>
                  <c:y val="7.614611764551874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AC0-4FBB-867C-D4A120433E15}"/>
                </c:ext>
              </c:extLst>
            </c:dLbl>
            <c:dLbl>
              <c:idx val="5"/>
              <c:layout>
                <c:manualLayout>
                  <c:x val="-0.17835580638257129"/>
                  <c:y val="1.475576151484805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9AC0-4FBB-867C-D4A120433E15}"/>
                </c:ext>
              </c:extLst>
            </c:dLbl>
            <c:dLbl>
              <c:idx val="6"/>
              <c:layout>
                <c:manualLayout>
                  <c:x val="-0.14610591058091987"/>
                  <c:y val="-3.305044475425609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AC0-4FBB-867C-D4A120433E15}"/>
                </c:ext>
              </c:extLst>
            </c:dLbl>
            <c:dLbl>
              <c:idx val="7"/>
              <c:layout>
                <c:manualLayout>
                  <c:x val="-2.9400831333851508E-4"/>
                  <c:y val="-2.365870101648765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9AC0-4FBB-867C-D4A120433E15}"/>
                </c:ext>
              </c:extLst>
            </c:dLbl>
            <c:dLbl>
              <c:idx val="8"/>
              <c:layout>
                <c:manualLayout>
                  <c:x val="9.6591756502540232E-2"/>
                  <c:y val="-8.3371623434851192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9AC0-4FBB-867C-D4A120433E15}"/>
                </c:ext>
              </c:extLst>
            </c:dLbl>
            <c:dLbl>
              <c:idx val="9"/>
              <c:layout>
                <c:manualLayout>
                  <c:x val="0.2085933786173724"/>
                  <c:y val="1.742232345645073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9AC0-4FBB-867C-D4A120433E15}"/>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Sheet2!$B$19:$B$28</c:f>
              <c:strCache>
                <c:ptCount val="10"/>
                <c:pt idx="0">
                  <c:v>United States</c:v>
                </c:pt>
                <c:pt idx="1">
                  <c:v>United Kingdom</c:v>
                </c:pt>
                <c:pt idx="2">
                  <c:v>Australia</c:v>
                </c:pt>
                <c:pt idx="3">
                  <c:v>Canada</c:v>
                </c:pt>
                <c:pt idx="4">
                  <c:v>Germany</c:v>
                </c:pt>
                <c:pt idx="5">
                  <c:v>Fiinland</c:v>
                </c:pt>
                <c:pt idx="6">
                  <c:v>Italy</c:v>
                </c:pt>
                <c:pt idx="7">
                  <c:v>South Africa</c:v>
                </c:pt>
                <c:pt idx="8">
                  <c:v>Netherlands</c:v>
                </c:pt>
                <c:pt idx="9">
                  <c:v>Spain</c:v>
                </c:pt>
              </c:strCache>
            </c:strRef>
          </c:cat>
          <c:val>
            <c:numRef>
              <c:f>Sheet2!$C$19:$C$28</c:f>
              <c:numCache>
                <c:formatCode>General</c:formatCode>
                <c:ptCount val="10"/>
                <c:pt idx="0">
                  <c:v>414</c:v>
                </c:pt>
                <c:pt idx="1">
                  <c:v>140</c:v>
                </c:pt>
                <c:pt idx="2">
                  <c:v>111</c:v>
                </c:pt>
                <c:pt idx="3">
                  <c:v>64</c:v>
                </c:pt>
                <c:pt idx="4">
                  <c:v>25</c:v>
                </c:pt>
                <c:pt idx="5">
                  <c:v>21</c:v>
                </c:pt>
                <c:pt idx="6">
                  <c:v>18</c:v>
                </c:pt>
                <c:pt idx="7">
                  <c:v>18</c:v>
                </c:pt>
                <c:pt idx="8">
                  <c:v>17</c:v>
                </c:pt>
                <c:pt idx="9">
                  <c:v>17</c:v>
                </c:pt>
              </c:numCache>
            </c:numRef>
          </c:val>
          <c:extLst>
            <c:ext xmlns:c16="http://schemas.microsoft.com/office/drawing/2014/chart" uri="{C3380CC4-5D6E-409C-BE32-E72D297353CC}">
              <c16:uniqueId val="{00000014-9AC0-4FBB-867C-D4A120433E15}"/>
            </c:ext>
          </c:extLst>
        </c:ser>
        <c:dLbls>
          <c:dLblPos val="bestFit"/>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Sheet5!$B$1</c:f>
              <c:strCache>
                <c:ptCount val="1"/>
                <c:pt idx="0">
                  <c:v>UK</c:v>
                </c:pt>
              </c:strCache>
            </c:strRef>
          </c:tx>
          <c:spPr>
            <a:ln w="28575" cap="rnd">
              <a:solidFill>
                <a:schemeClr val="accent1"/>
              </a:solidFill>
              <a:round/>
            </a:ln>
            <a:effectLst/>
          </c:spPr>
          <c:marker>
            <c:symbol val="none"/>
          </c:marker>
          <c:cat>
            <c:numRef>
              <c:f>Sheet5!$A$2:$A$38</c:f>
              <c:numCache>
                <c:formatCode>General</c:formatCode>
                <c:ptCount val="37"/>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numCache>
            </c:numRef>
          </c:cat>
          <c:val>
            <c:numRef>
              <c:f>Sheet5!$B$2:$B$38</c:f>
              <c:numCache>
                <c:formatCode>General</c:formatCode>
                <c:ptCount val="37"/>
                <c:pt idx="0">
                  <c:v>26</c:v>
                </c:pt>
                <c:pt idx="1">
                  <c:v>72</c:v>
                </c:pt>
                <c:pt idx="2">
                  <c:v>62</c:v>
                </c:pt>
                <c:pt idx="3">
                  <c:v>53</c:v>
                </c:pt>
                <c:pt idx="4">
                  <c:v>42</c:v>
                </c:pt>
                <c:pt idx="5">
                  <c:v>37</c:v>
                </c:pt>
                <c:pt idx="6">
                  <c:v>30</c:v>
                </c:pt>
                <c:pt idx="7">
                  <c:v>42</c:v>
                </c:pt>
                <c:pt idx="8">
                  <c:v>29</c:v>
                </c:pt>
                <c:pt idx="9">
                  <c:v>22</c:v>
                </c:pt>
                <c:pt idx="10">
                  <c:v>20</c:v>
                </c:pt>
                <c:pt idx="11">
                  <c:v>16</c:v>
                </c:pt>
                <c:pt idx="12">
                  <c:v>15</c:v>
                </c:pt>
                <c:pt idx="13">
                  <c:v>6</c:v>
                </c:pt>
                <c:pt idx="14">
                  <c:v>12</c:v>
                </c:pt>
                <c:pt idx="15">
                  <c:v>9</c:v>
                </c:pt>
                <c:pt idx="16">
                  <c:v>9</c:v>
                </c:pt>
                <c:pt idx="17">
                  <c:v>9</c:v>
                </c:pt>
                <c:pt idx="18">
                  <c:v>5</c:v>
                </c:pt>
                <c:pt idx="19">
                  <c:v>4</c:v>
                </c:pt>
                <c:pt idx="20">
                  <c:v>4</c:v>
                </c:pt>
                <c:pt idx="21">
                  <c:v>2</c:v>
                </c:pt>
                <c:pt idx="22">
                  <c:v>4</c:v>
                </c:pt>
                <c:pt idx="23">
                  <c:v>3</c:v>
                </c:pt>
                <c:pt idx="24">
                  <c:v>2</c:v>
                </c:pt>
                <c:pt idx="25">
                  <c:v>3</c:v>
                </c:pt>
                <c:pt idx="26">
                  <c:v>3</c:v>
                </c:pt>
                <c:pt idx="27">
                  <c:v>2</c:v>
                </c:pt>
                <c:pt idx="28">
                  <c:v>1</c:v>
                </c:pt>
                <c:pt idx="29">
                  <c:v>0</c:v>
                </c:pt>
                <c:pt idx="30">
                  <c:v>0</c:v>
                </c:pt>
                <c:pt idx="31">
                  <c:v>0</c:v>
                </c:pt>
                <c:pt idx="32">
                  <c:v>1</c:v>
                </c:pt>
                <c:pt idx="33">
                  <c:v>0</c:v>
                </c:pt>
                <c:pt idx="34">
                  <c:v>0</c:v>
                </c:pt>
                <c:pt idx="35">
                  <c:v>0</c:v>
                </c:pt>
                <c:pt idx="36">
                  <c:v>1</c:v>
                </c:pt>
              </c:numCache>
            </c:numRef>
          </c:val>
          <c:smooth val="0"/>
          <c:extLst>
            <c:ext xmlns:c16="http://schemas.microsoft.com/office/drawing/2014/chart" uri="{C3380CC4-5D6E-409C-BE32-E72D297353CC}">
              <c16:uniqueId val="{00000000-B104-45ED-8B3E-C018936F3D16}"/>
            </c:ext>
          </c:extLst>
        </c:ser>
        <c:ser>
          <c:idx val="1"/>
          <c:order val="1"/>
          <c:tx>
            <c:strRef>
              <c:f>Sheet5!$C$1</c:f>
              <c:strCache>
                <c:ptCount val="1"/>
                <c:pt idx="0">
                  <c:v>USA</c:v>
                </c:pt>
              </c:strCache>
            </c:strRef>
          </c:tx>
          <c:spPr>
            <a:ln w="28575" cap="rnd">
              <a:solidFill>
                <a:schemeClr val="accent2"/>
              </a:solidFill>
              <a:round/>
            </a:ln>
            <a:effectLst/>
          </c:spPr>
          <c:marker>
            <c:symbol val="none"/>
          </c:marker>
          <c:cat>
            <c:numRef>
              <c:f>Sheet5!$A$2:$A$38</c:f>
              <c:numCache>
                <c:formatCode>General</c:formatCode>
                <c:ptCount val="37"/>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numCache>
            </c:numRef>
          </c:cat>
          <c:val>
            <c:numRef>
              <c:f>Sheet5!$C$2:$C$38</c:f>
              <c:numCache>
                <c:formatCode>General</c:formatCode>
                <c:ptCount val="37"/>
                <c:pt idx="0">
                  <c:v>22</c:v>
                </c:pt>
                <c:pt idx="1">
                  <c:v>52</c:v>
                </c:pt>
                <c:pt idx="2">
                  <c:v>48</c:v>
                </c:pt>
                <c:pt idx="3">
                  <c:v>39</c:v>
                </c:pt>
                <c:pt idx="4">
                  <c:v>31</c:v>
                </c:pt>
                <c:pt idx="5">
                  <c:v>29</c:v>
                </c:pt>
                <c:pt idx="6">
                  <c:v>22</c:v>
                </c:pt>
                <c:pt idx="7">
                  <c:v>33</c:v>
                </c:pt>
                <c:pt idx="8">
                  <c:v>21</c:v>
                </c:pt>
                <c:pt idx="9">
                  <c:v>18</c:v>
                </c:pt>
                <c:pt idx="10">
                  <c:v>14</c:v>
                </c:pt>
                <c:pt idx="11">
                  <c:v>11</c:v>
                </c:pt>
                <c:pt idx="12">
                  <c:v>14</c:v>
                </c:pt>
                <c:pt idx="13">
                  <c:v>5</c:v>
                </c:pt>
                <c:pt idx="14">
                  <c:v>10</c:v>
                </c:pt>
                <c:pt idx="15">
                  <c:v>6</c:v>
                </c:pt>
                <c:pt idx="16">
                  <c:v>5</c:v>
                </c:pt>
                <c:pt idx="17">
                  <c:v>7</c:v>
                </c:pt>
                <c:pt idx="18">
                  <c:v>4</c:v>
                </c:pt>
                <c:pt idx="19">
                  <c:v>2</c:v>
                </c:pt>
                <c:pt idx="20">
                  <c:v>4</c:v>
                </c:pt>
                <c:pt idx="21">
                  <c:v>1</c:v>
                </c:pt>
                <c:pt idx="22">
                  <c:v>4</c:v>
                </c:pt>
                <c:pt idx="23">
                  <c:v>1</c:v>
                </c:pt>
                <c:pt idx="24">
                  <c:v>2</c:v>
                </c:pt>
                <c:pt idx="25">
                  <c:v>3</c:v>
                </c:pt>
                <c:pt idx="26">
                  <c:v>3</c:v>
                </c:pt>
                <c:pt idx="27">
                  <c:v>2</c:v>
                </c:pt>
                <c:pt idx="28">
                  <c:v>0</c:v>
                </c:pt>
                <c:pt idx="29">
                  <c:v>0</c:v>
                </c:pt>
                <c:pt idx="30">
                  <c:v>0</c:v>
                </c:pt>
                <c:pt idx="31">
                  <c:v>0</c:v>
                </c:pt>
                <c:pt idx="32">
                  <c:v>0</c:v>
                </c:pt>
                <c:pt idx="33">
                  <c:v>0</c:v>
                </c:pt>
                <c:pt idx="34">
                  <c:v>0</c:v>
                </c:pt>
                <c:pt idx="35">
                  <c:v>0</c:v>
                </c:pt>
                <c:pt idx="36">
                  <c:v>1</c:v>
                </c:pt>
              </c:numCache>
            </c:numRef>
          </c:val>
          <c:smooth val="0"/>
          <c:extLst>
            <c:ext xmlns:c16="http://schemas.microsoft.com/office/drawing/2014/chart" uri="{C3380CC4-5D6E-409C-BE32-E72D297353CC}">
              <c16:uniqueId val="{00000001-B104-45ED-8B3E-C018936F3D16}"/>
            </c:ext>
          </c:extLst>
        </c:ser>
        <c:dLbls>
          <c:showLegendKey val="0"/>
          <c:showVal val="0"/>
          <c:showCatName val="0"/>
          <c:showSerName val="0"/>
          <c:showPercent val="0"/>
          <c:showBubbleSize val="0"/>
        </c:dLbls>
        <c:smooth val="0"/>
        <c:axId val="287955024"/>
        <c:axId val="287951280"/>
      </c:lineChart>
      <c:catAx>
        <c:axId val="287955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7951280"/>
        <c:crosses val="autoZero"/>
        <c:auto val="1"/>
        <c:lblAlgn val="ctr"/>
        <c:lblOffset val="100"/>
        <c:noMultiLvlLbl val="0"/>
      </c:catAx>
      <c:valAx>
        <c:axId val="287951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Results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79550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1"/>
            </a:solidFill>
            <a:ln>
              <a:noFill/>
            </a:ln>
            <a:effectLst/>
          </c:spPr>
          <c:invertIfNegative val="0"/>
          <c:cat>
            <c:strRef>
              <c:f>Sheet3!$A$13:$A$17</c:f>
              <c:strCache>
                <c:ptCount val="5"/>
                <c:pt idx="0">
                  <c:v>Social Science And Medicine</c:v>
                </c:pt>
                <c:pt idx="1">
                  <c:v>Children And Youth Services Review</c:v>
                </c:pt>
                <c:pt idx="2">
                  <c:v>Journal of Marriage and Family</c:v>
                </c:pt>
                <c:pt idx="3">
                  <c:v>Child indicators research</c:v>
                </c:pt>
                <c:pt idx="4">
                  <c:v>Social Indicators Research</c:v>
                </c:pt>
              </c:strCache>
            </c:strRef>
          </c:cat>
          <c:val>
            <c:numRef>
              <c:f>Sheet3!$B$13:$B$17</c:f>
              <c:numCache>
                <c:formatCode>General</c:formatCode>
                <c:ptCount val="5"/>
                <c:pt idx="0">
                  <c:v>51</c:v>
                </c:pt>
                <c:pt idx="1">
                  <c:v>41</c:v>
                </c:pt>
                <c:pt idx="2">
                  <c:v>30</c:v>
                </c:pt>
                <c:pt idx="3">
                  <c:v>23</c:v>
                </c:pt>
                <c:pt idx="4">
                  <c:v>20</c:v>
                </c:pt>
              </c:numCache>
            </c:numRef>
          </c:val>
          <c:extLst>
            <c:ext xmlns:c16="http://schemas.microsoft.com/office/drawing/2014/chart" uri="{C3380CC4-5D6E-409C-BE32-E72D297353CC}">
              <c16:uniqueId val="{00000000-09A1-42D6-896C-F2C79F0CCC75}"/>
            </c:ext>
          </c:extLst>
        </c:ser>
        <c:dLbls>
          <c:showLegendKey val="0"/>
          <c:showVal val="0"/>
          <c:showCatName val="0"/>
          <c:showSerName val="0"/>
          <c:showPercent val="0"/>
          <c:showBubbleSize val="0"/>
        </c:dLbls>
        <c:gapWidth val="182"/>
        <c:axId val="479208176"/>
        <c:axId val="479195280"/>
      </c:barChart>
      <c:catAx>
        <c:axId val="47920817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Journal Title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195280"/>
        <c:crosses val="autoZero"/>
        <c:auto val="1"/>
        <c:lblAlgn val="ctr"/>
        <c:lblOffset val="100"/>
        <c:noMultiLvlLbl val="0"/>
      </c:catAx>
      <c:valAx>
        <c:axId val="4791952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Results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208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2"/>
          <c:order val="2"/>
          <c:tx>
            <c:v>3</c:v>
          </c:tx>
          <c:spPr>
            <a:ln w="28575" cap="rnd">
              <a:solidFill>
                <a:schemeClr val="accent3"/>
              </a:solidFill>
              <a:round/>
            </a:ln>
            <a:effectLst/>
          </c:spPr>
          <c:marker>
            <c:symbol val="none"/>
          </c:marker>
          <c:cat>
            <c:numRef>
              <c:f>Sheet1!$C$9:$C$60</c:f>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f>Sheet1!$F$9:$F$60</c:f>
              <c:numCache>
                <c:formatCode>General</c:formatCode>
                <c:ptCount val="52"/>
                <c:pt idx="0">
                  <c:v>4</c:v>
                </c:pt>
                <c:pt idx="1">
                  <c:v>8</c:v>
                </c:pt>
                <c:pt idx="2">
                  <c:v>13</c:v>
                </c:pt>
                <c:pt idx="3">
                  <c:v>7</c:v>
                </c:pt>
                <c:pt idx="4">
                  <c:v>14</c:v>
                </c:pt>
                <c:pt idx="5">
                  <c:v>7</c:v>
                </c:pt>
                <c:pt idx="6">
                  <c:v>8</c:v>
                </c:pt>
                <c:pt idx="7">
                  <c:v>8</c:v>
                </c:pt>
                <c:pt idx="8">
                  <c:v>6</c:v>
                </c:pt>
                <c:pt idx="9">
                  <c:v>5</c:v>
                </c:pt>
                <c:pt idx="10">
                  <c:v>3</c:v>
                </c:pt>
                <c:pt idx="11">
                  <c:v>3</c:v>
                </c:pt>
                <c:pt idx="12">
                  <c:v>3</c:v>
                </c:pt>
                <c:pt idx="13">
                  <c:v>2</c:v>
                </c:pt>
                <c:pt idx="14">
                  <c:v>2</c:v>
                </c:pt>
                <c:pt idx="15">
                  <c:v>2</c:v>
                </c:pt>
                <c:pt idx="16">
                  <c:v>3</c:v>
                </c:pt>
                <c:pt idx="17">
                  <c:v>1</c:v>
                </c:pt>
                <c:pt idx="18">
                  <c:v>0</c:v>
                </c:pt>
                <c:pt idx="19">
                  <c:v>2</c:v>
                </c:pt>
                <c:pt idx="20">
                  <c:v>1</c:v>
                </c:pt>
                <c:pt idx="21">
                  <c:v>1</c:v>
                </c:pt>
                <c:pt idx="22">
                  <c:v>1</c:v>
                </c:pt>
                <c:pt idx="23">
                  <c:v>0</c:v>
                </c:pt>
                <c:pt idx="24">
                  <c:v>1</c:v>
                </c:pt>
                <c:pt idx="25">
                  <c:v>0</c:v>
                </c:pt>
                <c:pt idx="26">
                  <c:v>1</c:v>
                </c:pt>
                <c:pt idx="27">
                  <c:v>0</c:v>
                </c:pt>
                <c:pt idx="28">
                  <c:v>0</c:v>
                </c:pt>
                <c:pt idx="29">
                  <c:v>0</c:v>
                </c:pt>
                <c:pt idx="30">
                  <c:v>0</c:v>
                </c:pt>
                <c:pt idx="31">
                  <c:v>0</c:v>
                </c:pt>
                <c:pt idx="32">
                  <c:v>1</c:v>
                </c:pt>
              </c:numCache>
            </c:numRef>
          </c:val>
          <c:smooth val="0"/>
          <c:extLst>
            <c:ext xmlns:c16="http://schemas.microsoft.com/office/drawing/2014/chart" uri="{C3380CC4-5D6E-409C-BE32-E72D297353CC}">
              <c16:uniqueId val="{00000000-38CA-41F0-A6BA-8390338C2941}"/>
            </c:ext>
          </c:extLst>
        </c:ser>
        <c:dLbls>
          <c:showLegendKey val="0"/>
          <c:showVal val="0"/>
          <c:showCatName val="0"/>
          <c:showSerName val="0"/>
          <c:showPercent val="0"/>
          <c:showBubbleSize val="0"/>
        </c:dLbls>
        <c:smooth val="0"/>
        <c:axId val="290922016"/>
        <c:axId val="290924096"/>
        <c:extLst>
          <c:ext xmlns:c15="http://schemas.microsoft.com/office/drawing/2012/chart" uri="{02D57815-91ED-43cb-92C2-25804820EDAC}">
            <c15:filteredLineSeries>
              <c15:ser>
                <c:idx val="0"/>
                <c:order val="0"/>
                <c:tx>
                  <c:v>1</c:v>
                </c:tx>
                <c:spPr>
                  <a:ln w="28575" cap="rnd">
                    <a:solidFill>
                      <a:schemeClr val="accent1"/>
                    </a:solidFill>
                    <a:round/>
                  </a:ln>
                  <a:effectLst/>
                </c:spPr>
                <c:marker>
                  <c:symbol val="none"/>
                </c:marker>
                <c:cat>
                  <c:numRef>
                    <c:extLst>
                      <c:ext uri="{02D57815-91ED-43cb-92C2-25804820EDAC}">
                        <c15:formulaRef>
                          <c15:sqref>Sheet1!$C$9:$C$60</c15:sqref>
                        </c15:formulaRef>
                      </c:ext>
                    </c:extLst>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extLst>
                      <c:ext uri="{02D57815-91ED-43cb-92C2-25804820EDAC}">
                        <c15:formulaRef>
                          <c15:sqref>Sheet1!$D$9:$D$60</c15:sqref>
                        </c15:formulaRef>
                      </c:ext>
                    </c:extLst>
                    <c:numCache>
                      <c:formatCode>General</c:formatCode>
                      <c:ptCount val="52"/>
                      <c:pt idx="0">
                        <c:v>26</c:v>
                      </c:pt>
                      <c:pt idx="1">
                        <c:v>94</c:v>
                      </c:pt>
                      <c:pt idx="2">
                        <c:v>87</c:v>
                      </c:pt>
                      <c:pt idx="3">
                        <c:v>70</c:v>
                      </c:pt>
                      <c:pt idx="4">
                        <c:v>89</c:v>
                      </c:pt>
                      <c:pt idx="5">
                        <c:v>71</c:v>
                      </c:pt>
                      <c:pt idx="6">
                        <c:v>70</c:v>
                      </c:pt>
                      <c:pt idx="7">
                        <c:v>65</c:v>
                      </c:pt>
                      <c:pt idx="8">
                        <c:v>49</c:v>
                      </c:pt>
                      <c:pt idx="9">
                        <c:v>57</c:v>
                      </c:pt>
                      <c:pt idx="10">
                        <c:v>46</c:v>
                      </c:pt>
                      <c:pt idx="11">
                        <c:v>40</c:v>
                      </c:pt>
                      <c:pt idx="12">
                        <c:v>30</c:v>
                      </c:pt>
                      <c:pt idx="13">
                        <c:v>18</c:v>
                      </c:pt>
                      <c:pt idx="14">
                        <c:v>19</c:v>
                      </c:pt>
                      <c:pt idx="15">
                        <c:v>20</c:v>
                      </c:pt>
                      <c:pt idx="16">
                        <c:v>25</c:v>
                      </c:pt>
                      <c:pt idx="17">
                        <c:v>15</c:v>
                      </c:pt>
                      <c:pt idx="18">
                        <c:v>15</c:v>
                      </c:pt>
                      <c:pt idx="19">
                        <c:v>15</c:v>
                      </c:pt>
                      <c:pt idx="20">
                        <c:v>10</c:v>
                      </c:pt>
                      <c:pt idx="21">
                        <c:v>9</c:v>
                      </c:pt>
                      <c:pt idx="22">
                        <c:v>9</c:v>
                      </c:pt>
                      <c:pt idx="23">
                        <c:v>10</c:v>
                      </c:pt>
                      <c:pt idx="24">
                        <c:v>11</c:v>
                      </c:pt>
                      <c:pt idx="25">
                        <c:v>8</c:v>
                      </c:pt>
                      <c:pt idx="26">
                        <c:v>6</c:v>
                      </c:pt>
                      <c:pt idx="27">
                        <c:v>2</c:v>
                      </c:pt>
                      <c:pt idx="28">
                        <c:v>8</c:v>
                      </c:pt>
                      <c:pt idx="29">
                        <c:v>3</c:v>
                      </c:pt>
                      <c:pt idx="30">
                        <c:v>0</c:v>
                      </c:pt>
                      <c:pt idx="31">
                        <c:v>2</c:v>
                      </c:pt>
                      <c:pt idx="32">
                        <c:v>2</c:v>
                      </c:pt>
                      <c:pt idx="33">
                        <c:v>1</c:v>
                      </c:pt>
                      <c:pt idx="34">
                        <c:v>2</c:v>
                      </c:pt>
                      <c:pt idx="35">
                        <c:v>0</c:v>
                      </c:pt>
                      <c:pt idx="36">
                        <c:v>0</c:v>
                      </c:pt>
                      <c:pt idx="37">
                        <c:v>0</c:v>
                      </c:pt>
                      <c:pt idx="38">
                        <c:v>2</c:v>
                      </c:pt>
                      <c:pt idx="39">
                        <c:v>0</c:v>
                      </c:pt>
                      <c:pt idx="40">
                        <c:v>0</c:v>
                      </c:pt>
                      <c:pt idx="41">
                        <c:v>2</c:v>
                      </c:pt>
                      <c:pt idx="42">
                        <c:v>0</c:v>
                      </c:pt>
                      <c:pt idx="43">
                        <c:v>3</c:v>
                      </c:pt>
                      <c:pt idx="44">
                        <c:v>0</c:v>
                      </c:pt>
                      <c:pt idx="45">
                        <c:v>2</c:v>
                      </c:pt>
                      <c:pt idx="46">
                        <c:v>0</c:v>
                      </c:pt>
                      <c:pt idx="47">
                        <c:v>2</c:v>
                      </c:pt>
                      <c:pt idx="48">
                        <c:v>0</c:v>
                      </c:pt>
                      <c:pt idx="49">
                        <c:v>0</c:v>
                      </c:pt>
                      <c:pt idx="50">
                        <c:v>0</c:v>
                      </c:pt>
                      <c:pt idx="51">
                        <c:v>1</c:v>
                      </c:pt>
                    </c:numCache>
                  </c:numRef>
                </c:val>
                <c:smooth val="0"/>
                <c:extLst>
                  <c:ext xmlns:c16="http://schemas.microsoft.com/office/drawing/2014/chart" uri="{C3380CC4-5D6E-409C-BE32-E72D297353CC}">
                    <c16:uniqueId val="{00000001-38CA-41F0-A6BA-8390338C2941}"/>
                  </c:ext>
                </c:extLst>
              </c15:ser>
            </c15:filteredLineSeries>
            <c15:filteredLineSeries>
              <c15:ser>
                <c:idx val="1"/>
                <c:order val="1"/>
                <c:tx>
                  <c:v>2</c:v>
                </c:tx>
                <c:spPr>
                  <a:ln w="28575" cap="rnd">
                    <a:solidFill>
                      <a:schemeClr val="accent2"/>
                    </a:solidFill>
                    <a:round/>
                  </a:ln>
                  <a:effectLst/>
                </c:spPr>
                <c:marker>
                  <c:symbol val="none"/>
                </c:marker>
                <c:cat>
                  <c:numRef>
                    <c:extLst xmlns:c15="http://schemas.microsoft.com/office/drawing/2012/chart">
                      <c:ext xmlns:c15="http://schemas.microsoft.com/office/drawing/2012/chart" uri="{02D57815-91ED-43cb-92C2-25804820EDAC}">
                        <c15:formulaRef>
                          <c15:sqref>Sheet1!$C$9:$C$60</c15:sqref>
                        </c15:formulaRef>
                      </c:ext>
                    </c:extLst>
                    <c:numCache>
                      <c:formatCode>General</c:formatCode>
                      <c:ptCount val="52"/>
                      <c:pt idx="0">
                        <c:v>2018</c:v>
                      </c:pt>
                      <c:pt idx="1">
                        <c:v>2017</c:v>
                      </c:pt>
                      <c:pt idx="2">
                        <c:v>2016</c:v>
                      </c:pt>
                      <c:pt idx="3">
                        <c:v>2015</c:v>
                      </c:pt>
                      <c:pt idx="4">
                        <c:v>2014</c:v>
                      </c:pt>
                      <c:pt idx="5">
                        <c:v>2013</c:v>
                      </c:pt>
                      <c:pt idx="6">
                        <c:v>2012</c:v>
                      </c:pt>
                      <c:pt idx="7">
                        <c:v>2011</c:v>
                      </c:pt>
                      <c:pt idx="8">
                        <c:v>2010</c:v>
                      </c:pt>
                      <c:pt idx="9">
                        <c:v>2009</c:v>
                      </c:pt>
                      <c:pt idx="10">
                        <c:v>2008</c:v>
                      </c:pt>
                      <c:pt idx="11">
                        <c:v>2007</c:v>
                      </c:pt>
                      <c:pt idx="12">
                        <c:v>2006</c:v>
                      </c:pt>
                      <c:pt idx="13">
                        <c:v>2005</c:v>
                      </c:pt>
                      <c:pt idx="14">
                        <c:v>2004</c:v>
                      </c:pt>
                      <c:pt idx="15">
                        <c:v>2003</c:v>
                      </c:pt>
                      <c:pt idx="16">
                        <c:v>2002</c:v>
                      </c:pt>
                      <c:pt idx="17">
                        <c:v>2001</c:v>
                      </c:pt>
                      <c:pt idx="18">
                        <c:v>2000</c:v>
                      </c:pt>
                      <c:pt idx="19">
                        <c:v>1999</c:v>
                      </c:pt>
                      <c:pt idx="20">
                        <c:v>1998</c:v>
                      </c:pt>
                      <c:pt idx="21">
                        <c:v>1997</c:v>
                      </c:pt>
                      <c:pt idx="22">
                        <c:v>1996</c:v>
                      </c:pt>
                      <c:pt idx="23">
                        <c:v>1995</c:v>
                      </c:pt>
                      <c:pt idx="24">
                        <c:v>1994</c:v>
                      </c:pt>
                      <c:pt idx="25">
                        <c:v>1993</c:v>
                      </c:pt>
                      <c:pt idx="26">
                        <c:v>1992</c:v>
                      </c:pt>
                      <c:pt idx="27">
                        <c:v>1991</c:v>
                      </c:pt>
                      <c:pt idx="28">
                        <c:v>1990</c:v>
                      </c:pt>
                      <c:pt idx="29">
                        <c:v>1989</c:v>
                      </c:pt>
                      <c:pt idx="30">
                        <c:v>1988</c:v>
                      </c:pt>
                      <c:pt idx="31">
                        <c:v>1987</c:v>
                      </c:pt>
                      <c:pt idx="32">
                        <c:v>1986</c:v>
                      </c:pt>
                      <c:pt idx="33">
                        <c:v>1985</c:v>
                      </c:pt>
                      <c:pt idx="34">
                        <c:v>1984</c:v>
                      </c:pt>
                      <c:pt idx="35">
                        <c:v>1983</c:v>
                      </c:pt>
                      <c:pt idx="36">
                        <c:v>1982</c:v>
                      </c:pt>
                      <c:pt idx="37">
                        <c:v>1981</c:v>
                      </c:pt>
                      <c:pt idx="38">
                        <c:v>1980</c:v>
                      </c:pt>
                      <c:pt idx="39">
                        <c:v>1979</c:v>
                      </c:pt>
                      <c:pt idx="40">
                        <c:v>1978</c:v>
                      </c:pt>
                      <c:pt idx="41">
                        <c:v>1977</c:v>
                      </c:pt>
                      <c:pt idx="42">
                        <c:v>1976</c:v>
                      </c:pt>
                      <c:pt idx="43">
                        <c:v>1975</c:v>
                      </c:pt>
                      <c:pt idx="44">
                        <c:v>1974</c:v>
                      </c:pt>
                      <c:pt idx="45">
                        <c:v>1973</c:v>
                      </c:pt>
                      <c:pt idx="46">
                        <c:v>1972</c:v>
                      </c:pt>
                      <c:pt idx="47">
                        <c:v>1971</c:v>
                      </c:pt>
                      <c:pt idx="48">
                        <c:v>1970</c:v>
                      </c:pt>
                      <c:pt idx="49">
                        <c:v>1969</c:v>
                      </c:pt>
                      <c:pt idx="50">
                        <c:v>1968</c:v>
                      </c:pt>
                      <c:pt idx="51">
                        <c:v>1967</c:v>
                      </c:pt>
                    </c:numCache>
                  </c:numRef>
                </c:cat>
                <c:val>
                  <c:numRef>
                    <c:extLst xmlns:c15="http://schemas.microsoft.com/office/drawing/2012/chart">
                      <c:ext xmlns:c15="http://schemas.microsoft.com/office/drawing/2012/chart" uri="{02D57815-91ED-43cb-92C2-25804820EDAC}">
                        <c15:formulaRef>
                          <c15:sqref>Sheet1!$E$9:$E$60</c15:sqref>
                        </c15:formulaRef>
                      </c:ext>
                    </c:extLst>
                    <c:numCache>
                      <c:formatCode>General</c:formatCode>
                      <c:ptCount val="52"/>
                      <c:pt idx="0">
                        <c:v>37</c:v>
                      </c:pt>
                      <c:pt idx="1">
                        <c:v>115</c:v>
                      </c:pt>
                      <c:pt idx="2">
                        <c:v>108</c:v>
                      </c:pt>
                      <c:pt idx="3">
                        <c:v>102</c:v>
                      </c:pt>
                      <c:pt idx="4">
                        <c:v>78</c:v>
                      </c:pt>
                      <c:pt idx="5">
                        <c:v>60</c:v>
                      </c:pt>
                      <c:pt idx="6">
                        <c:v>63</c:v>
                      </c:pt>
                      <c:pt idx="7">
                        <c:v>58</c:v>
                      </c:pt>
                      <c:pt idx="8">
                        <c:v>55</c:v>
                      </c:pt>
                      <c:pt idx="9">
                        <c:v>36</c:v>
                      </c:pt>
                      <c:pt idx="10">
                        <c:v>33</c:v>
                      </c:pt>
                      <c:pt idx="11">
                        <c:v>22</c:v>
                      </c:pt>
                      <c:pt idx="12">
                        <c:v>25</c:v>
                      </c:pt>
                      <c:pt idx="13">
                        <c:v>13</c:v>
                      </c:pt>
                      <c:pt idx="14">
                        <c:v>13</c:v>
                      </c:pt>
                      <c:pt idx="15">
                        <c:v>11</c:v>
                      </c:pt>
                      <c:pt idx="16">
                        <c:v>15</c:v>
                      </c:pt>
                      <c:pt idx="17">
                        <c:v>10</c:v>
                      </c:pt>
                      <c:pt idx="18">
                        <c:v>8</c:v>
                      </c:pt>
                      <c:pt idx="19">
                        <c:v>8</c:v>
                      </c:pt>
                      <c:pt idx="20">
                        <c:v>7</c:v>
                      </c:pt>
                      <c:pt idx="21">
                        <c:v>3</c:v>
                      </c:pt>
                      <c:pt idx="22">
                        <c:v>8</c:v>
                      </c:pt>
                      <c:pt idx="23">
                        <c:v>4</c:v>
                      </c:pt>
                      <c:pt idx="24">
                        <c:v>3</c:v>
                      </c:pt>
                      <c:pt idx="25">
                        <c:v>3</c:v>
                      </c:pt>
                      <c:pt idx="26">
                        <c:v>3</c:v>
                      </c:pt>
                      <c:pt idx="27">
                        <c:v>3</c:v>
                      </c:pt>
                      <c:pt idx="28">
                        <c:v>2</c:v>
                      </c:pt>
                      <c:pt idx="29">
                        <c:v>0</c:v>
                      </c:pt>
                      <c:pt idx="30">
                        <c:v>0</c:v>
                      </c:pt>
                      <c:pt idx="31">
                        <c:v>0</c:v>
                      </c:pt>
                      <c:pt idx="32">
                        <c:v>2</c:v>
                      </c:pt>
                      <c:pt idx="33">
                        <c:v>0</c:v>
                      </c:pt>
                      <c:pt idx="34">
                        <c:v>1</c:v>
                      </c:pt>
                      <c:pt idx="35">
                        <c:v>0</c:v>
                      </c:pt>
                      <c:pt idx="36">
                        <c:v>1</c:v>
                      </c:pt>
                      <c:pt idx="37">
                        <c:v>0</c:v>
                      </c:pt>
                      <c:pt idx="38">
                        <c:v>0</c:v>
                      </c:pt>
                      <c:pt idx="39">
                        <c:v>1</c:v>
                      </c:pt>
                      <c:pt idx="40">
                        <c:v>1</c:v>
                      </c:pt>
                    </c:numCache>
                  </c:numRef>
                </c:val>
                <c:smooth val="0"/>
                <c:extLst xmlns:c15="http://schemas.microsoft.com/office/drawing/2012/chart">
                  <c:ext xmlns:c16="http://schemas.microsoft.com/office/drawing/2014/chart" uri="{C3380CC4-5D6E-409C-BE32-E72D297353CC}">
                    <c16:uniqueId val="{00000002-38CA-41F0-A6BA-8390338C2941}"/>
                  </c:ext>
                </c:extLst>
              </c15:ser>
            </c15:filteredLineSeries>
          </c:ext>
        </c:extLst>
      </c:lineChart>
      <c:catAx>
        <c:axId val="2909220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0924096"/>
        <c:crosses val="autoZero"/>
        <c:auto val="1"/>
        <c:lblAlgn val="ctr"/>
        <c:lblOffset val="100"/>
        <c:noMultiLvlLbl val="0"/>
      </c:catAx>
      <c:valAx>
        <c:axId val="290924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a:t>
                </a:r>
                <a:r>
                  <a:rPr lang="en-GB" baseline="0"/>
                  <a:t> of results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092201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35</Pages>
  <Words>33031</Words>
  <Characters>188278</Characters>
  <Application>Microsoft Office Word</Application>
  <DocSecurity>0</DocSecurity>
  <Lines>1568</Lines>
  <Paragraphs>441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Barrington (1503168)</dc:creator>
  <cp:keywords/>
  <dc:description/>
  <cp:lastModifiedBy>Joanna Barrington (1503168)</cp:lastModifiedBy>
  <cp:revision>1</cp:revision>
  <dcterms:created xsi:type="dcterms:W3CDTF">2018-05-03T09:23:00Z</dcterms:created>
  <dcterms:modified xsi:type="dcterms:W3CDTF">2018-05-03T09:24:00Z</dcterms:modified>
</cp:coreProperties>
</file>