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1125617203"/>
        <w:docPartObj>
          <w:docPartGallery w:val="Cover Pages"/>
          <w:docPartUnique/>
        </w:docPartObj>
      </w:sdtPr>
      <w:sdtContent>
        <w:p w14:paraId="207B5C66" w14:textId="5642DF12" w:rsidR="00DF4555" w:rsidRDefault="00DF4555">
          <w:pPr>
            <w:rPr>
              <w:rFonts w:eastAsia="Times New Roman" w:cstheme="minorHAnsi"/>
              <w:sz w:val="24"/>
              <w:szCs w:val="24"/>
            </w:rPr>
          </w:pPr>
          <w:r w:rsidRPr="00DF4555">
            <w:rPr>
              <w:rFonts w:cstheme="minorHAnsi"/>
              <w:noProof/>
            </w:rPr>
            <mc:AlternateContent>
              <mc:Choice Requires="wps">
                <w:drawing>
                  <wp:anchor distT="0" distB="0" distL="114300" distR="114300" simplePos="0" relativeHeight="251659264" behindDoc="0" locked="0" layoutInCell="1" allowOverlap="1" wp14:anchorId="1E66DC0F" wp14:editId="6B14ECB6">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24"/>
                                </w:tblGrid>
                                <w:tr w:rsidR="00DF4555" w14:paraId="1D20B3F6" w14:textId="77777777">
                                  <w:trPr>
                                    <w:jc w:val="center"/>
                                  </w:trPr>
                                  <w:tc>
                                    <w:tcPr>
                                      <w:tcW w:w="2568" w:type="pct"/>
                                      <w:vAlign w:val="center"/>
                                    </w:tcPr>
                                    <w:p w14:paraId="23F2DA34" w14:textId="77777777" w:rsidR="00DF4555" w:rsidRDefault="00DF4555">
                                      <w:pPr>
                                        <w:jc w:val="right"/>
                                      </w:pPr>
                                      <w:r>
                                        <w:rPr>
                                          <w:noProof/>
                                        </w:rPr>
                                        <w:drawing>
                                          <wp:inline distT="0" distB="0" distL="0" distR="0" wp14:anchorId="607A15E0" wp14:editId="4A55E9D6">
                                            <wp:extent cx="3064510" cy="4431982"/>
                                            <wp:effectExtent l="0" t="0" r="2540" b="698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68237" cy="443737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6A9C8F2" w14:textId="46447A29" w:rsidR="00DF4555" w:rsidRDefault="00B00665">
                                          <w:pPr>
                                            <w:pStyle w:val="NoSpacing"/>
                                            <w:spacing w:line="312" w:lineRule="auto"/>
                                            <w:jc w:val="right"/>
                                            <w:rPr>
                                              <w:caps/>
                                              <w:color w:val="191919" w:themeColor="text1" w:themeTint="E6"/>
                                              <w:sz w:val="72"/>
                                              <w:szCs w:val="72"/>
                                            </w:rPr>
                                          </w:pPr>
                                          <w:r>
                                            <w:rPr>
                                              <w:caps/>
                                              <w:color w:val="191919" w:themeColor="text1" w:themeTint="E6"/>
                                              <w:sz w:val="72"/>
                                              <w:szCs w:val="72"/>
                                            </w:rPr>
                                            <w:t>Community Engagement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A8EAD67" w14:textId="4BD0EF38" w:rsidR="00DF4555" w:rsidRDefault="00B00665">
                                          <w:pPr>
                                            <w:jc w:val="right"/>
                                            <w:rPr>
                                              <w:sz w:val="24"/>
                                              <w:szCs w:val="24"/>
                                            </w:rPr>
                                          </w:pPr>
                                          <w:r>
                                            <w:rPr>
                                              <w:color w:val="000000" w:themeColor="text1"/>
                                              <w:sz w:val="24"/>
                                              <w:szCs w:val="24"/>
                                            </w:rPr>
                                            <w:t>Assignment 1</w:t>
                                          </w:r>
                                        </w:p>
                                      </w:sdtContent>
                                    </w:sdt>
                                  </w:tc>
                                  <w:tc>
                                    <w:tcPr>
                                      <w:tcW w:w="2432" w:type="pct"/>
                                      <w:vAlign w:val="center"/>
                                    </w:tcPr>
                                    <w:p w14:paraId="3E9F18D1" w14:textId="5CE62C44" w:rsidR="00DF4555" w:rsidRDefault="00B00665">
                                      <w:pPr>
                                        <w:pStyle w:val="NoSpacing"/>
                                        <w:rPr>
                                          <w:caps/>
                                          <w:color w:val="ED7D31" w:themeColor="accent2"/>
                                          <w:sz w:val="26"/>
                                          <w:szCs w:val="26"/>
                                        </w:rPr>
                                      </w:pPr>
                                      <w:r>
                                        <w:rPr>
                                          <w:caps/>
                                          <w:color w:val="ED7D31" w:themeColor="accent2"/>
                                          <w:sz w:val="26"/>
                                          <w:szCs w:val="26"/>
                                        </w:rPr>
                                        <w:t xml:space="preserve">Lecturer: </w:t>
                                      </w:r>
                                      <w:r w:rsidR="00CE18C5">
                                        <w:rPr>
                                          <w:caps/>
                                          <w:color w:val="ED7D31" w:themeColor="accent2"/>
                                          <w:sz w:val="26"/>
                                          <w:szCs w:val="26"/>
                                        </w:rPr>
                                        <w:t>dr.</w:t>
                                      </w:r>
                                      <w:r>
                                        <w:rPr>
                                          <w:caps/>
                                          <w:color w:val="ED7D31" w:themeColor="accent2"/>
                                          <w:sz w:val="26"/>
                                          <w:szCs w:val="26"/>
                                        </w:rPr>
                                        <w:t>molly jack</w:t>
                                      </w:r>
                                    </w:p>
                                    <w:sdt>
                                      <w:sdtPr>
                                        <w:rPr>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7887DFF1" w14:textId="02D79BBC" w:rsidR="00DF4555" w:rsidRPr="00B00665" w:rsidRDefault="00B00665">
                                          <w:pPr>
                                            <w:rPr>
                                              <w:color w:val="000000" w:themeColor="text1"/>
                                              <w:sz w:val="28"/>
                                              <w:szCs w:val="28"/>
                                            </w:rPr>
                                          </w:pPr>
                                          <w:r w:rsidRPr="00B00665">
                                            <w:rPr>
                                              <w:color w:val="000000" w:themeColor="text1"/>
                                              <w:sz w:val="28"/>
                                              <w:szCs w:val="28"/>
                                            </w:rPr>
                                            <w:t>Hampstead Garden Suburb community in London borough in Barnet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FA70E79" w14:textId="7ACABE66" w:rsidR="00DF4555" w:rsidRDefault="00B00665">
                                          <w:pPr>
                                            <w:pStyle w:val="NoSpacing"/>
                                            <w:rPr>
                                              <w:color w:val="ED7D31" w:themeColor="accent2"/>
                                              <w:sz w:val="26"/>
                                              <w:szCs w:val="26"/>
                                            </w:rPr>
                                          </w:pPr>
                                          <w:r>
                                            <w:rPr>
                                              <w:color w:val="ED7D31" w:themeColor="accent2"/>
                                              <w:sz w:val="26"/>
                                              <w:szCs w:val="26"/>
                                            </w:rPr>
                                            <w:t>Elena</w:t>
                                          </w:r>
                                          <w:r w:rsidR="00DF4555">
                                            <w:rPr>
                                              <w:color w:val="ED7D31" w:themeColor="accent2"/>
                                              <w:sz w:val="26"/>
                                              <w:szCs w:val="26"/>
                                            </w:rPr>
                                            <w:t xml:space="preserve"> Nedelchev</w:t>
                                          </w:r>
                                          <w:r>
                                            <w:rPr>
                                              <w:color w:val="ED7D31" w:themeColor="accent2"/>
                                              <w:sz w:val="26"/>
                                              <w:szCs w:val="26"/>
                                            </w:rPr>
                                            <w:t>a</w:t>
                                          </w:r>
                                        </w:p>
                                      </w:sdtContent>
                                    </w:sdt>
                                    <w:p w14:paraId="16E2FD6B" w14:textId="726ED76E" w:rsidR="00DF4555" w:rsidRDefault="00DF455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00665">
                                            <w:rPr>
                                              <w:color w:val="44546A" w:themeColor="text2"/>
                                            </w:rPr>
                                            <w:t>SN 2112413</w:t>
                                          </w:r>
                                        </w:sdtContent>
                                      </w:sdt>
                                    </w:p>
                                  </w:tc>
                                </w:tr>
                              </w:tbl>
                              <w:p w14:paraId="0AA49FCA" w14:textId="77777777" w:rsidR="00DF4555" w:rsidRDefault="00DF455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E66DC0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24"/>
                          </w:tblGrid>
                          <w:tr w:rsidR="00DF4555" w14:paraId="1D20B3F6" w14:textId="77777777">
                            <w:trPr>
                              <w:jc w:val="center"/>
                            </w:trPr>
                            <w:tc>
                              <w:tcPr>
                                <w:tcW w:w="2568" w:type="pct"/>
                                <w:vAlign w:val="center"/>
                              </w:tcPr>
                              <w:p w14:paraId="23F2DA34" w14:textId="77777777" w:rsidR="00DF4555" w:rsidRDefault="00DF4555">
                                <w:pPr>
                                  <w:jc w:val="right"/>
                                </w:pPr>
                                <w:r>
                                  <w:rPr>
                                    <w:noProof/>
                                  </w:rPr>
                                  <w:drawing>
                                    <wp:inline distT="0" distB="0" distL="0" distR="0" wp14:anchorId="607A15E0" wp14:editId="4A55E9D6">
                                      <wp:extent cx="3064510" cy="4431982"/>
                                      <wp:effectExtent l="0" t="0" r="2540" b="698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68237" cy="443737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6A9C8F2" w14:textId="46447A29" w:rsidR="00DF4555" w:rsidRDefault="00B00665">
                                    <w:pPr>
                                      <w:pStyle w:val="NoSpacing"/>
                                      <w:spacing w:line="312" w:lineRule="auto"/>
                                      <w:jc w:val="right"/>
                                      <w:rPr>
                                        <w:caps/>
                                        <w:color w:val="191919" w:themeColor="text1" w:themeTint="E6"/>
                                        <w:sz w:val="72"/>
                                        <w:szCs w:val="72"/>
                                      </w:rPr>
                                    </w:pPr>
                                    <w:r>
                                      <w:rPr>
                                        <w:caps/>
                                        <w:color w:val="191919" w:themeColor="text1" w:themeTint="E6"/>
                                        <w:sz w:val="72"/>
                                        <w:szCs w:val="72"/>
                                      </w:rPr>
                                      <w:t>Community Engagement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A8EAD67" w14:textId="4BD0EF38" w:rsidR="00DF4555" w:rsidRDefault="00B00665">
                                    <w:pPr>
                                      <w:jc w:val="right"/>
                                      <w:rPr>
                                        <w:sz w:val="24"/>
                                        <w:szCs w:val="24"/>
                                      </w:rPr>
                                    </w:pPr>
                                    <w:r>
                                      <w:rPr>
                                        <w:color w:val="000000" w:themeColor="text1"/>
                                        <w:sz w:val="24"/>
                                        <w:szCs w:val="24"/>
                                      </w:rPr>
                                      <w:t>Assignment 1</w:t>
                                    </w:r>
                                  </w:p>
                                </w:sdtContent>
                              </w:sdt>
                            </w:tc>
                            <w:tc>
                              <w:tcPr>
                                <w:tcW w:w="2432" w:type="pct"/>
                                <w:vAlign w:val="center"/>
                              </w:tcPr>
                              <w:p w14:paraId="3E9F18D1" w14:textId="5CE62C44" w:rsidR="00DF4555" w:rsidRDefault="00B00665">
                                <w:pPr>
                                  <w:pStyle w:val="NoSpacing"/>
                                  <w:rPr>
                                    <w:caps/>
                                    <w:color w:val="ED7D31" w:themeColor="accent2"/>
                                    <w:sz w:val="26"/>
                                    <w:szCs w:val="26"/>
                                  </w:rPr>
                                </w:pPr>
                                <w:r>
                                  <w:rPr>
                                    <w:caps/>
                                    <w:color w:val="ED7D31" w:themeColor="accent2"/>
                                    <w:sz w:val="26"/>
                                    <w:szCs w:val="26"/>
                                  </w:rPr>
                                  <w:t xml:space="preserve">Lecturer: </w:t>
                                </w:r>
                                <w:r w:rsidR="00CE18C5">
                                  <w:rPr>
                                    <w:caps/>
                                    <w:color w:val="ED7D31" w:themeColor="accent2"/>
                                    <w:sz w:val="26"/>
                                    <w:szCs w:val="26"/>
                                  </w:rPr>
                                  <w:t>dr.</w:t>
                                </w:r>
                                <w:r>
                                  <w:rPr>
                                    <w:caps/>
                                    <w:color w:val="ED7D31" w:themeColor="accent2"/>
                                    <w:sz w:val="26"/>
                                    <w:szCs w:val="26"/>
                                  </w:rPr>
                                  <w:t>molly jack</w:t>
                                </w:r>
                              </w:p>
                              <w:sdt>
                                <w:sdtPr>
                                  <w:rPr>
                                    <w:color w:val="000000" w:themeColor="text1"/>
                                    <w:sz w:val="28"/>
                                    <w:szCs w:val="28"/>
                                  </w:rPr>
                                  <w:alias w:val="Abstract"/>
                                  <w:tag w:val=""/>
                                  <w:id w:val="-2036181933"/>
                                  <w:dataBinding w:prefixMappings="xmlns:ns0='http://schemas.microsoft.com/office/2006/coverPageProps' " w:xpath="/ns0:CoverPageProperties[1]/ns0:Abstract[1]" w:storeItemID="{55AF091B-3C7A-41E3-B477-F2FDAA23CFDA}"/>
                                  <w:text/>
                                </w:sdtPr>
                                <w:sdtContent>
                                  <w:p w14:paraId="7887DFF1" w14:textId="02D79BBC" w:rsidR="00DF4555" w:rsidRPr="00B00665" w:rsidRDefault="00B00665">
                                    <w:pPr>
                                      <w:rPr>
                                        <w:color w:val="000000" w:themeColor="text1"/>
                                        <w:sz w:val="28"/>
                                        <w:szCs w:val="28"/>
                                      </w:rPr>
                                    </w:pPr>
                                    <w:r w:rsidRPr="00B00665">
                                      <w:rPr>
                                        <w:color w:val="000000" w:themeColor="text1"/>
                                        <w:sz w:val="28"/>
                                        <w:szCs w:val="28"/>
                                      </w:rPr>
                                      <w:t>Hampstead Garden Suburb community in London borough in Barnet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FA70E79" w14:textId="7ACABE66" w:rsidR="00DF4555" w:rsidRDefault="00B00665">
                                    <w:pPr>
                                      <w:pStyle w:val="NoSpacing"/>
                                      <w:rPr>
                                        <w:color w:val="ED7D31" w:themeColor="accent2"/>
                                        <w:sz w:val="26"/>
                                        <w:szCs w:val="26"/>
                                      </w:rPr>
                                    </w:pPr>
                                    <w:r>
                                      <w:rPr>
                                        <w:color w:val="ED7D31" w:themeColor="accent2"/>
                                        <w:sz w:val="26"/>
                                        <w:szCs w:val="26"/>
                                      </w:rPr>
                                      <w:t>Elena</w:t>
                                    </w:r>
                                    <w:r w:rsidR="00DF4555">
                                      <w:rPr>
                                        <w:color w:val="ED7D31" w:themeColor="accent2"/>
                                        <w:sz w:val="26"/>
                                        <w:szCs w:val="26"/>
                                      </w:rPr>
                                      <w:t xml:space="preserve"> Nedelchev</w:t>
                                    </w:r>
                                    <w:r>
                                      <w:rPr>
                                        <w:color w:val="ED7D31" w:themeColor="accent2"/>
                                        <w:sz w:val="26"/>
                                        <w:szCs w:val="26"/>
                                      </w:rPr>
                                      <w:t>a</w:t>
                                    </w:r>
                                  </w:p>
                                </w:sdtContent>
                              </w:sdt>
                              <w:p w14:paraId="16E2FD6B" w14:textId="726ED76E" w:rsidR="00DF4555" w:rsidRDefault="00DF455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00665">
                                      <w:rPr>
                                        <w:color w:val="44546A" w:themeColor="text2"/>
                                      </w:rPr>
                                      <w:t>SN 2112413</w:t>
                                    </w:r>
                                  </w:sdtContent>
                                </w:sdt>
                              </w:p>
                            </w:tc>
                          </w:tr>
                        </w:tbl>
                        <w:p w14:paraId="0AA49FCA" w14:textId="77777777" w:rsidR="00DF4555" w:rsidRDefault="00DF4555"/>
                      </w:txbxContent>
                    </v:textbox>
                    <w10:wrap anchorx="page" anchory="page"/>
                  </v:shape>
                </w:pict>
              </mc:Fallback>
            </mc:AlternateContent>
          </w:r>
          <w:r>
            <w:rPr>
              <w:rFonts w:cstheme="minorHAnsi"/>
            </w:rPr>
            <w:br w:type="page"/>
          </w:r>
        </w:p>
      </w:sdtContent>
    </w:sdt>
    <w:p w14:paraId="0E15DB63" w14:textId="77777777" w:rsidR="00026F33" w:rsidRDefault="00026F33" w:rsidP="00026F33">
      <w:pPr>
        <w:pStyle w:val="normal0"/>
        <w:jc w:val="center"/>
      </w:pPr>
    </w:p>
    <w:p w14:paraId="7A128FFB" w14:textId="77777777" w:rsidR="00611710" w:rsidRPr="00C135AB" w:rsidRDefault="00611710" w:rsidP="00611710">
      <w:pPr>
        <w:pStyle w:val="normal0"/>
        <w:keepNext/>
        <w:keepLines/>
        <w:spacing w:before="240" w:line="256" w:lineRule="auto"/>
        <w:jc w:val="left"/>
        <w:rPr>
          <w:rFonts w:asciiTheme="minorHAnsi" w:eastAsia="Calibri" w:hAnsiTheme="minorHAnsi" w:cstheme="minorHAnsi"/>
          <w:color w:val="2E75B5"/>
        </w:rPr>
      </w:pPr>
      <w:r>
        <w:rPr>
          <w:rFonts w:ascii="Calibri" w:eastAsia="Calibri" w:hAnsi="Calibri" w:cs="Calibri"/>
          <w:color w:val="2E75B5"/>
          <w:sz w:val="32"/>
          <w:szCs w:val="32"/>
        </w:rPr>
        <w:t>Contents</w:t>
      </w:r>
    </w:p>
    <w:sdt>
      <w:sdtPr>
        <w:rPr>
          <w:rFonts w:cstheme="minorHAnsi"/>
          <w:sz w:val="24"/>
          <w:szCs w:val="24"/>
        </w:rPr>
        <w:id w:val="318286412"/>
        <w:docPartObj>
          <w:docPartGallery w:val="Table of Contents"/>
          <w:docPartUnique/>
        </w:docPartObj>
      </w:sdtPr>
      <w:sdtEndPr>
        <w:rPr>
          <w:rFonts w:eastAsia="Times New Roman"/>
        </w:rPr>
      </w:sdtEndPr>
      <w:sdtContent>
        <w:p w14:paraId="128DE88B" w14:textId="66FF6291" w:rsidR="00611710" w:rsidRDefault="00611710">
          <w:pPr>
            <w:pStyle w:val="TOC1"/>
            <w:tabs>
              <w:tab w:val="right" w:pos="9350"/>
            </w:tabs>
            <w:rPr>
              <w:rFonts w:eastAsiaTheme="minorEastAsia"/>
              <w:noProof/>
            </w:rPr>
          </w:pPr>
          <w:r w:rsidRPr="00C135AB">
            <w:rPr>
              <w:rFonts w:cstheme="minorHAnsi"/>
              <w:sz w:val="24"/>
              <w:szCs w:val="24"/>
            </w:rPr>
            <w:fldChar w:fldCharType="begin"/>
          </w:r>
          <w:r w:rsidRPr="00C135AB">
            <w:rPr>
              <w:rFonts w:cstheme="minorHAnsi"/>
              <w:sz w:val="24"/>
              <w:szCs w:val="24"/>
            </w:rPr>
            <w:instrText xml:space="preserve"> TOC \h \u \z </w:instrText>
          </w:r>
          <w:r w:rsidRPr="00C135AB">
            <w:rPr>
              <w:rFonts w:cstheme="minorHAnsi"/>
              <w:sz w:val="24"/>
              <w:szCs w:val="24"/>
            </w:rPr>
            <w:fldChar w:fldCharType="separate"/>
          </w:r>
          <w:hyperlink w:anchor="_Toc102476707" w:history="1">
            <w:r w:rsidRPr="0024089E">
              <w:rPr>
                <w:rStyle w:val="Hyperlink"/>
                <w:rFonts w:cstheme="minorHAnsi"/>
                <w:noProof/>
              </w:rPr>
              <w:t>Introduction</w:t>
            </w:r>
            <w:r>
              <w:rPr>
                <w:noProof/>
                <w:webHidden/>
              </w:rPr>
              <w:tab/>
            </w:r>
            <w:r>
              <w:rPr>
                <w:noProof/>
                <w:webHidden/>
              </w:rPr>
              <w:fldChar w:fldCharType="begin"/>
            </w:r>
            <w:r>
              <w:rPr>
                <w:noProof/>
                <w:webHidden/>
              </w:rPr>
              <w:instrText xml:space="preserve"> PAGEREF _Toc102476707 \h </w:instrText>
            </w:r>
            <w:r>
              <w:rPr>
                <w:noProof/>
                <w:webHidden/>
              </w:rPr>
            </w:r>
            <w:r>
              <w:rPr>
                <w:noProof/>
                <w:webHidden/>
              </w:rPr>
              <w:fldChar w:fldCharType="separate"/>
            </w:r>
            <w:r w:rsidR="00987D20">
              <w:rPr>
                <w:noProof/>
                <w:webHidden/>
              </w:rPr>
              <w:t>2</w:t>
            </w:r>
            <w:r>
              <w:rPr>
                <w:noProof/>
                <w:webHidden/>
              </w:rPr>
              <w:fldChar w:fldCharType="end"/>
            </w:r>
          </w:hyperlink>
        </w:p>
        <w:p w14:paraId="691EE89F" w14:textId="2485A196" w:rsidR="00611710" w:rsidRDefault="00611710">
          <w:pPr>
            <w:pStyle w:val="TOC1"/>
            <w:tabs>
              <w:tab w:val="right" w:pos="9350"/>
            </w:tabs>
            <w:rPr>
              <w:rFonts w:eastAsiaTheme="minorEastAsia"/>
              <w:noProof/>
            </w:rPr>
          </w:pPr>
          <w:hyperlink w:anchor="_Toc102476708" w:history="1">
            <w:r w:rsidRPr="0024089E">
              <w:rPr>
                <w:rStyle w:val="Hyperlink"/>
                <w:rFonts w:cstheme="minorHAnsi"/>
                <w:noProof/>
              </w:rPr>
              <w:t>Relationship between the stakeholders</w:t>
            </w:r>
            <w:r>
              <w:rPr>
                <w:noProof/>
                <w:webHidden/>
              </w:rPr>
              <w:tab/>
            </w:r>
            <w:r>
              <w:rPr>
                <w:noProof/>
                <w:webHidden/>
              </w:rPr>
              <w:fldChar w:fldCharType="begin"/>
            </w:r>
            <w:r>
              <w:rPr>
                <w:noProof/>
                <w:webHidden/>
              </w:rPr>
              <w:instrText xml:space="preserve"> PAGEREF _Toc102476708 \h </w:instrText>
            </w:r>
            <w:r>
              <w:rPr>
                <w:noProof/>
                <w:webHidden/>
              </w:rPr>
            </w:r>
            <w:r>
              <w:rPr>
                <w:noProof/>
                <w:webHidden/>
              </w:rPr>
              <w:fldChar w:fldCharType="separate"/>
            </w:r>
            <w:r w:rsidR="00987D20">
              <w:rPr>
                <w:noProof/>
                <w:webHidden/>
              </w:rPr>
              <w:t>3</w:t>
            </w:r>
            <w:r>
              <w:rPr>
                <w:noProof/>
                <w:webHidden/>
              </w:rPr>
              <w:fldChar w:fldCharType="end"/>
            </w:r>
          </w:hyperlink>
        </w:p>
        <w:p w14:paraId="61CF0A94" w14:textId="27BF8C1B" w:rsidR="00611710" w:rsidRDefault="00611710">
          <w:pPr>
            <w:pStyle w:val="TOC1"/>
            <w:tabs>
              <w:tab w:val="right" w:pos="9350"/>
            </w:tabs>
            <w:rPr>
              <w:rFonts w:eastAsiaTheme="minorEastAsia"/>
              <w:noProof/>
            </w:rPr>
          </w:pPr>
          <w:hyperlink w:anchor="_Toc102476709" w:history="1">
            <w:r w:rsidRPr="0024089E">
              <w:rPr>
                <w:rStyle w:val="Hyperlink"/>
                <w:rFonts w:cstheme="minorHAnsi"/>
                <w:noProof/>
              </w:rPr>
              <w:t>Cultural diversity</w:t>
            </w:r>
            <w:r>
              <w:rPr>
                <w:noProof/>
                <w:webHidden/>
              </w:rPr>
              <w:tab/>
            </w:r>
            <w:r>
              <w:rPr>
                <w:noProof/>
                <w:webHidden/>
              </w:rPr>
              <w:fldChar w:fldCharType="begin"/>
            </w:r>
            <w:r>
              <w:rPr>
                <w:noProof/>
                <w:webHidden/>
              </w:rPr>
              <w:instrText xml:space="preserve"> PAGEREF _Toc102476709 \h </w:instrText>
            </w:r>
            <w:r>
              <w:rPr>
                <w:noProof/>
                <w:webHidden/>
              </w:rPr>
            </w:r>
            <w:r>
              <w:rPr>
                <w:noProof/>
                <w:webHidden/>
              </w:rPr>
              <w:fldChar w:fldCharType="separate"/>
            </w:r>
            <w:r w:rsidR="00987D20">
              <w:rPr>
                <w:noProof/>
                <w:webHidden/>
              </w:rPr>
              <w:t>3</w:t>
            </w:r>
            <w:r>
              <w:rPr>
                <w:noProof/>
                <w:webHidden/>
              </w:rPr>
              <w:fldChar w:fldCharType="end"/>
            </w:r>
          </w:hyperlink>
        </w:p>
        <w:p w14:paraId="5ED5C268" w14:textId="0486A04F" w:rsidR="00611710" w:rsidRDefault="00611710">
          <w:pPr>
            <w:pStyle w:val="TOC1"/>
            <w:tabs>
              <w:tab w:val="right" w:pos="9350"/>
            </w:tabs>
            <w:rPr>
              <w:rFonts w:eastAsiaTheme="minorEastAsia"/>
              <w:noProof/>
            </w:rPr>
          </w:pPr>
          <w:hyperlink w:anchor="_Toc102476710" w:history="1">
            <w:r w:rsidRPr="0024089E">
              <w:rPr>
                <w:rStyle w:val="Hyperlink"/>
                <w:rFonts w:cstheme="minorHAnsi"/>
                <w:noProof/>
              </w:rPr>
              <w:t>Relevant avenues</w:t>
            </w:r>
            <w:r>
              <w:rPr>
                <w:noProof/>
                <w:webHidden/>
              </w:rPr>
              <w:tab/>
            </w:r>
            <w:r>
              <w:rPr>
                <w:noProof/>
                <w:webHidden/>
              </w:rPr>
              <w:fldChar w:fldCharType="begin"/>
            </w:r>
            <w:r>
              <w:rPr>
                <w:noProof/>
                <w:webHidden/>
              </w:rPr>
              <w:instrText xml:space="preserve"> PAGEREF _Toc102476710 \h </w:instrText>
            </w:r>
            <w:r>
              <w:rPr>
                <w:noProof/>
                <w:webHidden/>
              </w:rPr>
            </w:r>
            <w:r>
              <w:rPr>
                <w:noProof/>
                <w:webHidden/>
              </w:rPr>
              <w:fldChar w:fldCharType="separate"/>
            </w:r>
            <w:r w:rsidR="00987D20">
              <w:rPr>
                <w:noProof/>
                <w:webHidden/>
              </w:rPr>
              <w:t>4</w:t>
            </w:r>
            <w:r>
              <w:rPr>
                <w:noProof/>
                <w:webHidden/>
              </w:rPr>
              <w:fldChar w:fldCharType="end"/>
            </w:r>
          </w:hyperlink>
        </w:p>
        <w:p w14:paraId="498FE62C" w14:textId="6B80B8AB" w:rsidR="00611710" w:rsidRDefault="00611710">
          <w:pPr>
            <w:pStyle w:val="TOC1"/>
            <w:tabs>
              <w:tab w:val="right" w:pos="9350"/>
            </w:tabs>
            <w:rPr>
              <w:rFonts w:eastAsiaTheme="minorEastAsia"/>
              <w:noProof/>
            </w:rPr>
          </w:pPr>
          <w:hyperlink w:anchor="_Toc102476711" w:history="1">
            <w:r w:rsidRPr="0024089E">
              <w:rPr>
                <w:rStyle w:val="Hyperlink"/>
                <w:rFonts w:cstheme="minorHAnsi"/>
                <w:noProof/>
              </w:rPr>
              <w:t>Community engagement practitioner</w:t>
            </w:r>
            <w:r>
              <w:rPr>
                <w:noProof/>
                <w:webHidden/>
              </w:rPr>
              <w:tab/>
            </w:r>
            <w:r>
              <w:rPr>
                <w:noProof/>
                <w:webHidden/>
              </w:rPr>
              <w:fldChar w:fldCharType="begin"/>
            </w:r>
            <w:r>
              <w:rPr>
                <w:noProof/>
                <w:webHidden/>
              </w:rPr>
              <w:instrText xml:space="preserve"> PAGEREF _Toc102476711 \h </w:instrText>
            </w:r>
            <w:r>
              <w:rPr>
                <w:noProof/>
                <w:webHidden/>
              </w:rPr>
            </w:r>
            <w:r>
              <w:rPr>
                <w:noProof/>
                <w:webHidden/>
              </w:rPr>
              <w:fldChar w:fldCharType="separate"/>
            </w:r>
            <w:r w:rsidR="00987D20">
              <w:rPr>
                <w:noProof/>
                <w:webHidden/>
              </w:rPr>
              <w:t>5</w:t>
            </w:r>
            <w:r>
              <w:rPr>
                <w:noProof/>
                <w:webHidden/>
              </w:rPr>
              <w:fldChar w:fldCharType="end"/>
            </w:r>
          </w:hyperlink>
        </w:p>
        <w:p w14:paraId="307E1062" w14:textId="6B681E4B" w:rsidR="00611710" w:rsidRDefault="00611710">
          <w:pPr>
            <w:pStyle w:val="TOC1"/>
            <w:tabs>
              <w:tab w:val="right" w:pos="9350"/>
            </w:tabs>
            <w:rPr>
              <w:rFonts w:eastAsiaTheme="minorEastAsia"/>
              <w:noProof/>
            </w:rPr>
          </w:pPr>
          <w:hyperlink w:anchor="_Toc102476712" w:history="1">
            <w:r w:rsidRPr="0024089E">
              <w:rPr>
                <w:rStyle w:val="Hyperlink"/>
                <w:rFonts w:cstheme="minorHAnsi"/>
                <w:noProof/>
              </w:rPr>
              <w:t>Community development</w:t>
            </w:r>
            <w:r>
              <w:rPr>
                <w:noProof/>
                <w:webHidden/>
              </w:rPr>
              <w:tab/>
            </w:r>
            <w:r>
              <w:rPr>
                <w:noProof/>
                <w:webHidden/>
              </w:rPr>
              <w:fldChar w:fldCharType="begin"/>
            </w:r>
            <w:r>
              <w:rPr>
                <w:noProof/>
                <w:webHidden/>
              </w:rPr>
              <w:instrText xml:space="preserve"> PAGEREF _Toc102476712 \h </w:instrText>
            </w:r>
            <w:r>
              <w:rPr>
                <w:noProof/>
                <w:webHidden/>
              </w:rPr>
            </w:r>
            <w:r>
              <w:rPr>
                <w:noProof/>
                <w:webHidden/>
              </w:rPr>
              <w:fldChar w:fldCharType="separate"/>
            </w:r>
            <w:r w:rsidR="00987D20">
              <w:rPr>
                <w:noProof/>
                <w:webHidden/>
              </w:rPr>
              <w:t>5</w:t>
            </w:r>
            <w:r>
              <w:rPr>
                <w:noProof/>
                <w:webHidden/>
              </w:rPr>
              <w:fldChar w:fldCharType="end"/>
            </w:r>
          </w:hyperlink>
        </w:p>
        <w:p w14:paraId="6F4756BE" w14:textId="1FDA3038" w:rsidR="00611710" w:rsidRDefault="00611710">
          <w:pPr>
            <w:pStyle w:val="TOC1"/>
            <w:tabs>
              <w:tab w:val="right" w:pos="9350"/>
            </w:tabs>
            <w:rPr>
              <w:rFonts w:eastAsiaTheme="minorEastAsia"/>
              <w:noProof/>
            </w:rPr>
          </w:pPr>
          <w:hyperlink w:anchor="_Toc102476713" w:history="1">
            <w:r w:rsidRPr="0024089E">
              <w:rPr>
                <w:rStyle w:val="Hyperlink"/>
                <w:rFonts w:cstheme="minorHAnsi"/>
                <w:noProof/>
              </w:rPr>
              <w:t>Conclusion</w:t>
            </w:r>
            <w:r>
              <w:rPr>
                <w:noProof/>
                <w:webHidden/>
              </w:rPr>
              <w:tab/>
            </w:r>
            <w:r>
              <w:rPr>
                <w:noProof/>
                <w:webHidden/>
              </w:rPr>
              <w:fldChar w:fldCharType="begin"/>
            </w:r>
            <w:r>
              <w:rPr>
                <w:noProof/>
                <w:webHidden/>
              </w:rPr>
              <w:instrText xml:space="preserve"> PAGEREF _Toc102476713 \h </w:instrText>
            </w:r>
            <w:r>
              <w:rPr>
                <w:noProof/>
                <w:webHidden/>
              </w:rPr>
            </w:r>
            <w:r>
              <w:rPr>
                <w:noProof/>
                <w:webHidden/>
              </w:rPr>
              <w:fldChar w:fldCharType="separate"/>
            </w:r>
            <w:r w:rsidR="00987D20">
              <w:rPr>
                <w:noProof/>
                <w:webHidden/>
              </w:rPr>
              <w:t>8</w:t>
            </w:r>
            <w:r>
              <w:rPr>
                <w:noProof/>
                <w:webHidden/>
              </w:rPr>
              <w:fldChar w:fldCharType="end"/>
            </w:r>
          </w:hyperlink>
        </w:p>
        <w:p w14:paraId="1ED79A61" w14:textId="7F634264" w:rsidR="00611710" w:rsidRDefault="00611710">
          <w:pPr>
            <w:pStyle w:val="TOC1"/>
            <w:tabs>
              <w:tab w:val="right" w:pos="9350"/>
            </w:tabs>
            <w:rPr>
              <w:rFonts w:eastAsiaTheme="minorEastAsia"/>
              <w:noProof/>
            </w:rPr>
          </w:pPr>
          <w:hyperlink w:anchor="_Toc102476714" w:history="1">
            <w:r w:rsidRPr="0024089E">
              <w:rPr>
                <w:rStyle w:val="Hyperlink"/>
                <w:noProof/>
              </w:rPr>
              <w:t>References</w:t>
            </w:r>
            <w:r>
              <w:rPr>
                <w:noProof/>
                <w:webHidden/>
              </w:rPr>
              <w:tab/>
            </w:r>
            <w:r>
              <w:rPr>
                <w:noProof/>
                <w:webHidden/>
              </w:rPr>
              <w:fldChar w:fldCharType="begin"/>
            </w:r>
            <w:r>
              <w:rPr>
                <w:noProof/>
                <w:webHidden/>
              </w:rPr>
              <w:instrText xml:space="preserve"> PAGEREF _Toc102476714 \h </w:instrText>
            </w:r>
            <w:r>
              <w:rPr>
                <w:noProof/>
                <w:webHidden/>
              </w:rPr>
            </w:r>
            <w:r>
              <w:rPr>
                <w:noProof/>
                <w:webHidden/>
              </w:rPr>
              <w:fldChar w:fldCharType="separate"/>
            </w:r>
            <w:r w:rsidR="00987D20">
              <w:rPr>
                <w:noProof/>
                <w:webHidden/>
              </w:rPr>
              <w:t>10</w:t>
            </w:r>
            <w:r>
              <w:rPr>
                <w:noProof/>
                <w:webHidden/>
              </w:rPr>
              <w:fldChar w:fldCharType="end"/>
            </w:r>
          </w:hyperlink>
        </w:p>
        <w:p w14:paraId="0103E416" w14:textId="504A4FAF" w:rsidR="00026F33" w:rsidRDefault="00611710" w:rsidP="00611710">
          <w:pPr>
            <w:pStyle w:val="normal0"/>
            <w:jc w:val="left"/>
          </w:pPr>
          <w:r w:rsidRPr="00C135AB">
            <w:rPr>
              <w:rFonts w:asciiTheme="minorHAnsi" w:hAnsiTheme="minorHAnsi" w:cstheme="minorHAnsi"/>
            </w:rPr>
            <w:fldChar w:fldCharType="end"/>
          </w:r>
          <w:r w:rsidR="00026F33">
            <w:br w:type="page"/>
          </w:r>
        </w:p>
      </w:sdtContent>
    </w:sdt>
    <w:p w14:paraId="002E81BD" w14:textId="5F41CAEB" w:rsidR="00026F33" w:rsidRPr="00C135AB" w:rsidRDefault="00026F33" w:rsidP="00026F33">
      <w:pPr>
        <w:pStyle w:val="normal0"/>
        <w:rPr>
          <w:rFonts w:asciiTheme="minorHAnsi" w:hAnsiTheme="minorHAnsi" w:cstheme="minorHAnsi"/>
        </w:rPr>
      </w:pPr>
    </w:p>
    <w:p w14:paraId="42C8EE7D" w14:textId="12F8C14C" w:rsidR="00611710" w:rsidRPr="00C135AB" w:rsidRDefault="00611710" w:rsidP="00987D20">
      <w:pPr>
        <w:pStyle w:val="Heading1"/>
        <w:ind w:left="2880" w:firstLine="720"/>
        <w:jc w:val="left"/>
        <w:rPr>
          <w:rFonts w:asciiTheme="minorHAnsi" w:hAnsiTheme="minorHAnsi" w:cstheme="minorHAnsi"/>
          <w:sz w:val="24"/>
          <w:szCs w:val="24"/>
        </w:rPr>
      </w:pPr>
      <w:bookmarkStart w:id="0" w:name="_Toc102476707"/>
      <w:r w:rsidRPr="00C135AB">
        <w:rPr>
          <w:rFonts w:asciiTheme="minorHAnsi" w:hAnsiTheme="minorHAnsi" w:cstheme="minorHAnsi"/>
          <w:sz w:val="24"/>
          <w:szCs w:val="24"/>
        </w:rPr>
        <w:t>Introduction</w:t>
      </w:r>
      <w:bookmarkEnd w:id="0"/>
    </w:p>
    <w:p w14:paraId="3171F6DF" w14:textId="77777777" w:rsidR="00611710" w:rsidRPr="00C135AB" w:rsidRDefault="00611710" w:rsidP="00611710">
      <w:pPr>
        <w:pStyle w:val="normal0"/>
        <w:ind w:firstLine="720"/>
        <w:rPr>
          <w:rFonts w:asciiTheme="minorHAnsi" w:hAnsiTheme="minorHAnsi" w:cstheme="minorHAnsi"/>
        </w:rPr>
      </w:pPr>
      <w:r w:rsidRPr="00C135AB">
        <w:rPr>
          <w:rFonts w:asciiTheme="minorHAnsi" w:hAnsiTheme="minorHAnsi" w:cstheme="minorHAnsi"/>
        </w:rPr>
        <w:t>It is a deliberate process to interact with identifiable groups of people, whether they are related by geographic location, a particular interest, or affiliation, in order to identify and solve problems impacting their well-being that are referred to as "community engagement." Hampstead Garden Suburb, London Borough of Barnet, is an elevated suburb of London, north of Hampstead, west of Highgate and east of Golders Green. It is known for its intellectual, liberal, artistic, musical and literary associations. The suburb turned into deliberate and built-in numerous phases, beginning with an ‘artisans’ area’ extending to the east facet of the Finchley Road at Temple Fortune. A relevant square was laid out on the suburb’s maximum factor, with church buildings and communal homes. More famous sights like a pub, cinema or even stores were no longer authorised – and are nonetheless no longer – which has impaired the square’s capacity to behave as a network hub</w:t>
      </w:r>
      <w:sdt>
        <w:sdtPr>
          <w:rPr>
            <w:rFonts w:asciiTheme="minorHAnsi" w:hAnsiTheme="minorHAnsi" w:cstheme="minorHAnsi"/>
          </w:rPr>
          <w:id w:val="1579175717"/>
          <w:citation/>
        </w:sdtPr>
        <w:sdtContent>
          <w:r>
            <w:rPr>
              <w:rFonts w:asciiTheme="minorHAnsi" w:hAnsiTheme="minorHAnsi" w:cstheme="minorHAnsi"/>
            </w:rPr>
            <w:fldChar w:fldCharType="begin"/>
          </w:r>
          <w:r>
            <w:rPr>
              <w:rFonts w:asciiTheme="minorHAnsi" w:hAnsiTheme="minorHAnsi" w:cstheme="minorHAnsi"/>
            </w:rPr>
            <w:instrText xml:space="preserve"> CITATION Hea22 \l 1033 </w:instrText>
          </w:r>
          <w:r>
            <w:rPr>
              <w:rFonts w:asciiTheme="minorHAnsi" w:hAnsiTheme="minorHAnsi" w:cstheme="minorHAnsi"/>
            </w:rPr>
            <w:fldChar w:fldCharType="separate"/>
          </w:r>
          <w:r>
            <w:rPr>
              <w:rFonts w:asciiTheme="minorHAnsi" w:hAnsiTheme="minorHAnsi" w:cstheme="minorHAnsi"/>
              <w:noProof/>
            </w:rPr>
            <w:t xml:space="preserve"> </w:t>
          </w:r>
          <w:r w:rsidRPr="003C6D60">
            <w:rPr>
              <w:rFonts w:asciiTheme="minorHAnsi" w:hAnsiTheme="minorHAnsi" w:cstheme="minorHAnsi"/>
              <w:noProof/>
            </w:rPr>
            <w:t>(Heath Gate, 2022)</w:t>
          </w:r>
          <w:r>
            <w:rPr>
              <w:rFonts w:asciiTheme="minorHAnsi" w:hAnsiTheme="minorHAnsi" w:cstheme="minorHAnsi"/>
            </w:rPr>
            <w:fldChar w:fldCharType="end"/>
          </w:r>
        </w:sdtContent>
      </w:sdt>
      <w:r w:rsidRPr="00C135AB">
        <w:rPr>
          <w:rFonts w:asciiTheme="minorHAnsi" w:hAnsiTheme="minorHAnsi" w:cstheme="minorHAnsi"/>
        </w:rPr>
        <w:t>.</w:t>
      </w:r>
    </w:p>
    <w:p w14:paraId="7C188B18" w14:textId="77777777" w:rsidR="00611710" w:rsidRPr="00C135AB" w:rsidRDefault="00611710" w:rsidP="00611710">
      <w:pPr>
        <w:pStyle w:val="normal0"/>
        <w:ind w:firstLine="720"/>
        <w:rPr>
          <w:rFonts w:asciiTheme="minorHAnsi" w:hAnsiTheme="minorHAnsi" w:cstheme="minorHAnsi"/>
        </w:rPr>
      </w:pPr>
      <w:r w:rsidRPr="00C135AB">
        <w:rPr>
          <w:rFonts w:asciiTheme="minorHAnsi" w:hAnsiTheme="minorHAnsi" w:cstheme="minorHAnsi"/>
        </w:rPr>
        <w:t xml:space="preserve">Since "community" and "engagement" are linked, it broadens our view of what it means to be a part of a community, for the given project the community of Hampstead Garden suburb have been discussed for making it more inclusive of all its members and their unique perspectives and experiences. Getting people involved in the Hampstead Garden </w:t>
      </w:r>
      <w:r>
        <w:rPr>
          <w:rFonts w:asciiTheme="minorHAnsi" w:hAnsiTheme="minorHAnsi" w:cstheme="minorHAnsi"/>
        </w:rPr>
        <w:t>S</w:t>
      </w:r>
      <w:r w:rsidRPr="00C135AB">
        <w:rPr>
          <w:rFonts w:asciiTheme="minorHAnsi" w:hAnsiTheme="minorHAnsi" w:cstheme="minorHAnsi"/>
        </w:rPr>
        <w:t>uburb may be both scientific and artistic. Organizational development, social psychology, public policy, cultural anthropology, and other fields of study all contribute to the research</w:t>
      </w:r>
      <w:sdt>
        <w:sdtPr>
          <w:rPr>
            <w:rFonts w:asciiTheme="minorHAnsi" w:hAnsiTheme="minorHAnsi" w:cstheme="minorHAnsi"/>
          </w:rPr>
          <w:id w:val="-2119745389"/>
          <w:citation/>
        </w:sdtPr>
        <w:sdtContent>
          <w:r>
            <w:rPr>
              <w:rFonts w:asciiTheme="minorHAnsi" w:hAnsiTheme="minorHAnsi" w:cstheme="minorHAnsi"/>
            </w:rPr>
            <w:fldChar w:fldCharType="begin"/>
          </w:r>
          <w:r>
            <w:rPr>
              <w:rFonts w:asciiTheme="minorHAnsi" w:hAnsiTheme="minorHAnsi" w:cstheme="minorHAnsi"/>
            </w:rPr>
            <w:instrText xml:space="preserve"> CITATION Dik22 \l 1033 </w:instrText>
          </w:r>
          <w:r>
            <w:rPr>
              <w:rFonts w:asciiTheme="minorHAnsi" w:hAnsiTheme="minorHAnsi" w:cstheme="minorHAnsi"/>
            </w:rPr>
            <w:fldChar w:fldCharType="separate"/>
          </w:r>
          <w:r>
            <w:rPr>
              <w:rFonts w:asciiTheme="minorHAnsi" w:hAnsiTheme="minorHAnsi" w:cstheme="minorHAnsi"/>
              <w:noProof/>
            </w:rPr>
            <w:t xml:space="preserve"> </w:t>
          </w:r>
          <w:r w:rsidRPr="008C3D23">
            <w:rPr>
              <w:rFonts w:asciiTheme="minorHAnsi" w:hAnsiTheme="minorHAnsi" w:cstheme="minorHAnsi"/>
              <w:noProof/>
            </w:rPr>
            <w:t>(Kashyap, 2022)</w:t>
          </w:r>
          <w:r>
            <w:rPr>
              <w:rFonts w:asciiTheme="minorHAnsi" w:hAnsiTheme="minorHAnsi" w:cstheme="minorHAnsi"/>
            </w:rPr>
            <w:fldChar w:fldCharType="end"/>
          </w:r>
        </w:sdtContent>
      </w:sdt>
      <w:r w:rsidRPr="00C135AB">
        <w:rPr>
          <w:rFonts w:asciiTheme="minorHAnsi" w:hAnsiTheme="minorHAnsi" w:cstheme="minorHAnsi"/>
        </w:rPr>
        <w:t xml:space="preserve">. Organizing themes from community involvement in Hampstead Garden suburb, development, and constituency building, as well as community psychology, are also a component of it. </w:t>
      </w:r>
    </w:p>
    <w:p w14:paraId="549D1FDD" w14:textId="77777777" w:rsidR="00611710" w:rsidRPr="00C135AB" w:rsidRDefault="00611710" w:rsidP="00611710">
      <w:pPr>
        <w:pStyle w:val="Heading1"/>
        <w:rPr>
          <w:rFonts w:asciiTheme="minorHAnsi" w:hAnsiTheme="minorHAnsi" w:cstheme="minorHAnsi"/>
          <w:sz w:val="24"/>
          <w:szCs w:val="24"/>
        </w:rPr>
      </w:pPr>
      <w:bookmarkStart w:id="1" w:name="_Toc102476708"/>
      <w:r w:rsidRPr="00C135AB">
        <w:rPr>
          <w:rFonts w:asciiTheme="minorHAnsi" w:hAnsiTheme="minorHAnsi" w:cstheme="minorHAnsi"/>
          <w:sz w:val="24"/>
          <w:szCs w:val="24"/>
        </w:rPr>
        <w:lastRenderedPageBreak/>
        <w:t>Relationship between the stakeholders</w:t>
      </w:r>
      <w:bookmarkEnd w:id="1"/>
    </w:p>
    <w:p w14:paraId="2ADC3CC6" w14:textId="77777777" w:rsidR="00611710" w:rsidRPr="00C135AB" w:rsidRDefault="00611710" w:rsidP="00611710">
      <w:pPr>
        <w:pStyle w:val="normal0"/>
        <w:ind w:firstLine="720"/>
        <w:rPr>
          <w:rFonts w:asciiTheme="minorHAnsi" w:hAnsiTheme="minorHAnsi" w:cstheme="minorHAnsi"/>
        </w:rPr>
      </w:pPr>
      <w:r w:rsidRPr="00C135AB">
        <w:rPr>
          <w:rFonts w:asciiTheme="minorHAnsi" w:hAnsiTheme="minorHAnsi" w:cstheme="minorHAnsi"/>
        </w:rPr>
        <w:t xml:space="preserve">Science can only be used and adapted if it is understood, applied, and adapted in a manner that is relevant to the community and its unique engagement needs. However, these activities are defined and structured, they all come under the umbrella of community involvement and are handled identically by the Hampstead Garden </w:t>
      </w:r>
      <w:r>
        <w:rPr>
          <w:rFonts w:asciiTheme="minorHAnsi" w:hAnsiTheme="minorHAnsi" w:cstheme="minorHAnsi"/>
        </w:rPr>
        <w:t>S</w:t>
      </w:r>
      <w:r w:rsidRPr="00C135AB">
        <w:rPr>
          <w:rFonts w:asciiTheme="minorHAnsi" w:hAnsiTheme="minorHAnsi" w:cstheme="minorHAnsi"/>
        </w:rPr>
        <w:t>uburb in our talks even if they might cover a wide variety of forms (e.g., coalitions, partnerships, collaborations). In order to effectively get involved in the community of Hampstead Garden suburb</w:t>
      </w:r>
      <w:r>
        <w:rPr>
          <w:rFonts w:asciiTheme="minorHAnsi" w:hAnsiTheme="minorHAnsi" w:cstheme="minorHAnsi"/>
        </w:rPr>
        <w:t>. Said community is</w:t>
      </w:r>
      <w:r w:rsidRPr="00C135AB">
        <w:rPr>
          <w:rFonts w:asciiTheme="minorHAnsi" w:hAnsiTheme="minorHAnsi" w:cstheme="minorHAnsi"/>
        </w:rPr>
        <w:t xml:space="preserve"> required to devote time, money, and the expertise of those who can do so. Many people and organizations in the United Kingdom and throughout the globe are grappling with how to make the best decisions for the areas and causes they care about. An understanding of the finest tools, approaches, and information available is a key for Hampstead Garden suburb developing and executing successful plans.</w:t>
      </w:r>
    </w:p>
    <w:p w14:paraId="5E144973" w14:textId="77777777" w:rsidR="00611710" w:rsidRPr="00C135AB" w:rsidRDefault="00611710" w:rsidP="00611710">
      <w:pPr>
        <w:pStyle w:val="Heading1"/>
        <w:rPr>
          <w:rFonts w:asciiTheme="minorHAnsi" w:hAnsiTheme="minorHAnsi" w:cstheme="minorHAnsi"/>
          <w:sz w:val="24"/>
          <w:szCs w:val="24"/>
        </w:rPr>
      </w:pPr>
      <w:bookmarkStart w:id="2" w:name="_Toc102476709"/>
      <w:r w:rsidRPr="00C135AB">
        <w:rPr>
          <w:rFonts w:asciiTheme="minorHAnsi" w:hAnsiTheme="minorHAnsi" w:cstheme="minorHAnsi"/>
          <w:sz w:val="24"/>
          <w:szCs w:val="24"/>
        </w:rPr>
        <w:t>Cultural diversity</w:t>
      </w:r>
      <w:bookmarkEnd w:id="2"/>
    </w:p>
    <w:p w14:paraId="4B52B298" w14:textId="77777777" w:rsidR="00611710" w:rsidRPr="00C135AB" w:rsidRDefault="00611710" w:rsidP="00611710">
      <w:pPr>
        <w:pStyle w:val="normal0"/>
        <w:rPr>
          <w:rFonts w:asciiTheme="minorHAnsi" w:hAnsiTheme="minorHAnsi" w:cstheme="minorHAnsi"/>
        </w:rPr>
      </w:pPr>
      <w:r>
        <w:rPr>
          <w:rFonts w:asciiTheme="minorHAnsi" w:hAnsiTheme="minorHAnsi" w:cstheme="minorHAnsi"/>
        </w:rPr>
        <w:t xml:space="preserve">    </w:t>
      </w:r>
      <w:r w:rsidRPr="00C135AB">
        <w:rPr>
          <w:rFonts w:asciiTheme="minorHAnsi" w:hAnsiTheme="minorHAnsi" w:cstheme="minorHAnsi"/>
        </w:rPr>
        <w:t xml:space="preserve">There is a large Jewish community in the Hampstead Garden Suburb that supports and helps all its members. </w:t>
      </w:r>
      <w:r>
        <w:rPr>
          <w:rFonts w:asciiTheme="minorHAnsi" w:hAnsiTheme="minorHAnsi" w:cstheme="minorHAnsi"/>
        </w:rPr>
        <w:t>The community</w:t>
      </w:r>
      <w:r w:rsidRPr="00C135AB">
        <w:rPr>
          <w:rFonts w:asciiTheme="minorHAnsi" w:hAnsiTheme="minorHAnsi" w:cstheme="minorHAnsi"/>
        </w:rPr>
        <w:t xml:space="preserve"> gathers at the local synagogue for religious festivities and religious celebrations</w:t>
      </w:r>
      <w:sdt>
        <w:sdtPr>
          <w:rPr>
            <w:rFonts w:asciiTheme="minorHAnsi" w:hAnsiTheme="minorHAnsi" w:cstheme="minorHAnsi"/>
          </w:rPr>
          <w:id w:val="657808284"/>
          <w:citation/>
        </w:sdtPr>
        <w:sdtContent>
          <w:r>
            <w:rPr>
              <w:rFonts w:asciiTheme="minorHAnsi" w:hAnsiTheme="minorHAnsi" w:cstheme="minorHAnsi"/>
            </w:rPr>
            <w:fldChar w:fldCharType="begin"/>
          </w:r>
          <w:r>
            <w:rPr>
              <w:rFonts w:asciiTheme="minorHAnsi" w:hAnsiTheme="minorHAnsi" w:cstheme="minorHAnsi"/>
            </w:rPr>
            <w:instrText xml:space="preserve"> CITATION HGS22 \l 1033 </w:instrText>
          </w:r>
          <w:r>
            <w:rPr>
              <w:rFonts w:asciiTheme="minorHAnsi" w:hAnsiTheme="minorHAnsi" w:cstheme="minorHAnsi"/>
            </w:rPr>
            <w:fldChar w:fldCharType="separate"/>
          </w:r>
          <w:r>
            <w:rPr>
              <w:rFonts w:asciiTheme="minorHAnsi" w:hAnsiTheme="minorHAnsi" w:cstheme="minorHAnsi"/>
              <w:noProof/>
            </w:rPr>
            <w:t xml:space="preserve"> </w:t>
          </w:r>
          <w:r w:rsidRPr="002C284A">
            <w:rPr>
              <w:rFonts w:asciiTheme="minorHAnsi" w:hAnsiTheme="minorHAnsi" w:cstheme="minorHAnsi"/>
              <w:noProof/>
            </w:rPr>
            <w:t>(HGSS, 2022)</w:t>
          </w:r>
          <w:r>
            <w:rPr>
              <w:rFonts w:asciiTheme="minorHAnsi" w:hAnsiTheme="minorHAnsi" w:cstheme="minorHAnsi"/>
            </w:rPr>
            <w:fldChar w:fldCharType="end"/>
          </w:r>
        </w:sdtContent>
      </w:sdt>
      <w:r w:rsidRPr="00C135AB">
        <w:rPr>
          <w:rFonts w:asciiTheme="minorHAnsi" w:hAnsiTheme="minorHAnsi" w:cstheme="minorHAnsi"/>
        </w:rPr>
        <w:t>.</w:t>
      </w:r>
    </w:p>
    <w:p w14:paraId="3E9A47B0" w14:textId="77777777" w:rsidR="00611710" w:rsidRPr="00C135AB" w:rsidRDefault="00611710" w:rsidP="00611710">
      <w:pPr>
        <w:pStyle w:val="normal0"/>
        <w:ind w:firstLine="720"/>
        <w:rPr>
          <w:rFonts w:asciiTheme="minorHAnsi" w:hAnsiTheme="minorHAnsi" w:cstheme="minorHAnsi"/>
        </w:rPr>
      </w:pPr>
      <w:r w:rsidRPr="00C135AB">
        <w:rPr>
          <w:rFonts w:asciiTheme="minorHAnsi" w:hAnsiTheme="minorHAnsi" w:cstheme="minorHAnsi"/>
        </w:rPr>
        <w:t>Despite the Jewish community, people from different cultures and religions live in the HGS. There you can visit several Christian churches, both Catholic and Orthodox.</w:t>
      </w:r>
    </w:p>
    <w:p w14:paraId="3FBCF5F1" w14:textId="77777777" w:rsidR="00611710" w:rsidRPr="00C135AB" w:rsidRDefault="00611710" w:rsidP="00611710">
      <w:pPr>
        <w:pStyle w:val="normal0"/>
        <w:ind w:firstLine="720"/>
        <w:rPr>
          <w:rFonts w:asciiTheme="minorHAnsi" w:hAnsiTheme="minorHAnsi" w:cstheme="minorHAnsi"/>
        </w:rPr>
      </w:pPr>
      <w:r w:rsidRPr="00C135AB">
        <w:rPr>
          <w:rFonts w:asciiTheme="minorHAnsi" w:hAnsiTheme="minorHAnsi" w:cstheme="minorHAnsi"/>
        </w:rPr>
        <w:t xml:space="preserve">London's lungs are Hamstead Heath, Charles Dickens said, and the community is proud to have put the quote on a sign in a park near one of the lakes there. There are many of the best schools in London in the community, including one of the best </w:t>
      </w:r>
      <w:r>
        <w:rPr>
          <w:rFonts w:asciiTheme="minorHAnsi" w:hAnsiTheme="minorHAnsi" w:cstheme="minorHAnsi"/>
        </w:rPr>
        <w:t xml:space="preserve">for </w:t>
      </w:r>
      <w:r w:rsidRPr="00C135AB">
        <w:rPr>
          <w:rFonts w:asciiTheme="minorHAnsi" w:hAnsiTheme="minorHAnsi" w:cstheme="minorHAnsi"/>
        </w:rPr>
        <w:t>girls, Henrietta Barnett</w:t>
      </w:r>
      <w:sdt>
        <w:sdtPr>
          <w:rPr>
            <w:rFonts w:asciiTheme="minorHAnsi" w:hAnsiTheme="minorHAnsi" w:cstheme="minorHAnsi"/>
          </w:rPr>
          <w:id w:val="176243198"/>
          <w:citation/>
        </w:sdtPr>
        <w:sdtContent>
          <w:r>
            <w:rPr>
              <w:rFonts w:asciiTheme="minorHAnsi" w:hAnsiTheme="minorHAnsi" w:cstheme="minorHAnsi"/>
            </w:rPr>
            <w:fldChar w:fldCharType="begin"/>
          </w:r>
          <w:r>
            <w:rPr>
              <w:rFonts w:asciiTheme="minorHAnsi" w:hAnsiTheme="minorHAnsi" w:cstheme="minorHAnsi"/>
            </w:rPr>
            <w:instrText xml:space="preserve"> CITATION The22 \l 1033 </w:instrText>
          </w:r>
          <w:r>
            <w:rPr>
              <w:rFonts w:asciiTheme="minorHAnsi" w:hAnsiTheme="minorHAnsi" w:cstheme="minorHAnsi"/>
            </w:rPr>
            <w:fldChar w:fldCharType="separate"/>
          </w:r>
          <w:r>
            <w:rPr>
              <w:rFonts w:asciiTheme="minorHAnsi" w:hAnsiTheme="minorHAnsi" w:cstheme="minorHAnsi"/>
              <w:noProof/>
            </w:rPr>
            <w:t xml:space="preserve"> </w:t>
          </w:r>
          <w:r w:rsidRPr="007D6306">
            <w:rPr>
              <w:rFonts w:asciiTheme="minorHAnsi" w:hAnsiTheme="minorHAnsi" w:cstheme="minorHAnsi"/>
              <w:noProof/>
            </w:rPr>
            <w:t>(The Henrietta Barnett School , 2022)</w:t>
          </w:r>
          <w:r>
            <w:rPr>
              <w:rFonts w:asciiTheme="minorHAnsi" w:hAnsiTheme="minorHAnsi" w:cstheme="minorHAnsi"/>
            </w:rPr>
            <w:fldChar w:fldCharType="end"/>
          </w:r>
        </w:sdtContent>
      </w:sdt>
      <w:r w:rsidRPr="00C135AB">
        <w:rPr>
          <w:rFonts w:asciiTheme="minorHAnsi" w:hAnsiTheme="minorHAnsi" w:cstheme="minorHAnsi"/>
        </w:rPr>
        <w:t>.</w:t>
      </w:r>
    </w:p>
    <w:p w14:paraId="4F33F192" w14:textId="77777777" w:rsidR="00611710" w:rsidRPr="00C135AB" w:rsidRDefault="00611710" w:rsidP="00611710">
      <w:pPr>
        <w:pStyle w:val="Heading1"/>
        <w:rPr>
          <w:rFonts w:asciiTheme="minorHAnsi" w:hAnsiTheme="minorHAnsi" w:cstheme="minorHAnsi"/>
          <w:sz w:val="24"/>
          <w:szCs w:val="24"/>
        </w:rPr>
      </w:pPr>
      <w:bookmarkStart w:id="3" w:name="_Toc102476710"/>
      <w:r w:rsidRPr="00C135AB">
        <w:rPr>
          <w:rFonts w:asciiTheme="minorHAnsi" w:hAnsiTheme="minorHAnsi" w:cstheme="minorHAnsi"/>
          <w:sz w:val="24"/>
          <w:szCs w:val="24"/>
        </w:rPr>
        <w:lastRenderedPageBreak/>
        <w:t>Relevant avenues</w:t>
      </w:r>
      <w:bookmarkEnd w:id="3"/>
    </w:p>
    <w:p w14:paraId="16C751C5" w14:textId="77777777" w:rsidR="00611710" w:rsidRPr="00C135AB" w:rsidRDefault="00611710" w:rsidP="00611710">
      <w:pPr>
        <w:pStyle w:val="normal0"/>
        <w:ind w:firstLine="720"/>
        <w:rPr>
          <w:rFonts w:asciiTheme="minorHAnsi" w:hAnsiTheme="minorHAnsi" w:cstheme="minorHAnsi"/>
        </w:rPr>
      </w:pPr>
      <w:r w:rsidRPr="00C135AB">
        <w:rPr>
          <w:rFonts w:asciiTheme="minorHAnsi" w:hAnsiTheme="minorHAnsi" w:cstheme="minorHAnsi"/>
        </w:rPr>
        <w:t xml:space="preserve">In certain cases, a non-random sample may be required because of the problem being addressed, the form of interaction being employed, or other circumstances. For example, in a non-random sample, certain individuals of the Hampstead Garden suburb are less likely to be included than others. For example, if you want to form a committee or working group that requires a certain level of knowledge, you'll need to pick members based on certain criteria. There should be a way to track non-random sampling utilized in a community participation activity of Hampstead Garden suburb. Examples of non-random samples are convenient samples, judgment samples, purposive samples, quota samples, or snowball samples. A sample's size should also be taken into account before drawing any conclusions about the population as a whole. Inferring knowledge about a population may be done with a sample that has this many individual units. The reliability of a survey depends on the size of the sample. </w:t>
      </w:r>
      <w:bookmarkStart w:id="4" w:name="_Hlk102471289"/>
      <w:r w:rsidRPr="00C135AB">
        <w:rPr>
          <w:rFonts w:asciiTheme="minorHAnsi" w:hAnsiTheme="minorHAnsi" w:cstheme="minorHAnsi"/>
        </w:rPr>
        <w:t>The larger the sample size, the more trustworthy the results of your survey will be, particularly if they are used to draw conclusions about a wide population</w:t>
      </w:r>
      <w:bookmarkEnd w:id="4"/>
      <w:sdt>
        <w:sdtPr>
          <w:rPr>
            <w:rFonts w:asciiTheme="minorHAnsi" w:hAnsiTheme="minorHAnsi" w:cstheme="minorHAnsi"/>
          </w:rPr>
          <w:id w:val="2024273336"/>
          <w:citation/>
        </w:sdtPr>
        <w:sdtContent>
          <w:r>
            <w:rPr>
              <w:rFonts w:asciiTheme="minorHAnsi" w:hAnsiTheme="minorHAnsi" w:cstheme="minorHAnsi"/>
            </w:rPr>
            <w:fldChar w:fldCharType="begin"/>
          </w:r>
          <w:r>
            <w:rPr>
              <w:rFonts w:asciiTheme="minorHAnsi" w:hAnsiTheme="minorHAnsi" w:cstheme="minorHAnsi"/>
            </w:rPr>
            <w:instrText xml:space="preserve"> CITATION Jim18 \l 1033 </w:instrText>
          </w:r>
          <w:r>
            <w:rPr>
              <w:rFonts w:asciiTheme="minorHAnsi" w:hAnsiTheme="minorHAnsi" w:cstheme="minorHAnsi"/>
            </w:rPr>
            <w:fldChar w:fldCharType="separate"/>
          </w:r>
          <w:r>
            <w:rPr>
              <w:rFonts w:asciiTheme="minorHAnsi" w:hAnsiTheme="minorHAnsi" w:cstheme="minorHAnsi"/>
              <w:noProof/>
            </w:rPr>
            <w:t xml:space="preserve"> </w:t>
          </w:r>
          <w:r w:rsidRPr="00DB2020">
            <w:rPr>
              <w:rFonts w:asciiTheme="minorHAnsi" w:hAnsiTheme="minorHAnsi" w:cstheme="minorHAnsi"/>
              <w:noProof/>
            </w:rPr>
            <w:t>(Frost, 2018)</w:t>
          </w:r>
          <w:r>
            <w:rPr>
              <w:rFonts w:asciiTheme="minorHAnsi" w:hAnsiTheme="minorHAnsi" w:cstheme="minorHAnsi"/>
            </w:rPr>
            <w:fldChar w:fldCharType="end"/>
          </w:r>
        </w:sdtContent>
      </w:sdt>
      <w:r w:rsidRPr="00C135AB">
        <w:rPr>
          <w:rFonts w:asciiTheme="minorHAnsi" w:hAnsiTheme="minorHAnsi" w:cstheme="minorHAnsi"/>
        </w:rPr>
        <w:t>. Community outreach is the act of raising public awareness, and it refers to the way in which the powerful support the weak, and the rich help the impoverished. Community meetings, training sessions, street plays, cultural events, and protest marches by Hampstead Garden suburb are all examples of interventions that fall under this umbrella term. Evidence demonstrates that various media may have a positive effect on society's attitudes and behavior. A variety of initiatives are working together to support individuals who are oppressed, aiming to help those who might rise out of poverty if only someone would provide a helping hand</w:t>
      </w:r>
      <w:sdt>
        <w:sdtPr>
          <w:rPr>
            <w:rFonts w:asciiTheme="minorHAnsi" w:hAnsiTheme="minorHAnsi" w:cstheme="minorHAnsi"/>
          </w:rPr>
          <w:id w:val="-550079927"/>
          <w:citation/>
        </w:sdtPr>
        <w:sdtContent>
          <w:r>
            <w:rPr>
              <w:rFonts w:asciiTheme="minorHAnsi" w:hAnsiTheme="minorHAnsi" w:cstheme="minorHAnsi"/>
            </w:rPr>
            <w:fldChar w:fldCharType="begin"/>
          </w:r>
          <w:r>
            <w:rPr>
              <w:rFonts w:asciiTheme="minorHAnsi" w:hAnsiTheme="minorHAnsi" w:cstheme="minorHAnsi"/>
            </w:rPr>
            <w:instrText xml:space="preserve"> CITATION Arl13 \l 1033 </w:instrText>
          </w:r>
          <w:r>
            <w:rPr>
              <w:rFonts w:asciiTheme="minorHAnsi" w:hAnsiTheme="minorHAnsi" w:cstheme="minorHAnsi"/>
            </w:rPr>
            <w:fldChar w:fldCharType="separate"/>
          </w:r>
          <w:r>
            <w:rPr>
              <w:rFonts w:asciiTheme="minorHAnsi" w:hAnsiTheme="minorHAnsi" w:cstheme="minorHAnsi"/>
              <w:noProof/>
            </w:rPr>
            <w:t xml:space="preserve"> </w:t>
          </w:r>
          <w:r w:rsidRPr="001A4897">
            <w:rPr>
              <w:rFonts w:asciiTheme="minorHAnsi" w:hAnsiTheme="minorHAnsi" w:cstheme="minorHAnsi"/>
              <w:noProof/>
            </w:rPr>
            <w:t>(Sherman, et al., 2013)</w:t>
          </w:r>
          <w:r>
            <w:rPr>
              <w:rFonts w:asciiTheme="minorHAnsi" w:hAnsiTheme="minorHAnsi" w:cstheme="minorHAnsi"/>
            </w:rPr>
            <w:fldChar w:fldCharType="end"/>
          </w:r>
        </w:sdtContent>
      </w:sdt>
      <w:r w:rsidRPr="00C135AB">
        <w:rPr>
          <w:rFonts w:asciiTheme="minorHAnsi" w:hAnsiTheme="minorHAnsi" w:cstheme="minorHAnsi"/>
        </w:rPr>
        <w:t>.</w:t>
      </w:r>
    </w:p>
    <w:p w14:paraId="7798C356" w14:textId="77777777" w:rsidR="00611710" w:rsidRPr="00C135AB" w:rsidRDefault="00611710" w:rsidP="00611710">
      <w:pPr>
        <w:pStyle w:val="Heading1"/>
        <w:rPr>
          <w:rFonts w:asciiTheme="minorHAnsi" w:hAnsiTheme="minorHAnsi" w:cstheme="minorHAnsi"/>
          <w:sz w:val="24"/>
          <w:szCs w:val="24"/>
        </w:rPr>
      </w:pPr>
      <w:bookmarkStart w:id="5" w:name="_Toc102476711"/>
      <w:r w:rsidRPr="00C135AB">
        <w:rPr>
          <w:rFonts w:asciiTheme="minorHAnsi" w:hAnsiTheme="minorHAnsi" w:cstheme="minorHAnsi"/>
          <w:sz w:val="24"/>
          <w:szCs w:val="24"/>
        </w:rPr>
        <w:lastRenderedPageBreak/>
        <w:t>Community engagement practitioner</w:t>
      </w:r>
      <w:bookmarkEnd w:id="5"/>
    </w:p>
    <w:p w14:paraId="3A8AB31A" w14:textId="77777777" w:rsidR="00611710" w:rsidRPr="00C135AB" w:rsidRDefault="00611710" w:rsidP="00611710">
      <w:pPr>
        <w:pStyle w:val="normal0"/>
        <w:ind w:firstLine="720"/>
        <w:rPr>
          <w:rFonts w:asciiTheme="minorHAnsi" w:hAnsiTheme="minorHAnsi" w:cstheme="minorHAnsi"/>
        </w:rPr>
      </w:pPr>
      <w:r w:rsidRPr="00C135AB">
        <w:rPr>
          <w:rFonts w:asciiTheme="minorHAnsi" w:hAnsiTheme="minorHAnsi" w:cstheme="minorHAnsi"/>
        </w:rPr>
        <w:t>Allowing the elderly who have no one else to care for them to live in a peaceful and supportive environment may help alleviate the burden on their families. Rebuilding faith in one's own morality by extending hope and comfort to convicts allows them to feel that someone will accept them, regardless of their past. There is a belief in this faith that provides people with a sense of optimism and encouragement for their future undertakings</w:t>
      </w:r>
      <w:sdt>
        <w:sdtPr>
          <w:rPr>
            <w:rFonts w:asciiTheme="minorHAnsi" w:hAnsiTheme="minorHAnsi" w:cstheme="minorHAnsi"/>
          </w:rPr>
          <w:id w:val="-579371580"/>
          <w:citation/>
        </w:sdtPr>
        <w:sdtContent>
          <w:r>
            <w:rPr>
              <w:rFonts w:asciiTheme="minorHAnsi" w:hAnsiTheme="minorHAnsi" w:cstheme="minorHAnsi"/>
            </w:rPr>
            <w:fldChar w:fldCharType="begin"/>
          </w:r>
          <w:r>
            <w:rPr>
              <w:rFonts w:asciiTheme="minorHAnsi" w:hAnsiTheme="minorHAnsi" w:cstheme="minorHAnsi"/>
            </w:rPr>
            <w:instrText xml:space="preserve"> CITATION Hel13 \l 1033 </w:instrText>
          </w:r>
          <w:r>
            <w:rPr>
              <w:rFonts w:asciiTheme="minorHAnsi" w:hAnsiTheme="minorHAnsi" w:cstheme="minorHAnsi"/>
            </w:rPr>
            <w:fldChar w:fldCharType="separate"/>
          </w:r>
          <w:r>
            <w:rPr>
              <w:rFonts w:asciiTheme="minorHAnsi" w:hAnsiTheme="minorHAnsi" w:cstheme="minorHAnsi"/>
              <w:noProof/>
            </w:rPr>
            <w:t xml:space="preserve"> </w:t>
          </w:r>
          <w:r w:rsidRPr="00DF1BCF">
            <w:rPr>
              <w:rFonts w:asciiTheme="minorHAnsi" w:hAnsiTheme="minorHAnsi" w:cstheme="minorHAnsi"/>
              <w:noProof/>
            </w:rPr>
            <w:t>(Keller, 2013)</w:t>
          </w:r>
          <w:r>
            <w:rPr>
              <w:rFonts w:asciiTheme="minorHAnsi" w:hAnsiTheme="minorHAnsi" w:cstheme="minorHAnsi"/>
            </w:rPr>
            <w:fldChar w:fldCharType="end"/>
          </w:r>
        </w:sdtContent>
      </w:sdt>
      <w:r w:rsidRPr="00C135AB">
        <w:rPr>
          <w:rFonts w:asciiTheme="minorHAnsi" w:hAnsiTheme="minorHAnsi" w:cstheme="minorHAnsi"/>
        </w:rPr>
        <w:t>. If the term "community outreach" is to be taken seriously by the Hampstead Garden suburb, it must go beyond the rhetoric and provide the various resources a real role and a robust environment free of legal restrictions so that they may function successfully.</w:t>
      </w:r>
    </w:p>
    <w:p w14:paraId="7605C5D5" w14:textId="77777777" w:rsidR="00611710" w:rsidRPr="00C135AB" w:rsidRDefault="00611710" w:rsidP="00611710">
      <w:pPr>
        <w:pStyle w:val="Heading1"/>
        <w:rPr>
          <w:rFonts w:asciiTheme="minorHAnsi" w:hAnsiTheme="minorHAnsi" w:cstheme="minorHAnsi"/>
          <w:sz w:val="24"/>
          <w:szCs w:val="24"/>
        </w:rPr>
      </w:pPr>
      <w:bookmarkStart w:id="6" w:name="_Toc102476712"/>
      <w:r w:rsidRPr="00C135AB">
        <w:rPr>
          <w:rFonts w:asciiTheme="minorHAnsi" w:hAnsiTheme="minorHAnsi" w:cstheme="minorHAnsi"/>
          <w:sz w:val="24"/>
          <w:szCs w:val="24"/>
        </w:rPr>
        <w:t>Community development</w:t>
      </w:r>
      <w:bookmarkEnd w:id="6"/>
    </w:p>
    <w:p w14:paraId="568370F7" w14:textId="77777777" w:rsidR="00611710" w:rsidRPr="00C135AB" w:rsidRDefault="00611710" w:rsidP="00611710">
      <w:pPr>
        <w:pStyle w:val="normal0"/>
        <w:rPr>
          <w:rFonts w:asciiTheme="minorHAnsi" w:hAnsiTheme="minorHAnsi" w:cstheme="minorHAnsi"/>
        </w:rPr>
      </w:pPr>
      <w:r w:rsidRPr="00C135AB">
        <w:rPr>
          <w:rFonts w:asciiTheme="minorHAnsi" w:hAnsiTheme="minorHAnsi" w:cstheme="minorHAnsi"/>
        </w:rPr>
        <w:t>For those commuting either into or out of the area for work, Hampstead Garden Suburb is close to two underground tube stations, these being Golders Green and East Finchley. Both stations run on the Northern Line, which has connections to a variety of different central working areas within the city. There are also many different bus stations located throughout the area.</w:t>
      </w:r>
    </w:p>
    <w:p w14:paraId="0B91A5DA" w14:textId="77777777" w:rsidR="00611710" w:rsidRPr="00C135AB" w:rsidRDefault="00611710" w:rsidP="00611710">
      <w:pPr>
        <w:pStyle w:val="normal0"/>
        <w:rPr>
          <w:rFonts w:asciiTheme="minorHAnsi" w:hAnsiTheme="minorHAnsi" w:cstheme="minorHAnsi"/>
        </w:rPr>
      </w:pPr>
      <w:r w:rsidRPr="00C135AB">
        <w:rPr>
          <w:rFonts w:asciiTheme="minorHAnsi" w:hAnsiTheme="minorHAnsi" w:cstheme="minorHAnsi"/>
        </w:rPr>
        <w:t>Hampstead Garden Suburb is widely recognised for its stunning architecture, set within a leafy Suburb and the open spaces of Heath Extension.</w:t>
      </w:r>
      <w:r>
        <w:rPr>
          <w:rFonts w:asciiTheme="minorHAnsi" w:hAnsiTheme="minorHAnsi" w:cstheme="minorHAnsi"/>
        </w:rPr>
        <w:t xml:space="preserve"> </w:t>
      </w:r>
      <w:r w:rsidRPr="00C135AB">
        <w:rPr>
          <w:rFonts w:asciiTheme="minorHAnsi" w:hAnsiTheme="minorHAnsi" w:cstheme="minorHAnsi"/>
        </w:rPr>
        <w:t>From the Central Square to Hampstead Heath extension to the south of the suburb it is possible to walk through a countryside setting all the way to Hampstead or Highgate. Central Square was to be the focal point of Dame Henrietta Barnett’s Hampstead Garden Suburb, the site selected for its height and views; its design underwent numerous revisions. The lovely Hampstead Heath which has 320 hectares, lots of space for running or long walks and the wild swimming in the ponds</w:t>
      </w:r>
      <w:sdt>
        <w:sdtPr>
          <w:rPr>
            <w:rFonts w:asciiTheme="minorHAnsi" w:hAnsiTheme="minorHAnsi" w:cstheme="minorHAnsi"/>
          </w:rPr>
          <w:id w:val="-1684042587"/>
          <w:citation/>
        </w:sdtPr>
        <w:sdtContent>
          <w:r>
            <w:rPr>
              <w:rFonts w:asciiTheme="minorHAnsi" w:hAnsiTheme="minorHAnsi" w:cstheme="minorHAnsi"/>
            </w:rPr>
            <w:fldChar w:fldCharType="begin"/>
          </w:r>
          <w:r>
            <w:rPr>
              <w:rFonts w:asciiTheme="minorHAnsi" w:hAnsiTheme="minorHAnsi" w:cstheme="minorHAnsi"/>
            </w:rPr>
            <w:instrText xml:space="preserve"> CITATION Hea22 \l 1033 </w:instrText>
          </w:r>
          <w:r>
            <w:rPr>
              <w:rFonts w:asciiTheme="minorHAnsi" w:hAnsiTheme="minorHAnsi" w:cstheme="minorHAnsi"/>
            </w:rPr>
            <w:fldChar w:fldCharType="separate"/>
          </w:r>
          <w:r>
            <w:rPr>
              <w:rFonts w:asciiTheme="minorHAnsi" w:hAnsiTheme="minorHAnsi" w:cstheme="minorHAnsi"/>
              <w:noProof/>
            </w:rPr>
            <w:t xml:space="preserve"> </w:t>
          </w:r>
          <w:r w:rsidRPr="00F1726C">
            <w:rPr>
              <w:rFonts w:asciiTheme="minorHAnsi" w:hAnsiTheme="minorHAnsi" w:cstheme="minorHAnsi"/>
              <w:noProof/>
            </w:rPr>
            <w:t>(Heath Gate, 2022)</w:t>
          </w:r>
          <w:r>
            <w:rPr>
              <w:rFonts w:asciiTheme="minorHAnsi" w:hAnsiTheme="minorHAnsi" w:cstheme="minorHAnsi"/>
            </w:rPr>
            <w:fldChar w:fldCharType="end"/>
          </w:r>
        </w:sdtContent>
      </w:sdt>
      <w:r w:rsidRPr="00C135AB">
        <w:rPr>
          <w:rFonts w:asciiTheme="minorHAnsi" w:hAnsiTheme="minorHAnsi" w:cstheme="minorHAnsi"/>
        </w:rPr>
        <w:t>.</w:t>
      </w:r>
    </w:p>
    <w:p w14:paraId="6D9441CF" w14:textId="77777777" w:rsidR="00611710" w:rsidRPr="00C135AB" w:rsidRDefault="00611710" w:rsidP="00611710">
      <w:pPr>
        <w:pStyle w:val="normal0"/>
        <w:rPr>
          <w:rFonts w:asciiTheme="minorHAnsi" w:hAnsiTheme="minorHAnsi" w:cstheme="minorHAnsi"/>
        </w:rPr>
      </w:pPr>
      <w:r w:rsidRPr="00C135AB">
        <w:rPr>
          <w:rFonts w:asciiTheme="minorHAnsi" w:hAnsiTheme="minorHAnsi" w:cstheme="minorHAnsi"/>
        </w:rPr>
        <w:lastRenderedPageBreak/>
        <w:t>The Hampstead Garden Suburb Trust was founded in 1968 "to do all matters possible to keep and hold the current character and facilities" of Hampstead Garden Suburb. The Trust manages a Scheme of Management, which guarantees that the architectural requirements of the Suburb's founders will be maintained. The Trust has policies for the protection of the character of the Suburb and householders must obtain the Trust's approval before making adjustments to the external look in their property. The Trust has a legal responsibility to uphold high requirements of belongings design, construction and protection, and has to strike a stability among accepting change and keeping individual</w:t>
      </w:r>
      <w:sdt>
        <w:sdtPr>
          <w:rPr>
            <w:rFonts w:asciiTheme="minorHAnsi" w:hAnsiTheme="minorHAnsi" w:cstheme="minorHAnsi"/>
          </w:rPr>
          <w:id w:val="2146762297"/>
          <w:citation/>
        </w:sdtPr>
        <w:sdtContent>
          <w:r>
            <w:rPr>
              <w:rFonts w:asciiTheme="minorHAnsi" w:hAnsiTheme="minorHAnsi" w:cstheme="minorHAnsi"/>
            </w:rPr>
            <w:fldChar w:fldCharType="begin"/>
          </w:r>
          <w:r>
            <w:rPr>
              <w:rFonts w:asciiTheme="minorHAnsi" w:hAnsiTheme="minorHAnsi" w:cstheme="minorHAnsi"/>
            </w:rPr>
            <w:instrText xml:space="preserve"> CITATION Ham22 \l 1033 </w:instrText>
          </w:r>
          <w:r>
            <w:rPr>
              <w:rFonts w:asciiTheme="minorHAnsi" w:hAnsiTheme="minorHAnsi" w:cstheme="minorHAnsi"/>
            </w:rPr>
            <w:fldChar w:fldCharType="separate"/>
          </w:r>
          <w:r>
            <w:rPr>
              <w:rFonts w:asciiTheme="minorHAnsi" w:hAnsiTheme="minorHAnsi" w:cstheme="minorHAnsi"/>
              <w:noProof/>
            </w:rPr>
            <w:t xml:space="preserve"> </w:t>
          </w:r>
          <w:r w:rsidRPr="00F1726C">
            <w:rPr>
              <w:rFonts w:asciiTheme="minorHAnsi" w:hAnsiTheme="minorHAnsi" w:cstheme="minorHAnsi"/>
              <w:noProof/>
            </w:rPr>
            <w:t>(Hampstead Garden Suburb Trust, 2022)</w:t>
          </w:r>
          <w:r>
            <w:rPr>
              <w:rFonts w:asciiTheme="minorHAnsi" w:hAnsiTheme="minorHAnsi" w:cstheme="minorHAnsi"/>
            </w:rPr>
            <w:fldChar w:fldCharType="end"/>
          </w:r>
        </w:sdtContent>
      </w:sdt>
      <w:r w:rsidRPr="00C135AB">
        <w:rPr>
          <w:rFonts w:asciiTheme="minorHAnsi" w:hAnsiTheme="minorHAnsi" w:cstheme="minorHAnsi"/>
        </w:rPr>
        <w:t>.</w:t>
      </w:r>
    </w:p>
    <w:p w14:paraId="6BAD8314" w14:textId="77777777" w:rsidR="00611710" w:rsidRPr="00C135AB" w:rsidRDefault="00611710" w:rsidP="00611710">
      <w:pPr>
        <w:pStyle w:val="normal0"/>
        <w:rPr>
          <w:rFonts w:asciiTheme="minorHAnsi" w:hAnsiTheme="minorHAnsi" w:cstheme="minorHAnsi"/>
        </w:rPr>
      </w:pPr>
    </w:p>
    <w:p w14:paraId="7A8A9138" w14:textId="77777777" w:rsidR="00611710" w:rsidRPr="00C135AB" w:rsidRDefault="00611710" w:rsidP="00611710">
      <w:pPr>
        <w:pStyle w:val="normal0"/>
        <w:rPr>
          <w:rFonts w:asciiTheme="minorHAnsi" w:hAnsiTheme="minorHAnsi" w:cstheme="minorHAnsi"/>
        </w:rPr>
      </w:pPr>
      <w:r w:rsidRPr="00C135AB">
        <w:rPr>
          <w:rFonts w:asciiTheme="minorHAnsi" w:hAnsiTheme="minorHAnsi" w:cstheme="minorHAnsi"/>
        </w:rPr>
        <w:t>The Trust’s long-term approach is to accede:</w:t>
      </w:r>
    </w:p>
    <w:p w14:paraId="30F21465" w14:textId="77777777" w:rsidR="00611710" w:rsidRPr="00C135AB" w:rsidRDefault="00611710" w:rsidP="00611710">
      <w:pPr>
        <w:pStyle w:val="normal0"/>
        <w:rPr>
          <w:rFonts w:asciiTheme="minorHAnsi" w:hAnsiTheme="minorHAnsi" w:cstheme="minorHAnsi"/>
        </w:rPr>
      </w:pPr>
      <w:r w:rsidRPr="00C135AB">
        <w:rPr>
          <w:rFonts w:asciiTheme="minorHAnsi" w:hAnsiTheme="minorHAnsi" w:cstheme="minorHAnsi"/>
        </w:rPr>
        <w:t>Regulation of change on the Suburb through vigorous workout of the Trust’s obligations and rights under the Scheme of Management (for enfranchised freehold properties) and thr</w:t>
      </w:r>
      <w:r>
        <w:rPr>
          <w:rFonts w:asciiTheme="minorHAnsi" w:hAnsiTheme="minorHAnsi" w:cstheme="minorHAnsi"/>
        </w:rPr>
        <w:t>ough</w:t>
      </w:r>
      <w:r w:rsidRPr="00C135AB">
        <w:rPr>
          <w:rFonts w:asciiTheme="minorHAnsi" w:hAnsiTheme="minorHAnsi" w:cstheme="minorHAnsi"/>
        </w:rPr>
        <w:t xml:space="preserve"> the terms of the leases (for belongings where the Trust retains the freehold reversion).</w:t>
      </w:r>
    </w:p>
    <w:p w14:paraId="520534B1" w14:textId="77777777" w:rsidR="00611710" w:rsidRPr="00C135AB" w:rsidRDefault="00611710" w:rsidP="00611710">
      <w:pPr>
        <w:pStyle w:val="normal0"/>
        <w:rPr>
          <w:rFonts w:asciiTheme="minorHAnsi" w:hAnsiTheme="minorHAnsi" w:cstheme="minorHAnsi"/>
        </w:rPr>
      </w:pPr>
      <w:r w:rsidRPr="00C135AB">
        <w:rPr>
          <w:rFonts w:asciiTheme="minorHAnsi" w:hAnsiTheme="minorHAnsi" w:cstheme="minorHAnsi"/>
        </w:rPr>
        <w:t>Direct, deliberate control of the Trust’s residual property, which include communal open areas, privy roads and allotments. A powerful architectural advisory provider for citizens, proprietors and their expert retailers and contractors. A schooling and focus program through walks, talks, courses, broadcast and new media. A modest program of charitable donations to Suburb excellent reasons</w:t>
      </w:r>
    </w:p>
    <w:p w14:paraId="2CC34783" w14:textId="77777777" w:rsidR="00611710" w:rsidRPr="00C135AB" w:rsidRDefault="00611710" w:rsidP="00611710">
      <w:pPr>
        <w:pStyle w:val="normal0"/>
        <w:rPr>
          <w:rFonts w:asciiTheme="minorHAnsi" w:hAnsiTheme="minorHAnsi" w:cstheme="minorHAnsi"/>
        </w:rPr>
      </w:pPr>
      <w:r w:rsidRPr="00C135AB">
        <w:rPr>
          <w:rFonts w:asciiTheme="minorHAnsi" w:hAnsiTheme="minorHAnsi" w:cstheme="minorHAnsi"/>
        </w:rPr>
        <w:t>Management and enhancement of the Trust’s reserves to permanently get rid of revenue deficit.</w:t>
      </w:r>
    </w:p>
    <w:p w14:paraId="5A9B44EE" w14:textId="77777777" w:rsidR="00611710" w:rsidRPr="00C135AB" w:rsidRDefault="00611710" w:rsidP="00611710">
      <w:pPr>
        <w:pStyle w:val="normal0"/>
        <w:rPr>
          <w:rFonts w:asciiTheme="minorHAnsi" w:hAnsiTheme="minorHAnsi" w:cstheme="minorHAnsi"/>
        </w:rPr>
      </w:pPr>
      <w:r w:rsidRPr="00C135AB">
        <w:rPr>
          <w:rFonts w:asciiTheme="minorHAnsi" w:hAnsiTheme="minorHAnsi" w:cstheme="minorHAnsi"/>
        </w:rPr>
        <w:t>The object and predominant hobby of the Trust is to ‘hold and keep the existing person and facilities’ – in particular the landscape and structure – of the Suburb</w:t>
      </w:r>
      <w:sdt>
        <w:sdtPr>
          <w:rPr>
            <w:rFonts w:asciiTheme="minorHAnsi" w:hAnsiTheme="minorHAnsi" w:cstheme="minorHAnsi"/>
          </w:rPr>
          <w:id w:val="283624756"/>
          <w:citation/>
        </w:sdtPr>
        <w:sdtContent>
          <w:r>
            <w:rPr>
              <w:rFonts w:asciiTheme="minorHAnsi" w:hAnsiTheme="minorHAnsi" w:cstheme="minorHAnsi"/>
            </w:rPr>
            <w:fldChar w:fldCharType="begin"/>
          </w:r>
          <w:r>
            <w:rPr>
              <w:rFonts w:asciiTheme="minorHAnsi" w:hAnsiTheme="minorHAnsi" w:cstheme="minorHAnsi"/>
            </w:rPr>
            <w:instrText xml:space="preserve"> CITATION Ham22 \l 1033 </w:instrText>
          </w:r>
          <w:r>
            <w:rPr>
              <w:rFonts w:asciiTheme="minorHAnsi" w:hAnsiTheme="minorHAnsi" w:cstheme="minorHAnsi"/>
            </w:rPr>
            <w:fldChar w:fldCharType="separate"/>
          </w:r>
          <w:r>
            <w:rPr>
              <w:rFonts w:asciiTheme="minorHAnsi" w:hAnsiTheme="minorHAnsi" w:cstheme="minorHAnsi"/>
              <w:noProof/>
            </w:rPr>
            <w:t xml:space="preserve"> </w:t>
          </w:r>
          <w:r w:rsidRPr="00F1726C">
            <w:rPr>
              <w:rFonts w:asciiTheme="minorHAnsi" w:hAnsiTheme="minorHAnsi" w:cstheme="minorHAnsi"/>
              <w:noProof/>
            </w:rPr>
            <w:t>(Hampstead Garden Suburb Trust, 2022)</w:t>
          </w:r>
          <w:r>
            <w:rPr>
              <w:rFonts w:asciiTheme="minorHAnsi" w:hAnsiTheme="minorHAnsi" w:cstheme="minorHAnsi"/>
            </w:rPr>
            <w:fldChar w:fldCharType="end"/>
          </w:r>
        </w:sdtContent>
      </w:sdt>
      <w:r w:rsidRPr="00C135AB">
        <w:rPr>
          <w:rFonts w:asciiTheme="minorHAnsi" w:hAnsiTheme="minorHAnsi" w:cstheme="minorHAnsi"/>
        </w:rPr>
        <w:t>.</w:t>
      </w:r>
    </w:p>
    <w:p w14:paraId="11B03E39" w14:textId="77777777" w:rsidR="00611710" w:rsidRPr="00C135AB" w:rsidRDefault="00611710" w:rsidP="00611710">
      <w:pPr>
        <w:pStyle w:val="normal0"/>
        <w:ind w:firstLine="720"/>
        <w:rPr>
          <w:rFonts w:asciiTheme="minorHAnsi" w:hAnsiTheme="minorHAnsi" w:cstheme="minorHAnsi"/>
        </w:rPr>
      </w:pPr>
      <w:r w:rsidRPr="00C135AB">
        <w:rPr>
          <w:rFonts w:asciiTheme="minorHAnsi" w:hAnsiTheme="minorHAnsi" w:cstheme="minorHAnsi"/>
        </w:rPr>
        <w:lastRenderedPageBreak/>
        <w:t xml:space="preserve">Getting the word out about health and wellness is the purpose of the campaign of Hampstead Garden </w:t>
      </w:r>
      <w:r>
        <w:rPr>
          <w:rFonts w:asciiTheme="minorHAnsi" w:hAnsiTheme="minorHAnsi" w:cstheme="minorHAnsi"/>
        </w:rPr>
        <w:t>S</w:t>
      </w:r>
      <w:r w:rsidRPr="00C135AB">
        <w:rPr>
          <w:rFonts w:asciiTheme="minorHAnsi" w:hAnsiTheme="minorHAnsi" w:cstheme="minorHAnsi"/>
        </w:rPr>
        <w:t>uburb. Education equips us with a slew of tools for effecting social change. Society may undergo a sea shift if it is made aware of current educational trends. In the past, everyone couldn't get an education, and they couldn't go where they wanted to go. Consequently, they were unable to grasp the significance of life. As a result, education has become more closely tied to the real world. In order to get the greatest results in terms of community communication, everyone, including teachers and the Community, may play an important role. The Central Board of Secondary Education (CBSE) has already started a number of programs to benefit educational institutions and society at large. "Smart courses," as they're known now, are a way for the community to stay up to speed on the community's upkeep and expenses. In order to eliminate polio and safeguard the environment, individuals of today's age may get a thorough education via the use of this method. The well-being of a community is directly linked to the well-being of its members.</w:t>
      </w:r>
    </w:p>
    <w:p w14:paraId="314FC96E" w14:textId="77777777" w:rsidR="00611710" w:rsidRPr="00C135AB" w:rsidRDefault="00611710" w:rsidP="00611710">
      <w:pPr>
        <w:pStyle w:val="normal0"/>
        <w:ind w:firstLine="720"/>
        <w:rPr>
          <w:rFonts w:asciiTheme="minorHAnsi" w:hAnsiTheme="minorHAnsi" w:cstheme="minorHAnsi"/>
        </w:rPr>
      </w:pPr>
      <w:r w:rsidRPr="00C135AB">
        <w:rPr>
          <w:rFonts w:asciiTheme="minorHAnsi" w:hAnsiTheme="minorHAnsi" w:cstheme="minorHAnsi"/>
        </w:rPr>
        <w:t xml:space="preserve">A school cannot exist in isolation from the rest of society. It is a natural and essential part of the human condition. Despite its primary purpose of educating children, the school must adapt to the needs and desires of society. They need to build a healthy symbiotic relationship with the culture around them. One can find many instances of this throughout history, therefore it's not an entirely new phenomenon. Teachers may volunteer their time and resources to help the community, or the school's facilities may be put to use for this purpose. The community Hampstead Garden </w:t>
      </w:r>
      <w:r>
        <w:rPr>
          <w:rFonts w:asciiTheme="minorHAnsi" w:hAnsiTheme="minorHAnsi" w:cstheme="minorHAnsi"/>
        </w:rPr>
        <w:t>S</w:t>
      </w:r>
      <w:r w:rsidRPr="00C135AB">
        <w:rPr>
          <w:rFonts w:asciiTheme="minorHAnsi" w:hAnsiTheme="minorHAnsi" w:cstheme="minorHAnsi"/>
        </w:rPr>
        <w:t xml:space="preserve">uburb is now taking the lead in reaching out to the community. The classroom is no longer the only location where Community may study. Community these days are expected to give back to the community as a part of their education. Pupils can interact with </w:t>
      </w:r>
      <w:r w:rsidRPr="00C135AB">
        <w:rPr>
          <w:rFonts w:asciiTheme="minorHAnsi" w:hAnsiTheme="minorHAnsi" w:cstheme="minorHAnsi"/>
        </w:rPr>
        <w:lastRenderedPageBreak/>
        <w:t>others and gain information as a result. Learning is a natural part of their everyday lives. Learning beyond the classroom may be an extension of classroom activities or an application of classroom knowledge</w:t>
      </w:r>
      <w:sdt>
        <w:sdtPr>
          <w:rPr>
            <w:rFonts w:asciiTheme="minorHAnsi" w:hAnsiTheme="minorHAnsi" w:cstheme="minorHAnsi"/>
          </w:rPr>
          <w:id w:val="-1288438390"/>
          <w:citation/>
        </w:sdtPr>
        <w:sdtContent>
          <w:r>
            <w:rPr>
              <w:rFonts w:asciiTheme="minorHAnsi" w:hAnsiTheme="minorHAnsi" w:cstheme="minorHAnsi"/>
            </w:rPr>
            <w:fldChar w:fldCharType="begin"/>
          </w:r>
          <w:r>
            <w:rPr>
              <w:rFonts w:asciiTheme="minorHAnsi" w:hAnsiTheme="minorHAnsi" w:cstheme="minorHAnsi"/>
            </w:rPr>
            <w:instrText xml:space="preserve"> CITATION Han18 \l 1033 </w:instrText>
          </w:r>
          <w:r>
            <w:rPr>
              <w:rFonts w:asciiTheme="minorHAnsi" w:hAnsiTheme="minorHAnsi" w:cstheme="minorHAnsi"/>
            </w:rPr>
            <w:fldChar w:fldCharType="separate"/>
          </w:r>
          <w:r>
            <w:rPr>
              <w:rFonts w:asciiTheme="minorHAnsi" w:hAnsiTheme="minorHAnsi" w:cstheme="minorHAnsi"/>
              <w:noProof/>
            </w:rPr>
            <w:t xml:space="preserve"> </w:t>
          </w:r>
          <w:r w:rsidRPr="00F1726C">
            <w:rPr>
              <w:rFonts w:asciiTheme="minorHAnsi" w:hAnsiTheme="minorHAnsi" w:cstheme="minorHAnsi"/>
              <w:noProof/>
            </w:rPr>
            <w:t>(Stuart, 2018)</w:t>
          </w:r>
          <w:r>
            <w:rPr>
              <w:rFonts w:asciiTheme="minorHAnsi" w:hAnsiTheme="minorHAnsi" w:cstheme="minorHAnsi"/>
            </w:rPr>
            <w:fldChar w:fldCharType="end"/>
          </w:r>
        </w:sdtContent>
      </w:sdt>
      <w:r w:rsidRPr="00C135AB">
        <w:rPr>
          <w:rFonts w:asciiTheme="minorHAnsi" w:hAnsiTheme="minorHAnsi" w:cstheme="minorHAnsi"/>
        </w:rPr>
        <w:t xml:space="preserve">. </w:t>
      </w:r>
    </w:p>
    <w:p w14:paraId="5CEF47B1" w14:textId="77777777" w:rsidR="00611710" w:rsidRPr="00C135AB" w:rsidRDefault="00611710" w:rsidP="00611710">
      <w:pPr>
        <w:pStyle w:val="normal0"/>
        <w:ind w:firstLine="720"/>
        <w:rPr>
          <w:rFonts w:asciiTheme="minorHAnsi" w:hAnsiTheme="minorHAnsi" w:cstheme="minorHAnsi"/>
        </w:rPr>
      </w:pPr>
      <w:r w:rsidRPr="006A47DD">
        <w:rPr>
          <w:rFonts w:asciiTheme="minorHAnsi" w:hAnsiTheme="minorHAnsi" w:cstheme="minorHAnsi"/>
        </w:rPr>
        <w:t xml:space="preserve">Hampstead Garden Suburb Residents Association </w:t>
      </w:r>
      <w:r w:rsidRPr="00C135AB">
        <w:rPr>
          <w:rFonts w:asciiTheme="minorHAnsi" w:hAnsiTheme="minorHAnsi" w:cstheme="minorHAnsi"/>
        </w:rPr>
        <w:t>may have conducted the kind of survey that was used in the study. However, the engagement of the school and the Community had a broader aim in mind. Society's problems necessitated educating the youth</w:t>
      </w:r>
      <w:sdt>
        <w:sdtPr>
          <w:rPr>
            <w:rFonts w:asciiTheme="minorHAnsi" w:hAnsiTheme="minorHAnsi" w:cstheme="minorHAnsi"/>
          </w:rPr>
          <w:id w:val="-930341863"/>
          <w:citation/>
        </w:sdtPr>
        <w:sdtContent>
          <w:r>
            <w:rPr>
              <w:rFonts w:asciiTheme="minorHAnsi" w:hAnsiTheme="minorHAnsi" w:cstheme="minorHAnsi"/>
            </w:rPr>
            <w:fldChar w:fldCharType="begin"/>
          </w:r>
          <w:r>
            <w:rPr>
              <w:rFonts w:asciiTheme="minorHAnsi" w:hAnsiTheme="minorHAnsi" w:cstheme="minorHAnsi"/>
            </w:rPr>
            <w:instrText xml:space="preserve"> CITATION MLi22 \l 1033 </w:instrText>
          </w:r>
          <w:r>
            <w:rPr>
              <w:rFonts w:asciiTheme="minorHAnsi" w:hAnsiTheme="minorHAnsi" w:cstheme="minorHAnsi"/>
            </w:rPr>
            <w:fldChar w:fldCharType="separate"/>
          </w:r>
          <w:r>
            <w:rPr>
              <w:rFonts w:asciiTheme="minorHAnsi" w:hAnsiTheme="minorHAnsi" w:cstheme="minorHAnsi"/>
              <w:noProof/>
            </w:rPr>
            <w:t xml:space="preserve"> </w:t>
          </w:r>
          <w:r w:rsidRPr="0055784B">
            <w:rPr>
              <w:rFonts w:asciiTheme="minorHAnsi" w:hAnsiTheme="minorHAnsi" w:cstheme="minorHAnsi"/>
              <w:noProof/>
            </w:rPr>
            <w:t>(M Libraries, 2022)</w:t>
          </w:r>
          <w:r>
            <w:rPr>
              <w:rFonts w:asciiTheme="minorHAnsi" w:hAnsiTheme="minorHAnsi" w:cstheme="minorHAnsi"/>
            </w:rPr>
            <w:fldChar w:fldCharType="end"/>
          </w:r>
        </w:sdtContent>
      </w:sdt>
      <w:r w:rsidRPr="00C135AB">
        <w:rPr>
          <w:rFonts w:asciiTheme="minorHAnsi" w:hAnsiTheme="minorHAnsi" w:cstheme="minorHAnsi"/>
        </w:rPr>
        <w:t>. As the saying goes, we didn't inherit this planet; we borrowed it from our children and grandchildren. Over-exploitation of the planet's resources may have a devastating effect on its delicate ecosystem if it goes unchecked. The community worked in teams with the help of a teacher to complete the assignment. The procedure followed in the handbook was followed exactly. Web site visitors were greeted with results in the way they expected. In addition, the kids shared images of the actual event on social media. Everyone who took part found the experience rewarding, not just because they learned something new but also because they felt good about helping others.</w:t>
      </w:r>
    </w:p>
    <w:p w14:paraId="629E3D1F" w14:textId="77777777" w:rsidR="00611710" w:rsidRPr="00C135AB" w:rsidRDefault="00611710" w:rsidP="00611710">
      <w:pPr>
        <w:pStyle w:val="Heading1"/>
        <w:rPr>
          <w:rFonts w:asciiTheme="minorHAnsi" w:hAnsiTheme="minorHAnsi" w:cstheme="minorHAnsi"/>
          <w:sz w:val="24"/>
          <w:szCs w:val="24"/>
        </w:rPr>
      </w:pPr>
      <w:bookmarkStart w:id="7" w:name="_Toc102476713"/>
      <w:r w:rsidRPr="00C135AB">
        <w:rPr>
          <w:rFonts w:asciiTheme="minorHAnsi" w:hAnsiTheme="minorHAnsi" w:cstheme="minorHAnsi"/>
          <w:sz w:val="24"/>
          <w:szCs w:val="24"/>
        </w:rPr>
        <w:t>Conclusion</w:t>
      </w:r>
      <w:bookmarkEnd w:id="7"/>
    </w:p>
    <w:p w14:paraId="6B9BB6B6" w14:textId="77777777" w:rsidR="00611710" w:rsidRPr="00C135AB" w:rsidRDefault="00611710" w:rsidP="00611710">
      <w:pPr>
        <w:pStyle w:val="normal0"/>
        <w:rPr>
          <w:rFonts w:asciiTheme="minorHAnsi" w:hAnsiTheme="minorHAnsi" w:cstheme="minorHAnsi"/>
        </w:rPr>
      </w:pPr>
      <w:r w:rsidRPr="00C135AB">
        <w:rPr>
          <w:rFonts w:asciiTheme="minorHAnsi" w:hAnsiTheme="minorHAnsi" w:cstheme="minorHAnsi"/>
        </w:rPr>
        <w:t>The requirements for Hampstead Garden Suburb community engagement set out statements of dedication that may be used to develop and support higher operating relationships among communities and groups turning in public services. They are underpinned via ideas of precise exercise that have been highlighted by using network and employer representatives throughout the area to sell equality and fairness. Each general has a chain of signs that can be amassed with the intention to examine performance. The standards may be used to ensure true practice and</w:t>
      </w:r>
    </w:p>
    <w:p w14:paraId="4FBD45E6" w14:textId="77777777" w:rsidR="00611710" w:rsidRPr="00C135AB" w:rsidRDefault="00611710" w:rsidP="00611710">
      <w:pPr>
        <w:pStyle w:val="normal0"/>
        <w:rPr>
          <w:rFonts w:asciiTheme="minorHAnsi" w:hAnsiTheme="minorHAnsi" w:cstheme="minorHAnsi"/>
        </w:rPr>
      </w:pPr>
      <w:r w:rsidRPr="00C135AB">
        <w:rPr>
          <w:rFonts w:asciiTheme="minorHAnsi" w:hAnsiTheme="minorHAnsi" w:cstheme="minorHAnsi"/>
        </w:rPr>
        <w:t xml:space="preserve">hold communities and partners </w:t>
      </w:r>
      <w:r>
        <w:rPr>
          <w:rFonts w:asciiTheme="minorHAnsi" w:hAnsiTheme="minorHAnsi" w:cstheme="minorHAnsi"/>
        </w:rPr>
        <w:t>accountable.</w:t>
      </w:r>
    </w:p>
    <w:p w14:paraId="2B2F640B" w14:textId="77777777" w:rsidR="00611710" w:rsidRPr="00C135AB" w:rsidRDefault="00611710" w:rsidP="00611710">
      <w:pPr>
        <w:pStyle w:val="normal0"/>
        <w:ind w:firstLine="720"/>
        <w:rPr>
          <w:rFonts w:asciiTheme="minorHAnsi" w:hAnsiTheme="minorHAnsi" w:cstheme="minorHAnsi"/>
        </w:rPr>
      </w:pPr>
      <w:r w:rsidRPr="00C135AB">
        <w:rPr>
          <w:rFonts w:asciiTheme="minorHAnsi" w:hAnsiTheme="minorHAnsi" w:cstheme="minorHAnsi"/>
        </w:rPr>
        <w:lastRenderedPageBreak/>
        <w:t xml:space="preserve">This is a great illustration of how far a project can extend throughout the community. More programs by Hampstead Garden </w:t>
      </w:r>
      <w:r>
        <w:rPr>
          <w:rFonts w:asciiTheme="minorHAnsi" w:hAnsiTheme="minorHAnsi" w:cstheme="minorHAnsi"/>
        </w:rPr>
        <w:t>S</w:t>
      </w:r>
      <w:r w:rsidRPr="00C135AB">
        <w:rPr>
          <w:rFonts w:asciiTheme="minorHAnsi" w:hAnsiTheme="minorHAnsi" w:cstheme="minorHAnsi"/>
        </w:rPr>
        <w:t>uburb</w:t>
      </w:r>
      <w:r>
        <w:rPr>
          <w:rFonts w:asciiTheme="minorHAnsi" w:hAnsiTheme="minorHAnsi" w:cstheme="minorHAnsi"/>
        </w:rPr>
        <w:t xml:space="preserve"> </w:t>
      </w:r>
      <w:r w:rsidRPr="00C135AB">
        <w:rPr>
          <w:rFonts w:asciiTheme="minorHAnsi" w:hAnsiTheme="minorHAnsi" w:cstheme="minorHAnsi"/>
        </w:rPr>
        <w:t xml:space="preserve">like this, which aim to alleviate human suffering, may have a significant impact on the way schools are seen in society. </w:t>
      </w:r>
    </w:p>
    <w:p w14:paraId="541DCB84" w14:textId="77777777" w:rsidR="00611710" w:rsidRPr="00C135AB" w:rsidRDefault="00611710" w:rsidP="00611710">
      <w:pPr>
        <w:pStyle w:val="normal0"/>
        <w:jc w:val="left"/>
        <w:rPr>
          <w:rFonts w:asciiTheme="minorHAnsi" w:hAnsiTheme="minorHAnsi" w:cstheme="minorHAnsi"/>
        </w:rPr>
      </w:pPr>
      <w:r w:rsidRPr="00C135AB">
        <w:rPr>
          <w:rFonts w:asciiTheme="minorHAnsi" w:hAnsiTheme="minorHAnsi" w:cstheme="minorHAnsi"/>
        </w:rPr>
        <w:br w:type="page"/>
      </w:r>
    </w:p>
    <w:p w14:paraId="161578C6" w14:textId="77777777" w:rsidR="00611710" w:rsidRPr="00C135AB" w:rsidRDefault="00611710" w:rsidP="00611710">
      <w:pPr>
        <w:pStyle w:val="normal0"/>
        <w:ind w:firstLine="720"/>
        <w:rPr>
          <w:rFonts w:asciiTheme="minorHAnsi" w:hAnsiTheme="minorHAnsi" w:cstheme="minorHAnsi"/>
        </w:rPr>
      </w:pPr>
    </w:p>
    <w:p w14:paraId="50C6F408" w14:textId="77777777" w:rsidR="00611710" w:rsidRPr="00C135AB" w:rsidRDefault="00611710" w:rsidP="00611710">
      <w:pPr>
        <w:pStyle w:val="normal0"/>
        <w:widowControl w:val="0"/>
        <w:spacing w:line="276" w:lineRule="auto"/>
        <w:jc w:val="left"/>
        <w:rPr>
          <w:rFonts w:asciiTheme="minorHAnsi" w:hAnsiTheme="minorHAnsi" w:cstheme="minorHAnsi"/>
        </w:rPr>
      </w:pPr>
    </w:p>
    <w:bookmarkStart w:id="8" w:name="_Toc102476714" w:displacedByCustomXml="next"/>
    <w:sdt>
      <w:sdtPr>
        <w:id w:val="65001281"/>
        <w:docPartObj>
          <w:docPartGallery w:val="Bibliographies"/>
          <w:docPartUnique/>
        </w:docPartObj>
      </w:sdtPr>
      <w:sdtEndPr>
        <w:rPr>
          <w:rFonts w:asciiTheme="minorHAnsi" w:eastAsiaTheme="minorHAnsi" w:hAnsiTheme="minorHAnsi" w:cstheme="minorBidi"/>
          <w:b w:val="0"/>
          <w:color w:val="auto"/>
          <w:sz w:val="22"/>
          <w:szCs w:val="22"/>
        </w:rPr>
      </w:sdtEndPr>
      <w:sdtContent>
        <w:p w14:paraId="7B8CC845" w14:textId="77777777" w:rsidR="00611710" w:rsidRDefault="00611710" w:rsidP="00611710">
          <w:pPr>
            <w:pStyle w:val="Heading1"/>
          </w:pPr>
          <w:r>
            <w:t>References</w:t>
          </w:r>
          <w:bookmarkEnd w:id="8"/>
        </w:p>
        <w:sdt>
          <w:sdtPr>
            <w:id w:val="-573587230"/>
            <w:bibliography/>
          </w:sdtPr>
          <w:sdtContent>
            <w:p w14:paraId="62EBF873" w14:textId="77777777" w:rsidR="00611710" w:rsidRDefault="00611710" w:rsidP="00611710">
              <w:pPr>
                <w:pStyle w:val="Bibliography"/>
                <w:rPr>
                  <w:noProof/>
                  <w:sz w:val="24"/>
                  <w:szCs w:val="24"/>
                </w:rPr>
              </w:pPr>
              <w:r>
                <w:fldChar w:fldCharType="begin"/>
              </w:r>
              <w:r>
                <w:instrText xml:space="preserve"> BIBLIOGRAPHY </w:instrText>
              </w:r>
              <w:r>
                <w:fldChar w:fldCharType="separate"/>
              </w:r>
              <w:r>
                <w:rPr>
                  <w:noProof/>
                </w:rPr>
                <w:t xml:space="preserve">Frost, J., 2018. </w:t>
              </w:r>
              <w:r>
                <w:rPr>
                  <w:i/>
                  <w:iCs/>
                  <w:noProof/>
                </w:rPr>
                <w:t xml:space="preserve">Populations, Parameters, and Samples in Inferential Statistics. </w:t>
              </w:r>
              <w:r>
                <w:rPr>
                  <w:noProof/>
                </w:rPr>
                <w:t xml:space="preserve">[Online] </w:t>
              </w:r>
              <w:r>
                <w:rPr>
                  <w:noProof/>
                </w:rPr>
                <w:br/>
                <w:t xml:space="preserve">Available at: </w:t>
              </w:r>
              <w:r>
                <w:rPr>
                  <w:noProof/>
                  <w:u w:val="single"/>
                </w:rPr>
                <w:t>https://statisticsbyjim.com/basics/populations-parameters-samples-inferential-statistics/</w:t>
              </w:r>
              <w:r>
                <w:rPr>
                  <w:noProof/>
                </w:rPr>
                <w:br/>
                <w:t>[Accessed 10 4 2022].</w:t>
              </w:r>
            </w:p>
            <w:p w14:paraId="11A73783" w14:textId="77777777" w:rsidR="00611710" w:rsidRDefault="00611710" w:rsidP="00611710">
              <w:pPr>
                <w:pStyle w:val="Bibliography"/>
                <w:rPr>
                  <w:noProof/>
                </w:rPr>
              </w:pPr>
              <w:r>
                <w:rPr>
                  <w:noProof/>
                </w:rPr>
                <w:t xml:space="preserve">Hampstead Garden Suburb Trust, 2022. </w:t>
              </w:r>
              <w:r>
                <w:rPr>
                  <w:i/>
                  <w:iCs/>
                  <w:noProof/>
                </w:rPr>
                <w:t xml:space="preserve">What The Trust Does. </w:t>
              </w:r>
              <w:r>
                <w:rPr>
                  <w:noProof/>
                </w:rPr>
                <w:t xml:space="preserve">[Online] </w:t>
              </w:r>
              <w:r>
                <w:rPr>
                  <w:noProof/>
                </w:rPr>
                <w:br/>
                <w:t xml:space="preserve">Available at: </w:t>
              </w:r>
              <w:r>
                <w:rPr>
                  <w:noProof/>
                  <w:u w:val="single"/>
                </w:rPr>
                <w:t>https://www.hgstrust.org/the-trust/what-the-trust-does.shtml</w:t>
              </w:r>
              <w:r>
                <w:rPr>
                  <w:noProof/>
                </w:rPr>
                <w:br/>
                <w:t>[Accessed 3 4 2022].</w:t>
              </w:r>
            </w:p>
            <w:p w14:paraId="57094700" w14:textId="77777777" w:rsidR="00611710" w:rsidRDefault="00611710" w:rsidP="00611710">
              <w:pPr>
                <w:pStyle w:val="Bibliography"/>
                <w:rPr>
                  <w:noProof/>
                </w:rPr>
              </w:pPr>
              <w:r>
                <w:rPr>
                  <w:noProof/>
                </w:rPr>
                <w:t xml:space="preserve">Heath Gate, 2022. </w:t>
              </w:r>
              <w:r>
                <w:rPr>
                  <w:i/>
                  <w:iCs/>
                  <w:noProof/>
                </w:rPr>
                <w:t xml:space="preserve">Hampstead Garden Suburb Area Guide. </w:t>
              </w:r>
              <w:r>
                <w:rPr>
                  <w:noProof/>
                </w:rPr>
                <w:t xml:space="preserve">[Online] </w:t>
              </w:r>
              <w:r>
                <w:rPr>
                  <w:noProof/>
                </w:rPr>
                <w:br/>
                <w:t xml:space="preserve">Available at: </w:t>
              </w:r>
              <w:r>
                <w:rPr>
                  <w:noProof/>
                  <w:u w:val="single"/>
                </w:rPr>
                <w:t>https://www.heathgate.com/hampstead-garden-suburb-area-guide/</w:t>
              </w:r>
              <w:r>
                <w:rPr>
                  <w:noProof/>
                </w:rPr>
                <w:br/>
                <w:t>[Accessed 7 4 2022].</w:t>
              </w:r>
            </w:p>
            <w:p w14:paraId="19F59D80" w14:textId="77777777" w:rsidR="00611710" w:rsidRDefault="00611710" w:rsidP="00611710">
              <w:pPr>
                <w:pStyle w:val="Bibliography"/>
                <w:rPr>
                  <w:noProof/>
                </w:rPr>
              </w:pPr>
              <w:r>
                <w:rPr>
                  <w:noProof/>
                </w:rPr>
                <w:t xml:space="preserve">HGSS, 2022. </w:t>
              </w:r>
              <w:r>
                <w:rPr>
                  <w:i/>
                  <w:iCs/>
                  <w:noProof/>
                </w:rPr>
                <w:t xml:space="preserve">About HGSS. </w:t>
              </w:r>
              <w:r>
                <w:rPr>
                  <w:noProof/>
                </w:rPr>
                <w:t xml:space="preserve">[Online] </w:t>
              </w:r>
              <w:r>
                <w:rPr>
                  <w:noProof/>
                </w:rPr>
                <w:br/>
                <w:t xml:space="preserve">Available at: </w:t>
              </w:r>
              <w:r>
                <w:rPr>
                  <w:noProof/>
                  <w:u w:val="single"/>
                </w:rPr>
                <w:t>https://hgss.org.uk/about-hgss/</w:t>
              </w:r>
              <w:r>
                <w:rPr>
                  <w:noProof/>
                </w:rPr>
                <w:br/>
                <w:t>[Accessed 8 4 2022].</w:t>
              </w:r>
            </w:p>
            <w:p w14:paraId="7EA7EA73" w14:textId="77777777" w:rsidR="00611710" w:rsidRDefault="00611710" w:rsidP="00611710">
              <w:pPr>
                <w:pStyle w:val="Bibliography"/>
                <w:rPr>
                  <w:noProof/>
                </w:rPr>
              </w:pPr>
              <w:r>
                <w:rPr>
                  <w:noProof/>
                </w:rPr>
                <w:t xml:space="preserve">Kashyap, D., 2022. </w:t>
              </w:r>
              <w:r>
                <w:rPr>
                  <w:i/>
                  <w:iCs/>
                  <w:noProof/>
                </w:rPr>
                <w:t xml:space="preserve">Organizational Behavior and Other Fields of Study. </w:t>
              </w:r>
              <w:r>
                <w:rPr>
                  <w:noProof/>
                </w:rPr>
                <w:t xml:space="preserve">[Online] </w:t>
              </w:r>
              <w:r>
                <w:rPr>
                  <w:noProof/>
                </w:rPr>
                <w:br/>
                <w:t xml:space="preserve">Available at: </w:t>
              </w:r>
              <w:r>
                <w:rPr>
                  <w:noProof/>
                  <w:u w:val="single"/>
                </w:rPr>
                <w:t>https://www.yourarticlelibrary.com/organization/organizational-behaviour/organizational-behavior-and-other-fields-of-study/63745</w:t>
              </w:r>
              <w:r>
                <w:rPr>
                  <w:noProof/>
                </w:rPr>
                <w:br/>
                <w:t>[Accessed 7 4 2022].</w:t>
              </w:r>
            </w:p>
            <w:p w14:paraId="0ADA2B67" w14:textId="77777777" w:rsidR="00611710" w:rsidRDefault="00611710" w:rsidP="00611710">
              <w:pPr>
                <w:pStyle w:val="Bibliography"/>
                <w:rPr>
                  <w:noProof/>
                </w:rPr>
              </w:pPr>
              <w:r>
                <w:rPr>
                  <w:noProof/>
                </w:rPr>
                <w:t xml:space="preserve">Keller, H., 2013. </w:t>
              </w:r>
              <w:r>
                <w:rPr>
                  <w:i/>
                  <w:iCs/>
                  <w:noProof/>
                </w:rPr>
                <w:t xml:space="preserve">Optimism is the faith that leads to achievement. Nothing can be done without hope and confidence. </w:t>
              </w:r>
              <w:r>
                <w:rPr>
                  <w:noProof/>
                </w:rPr>
                <w:t xml:space="preserve">[Online] </w:t>
              </w:r>
              <w:r>
                <w:rPr>
                  <w:noProof/>
                </w:rPr>
                <w:br/>
                <w:t xml:space="preserve">Available at: </w:t>
              </w:r>
              <w:r>
                <w:rPr>
                  <w:noProof/>
                  <w:u w:val="single"/>
                </w:rPr>
                <w:t>https://www.thequotablecoach.com/optimism-is-the-faith-that-leads-to-achievement-nothing-can-be-done-without-hope-and-confidence/</w:t>
              </w:r>
              <w:r>
                <w:rPr>
                  <w:noProof/>
                </w:rPr>
                <w:br/>
                <w:t>[Accessed 10 4 2022].</w:t>
              </w:r>
            </w:p>
            <w:p w14:paraId="6EBFB800" w14:textId="77777777" w:rsidR="00611710" w:rsidRDefault="00611710" w:rsidP="00611710">
              <w:pPr>
                <w:pStyle w:val="Bibliography"/>
                <w:rPr>
                  <w:noProof/>
                </w:rPr>
              </w:pPr>
              <w:r>
                <w:rPr>
                  <w:noProof/>
                </w:rPr>
                <w:t xml:space="preserve">M Libraries, 2022. </w:t>
              </w:r>
              <w:r>
                <w:rPr>
                  <w:i/>
                  <w:iCs/>
                  <w:noProof/>
                </w:rPr>
                <w:t xml:space="preserve">Issues and Problems in Education. </w:t>
              </w:r>
              <w:r>
                <w:rPr>
                  <w:noProof/>
                </w:rPr>
                <w:t xml:space="preserve">[Online] </w:t>
              </w:r>
              <w:r>
                <w:rPr>
                  <w:noProof/>
                </w:rPr>
                <w:br/>
                <w:t xml:space="preserve">Available at: </w:t>
              </w:r>
              <w:r>
                <w:rPr>
                  <w:noProof/>
                  <w:u w:val="single"/>
                </w:rPr>
                <w:t>https://open.lib.umn.edu/sociology/chapter/16-4-issues-and-problems-in-education/</w:t>
              </w:r>
              <w:r>
                <w:rPr>
                  <w:noProof/>
                </w:rPr>
                <w:br/>
                <w:t>[Accessed 15 4 2022].</w:t>
              </w:r>
            </w:p>
            <w:p w14:paraId="4C02D0EF" w14:textId="77777777" w:rsidR="00611710" w:rsidRDefault="00611710" w:rsidP="00611710">
              <w:pPr>
                <w:pStyle w:val="Bibliography"/>
                <w:rPr>
                  <w:noProof/>
                </w:rPr>
              </w:pPr>
              <w:r>
                <w:rPr>
                  <w:noProof/>
                </w:rPr>
                <w:t xml:space="preserve">Sherman, A., Trisi, D. &amp; Parrott, S., 2013. </w:t>
              </w:r>
              <w:r>
                <w:rPr>
                  <w:i/>
                  <w:iCs/>
                  <w:noProof/>
                </w:rPr>
                <w:t xml:space="preserve">Various Supports for Low-Income Families Reduce Poverty and Have Long-Term Positive Effects On Families and Children. </w:t>
              </w:r>
              <w:r>
                <w:rPr>
                  <w:noProof/>
                </w:rPr>
                <w:t xml:space="preserve">[Online] </w:t>
              </w:r>
              <w:r>
                <w:rPr>
                  <w:noProof/>
                </w:rPr>
                <w:br/>
                <w:t xml:space="preserve">Available at: </w:t>
              </w:r>
              <w:r>
                <w:rPr>
                  <w:noProof/>
                  <w:u w:val="single"/>
                </w:rPr>
                <w:t>https://www.cbpp.org/research/various-supports-for-low-income-families-reduce-poverty-and-have-long-term-positive</w:t>
              </w:r>
              <w:r>
                <w:rPr>
                  <w:noProof/>
                </w:rPr>
                <w:br/>
                <w:t>[Accessed 10 4 2022].</w:t>
              </w:r>
            </w:p>
            <w:p w14:paraId="23164142" w14:textId="77777777" w:rsidR="00611710" w:rsidRDefault="00611710" w:rsidP="00611710">
              <w:pPr>
                <w:pStyle w:val="Bibliography"/>
                <w:rPr>
                  <w:noProof/>
                </w:rPr>
              </w:pPr>
              <w:r>
                <w:rPr>
                  <w:noProof/>
                </w:rPr>
                <w:t xml:space="preserve">Stuart, H., 2018. </w:t>
              </w:r>
              <w:r>
                <w:rPr>
                  <w:i/>
                  <w:iCs/>
                  <w:noProof/>
                </w:rPr>
                <w:t xml:space="preserve">The benefits of learning outside the classroom. </w:t>
              </w:r>
              <w:r>
                <w:rPr>
                  <w:noProof/>
                </w:rPr>
                <w:t xml:space="preserve">[Online] </w:t>
              </w:r>
              <w:r>
                <w:rPr>
                  <w:noProof/>
                </w:rPr>
                <w:br/>
                <w:t xml:space="preserve">Available at: </w:t>
              </w:r>
              <w:r>
                <w:rPr>
                  <w:noProof/>
                  <w:u w:val="single"/>
                </w:rPr>
                <w:t>https://www.easchooltours.com/blog/the-benefits-of-learning-outside-the-classroom#:~:text=%E2%80%9CLearning%20outside%20the%20classroom%20activities%20are%20often%20authentic%2C,higher%20demand%20for%20self-</w:t>
              </w:r>
              <w:r>
                <w:rPr>
                  <w:noProof/>
                  <w:u w:val="single"/>
                </w:rPr>
                <w:lastRenderedPageBreak/>
                <w:t>awareness%20and%20more%20specialised%20skills.</w:t>
              </w:r>
              <w:r>
                <w:rPr>
                  <w:noProof/>
                </w:rPr>
                <w:br/>
                <w:t>[Accessed 5 4 2022].</w:t>
              </w:r>
            </w:p>
            <w:p w14:paraId="27D2520D" w14:textId="77777777" w:rsidR="00611710" w:rsidRDefault="00611710" w:rsidP="00611710">
              <w:pPr>
                <w:pStyle w:val="Bibliography"/>
                <w:rPr>
                  <w:noProof/>
                </w:rPr>
              </w:pPr>
              <w:r>
                <w:rPr>
                  <w:noProof/>
                </w:rPr>
                <w:t xml:space="preserve">The Henrietta Barnett School , 2022. </w:t>
              </w:r>
              <w:r>
                <w:rPr>
                  <w:i/>
                  <w:iCs/>
                  <w:noProof/>
                </w:rPr>
                <w:t xml:space="preserve">About HBS. </w:t>
              </w:r>
              <w:r>
                <w:rPr>
                  <w:noProof/>
                </w:rPr>
                <w:t xml:space="preserve">[Online] </w:t>
              </w:r>
              <w:r>
                <w:rPr>
                  <w:noProof/>
                </w:rPr>
                <w:br/>
                <w:t xml:space="preserve">Available at: </w:t>
              </w:r>
              <w:r>
                <w:rPr>
                  <w:noProof/>
                  <w:u w:val="single"/>
                </w:rPr>
                <w:t>https://www.hbschool.org.uk/433/about-us/head-s-welcome</w:t>
              </w:r>
              <w:r>
                <w:rPr>
                  <w:noProof/>
                </w:rPr>
                <w:br/>
                <w:t>[Accessed 8 4 2022].</w:t>
              </w:r>
            </w:p>
            <w:p w14:paraId="4AA284BA" w14:textId="77777777" w:rsidR="00611710" w:rsidRDefault="00611710" w:rsidP="00611710">
              <w:r>
                <w:rPr>
                  <w:b/>
                  <w:bCs/>
                  <w:noProof/>
                </w:rPr>
                <w:fldChar w:fldCharType="end"/>
              </w:r>
            </w:p>
          </w:sdtContent>
        </w:sdt>
      </w:sdtContent>
    </w:sdt>
    <w:p w14:paraId="57CAC2C3" w14:textId="77777777" w:rsidR="00611710" w:rsidRPr="00C135AB" w:rsidRDefault="00611710" w:rsidP="00611710">
      <w:pPr>
        <w:rPr>
          <w:rFonts w:cstheme="minorHAnsi"/>
          <w:sz w:val="24"/>
          <w:szCs w:val="24"/>
        </w:rPr>
      </w:pPr>
    </w:p>
    <w:p w14:paraId="1333EBD5" w14:textId="189EA1F6" w:rsidR="00026F33" w:rsidRPr="00C135AB" w:rsidRDefault="00026F33" w:rsidP="00026F33">
      <w:pPr>
        <w:pStyle w:val="normal0"/>
        <w:spacing w:line="240" w:lineRule="auto"/>
        <w:jc w:val="left"/>
        <w:rPr>
          <w:rFonts w:asciiTheme="minorHAnsi" w:hAnsiTheme="minorHAnsi" w:cstheme="minorHAnsi"/>
          <w:b/>
          <w:color w:val="000000"/>
        </w:rPr>
      </w:pPr>
    </w:p>
    <w:p w14:paraId="49EAF863" w14:textId="77777777" w:rsidR="00026F33" w:rsidRPr="00C135AB" w:rsidRDefault="00026F33" w:rsidP="00026F33">
      <w:pPr>
        <w:pStyle w:val="Heading1"/>
        <w:rPr>
          <w:rFonts w:asciiTheme="minorHAnsi" w:hAnsiTheme="minorHAnsi" w:cstheme="minorHAnsi"/>
          <w:sz w:val="24"/>
          <w:szCs w:val="24"/>
        </w:rPr>
      </w:pPr>
    </w:p>
    <w:sectPr w:rsidR="00026F33" w:rsidRPr="00C135AB" w:rsidSect="00DF4555">
      <w:head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92D61" w14:textId="77777777" w:rsidR="004806FB" w:rsidRDefault="004806FB" w:rsidP="00026F33">
      <w:pPr>
        <w:spacing w:after="0" w:line="240" w:lineRule="auto"/>
      </w:pPr>
      <w:r>
        <w:separator/>
      </w:r>
    </w:p>
  </w:endnote>
  <w:endnote w:type="continuationSeparator" w:id="0">
    <w:p w14:paraId="7DD42F8F" w14:textId="77777777" w:rsidR="004806FB" w:rsidRDefault="004806FB" w:rsidP="00026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2D4C5" w14:textId="77777777" w:rsidR="004806FB" w:rsidRDefault="004806FB" w:rsidP="00026F33">
      <w:pPr>
        <w:spacing w:after="0" w:line="240" w:lineRule="auto"/>
      </w:pPr>
      <w:r>
        <w:separator/>
      </w:r>
    </w:p>
  </w:footnote>
  <w:footnote w:type="continuationSeparator" w:id="0">
    <w:p w14:paraId="512583A5" w14:textId="77777777" w:rsidR="004806FB" w:rsidRDefault="004806FB" w:rsidP="00026F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05800"/>
      <w:docPartObj>
        <w:docPartGallery w:val="Page Numbers (Top of Page)"/>
        <w:docPartUnique/>
      </w:docPartObj>
    </w:sdtPr>
    <w:sdtEndPr>
      <w:rPr>
        <w:noProof/>
      </w:rPr>
    </w:sdtEndPr>
    <w:sdtContent>
      <w:p w14:paraId="3F9900E7" w14:textId="4F69028E" w:rsidR="00026F33" w:rsidRDefault="00026F33">
        <w:pPr>
          <w:pStyle w:val="Header"/>
        </w:pPr>
        <w:r>
          <w:fldChar w:fldCharType="begin"/>
        </w:r>
        <w:r>
          <w:instrText xml:space="preserve"> PAGE   \* MERGEFORMAT </w:instrText>
        </w:r>
        <w:r>
          <w:fldChar w:fldCharType="separate"/>
        </w:r>
        <w:r>
          <w:rPr>
            <w:noProof/>
          </w:rPr>
          <w:t>2</w:t>
        </w:r>
        <w:r>
          <w:rPr>
            <w:noProof/>
          </w:rPr>
          <w:fldChar w:fldCharType="end"/>
        </w:r>
      </w:p>
    </w:sdtContent>
  </w:sdt>
  <w:p w14:paraId="3B61905E" w14:textId="77777777" w:rsidR="00026F33" w:rsidRDefault="00026F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F33"/>
    <w:rsid w:val="00025187"/>
    <w:rsid w:val="00026F33"/>
    <w:rsid w:val="00041FB9"/>
    <w:rsid w:val="00197FD2"/>
    <w:rsid w:val="001A4897"/>
    <w:rsid w:val="00292198"/>
    <w:rsid w:val="002C284A"/>
    <w:rsid w:val="003C6D60"/>
    <w:rsid w:val="00455E5F"/>
    <w:rsid w:val="004806FB"/>
    <w:rsid w:val="00494C73"/>
    <w:rsid w:val="0055784B"/>
    <w:rsid w:val="005617D9"/>
    <w:rsid w:val="00596BAC"/>
    <w:rsid w:val="00611710"/>
    <w:rsid w:val="00644682"/>
    <w:rsid w:val="006A47DD"/>
    <w:rsid w:val="007673F9"/>
    <w:rsid w:val="0079083F"/>
    <w:rsid w:val="007D6306"/>
    <w:rsid w:val="008011FC"/>
    <w:rsid w:val="008C3D23"/>
    <w:rsid w:val="00987D20"/>
    <w:rsid w:val="009A0EA1"/>
    <w:rsid w:val="00B00665"/>
    <w:rsid w:val="00B34B59"/>
    <w:rsid w:val="00C135AB"/>
    <w:rsid w:val="00CA3797"/>
    <w:rsid w:val="00CE18C5"/>
    <w:rsid w:val="00DB2020"/>
    <w:rsid w:val="00DD2087"/>
    <w:rsid w:val="00DD64E9"/>
    <w:rsid w:val="00DF1BCF"/>
    <w:rsid w:val="00DF4555"/>
    <w:rsid w:val="00E55750"/>
    <w:rsid w:val="00F1726C"/>
    <w:rsid w:val="00FE08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03C21"/>
  <w15:chartTrackingRefBased/>
  <w15:docId w15:val="{14A03D5C-41E6-4C0C-BF32-96A71ACCC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0"/>
    <w:next w:val="normal0"/>
    <w:link w:val="Heading1Char"/>
    <w:uiPriority w:val="9"/>
    <w:qFormat/>
    <w:rsid w:val="00026F33"/>
    <w:pPr>
      <w:keepNext/>
      <w:keepLines/>
      <w:spacing w:before="240"/>
      <w:jc w:val="center"/>
      <w:outlineLvl w:val="0"/>
    </w:pPr>
    <w:rPr>
      <w:b/>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F33"/>
    <w:rPr>
      <w:rFonts w:ascii="Times New Roman" w:eastAsia="Times New Roman" w:hAnsi="Times New Roman" w:cs="Times New Roman"/>
      <w:b/>
      <w:color w:val="000000"/>
      <w:sz w:val="28"/>
      <w:szCs w:val="28"/>
    </w:rPr>
  </w:style>
  <w:style w:type="character" w:styleId="Hyperlink">
    <w:name w:val="Hyperlink"/>
    <w:basedOn w:val="DefaultParagraphFont"/>
    <w:uiPriority w:val="99"/>
    <w:unhideWhenUsed/>
    <w:rsid w:val="00026F33"/>
    <w:rPr>
      <w:color w:val="0563C1" w:themeColor="hyperlink"/>
      <w:u w:val="single"/>
    </w:rPr>
  </w:style>
  <w:style w:type="paragraph" w:customStyle="1" w:styleId="normal0">
    <w:name w:val="normal"/>
    <w:rsid w:val="00026F33"/>
    <w:pPr>
      <w:spacing w:after="0" w:line="480" w:lineRule="auto"/>
      <w:jc w:val="both"/>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26F33"/>
    <w:pPr>
      <w:tabs>
        <w:tab w:val="center" w:pos="4703"/>
        <w:tab w:val="right" w:pos="9406"/>
      </w:tabs>
      <w:spacing w:after="0" w:line="240" w:lineRule="auto"/>
    </w:pPr>
  </w:style>
  <w:style w:type="character" w:customStyle="1" w:styleId="HeaderChar">
    <w:name w:val="Header Char"/>
    <w:basedOn w:val="DefaultParagraphFont"/>
    <w:link w:val="Header"/>
    <w:uiPriority w:val="99"/>
    <w:rsid w:val="00026F33"/>
  </w:style>
  <w:style w:type="paragraph" w:styleId="Footer">
    <w:name w:val="footer"/>
    <w:basedOn w:val="Normal"/>
    <w:link w:val="FooterChar"/>
    <w:uiPriority w:val="99"/>
    <w:unhideWhenUsed/>
    <w:rsid w:val="00026F33"/>
    <w:pPr>
      <w:tabs>
        <w:tab w:val="center" w:pos="4703"/>
        <w:tab w:val="right" w:pos="9406"/>
      </w:tabs>
      <w:spacing w:after="0" w:line="240" w:lineRule="auto"/>
    </w:pPr>
  </w:style>
  <w:style w:type="character" w:customStyle="1" w:styleId="FooterChar">
    <w:name w:val="Footer Char"/>
    <w:basedOn w:val="DefaultParagraphFont"/>
    <w:link w:val="Footer"/>
    <w:uiPriority w:val="99"/>
    <w:rsid w:val="00026F33"/>
  </w:style>
  <w:style w:type="paragraph" w:styleId="TOC1">
    <w:name w:val="toc 1"/>
    <w:basedOn w:val="Normal"/>
    <w:next w:val="Normal"/>
    <w:autoRedefine/>
    <w:uiPriority w:val="39"/>
    <w:unhideWhenUsed/>
    <w:rsid w:val="00B34B59"/>
    <w:pPr>
      <w:spacing w:after="100"/>
    </w:pPr>
  </w:style>
  <w:style w:type="paragraph" w:styleId="Bibliography">
    <w:name w:val="Bibliography"/>
    <w:basedOn w:val="Normal"/>
    <w:next w:val="Normal"/>
    <w:uiPriority w:val="37"/>
    <w:unhideWhenUsed/>
    <w:rsid w:val="0055784B"/>
  </w:style>
  <w:style w:type="paragraph" w:styleId="NoSpacing">
    <w:name w:val="No Spacing"/>
    <w:link w:val="NoSpacingChar"/>
    <w:uiPriority w:val="1"/>
    <w:qFormat/>
    <w:rsid w:val="00DF4555"/>
    <w:pPr>
      <w:spacing w:after="0" w:line="240" w:lineRule="auto"/>
    </w:pPr>
    <w:rPr>
      <w:rFonts w:eastAsiaTheme="minorEastAsia"/>
    </w:rPr>
  </w:style>
  <w:style w:type="character" w:customStyle="1" w:styleId="NoSpacingChar">
    <w:name w:val="No Spacing Char"/>
    <w:basedOn w:val="DefaultParagraphFont"/>
    <w:link w:val="NoSpacing"/>
    <w:uiPriority w:val="1"/>
    <w:rsid w:val="00DF455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41828">
      <w:bodyDiv w:val="1"/>
      <w:marLeft w:val="0"/>
      <w:marRight w:val="0"/>
      <w:marTop w:val="0"/>
      <w:marBottom w:val="0"/>
      <w:divBdr>
        <w:top w:val="none" w:sz="0" w:space="0" w:color="auto"/>
        <w:left w:val="none" w:sz="0" w:space="0" w:color="auto"/>
        <w:bottom w:val="none" w:sz="0" w:space="0" w:color="auto"/>
        <w:right w:val="none" w:sz="0" w:space="0" w:color="auto"/>
      </w:divBdr>
    </w:div>
    <w:div w:id="320743554">
      <w:bodyDiv w:val="1"/>
      <w:marLeft w:val="0"/>
      <w:marRight w:val="0"/>
      <w:marTop w:val="0"/>
      <w:marBottom w:val="0"/>
      <w:divBdr>
        <w:top w:val="none" w:sz="0" w:space="0" w:color="auto"/>
        <w:left w:val="none" w:sz="0" w:space="0" w:color="auto"/>
        <w:bottom w:val="none" w:sz="0" w:space="0" w:color="auto"/>
        <w:right w:val="none" w:sz="0" w:space="0" w:color="auto"/>
      </w:divBdr>
    </w:div>
    <w:div w:id="427123862">
      <w:bodyDiv w:val="1"/>
      <w:marLeft w:val="0"/>
      <w:marRight w:val="0"/>
      <w:marTop w:val="0"/>
      <w:marBottom w:val="0"/>
      <w:divBdr>
        <w:top w:val="none" w:sz="0" w:space="0" w:color="auto"/>
        <w:left w:val="none" w:sz="0" w:space="0" w:color="auto"/>
        <w:bottom w:val="none" w:sz="0" w:space="0" w:color="auto"/>
        <w:right w:val="none" w:sz="0" w:space="0" w:color="auto"/>
      </w:divBdr>
    </w:div>
    <w:div w:id="754135393">
      <w:bodyDiv w:val="1"/>
      <w:marLeft w:val="0"/>
      <w:marRight w:val="0"/>
      <w:marTop w:val="0"/>
      <w:marBottom w:val="0"/>
      <w:divBdr>
        <w:top w:val="none" w:sz="0" w:space="0" w:color="auto"/>
        <w:left w:val="none" w:sz="0" w:space="0" w:color="auto"/>
        <w:bottom w:val="none" w:sz="0" w:space="0" w:color="auto"/>
        <w:right w:val="none" w:sz="0" w:space="0" w:color="auto"/>
      </w:divBdr>
    </w:div>
    <w:div w:id="985620148">
      <w:bodyDiv w:val="1"/>
      <w:marLeft w:val="0"/>
      <w:marRight w:val="0"/>
      <w:marTop w:val="0"/>
      <w:marBottom w:val="0"/>
      <w:divBdr>
        <w:top w:val="none" w:sz="0" w:space="0" w:color="auto"/>
        <w:left w:val="none" w:sz="0" w:space="0" w:color="auto"/>
        <w:bottom w:val="none" w:sz="0" w:space="0" w:color="auto"/>
        <w:right w:val="none" w:sz="0" w:space="0" w:color="auto"/>
      </w:divBdr>
    </w:div>
    <w:div w:id="1400593040">
      <w:bodyDiv w:val="1"/>
      <w:marLeft w:val="0"/>
      <w:marRight w:val="0"/>
      <w:marTop w:val="0"/>
      <w:marBottom w:val="0"/>
      <w:divBdr>
        <w:top w:val="none" w:sz="0" w:space="0" w:color="auto"/>
        <w:left w:val="none" w:sz="0" w:space="0" w:color="auto"/>
        <w:bottom w:val="none" w:sz="0" w:space="0" w:color="auto"/>
        <w:right w:val="none" w:sz="0" w:space="0" w:color="auto"/>
      </w:divBdr>
    </w:div>
    <w:div w:id="1471098875">
      <w:bodyDiv w:val="1"/>
      <w:marLeft w:val="0"/>
      <w:marRight w:val="0"/>
      <w:marTop w:val="0"/>
      <w:marBottom w:val="0"/>
      <w:divBdr>
        <w:top w:val="none" w:sz="0" w:space="0" w:color="auto"/>
        <w:left w:val="none" w:sz="0" w:space="0" w:color="auto"/>
        <w:bottom w:val="none" w:sz="0" w:space="0" w:color="auto"/>
        <w:right w:val="none" w:sz="0" w:space="0" w:color="auto"/>
      </w:divBdr>
    </w:div>
    <w:div w:id="1580629438">
      <w:bodyDiv w:val="1"/>
      <w:marLeft w:val="0"/>
      <w:marRight w:val="0"/>
      <w:marTop w:val="0"/>
      <w:marBottom w:val="0"/>
      <w:divBdr>
        <w:top w:val="none" w:sz="0" w:space="0" w:color="auto"/>
        <w:left w:val="none" w:sz="0" w:space="0" w:color="auto"/>
        <w:bottom w:val="none" w:sz="0" w:space="0" w:color="auto"/>
        <w:right w:val="none" w:sz="0" w:space="0" w:color="auto"/>
      </w:divBdr>
    </w:div>
    <w:div w:id="1613708311">
      <w:bodyDiv w:val="1"/>
      <w:marLeft w:val="0"/>
      <w:marRight w:val="0"/>
      <w:marTop w:val="0"/>
      <w:marBottom w:val="0"/>
      <w:divBdr>
        <w:top w:val="none" w:sz="0" w:space="0" w:color="auto"/>
        <w:left w:val="none" w:sz="0" w:space="0" w:color="auto"/>
        <w:bottom w:val="none" w:sz="0" w:space="0" w:color="auto"/>
        <w:right w:val="none" w:sz="0" w:space="0" w:color="auto"/>
      </w:divBdr>
    </w:div>
    <w:div w:id="1624313617">
      <w:bodyDiv w:val="1"/>
      <w:marLeft w:val="0"/>
      <w:marRight w:val="0"/>
      <w:marTop w:val="0"/>
      <w:marBottom w:val="0"/>
      <w:divBdr>
        <w:top w:val="none" w:sz="0" w:space="0" w:color="auto"/>
        <w:left w:val="none" w:sz="0" w:space="0" w:color="auto"/>
        <w:bottom w:val="none" w:sz="0" w:space="0" w:color="auto"/>
        <w:right w:val="none" w:sz="0" w:space="0" w:color="auto"/>
      </w:divBdr>
    </w:div>
    <w:div w:id="1635334561">
      <w:bodyDiv w:val="1"/>
      <w:marLeft w:val="0"/>
      <w:marRight w:val="0"/>
      <w:marTop w:val="0"/>
      <w:marBottom w:val="0"/>
      <w:divBdr>
        <w:top w:val="none" w:sz="0" w:space="0" w:color="auto"/>
        <w:left w:val="none" w:sz="0" w:space="0" w:color="auto"/>
        <w:bottom w:val="none" w:sz="0" w:space="0" w:color="auto"/>
        <w:right w:val="none" w:sz="0" w:space="0" w:color="auto"/>
      </w:divBdr>
    </w:div>
    <w:div w:id="1720546249">
      <w:bodyDiv w:val="1"/>
      <w:marLeft w:val="0"/>
      <w:marRight w:val="0"/>
      <w:marTop w:val="0"/>
      <w:marBottom w:val="0"/>
      <w:divBdr>
        <w:top w:val="none" w:sz="0" w:space="0" w:color="auto"/>
        <w:left w:val="none" w:sz="0" w:space="0" w:color="auto"/>
        <w:bottom w:val="none" w:sz="0" w:space="0" w:color="auto"/>
        <w:right w:val="none" w:sz="0" w:space="0" w:color="auto"/>
      </w:divBdr>
    </w:div>
    <w:div w:id="1866557798">
      <w:bodyDiv w:val="1"/>
      <w:marLeft w:val="0"/>
      <w:marRight w:val="0"/>
      <w:marTop w:val="0"/>
      <w:marBottom w:val="0"/>
      <w:divBdr>
        <w:top w:val="none" w:sz="0" w:space="0" w:color="auto"/>
        <w:left w:val="none" w:sz="0" w:space="0" w:color="auto"/>
        <w:bottom w:val="none" w:sz="0" w:space="0" w:color="auto"/>
        <w:right w:val="none" w:sz="0" w:space="0" w:color="auto"/>
      </w:divBdr>
    </w:div>
    <w:div w:id="1959794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eograph.org.uk/photo/31384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Hampstead Garden Suburb community in London borough in Barnet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Hea22</b:Tag>
    <b:SourceType>InternetSite</b:SourceType>
    <b:Guid>{12A3B976-2A9C-45C9-B7C6-E8E5330837C0}</b:Guid>
    <b:Author>
      <b:Author>
        <b:Corporate>Heath Gate</b:Corporate>
      </b:Author>
    </b:Author>
    <b:Title>Hampstead Garden Suburb Area Guide</b:Title>
    <b:Year>2022</b:Year>
    <b:YearAccessed>2022</b:YearAccessed>
    <b:MonthAccessed>4</b:MonthAccessed>
    <b:DayAccessed>7</b:DayAccessed>
    <b:URL>https://www.heathgate.com/hampstead-garden-suburb-area-guide/</b:URL>
    <b:RefOrder>1</b:RefOrder>
  </b:Source>
  <b:Source>
    <b:Tag>Dik22</b:Tag>
    <b:SourceType>InternetSite</b:SourceType>
    <b:Guid>{BF028AC5-70B3-472A-9327-D43A2E184FDF}</b:Guid>
    <b:Author>
      <b:Author>
        <b:NameList>
          <b:Person>
            <b:Last>Kashyap</b:Last>
            <b:First>Diksha</b:First>
          </b:Person>
        </b:NameList>
      </b:Author>
    </b:Author>
    <b:Title>Organizational Behavior and Other Fields of Study</b:Title>
    <b:Year>2022</b:Year>
    <b:YearAccessed>2022</b:YearAccessed>
    <b:MonthAccessed>4</b:MonthAccessed>
    <b:DayAccessed>7</b:DayAccessed>
    <b:URL>https://www.yourarticlelibrary.com/organization/organizational-behaviour/organizational-behavior-and-other-fields-of-study/63745</b:URL>
    <b:RefOrder>2</b:RefOrder>
  </b:Source>
  <b:Source>
    <b:Tag>HGS22</b:Tag>
    <b:SourceType>InternetSite</b:SourceType>
    <b:Guid>{81903ACB-A772-4863-AC53-E162F4FBAB06}</b:Guid>
    <b:Author>
      <b:Author>
        <b:Corporate>HGSS</b:Corporate>
      </b:Author>
    </b:Author>
    <b:Title>About HGSS</b:Title>
    <b:Year>2022</b:Year>
    <b:YearAccessed>2022</b:YearAccessed>
    <b:MonthAccessed>4</b:MonthAccessed>
    <b:DayAccessed>8</b:DayAccessed>
    <b:URL>https://hgss.org.uk/about-hgss/</b:URL>
    <b:RefOrder>3</b:RefOrder>
  </b:Source>
  <b:Source>
    <b:Tag>The22</b:Tag>
    <b:SourceType>InternetSite</b:SourceType>
    <b:Guid>{2F44139E-56CE-44D7-8F2B-974DCB26BD45}</b:Guid>
    <b:Author>
      <b:Author>
        <b:Corporate>The Henrietta Barnett School </b:Corporate>
      </b:Author>
    </b:Author>
    <b:Title>About HBS</b:Title>
    <b:Year>2022</b:Year>
    <b:YearAccessed>2022</b:YearAccessed>
    <b:MonthAccessed>4</b:MonthAccessed>
    <b:DayAccessed>8</b:DayAccessed>
    <b:URL>https://www.hbschool.org.uk/433/about-us/head-s-welcome</b:URL>
    <b:RefOrder>4</b:RefOrder>
  </b:Source>
  <b:Source>
    <b:Tag>Jim18</b:Tag>
    <b:SourceType>InternetSite</b:SourceType>
    <b:Guid>{282A2D7E-6159-4741-89A5-178EDF867DAF}</b:Guid>
    <b:Author>
      <b:Author>
        <b:NameList>
          <b:Person>
            <b:Last>Frost</b:Last>
            <b:First>Jim</b:First>
          </b:Person>
        </b:NameList>
      </b:Author>
    </b:Author>
    <b:Title>Populations, Parameters, and Samples in Inferential Statistics</b:Title>
    <b:Year>2018</b:Year>
    <b:YearAccessed>2022</b:YearAccessed>
    <b:MonthAccessed>4</b:MonthAccessed>
    <b:DayAccessed>10</b:DayAccessed>
    <b:URL>https://statisticsbyjim.com/basics/populations-parameters-samples-inferential-statistics/</b:URL>
    <b:RefOrder>5</b:RefOrder>
  </b:Source>
  <b:Source>
    <b:Tag>Arl13</b:Tag>
    <b:SourceType>InternetSite</b:SourceType>
    <b:Guid>{CFB6B380-60C9-4409-BFD1-E62C21D2751B}</b:Guid>
    <b:Author>
      <b:Author>
        <b:NameList>
          <b:Person>
            <b:Last>Sherman</b:Last>
            <b:First>Arloc</b:First>
          </b:Person>
          <b:Person>
            <b:Last>Trisi</b:Last>
            <b:First>Danilo</b:First>
          </b:Person>
          <b:Person>
            <b:Last>Parrott</b:Last>
            <b:First>Sharon</b:First>
          </b:Person>
        </b:NameList>
      </b:Author>
    </b:Author>
    <b:Title>Various Supports for Low-Income Families Reduce Poverty and Have Long-Term Positive Effects On Families and Children</b:Title>
    <b:Year>2013</b:Year>
    <b:YearAccessed>2022</b:YearAccessed>
    <b:MonthAccessed>4</b:MonthAccessed>
    <b:DayAccessed>10</b:DayAccessed>
    <b:URL>https://www.cbpp.org/research/various-supports-for-low-income-families-reduce-poverty-and-have-long-term-positive</b:URL>
    <b:RefOrder>6</b:RefOrder>
  </b:Source>
  <b:Source>
    <b:Tag>Hel13</b:Tag>
    <b:SourceType>InternetSite</b:SourceType>
    <b:Guid>{C8A87A2B-84A3-417D-ACE9-205597B5145D}</b:Guid>
    <b:Author>
      <b:Author>
        <b:NameList>
          <b:Person>
            <b:Last>Keller</b:Last>
            <b:First>Helen</b:First>
          </b:Person>
        </b:NameList>
      </b:Author>
    </b:Author>
    <b:Title>Optimism is the faith that leads to achievement. Nothing can be done without hope and confidence</b:Title>
    <b:Year>2013</b:Year>
    <b:YearAccessed>2022</b:YearAccessed>
    <b:MonthAccessed>4</b:MonthAccessed>
    <b:DayAccessed>10</b:DayAccessed>
    <b:URL>https://www.thequotablecoach.com/optimism-is-the-faith-that-leads-to-achievement-nothing-can-be-done-without-hope-and-confidence/</b:URL>
    <b:RefOrder>7</b:RefOrder>
  </b:Source>
  <b:Source>
    <b:Tag>Ham22</b:Tag>
    <b:SourceType>InternetSite</b:SourceType>
    <b:Guid>{8A3F2EC9-9E86-4D9D-8C54-685383551414}</b:Guid>
    <b:Author>
      <b:Author>
        <b:Corporate>Hampstead Garden Suburb Trust</b:Corporate>
      </b:Author>
    </b:Author>
    <b:Title>What The Trust Does</b:Title>
    <b:Year>2022</b:Year>
    <b:YearAccessed>2022</b:YearAccessed>
    <b:MonthAccessed>4</b:MonthAccessed>
    <b:DayAccessed>3</b:DayAccessed>
    <b:URL>https://www.hgstrust.org/the-trust/what-the-trust-does.shtml</b:URL>
    <b:RefOrder>8</b:RefOrder>
  </b:Source>
  <b:Source>
    <b:Tag>Han18</b:Tag>
    <b:SourceType>InternetSite</b:SourceType>
    <b:Guid>{5BDF5A0A-E29B-4A13-A446-6D0E6291D8A2}</b:Guid>
    <b:Author>
      <b:Author>
        <b:NameList>
          <b:Person>
            <b:Last>Stuart</b:Last>
            <b:First>Hannah</b:First>
          </b:Person>
        </b:NameList>
      </b:Author>
    </b:Author>
    <b:Title>The benefits of learning outside the classroom</b:Title>
    <b:Year>2018</b:Year>
    <b:YearAccessed>2022</b:YearAccessed>
    <b:MonthAccessed>4</b:MonthAccessed>
    <b:DayAccessed>5</b:DayAccessed>
    <b:URL>https://www.easchooltours.com/blog/the-benefits-of-learning-outside-the-classroom#:~:text=%E2%80%9CLearning%20outside%20the%20classroom%20activities%20are%20often%20authentic%2C,higher%20demand%20for%20self-awareness%20and%20more%20specialised%20skills.</b:URL>
    <b:RefOrder>9</b:RefOrder>
  </b:Source>
  <b:Source>
    <b:Tag>MLi22</b:Tag>
    <b:SourceType>InternetSite</b:SourceType>
    <b:Guid>{DDEF3C93-A47D-450D-B06F-F24961DF29F0}</b:Guid>
    <b:Author>
      <b:Author>
        <b:Corporate>M Libraries</b:Corporate>
      </b:Author>
    </b:Author>
    <b:Title>Issues and Problems in Education</b:Title>
    <b:Year>2022</b:Year>
    <b:YearAccessed>2022</b:YearAccessed>
    <b:MonthAccessed>4</b:MonthAccessed>
    <b:DayAccessed>15</b:DayAccessed>
    <b:URL>https://open.lib.umn.edu/sociology/chapter/16-4-issues-and-problems-in-education/</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E25131-24EC-4951-A5B8-24D0BA310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12</Pages>
  <Words>2398</Words>
  <Characters>13673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Assignment 1</dc:subject>
  <dc:creator>Elena Nedelcheva</dc:creator>
  <cp:keywords/>
  <dc:description/>
  <cp:lastModifiedBy>Elena Nedelcheva (2112413)</cp:lastModifiedBy>
  <cp:revision>6</cp:revision>
  <dcterms:created xsi:type="dcterms:W3CDTF">2022-05-03T07:37:00Z</dcterms:created>
  <dcterms:modified xsi:type="dcterms:W3CDTF">2022-05-03T12:35:00Z</dcterms:modified>
  <cp:category>SN 2112413</cp:category>
</cp:coreProperties>
</file>