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688E9" w14:textId="41930F02" w:rsidR="00243A7C" w:rsidRDefault="00243A7C" w:rsidP="00243A7C">
      <w:pPr>
        <w:rPr>
          <w:rFonts w:asciiTheme="minorHAnsi" w:hAnsiTheme="minorHAnsi" w:cstheme="minorHAnsi"/>
          <w:sz w:val="24"/>
          <w:szCs w:val="24"/>
        </w:rPr>
      </w:pPr>
      <w:bookmarkStart w:id="0" w:name="_Hlk156985012"/>
      <w:r>
        <w:rPr>
          <w:rFonts w:asciiTheme="minorHAnsi" w:hAnsiTheme="minorHAnsi" w:cstheme="minorHAnsi"/>
          <w:sz w:val="24"/>
          <w:szCs w:val="24"/>
        </w:rPr>
        <w:t>An employer is a person or organisation that hires people known as ‘employees’ and pays them a wage to carry out certain duties and to provide a service. An employee is a person who works for a company or organisation to provide a certain level of service in order to earn a ‘wage’. The employer has more authority than the employees and has a range of managerial duties that need to be carried out. One of the main responsibilities that the employer is bound by law is to make sure that the company or business are meeting the legal requirements of the Health and Safety Act at Work Act 1974, this legislation outlines the duties and responsibilities for workplace health, safety, and welfare. It is an act of Parliament that regulates and enforces all the correct regulations are in place, this statute covers all types of workers, including casual,</w:t>
      </w:r>
      <w:r w:rsidR="00667A04">
        <w:rPr>
          <w:rFonts w:asciiTheme="minorHAnsi" w:hAnsiTheme="minorHAnsi" w:cstheme="minorHAnsi"/>
          <w:sz w:val="24"/>
          <w:szCs w:val="24"/>
        </w:rPr>
        <w:t xml:space="preserve"> </w:t>
      </w:r>
      <w:r>
        <w:rPr>
          <w:rFonts w:asciiTheme="minorHAnsi" w:hAnsiTheme="minorHAnsi" w:cstheme="minorHAnsi"/>
          <w:sz w:val="24"/>
          <w:szCs w:val="24"/>
        </w:rPr>
        <w:t>self-employed, clients, visitors, and the general public (Legislation, 2024</w:t>
      </w:r>
      <w:r w:rsidR="004717D5">
        <w:rPr>
          <w:rFonts w:asciiTheme="minorHAnsi" w:hAnsiTheme="minorHAnsi" w:cstheme="minorHAnsi"/>
          <w:sz w:val="24"/>
          <w:szCs w:val="24"/>
        </w:rPr>
        <w:t xml:space="preserve"> </w:t>
      </w:r>
      <w:r w:rsidR="004717D5">
        <w:rPr>
          <w:rFonts w:asciiTheme="minorHAnsi" w:hAnsiTheme="minorHAnsi" w:cstheme="minorHAnsi"/>
          <w:i/>
          <w:iCs/>
          <w:sz w:val="24"/>
          <w:szCs w:val="24"/>
        </w:rPr>
        <w:t>A</w:t>
      </w:r>
      <w:r>
        <w:rPr>
          <w:rFonts w:asciiTheme="minorHAnsi" w:hAnsiTheme="minorHAnsi" w:cstheme="minorHAnsi"/>
          <w:sz w:val="24"/>
          <w:szCs w:val="24"/>
        </w:rPr>
        <w:t xml:space="preserve">). Another main duty that an employer is responsible for is to structuralise and implement how an employee conducts themselves while working for the company. </w:t>
      </w:r>
    </w:p>
    <w:p w14:paraId="15457B25" w14:textId="77777777" w:rsidR="00243A7C" w:rsidRDefault="00243A7C" w:rsidP="007F1D0A">
      <w:pPr>
        <w:rPr>
          <w:rFonts w:asciiTheme="minorHAnsi" w:hAnsiTheme="minorHAnsi" w:cstheme="minorHAnsi"/>
          <w:sz w:val="24"/>
          <w:szCs w:val="24"/>
        </w:rPr>
      </w:pPr>
    </w:p>
    <w:p w14:paraId="6D682652" w14:textId="26DE8738" w:rsidR="001A0404" w:rsidRDefault="001975F5" w:rsidP="007F1D0A">
      <w:pPr>
        <w:rPr>
          <w:rFonts w:asciiTheme="minorHAnsi" w:hAnsiTheme="minorHAnsi" w:cstheme="minorHAnsi"/>
          <w:sz w:val="24"/>
          <w:szCs w:val="24"/>
        </w:rPr>
      </w:pPr>
      <w:r w:rsidRPr="00FD6CDC">
        <w:rPr>
          <w:rFonts w:asciiTheme="minorHAnsi" w:hAnsiTheme="minorHAnsi" w:cstheme="minorHAnsi"/>
          <w:sz w:val="24"/>
          <w:szCs w:val="24"/>
        </w:rPr>
        <w:t xml:space="preserve">Common </w:t>
      </w:r>
      <w:r w:rsidR="00FD6CDC" w:rsidRPr="00FD6CDC">
        <w:rPr>
          <w:rFonts w:asciiTheme="minorHAnsi" w:hAnsiTheme="minorHAnsi" w:cstheme="minorHAnsi"/>
          <w:sz w:val="24"/>
          <w:szCs w:val="24"/>
        </w:rPr>
        <w:t xml:space="preserve">law, duty of care states that an employer is under a duty to take reasonable care when it comes to the health and safety of the employees. </w:t>
      </w:r>
      <w:r w:rsidRPr="00FD6CDC">
        <w:rPr>
          <w:rFonts w:asciiTheme="minorHAnsi" w:hAnsiTheme="minorHAnsi" w:cstheme="minorHAnsi"/>
          <w:sz w:val="24"/>
          <w:szCs w:val="24"/>
        </w:rPr>
        <w:t xml:space="preserve">The </w:t>
      </w:r>
      <w:r w:rsidR="00FD6CDC" w:rsidRPr="00FD6CDC">
        <w:rPr>
          <w:rFonts w:asciiTheme="minorHAnsi" w:hAnsiTheme="minorHAnsi" w:cstheme="minorHAnsi"/>
          <w:sz w:val="24"/>
          <w:szCs w:val="24"/>
        </w:rPr>
        <w:t>purpose of this to make sure that any foreseeable hurt or damage that can occur will have the reasonable precautionary steps outlined to prevent any injury (l</w:t>
      </w:r>
      <w:r w:rsidR="000774F5" w:rsidRPr="00FD6CDC">
        <w:rPr>
          <w:rFonts w:asciiTheme="minorHAnsi" w:hAnsiTheme="minorHAnsi" w:cstheme="minorHAnsi"/>
          <w:sz w:val="24"/>
          <w:szCs w:val="24"/>
        </w:rPr>
        <w:t>exis</w:t>
      </w:r>
      <w:r w:rsidR="00FD6CDC" w:rsidRPr="00FD6CDC">
        <w:rPr>
          <w:rFonts w:asciiTheme="minorHAnsi" w:hAnsiTheme="minorHAnsi" w:cstheme="minorHAnsi"/>
          <w:sz w:val="24"/>
          <w:szCs w:val="24"/>
        </w:rPr>
        <w:t xml:space="preserve">, 2023). </w:t>
      </w:r>
      <w:r w:rsidR="00F631AE" w:rsidRPr="00FD6CDC">
        <w:rPr>
          <w:rFonts w:asciiTheme="minorHAnsi" w:hAnsiTheme="minorHAnsi" w:cstheme="minorHAnsi"/>
          <w:sz w:val="24"/>
          <w:szCs w:val="24"/>
        </w:rPr>
        <w:t xml:space="preserve">By </w:t>
      </w:r>
      <w:r w:rsidR="00FD6CDC" w:rsidRPr="00FD6CDC">
        <w:rPr>
          <w:rFonts w:asciiTheme="minorHAnsi" w:hAnsiTheme="minorHAnsi" w:cstheme="minorHAnsi"/>
          <w:sz w:val="24"/>
          <w:szCs w:val="24"/>
        </w:rPr>
        <w:t xml:space="preserve">creating signs and placing them in the appropriate places to forewarn employees of potential danger. One of the main requirements needed to be carried out by the employers are risk assessments, they are there to determine any potential danger to employees and customers and the purpose is to prevent those dangers occurring (peoplesafe, 2022). If an organisation fails to carry out the necessary risk assessments, then they have breached the duty of care owed to customers and employees. By not completing all the necessary requirements this can lead to injury to others, which will then hold the company liable for damages. </w:t>
      </w:r>
      <w:r w:rsidR="005B2C81" w:rsidRPr="00FD6CDC">
        <w:rPr>
          <w:rFonts w:asciiTheme="minorHAnsi" w:hAnsiTheme="minorHAnsi" w:cstheme="minorHAnsi"/>
          <w:sz w:val="24"/>
          <w:szCs w:val="24"/>
        </w:rPr>
        <w:t xml:space="preserve">A </w:t>
      </w:r>
      <w:r w:rsidR="00FD6CDC" w:rsidRPr="00FD6CDC">
        <w:rPr>
          <w:rFonts w:asciiTheme="minorHAnsi" w:hAnsiTheme="minorHAnsi" w:cstheme="minorHAnsi"/>
          <w:sz w:val="24"/>
          <w:szCs w:val="24"/>
        </w:rPr>
        <w:t>breach of duty of care is usually when a person or organisation have failed to meet the basic requirements needed to protect employees from harm.</w:t>
      </w:r>
      <w:r w:rsidR="00FD6CDC">
        <w:rPr>
          <w:rFonts w:asciiTheme="minorHAnsi" w:hAnsiTheme="minorHAnsi" w:cstheme="minorHAnsi"/>
          <w:sz w:val="24"/>
          <w:szCs w:val="24"/>
        </w:rPr>
        <w:t xml:space="preserve"> </w:t>
      </w:r>
      <w:r w:rsidR="00A57BC2">
        <w:rPr>
          <w:rFonts w:asciiTheme="minorHAnsi" w:hAnsiTheme="minorHAnsi" w:cstheme="minorHAnsi"/>
          <w:sz w:val="24"/>
          <w:szCs w:val="24"/>
        </w:rPr>
        <w:t>The case of Blyth v Birmingham Waterworks 1856 defines negligence and when a person or organisation can be held liable, the defendant was not held liable as they had taken reasonable care to prevent damage. B</w:t>
      </w:r>
      <w:r w:rsidR="00FD6CDC" w:rsidRPr="00FD6CDC">
        <w:rPr>
          <w:rFonts w:asciiTheme="minorHAnsi" w:hAnsiTheme="minorHAnsi" w:cstheme="minorHAnsi"/>
          <w:sz w:val="24"/>
          <w:szCs w:val="24"/>
        </w:rPr>
        <w:t xml:space="preserve">y having placed the correct signage to state that the boxes were awaiting removal, the employer has met all reasonable requirements. </w:t>
      </w:r>
    </w:p>
    <w:p w14:paraId="1DA2216F" w14:textId="77777777" w:rsidR="00471602" w:rsidRDefault="00471602" w:rsidP="007F1D0A">
      <w:pPr>
        <w:rPr>
          <w:rFonts w:asciiTheme="minorHAnsi" w:hAnsiTheme="minorHAnsi" w:cstheme="minorHAnsi"/>
          <w:sz w:val="24"/>
          <w:szCs w:val="24"/>
        </w:rPr>
      </w:pPr>
    </w:p>
    <w:p w14:paraId="1AC48DAB" w14:textId="354056D8" w:rsidR="00091FDF" w:rsidRDefault="00091FDF" w:rsidP="007F1D0A">
      <w:pPr>
        <w:rPr>
          <w:rFonts w:asciiTheme="minorHAnsi" w:hAnsiTheme="minorHAnsi" w:cstheme="minorHAnsi"/>
          <w:sz w:val="24"/>
          <w:szCs w:val="24"/>
        </w:rPr>
      </w:pPr>
      <w:r>
        <w:rPr>
          <w:rFonts w:asciiTheme="minorHAnsi" w:hAnsiTheme="minorHAnsi" w:cstheme="minorHAnsi"/>
          <w:sz w:val="24"/>
          <w:szCs w:val="24"/>
        </w:rPr>
        <w:t xml:space="preserve">The liability of an employer to an employee has two main aspects. There is his liability to the employees for harm suffered by them, and his liability </w:t>
      </w:r>
      <w:r w:rsidR="00FE79E1">
        <w:rPr>
          <w:rFonts w:asciiTheme="minorHAnsi" w:hAnsiTheme="minorHAnsi" w:cstheme="minorHAnsi"/>
          <w:sz w:val="24"/>
          <w:szCs w:val="24"/>
        </w:rPr>
        <w:t xml:space="preserve">for harm caused by them during the course of their employment known as ‘vicarious liability’. Both represent forms of liability, this includes the ‘non-delegable’ duties that the employer owes to his </w:t>
      </w:r>
      <w:r w:rsidR="003774F5">
        <w:rPr>
          <w:rFonts w:asciiTheme="minorHAnsi" w:hAnsiTheme="minorHAnsi" w:cstheme="minorHAnsi"/>
          <w:sz w:val="24"/>
          <w:szCs w:val="24"/>
        </w:rPr>
        <w:t>employees,</w:t>
      </w:r>
      <w:r w:rsidR="00FE79E1">
        <w:rPr>
          <w:rFonts w:asciiTheme="minorHAnsi" w:hAnsiTheme="minorHAnsi" w:cstheme="minorHAnsi"/>
          <w:sz w:val="24"/>
          <w:szCs w:val="24"/>
        </w:rPr>
        <w:t xml:space="preserve"> and this also covers the statutory duties imposed for the safety of the employees. </w:t>
      </w:r>
      <w:r w:rsidR="00A45EDF" w:rsidRPr="00A45EDF">
        <w:rPr>
          <w:rFonts w:asciiTheme="minorHAnsi" w:hAnsiTheme="minorHAnsi" w:cstheme="minorHAnsi"/>
          <w:sz w:val="24"/>
          <w:szCs w:val="24"/>
        </w:rPr>
        <w:t>It is a fact that in the second aspect, namely vicarious liability, an innocent employer may be held liable for the wrongs committed by their employee</w:t>
      </w:r>
      <w:r w:rsidR="00A45EDF">
        <w:rPr>
          <w:rFonts w:asciiTheme="minorHAnsi" w:hAnsiTheme="minorHAnsi" w:cstheme="minorHAnsi"/>
          <w:sz w:val="24"/>
          <w:szCs w:val="24"/>
        </w:rPr>
        <w:t xml:space="preserve"> (</w:t>
      </w:r>
      <w:r w:rsidR="00471602">
        <w:rPr>
          <w:rFonts w:asciiTheme="minorHAnsi" w:hAnsiTheme="minorHAnsi" w:cstheme="minorHAnsi"/>
          <w:sz w:val="24"/>
          <w:szCs w:val="24"/>
        </w:rPr>
        <w:t xml:space="preserve">Deakin, S </w:t>
      </w:r>
      <w:r w:rsidR="00471602">
        <w:rPr>
          <w:rFonts w:asciiTheme="minorHAnsi" w:hAnsiTheme="minorHAnsi" w:cstheme="minorHAnsi"/>
          <w:i/>
          <w:iCs/>
          <w:sz w:val="24"/>
          <w:szCs w:val="24"/>
        </w:rPr>
        <w:t>et al 2019)</w:t>
      </w:r>
      <w:r w:rsidR="00A45EDF" w:rsidRPr="00A45EDF">
        <w:rPr>
          <w:rFonts w:asciiTheme="minorHAnsi" w:hAnsiTheme="minorHAnsi" w:cstheme="minorHAnsi"/>
          <w:sz w:val="24"/>
          <w:szCs w:val="24"/>
        </w:rPr>
        <w:t>.</w:t>
      </w:r>
    </w:p>
    <w:p w14:paraId="64139F18" w14:textId="77777777" w:rsidR="001A0404" w:rsidRDefault="001A0404" w:rsidP="007F1D0A">
      <w:pPr>
        <w:rPr>
          <w:rFonts w:asciiTheme="minorHAnsi" w:hAnsiTheme="minorHAnsi" w:cstheme="minorHAnsi"/>
          <w:sz w:val="24"/>
          <w:szCs w:val="24"/>
        </w:rPr>
      </w:pPr>
    </w:p>
    <w:p w14:paraId="73666211" w14:textId="0EB36286" w:rsidR="00436B3B" w:rsidRDefault="00436B3B" w:rsidP="007F1D0A">
      <w:pPr>
        <w:rPr>
          <w:rFonts w:asciiTheme="minorHAnsi" w:hAnsiTheme="minorHAnsi" w:cstheme="minorHAnsi"/>
          <w:sz w:val="24"/>
          <w:szCs w:val="24"/>
        </w:rPr>
      </w:pPr>
      <w:r>
        <w:rPr>
          <w:rFonts w:asciiTheme="minorHAnsi" w:hAnsiTheme="minorHAnsi" w:cstheme="minorHAnsi"/>
          <w:sz w:val="24"/>
          <w:szCs w:val="24"/>
        </w:rPr>
        <w:t>An employer has a contractual duty of care to ensure their business or premises are safe to use for both employees and customers. An employer will have a list of requirements outlines within the contract stating what conduct is deemed appropriate</w:t>
      </w:r>
      <w:r w:rsidR="00DA0C1A">
        <w:rPr>
          <w:rFonts w:asciiTheme="minorHAnsi" w:hAnsiTheme="minorHAnsi" w:cstheme="minorHAnsi"/>
          <w:sz w:val="24"/>
          <w:szCs w:val="24"/>
        </w:rPr>
        <w:t xml:space="preserve">, what repercussions are expected if conduct is deemed unacceptable. The main duties for both parties include a duty of care, duty of trust and confidence, these are known as ‘imposed </w:t>
      </w:r>
      <w:r w:rsidR="00243A7C">
        <w:rPr>
          <w:rFonts w:asciiTheme="minorHAnsi" w:hAnsiTheme="minorHAnsi" w:cstheme="minorHAnsi"/>
          <w:sz w:val="24"/>
          <w:szCs w:val="24"/>
        </w:rPr>
        <w:t>duties</w:t>
      </w:r>
      <w:r w:rsidR="00DA0C1A">
        <w:rPr>
          <w:rFonts w:asciiTheme="minorHAnsi" w:hAnsiTheme="minorHAnsi" w:cstheme="minorHAnsi"/>
          <w:sz w:val="24"/>
          <w:szCs w:val="24"/>
        </w:rPr>
        <w:t>.</w:t>
      </w:r>
      <w:r w:rsidR="00243A7C">
        <w:rPr>
          <w:rFonts w:asciiTheme="minorHAnsi" w:hAnsiTheme="minorHAnsi" w:cstheme="minorHAnsi"/>
          <w:sz w:val="24"/>
          <w:szCs w:val="24"/>
        </w:rPr>
        <w:t>’</w:t>
      </w:r>
      <w:r w:rsidR="00DA0C1A">
        <w:rPr>
          <w:rFonts w:asciiTheme="minorHAnsi" w:hAnsiTheme="minorHAnsi" w:cstheme="minorHAnsi"/>
          <w:sz w:val="24"/>
          <w:szCs w:val="24"/>
        </w:rPr>
        <w:t xml:space="preserve"> Employers have a common duty of care</w:t>
      </w:r>
      <w:r w:rsidR="00243A7C">
        <w:rPr>
          <w:rFonts w:asciiTheme="minorHAnsi" w:hAnsiTheme="minorHAnsi" w:cstheme="minorHAnsi"/>
          <w:sz w:val="24"/>
          <w:szCs w:val="24"/>
        </w:rPr>
        <w:t xml:space="preserve"> towards the employees, there are specific rules and regulations in place that must be followed, these are outlined in the Health and </w:t>
      </w:r>
      <w:r w:rsidR="00243A7C">
        <w:rPr>
          <w:rFonts w:asciiTheme="minorHAnsi" w:hAnsiTheme="minorHAnsi" w:cstheme="minorHAnsi"/>
          <w:sz w:val="24"/>
          <w:szCs w:val="24"/>
        </w:rPr>
        <w:lastRenderedPageBreak/>
        <w:t xml:space="preserve">Safety at Work Regulation 1999 (Legislation, 2024 </w:t>
      </w:r>
      <w:r w:rsidR="00243A7C">
        <w:rPr>
          <w:rFonts w:asciiTheme="minorHAnsi" w:hAnsiTheme="minorHAnsi" w:cstheme="minorHAnsi"/>
          <w:i/>
          <w:iCs/>
          <w:sz w:val="24"/>
          <w:szCs w:val="24"/>
        </w:rPr>
        <w:t>B)</w:t>
      </w:r>
      <w:r w:rsidR="00243A7C">
        <w:rPr>
          <w:rFonts w:asciiTheme="minorHAnsi" w:hAnsiTheme="minorHAnsi" w:cstheme="minorHAnsi"/>
          <w:sz w:val="24"/>
          <w:szCs w:val="24"/>
        </w:rPr>
        <w:t xml:space="preserve">. This means that employers must do all they reasonably can to ensure that the employees are protected within the workplace, this includes carrying out risk assessments and placing precautionary measures to avoid injury based on the findings. Creating a safe and protected environment with regulations in place to allow employees to work without the fear or discrimination and bullying within the workplace. An employer can be in breach of their contractual duties by coercing employees to work an excessive </w:t>
      </w:r>
      <w:r w:rsidR="00233853">
        <w:rPr>
          <w:rFonts w:asciiTheme="minorHAnsi" w:hAnsiTheme="minorHAnsi" w:cstheme="minorHAnsi"/>
          <w:sz w:val="24"/>
          <w:szCs w:val="24"/>
        </w:rPr>
        <w:t>number</w:t>
      </w:r>
      <w:r w:rsidR="00243A7C">
        <w:rPr>
          <w:rFonts w:asciiTheme="minorHAnsi" w:hAnsiTheme="minorHAnsi" w:cstheme="minorHAnsi"/>
          <w:sz w:val="24"/>
          <w:szCs w:val="24"/>
        </w:rPr>
        <w:t xml:space="preserve"> of extra hours outside their contracted hours, failing to provide adequate training and the correct equipment needed to carry out duties safely (ACAS, 2023).  </w:t>
      </w:r>
      <w:r w:rsidR="00667A04">
        <w:rPr>
          <w:rFonts w:asciiTheme="minorHAnsi" w:hAnsiTheme="minorHAnsi" w:cstheme="minorHAnsi"/>
          <w:sz w:val="24"/>
          <w:szCs w:val="24"/>
        </w:rPr>
        <w:t>An employer will draft up a contract outlining all the rules of a company and dictates the responsibilities and duties expected of that of the employee. The employee must sign the contract acknowledging the duties expected and adequate training will be provided.</w:t>
      </w:r>
    </w:p>
    <w:p w14:paraId="0BC78502" w14:textId="15D560A5" w:rsidR="00A57BC2" w:rsidRDefault="00A57BC2" w:rsidP="007F1D0A">
      <w:pPr>
        <w:rPr>
          <w:rFonts w:asciiTheme="minorHAnsi" w:hAnsiTheme="minorHAnsi" w:cstheme="minorHAnsi"/>
          <w:sz w:val="24"/>
          <w:szCs w:val="24"/>
        </w:rPr>
      </w:pPr>
    </w:p>
    <w:p w14:paraId="1715B9D6" w14:textId="53B96747" w:rsidR="00DA4D74" w:rsidRDefault="00984E10" w:rsidP="007F1D0A">
      <w:pPr>
        <w:rPr>
          <w:rFonts w:asciiTheme="minorHAnsi" w:hAnsiTheme="minorHAnsi" w:cstheme="minorHAnsi"/>
          <w:sz w:val="24"/>
          <w:szCs w:val="24"/>
        </w:rPr>
      </w:pPr>
      <w:r>
        <w:rPr>
          <w:rFonts w:asciiTheme="minorHAnsi" w:hAnsiTheme="minorHAnsi" w:cstheme="minorHAnsi"/>
          <w:sz w:val="24"/>
          <w:szCs w:val="24"/>
        </w:rPr>
        <w:t xml:space="preserve">Looking at the information stated above Elijah is not able to make a case regarding the injury he sustained at work. Reflecting back on the case of </w:t>
      </w:r>
      <w:r w:rsidR="00771E5A">
        <w:rPr>
          <w:rFonts w:asciiTheme="minorHAnsi" w:hAnsiTheme="minorHAnsi" w:cstheme="minorHAnsi"/>
          <w:sz w:val="24"/>
          <w:szCs w:val="24"/>
        </w:rPr>
        <w:t xml:space="preserve">Blyth v Birmingham Waterworks 1856 the employer had followed all the necessary requirements and steps to try to prevent an injury at work. By having placed signage stating that there were items needing to be removed the employer cannot be held liable for negligence. It can be argued that many employers have a clause written within the contracts stating that mobile phones are prohibited while ‘on the clock’ meaning that Elijah can be held liable for breaching his contractual duties with his employer.  </w:t>
      </w:r>
      <w:r w:rsidR="004717D5">
        <w:rPr>
          <w:rFonts w:asciiTheme="minorHAnsi" w:hAnsiTheme="minorHAnsi" w:cstheme="minorHAnsi"/>
          <w:sz w:val="24"/>
          <w:szCs w:val="24"/>
        </w:rPr>
        <w:t>The employer can use the defence</w:t>
      </w:r>
      <w:r w:rsidR="00DA4D74">
        <w:rPr>
          <w:rFonts w:asciiTheme="minorHAnsi" w:hAnsiTheme="minorHAnsi" w:cstheme="minorHAnsi"/>
          <w:sz w:val="24"/>
          <w:szCs w:val="24"/>
        </w:rPr>
        <w:t xml:space="preserve"> </w:t>
      </w:r>
      <w:r w:rsidR="00D170EB">
        <w:rPr>
          <w:rFonts w:asciiTheme="minorHAnsi" w:hAnsiTheme="minorHAnsi" w:cstheme="minorHAnsi"/>
          <w:sz w:val="24"/>
          <w:szCs w:val="24"/>
        </w:rPr>
        <w:t xml:space="preserve">of breach of contract, the purpose of the contract is to outline the responsibilities of the employee and what conduct </w:t>
      </w:r>
      <w:r w:rsidR="00051B1F">
        <w:rPr>
          <w:rFonts w:asciiTheme="minorHAnsi" w:hAnsiTheme="minorHAnsi" w:cstheme="minorHAnsi"/>
          <w:sz w:val="24"/>
          <w:szCs w:val="24"/>
        </w:rPr>
        <w:t xml:space="preserve">is deemed unacceptable. Dependant on what is written in the contract the employer can </w:t>
      </w:r>
      <w:r w:rsidR="00957CE7">
        <w:rPr>
          <w:rFonts w:asciiTheme="minorHAnsi" w:hAnsiTheme="minorHAnsi" w:cstheme="minorHAnsi"/>
          <w:sz w:val="24"/>
          <w:szCs w:val="24"/>
        </w:rPr>
        <w:t xml:space="preserve">hold Elijah responsible for his own injuries he sustained. </w:t>
      </w:r>
    </w:p>
    <w:p w14:paraId="4D9FB1B3" w14:textId="77777777" w:rsidR="00957CE7" w:rsidRDefault="00957CE7" w:rsidP="007F1D0A">
      <w:pPr>
        <w:rPr>
          <w:rFonts w:asciiTheme="minorHAnsi" w:hAnsiTheme="minorHAnsi" w:cstheme="minorHAnsi"/>
          <w:sz w:val="24"/>
          <w:szCs w:val="24"/>
        </w:rPr>
      </w:pPr>
    </w:p>
    <w:p w14:paraId="2A135A4E" w14:textId="7922F862" w:rsidR="00984E10" w:rsidRDefault="00984E10" w:rsidP="007F1D0A">
      <w:pPr>
        <w:rPr>
          <w:rFonts w:asciiTheme="minorHAnsi" w:hAnsiTheme="minorHAnsi" w:cstheme="minorHAnsi"/>
          <w:sz w:val="24"/>
          <w:szCs w:val="24"/>
        </w:rPr>
      </w:pPr>
      <w:r w:rsidRPr="00984E10">
        <w:rPr>
          <w:rFonts w:asciiTheme="minorHAnsi" w:hAnsiTheme="minorHAnsi" w:cstheme="minorHAnsi"/>
          <w:sz w:val="24"/>
          <w:szCs w:val="24"/>
        </w:rPr>
        <w:t>Statutory duties are those which are required by law to carry out. A statutory duty of care is a legal obligation that is imposed on an individual, requiring the individual to adhere to a standard of reasonable care to avoid preforming or participating in a careless act that can foreseeably cause considerable harm to others. It is the first element of negligence; the standar</w:t>
      </w:r>
      <w:r>
        <w:rPr>
          <w:rFonts w:asciiTheme="minorHAnsi" w:hAnsiTheme="minorHAnsi" w:cstheme="minorHAnsi"/>
          <w:sz w:val="24"/>
          <w:szCs w:val="24"/>
        </w:rPr>
        <w:t>d</w:t>
      </w:r>
      <w:r w:rsidRPr="00984E10">
        <w:rPr>
          <w:rFonts w:asciiTheme="minorHAnsi" w:hAnsiTheme="minorHAnsi" w:cstheme="minorHAnsi"/>
          <w:sz w:val="24"/>
          <w:szCs w:val="24"/>
        </w:rPr>
        <w:t xml:space="preserve"> of care is generally assessed</w:t>
      </w:r>
      <w:r>
        <w:rPr>
          <w:rFonts w:asciiTheme="minorHAnsi" w:hAnsiTheme="minorHAnsi" w:cstheme="minorHAnsi"/>
          <w:sz w:val="24"/>
          <w:szCs w:val="24"/>
        </w:rPr>
        <w:t xml:space="preserve"> as the standard to be expected of an ‘ordinarily competent practitioner’ participating in a certain task or duty that is part of their contractual duties. As outlined within the Care Act 2014 it defines the legal standard of care and the precautionary steps a person </w:t>
      </w:r>
      <w:r w:rsidR="004717D5">
        <w:rPr>
          <w:rFonts w:asciiTheme="minorHAnsi" w:hAnsiTheme="minorHAnsi" w:cstheme="minorHAnsi"/>
          <w:sz w:val="24"/>
          <w:szCs w:val="24"/>
        </w:rPr>
        <w:t xml:space="preserve">or organisation </w:t>
      </w:r>
      <w:r>
        <w:rPr>
          <w:rFonts w:asciiTheme="minorHAnsi" w:hAnsiTheme="minorHAnsi" w:cstheme="minorHAnsi"/>
          <w:sz w:val="24"/>
          <w:szCs w:val="24"/>
        </w:rPr>
        <w:t xml:space="preserve">must follow in accordance to relevant statute in order to </w:t>
      </w:r>
      <w:r w:rsidR="004717D5">
        <w:rPr>
          <w:rFonts w:asciiTheme="minorHAnsi" w:hAnsiTheme="minorHAnsi" w:cstheme="minorHAnsi"/>
          <w:sz w:val="24"/>
          <w:szCs w:val="24"/>
        </w:rPr>
        <w:t xml:space="preserve">comply with the health and safety regulations and standard of care expected within the work place (Legislation, 2024 </w:t>
      </w:r>
      <w:r w:rsidR="004717D5">
        <w:rPr>
          <w:rFonts w:asciiTheme="minorHAnsi" w:hAnsiTheme="minorHAnsi" w:cstheme="minorHAnsi"/>
          <w:i/>
          <w:iCs/>
          <w:sz w:val="24"/>
          <w:szCs w:val="24"/>
        </w:rPr>
        <w:t>C</w:t>
      </w:r>
      <w:r w:rsidR="004717D5">
        <w:rPr>
          <w:rFonts w:asciiTheme="minorHAnsi" w:hAnsiTheme="minorHAnsi" w:cstheme="minorHAnsi"/>
          <w:sz w:val="24"/>
          <w:szCs w:val="24"/>
        </w:rPr>
        <w:t xml:space="preserve">). </w:t>
      </w:r>
    </w:p>
    <w:p w14:paraId="1B7C853A" w14:textId="55383F8C" w:rsidR="00984E10" w:rsidRDefault="00984E10" w:rsidP="007F1D0A">
      <w:pPr>
        <w:rPr>
          <w:rFonts w:asciiTheme="minorHAnsi" w:hAnsiTheme="minorHAnsi" w:cstheme="minorHAnsi"/>
          <w:sz w:val="24"/>
          <w:szCs w:val="24"/>
        </w:rPr>
      </w:pPr>
    </w:p>
    <w:p w14:paraId="6B9EEAD2" w14:textId="7A4C6AF0" w:rsidR="00984E10" w:rsidRDefault="00984E10" w:rsidP="007F1D0A">
      <w:pPr>
        <w:rPr>
          <w:rFonts w:asciiTheme="minorHAnsi" w:hAnsiTheme="minorHAnsi" w:cstheme="minorHAnsi"/>
          <w:sz w:val="24"/>
          <w:szCs w:val="24"/>
        </w:rPr>
      </w:pPr>
      <w:r>
        <w:rPr>
          <w:rFonts w:asciiTheme="minorHAnsi" w:hAnsiTheme="minorHAnsi" w:cstheme="minorHAnsi"/>
          <w:sz w:val="24"/>
          <w:szCs w:val="24"/>
        </w:rPr>
        <w:t xml:space="preserve">Health care professionals such as doctors or nurses tend to have a higher standard care due to the nature and severity of their careers. All health professionals are expected to deliver a safe care regardless of level of experience, meaning a newly qualified nurse should still be delivering the same standard of care that a more experienced nurse would. When harm comes to a patient the relevant governing bodies must examine who has a duty of care to that patient and determine whether negligence is present in order to attribute liability for the harm and decide what option would be best moving forward regarding the harm and severity endured by the patient (RCN, 2023). </w:t>
      </w:r>
    </w:p>
    <w:p w14:paraId="578DCC80" w14:textId="77777777" w:rsidR="004717D5" w:rsidRDefault="004717D5" w:rsidP="007F1D0A">
      <w:pPr>
        <w:rPr>
          <w:rFonts w:asciiTheme="minorHAnsi" w:hAnsiTheme="minorHAnsi" w:cstheme="minorHAnsi"/>
          <w:sz w:val="24"/>
          <w:szCs w:val="24"/>
        </w:rPr>
      </w:pPr>
    </w:p>
    <w:p w14:paraId="7E74E4EC" w14:textId="5057649D" w:rsidR="00A57BC2" w:rsidRDefault="00A57BC2" w:rsidP="007F1D0A">
      <w:pPr>
        <w:rPr>
          <w:rFonts w:asciiTheme="minorHAnsi" w:hAnsiTheme="minorHAnsi" w:cstheme="minorHAnsi"/>
          <w:sz w:val="24"/>
          <w:szCs w:val="24"/>
        </w:rPr>
      </w:pPr>
      <w:r>
        <w:rPr>
          <w:rFonts w:asciiTheme="minorHAnsi" w:hAnsiTheme="minorHAnsi" w:cstheme="minorHAnsi"/>
          <w:sz w:val="24"/>
          <w:szCs w:val="24"/>
        </w:rPr>
        <w:t>Vicarious Liability</w:t>
      </w:r>
      <w:r w:rsidR="00DA0C1A">
        <w:rPr>
          <w:rFonts w:asciiTheme="minorHAnsi" w:hAnsiTheme="minorHAnsi" w:cstheme="minorHAnsi"/>
          <w:sz w:val="24"/>
          <w:szCs w:val="24"/>
        </w:rPr>
        <w:t xml:space="preserve"> is a legal rule that holds a company or person responsible for actions committed by others or their employees. </w:t>
      </w:r>
      <w:r w:rsidR="00771E5A">
        <w:rPr>
          <w:rFonts w:asciiTheme="minorHAnsi" w:hAnsiTheme="minorHAnsi" w:cstheme="minorHAnsi"/>
          <w:sz w:val="24"/>
          <w:szCs w:val="24"/>
        </w:rPr>
        <w:t>Typically,</w:t>
      </w:r>
      <w:r w:rsidR="00DA0C1A">
        <w:rPr>
          <w:rFonts w:asciiTheme="minorHAnsi" w:hAnsiTheme="minorHAnsi" w:cstheme="minorHAnsi"/>
          <w:sz w:val="24"/>
          <w:szCs w:val="24"/>
        </w:rPr>
        <w:t xml:space="preserve"> it applies to those in a higher position </w:t>
      </w:r>
      <w:r w:rsidR="007F1D0A">
        <w:rPr>
          <w:rFonts w:asciiTheme="minorHAnsi" w:hAnsiTheme="minorHAnsi" w:cstheme="minorHAnsi"/>
          <w:sz w:val="24"/>
          <w:szCs w:val="24"/>
        </w:rPr>
        <w:lastRenderedPageBreak/>
        <w:t xml:space="preserve">who is deemed responsible for the employees who can cause harm to the </w:t>
      </w:r>
      <w:r w:rsidR="00771E5A">
        <w:rPr>
          <w:rFonts w:asciiTheme="minorHAnsi" w:hAnsiTheme="minorHAnsi" w:cstheme="minorHAnsi"/>
          <w:sz w:val="24"/>
          <w:szCs w:val="24"/>
        </w:rPr>
        <w:t>victims</w:t>
      </w:r>
      <w:r w:rsidR="007F1D0A">
        <w:rPr>
          <w:rFonts w:asciiTheme="minorHAnsi" w:hAnsiTheme="minorHAnsi" w:cstheme="minorHAnsi"/>
          <w:sz w:val="24"/>
          <w:szCs w:val="24"/>
        </w:rPr>
        <w:t xml:space="preserve">. An employer can be deemed vicariously liable for harmful actions if the employee who caused the harm was ‘on the clock’ when the incident occurred, the employee has caused harm while preforming their usual duties. An example of this would be if a nurse working at a hospital causes significant harm to a patient by administering the wrong medication causing the patient to suffer ‘while on the clock’ (Bieber, C, 2022). </w:t>
      </w:r>
    </w:p>
    <w:p w14:paraId="41F35C07" w14:textId="77777777" w:rsidR="007F1D0A" w:rsidRDefault="007F1D0A" w:rsidP="007F1D0A">
      <w:pPr>
        <w:rPr>
          <w:rFonts w:asciiTheme="minorHAnsi" w:hAnsiTheme="minorHAnsi" w:cstheme="minorHAnsi"/>
          <w:sz w:val="24"/>
          <w:szCs w:val="24"/>
        </w:rPr>
      </w:pPr>
    </w:p>
    <w:p w14:paraId="2EA4F4EF" w14:textId="31AFFDDD" w:rsidR="007F1D0A" w:rsidRDefault="007F1D0A" w:rsidP="007F1D0A">
      <w:pPr>
        <w:rPr>
          <w:rFonts w:asciiTheme="minorHAnsi" w:hAnsiTheme="minorHAnsi" w:cstheme="minorHAnsi"/>
          <w:sz w:val="24"/>
          <w:szCs w:val="24"/>
        </w:rPr>
      </w:pPr>
      <w:r>
        <w:rPr>
          <w:rFonts w:asciiTheme="minorHAnsi" w:hAnsiTheme="minorHAnsi" w:cstheme="minorHAnsi"/>
          <w:sz w:val="24"/>
          <w:szCs w:val="24"/>
        </w:rPr>
        <w:t xml:space="preserve">The doctrine of respondent superior meaning ‘let the master answer’ in Latin is heavily based on the employer and employee relationship. This doctrine ensures the employer is responsible for the lack of care shown by their employee, </w:t>
      </w:r>
      <w:r w:rsidR="00243A7C">
        <w:rPr>
          <w:rFonts w:asciiTheme="minorHAnsi" w:hAnsiTheme="minorHAnsi" w:cstheme="minorHAnsi"/>
          <w:sz w:val="24"/>
          <w:szCs w:val="24"/>
        </w:rPr>
        <w:t xml:space="preserve">to those in which the employer owes a duty of care to. </w:t>
      </w:r>
      <w:r>
        <w:rPr>
          <w:rFonts w:asciiTheme="minorHAnsi" w:hAnsiTheme="minorHAnsi" w:cstheme="minorHAnsi"/>
          <w:sz w:val="24"/>
          <w:szCs w:val="24"/>
        </w:rPr>
        <w:t xml:space="preserve">If a negligent act has been committed by an employee acting within the duties outlined in the contract they signed when beginning employment then it is deemed that the employer is held liable for damages caused (FreeDictionary, 2024). </w:t>
      </w:r>
    </w:p>
    <w:p w14:paraId="354849E0" w14:textId="77777777" w:rsidR="004717D5" w:rsidRDefault="004717D5" w:rsidP="007F1D0A">
      <w:pPr>
        <w:rPr>
          <w:rFonts w:asciiTheme="minorHAnsi" w:hAnsiTheme="minorHAnsi" w:cstheme="minorHAnsi"/>
          <w:sz w:val="24"/>
          <w:szCs w:val="24"/>
        </w:rPr>
      </w:pPr>
    </w:p>
    <w:p w14:paraId="170C06EE" w14:textId="596102D8" w:rsidR="003040AB" w:rsidRDefault="00133A0B" w:rsidP="007F1D0A">
      <w:pPr>
        <w:rPr>
          <w:rFonts w:asciiTheme="minorHAnsi" w:hAnsiTheme="minorHAnsi" w:cstheme="minorHAnsi"/>
          <w:sz w:val="24"/>
          <w:szCs w:val="24"/>
        </w:rPr>
      </w:pPr>
      <w:r>
        <w:rPr>
          <w:rFonts w:asciiTheme="minorHAnsi" w:hAnsiTheme="minorHAnsi" w:cstheme="minorHAnsi"/>
          <w:sz w:val="24"/>
          <w:szCs w:val="24"/>
        </w:rPr>
        <w:t>In the realm of healthcare</w:t>
      </w:r>
      <w:r w:rsidR="00A03088">
        <w:rPr>
          <w:rFonts w:asciiTheme="minorHAnsi" w:hAnsiTheme="minorHAnsi" w:cstheme="minorHAnsi"/>
          <w:sz w:val="24"/>
          <w:szCs w:val="24"/>
        </w:rPr>
        <w:t xml:space="preserve">, the determination of a healthcare professional’s liability for negligence typically hinges upon the evaluation of whether </w:t>
      </w:r>
      <w:r w:rsidR="00BE3A92">
        <w:rPr>
          <w:rFonts w:asciiTheme="minorHAnsi" w:hAnsiTheme="minorHAnsi" w:cstheme="minorHAnsi"/>
          <w:sz w:val="24"/>
          <w:szCs w:val="24"/>
        </w:rPr>
        <w:t xml:space="preserve">they have breached the duty of care towards the patient. </w:t>
      </w:r>
      <w:r w:rsidR="00C307B6">
        <w:rPr>
          <w:rFonts w:asciiTheme="minorHAnsi" w:hAnsiTheme="minorHAnsi" w:cstheme="minorHAnsi"/>
          <w:sz w:val="24"/>
          <w:szCs w:val="24"/>
        </w:rPr>
        <w:t xml:space="preserve">In the context of medical negligence, healthcare professionals are expected to adhere to a standard of care that is deemed reasonable </w:t>
      </w:r>
      <w:r w:rsidR="00B93779">
        <w:rPr>
          <w:rFonts w:asciiTheme="minorHAnsi" w:hAnsiTheme="minorHAnsi" w:cstheme="minorHAnsi"/>
          <w:sz w:val="24"/>
          <w:szCs w:val="24"/>
        </w:rPr>
        <w:t xml:space="preserve">and appropriate for their professions. If they fail to meet this established standard and their acts or omissions </w:t>
      </w:r>
      <w:r w:rsidR="002A4DA6">
        <w:rPr>
          <w:rFonts w:asciiTheme="minorHAnsi" w:hAnsiTheme="minorHAnsi" w:cstheme="minorHAnsi"/>
          <w:sz w:val="24"/>
          <w:szCs w:val="24"/>
        </w:rPr>
        <w:t xml:space="preserve">result in harm or injury to the patient, they may be held accountable for their negligence. It is crucial to recognise </w:t>
      </w:r>
      <w:r w:rsidR="00DA0B0A">
        <w:rPr>
          <w:rFonts w:asciiTheme="minorHAnsi" w:hAnsiTheme="minorHAnsi" w:cstheme="minorHAnsi"/>
          <w:sz w:val="24"/>
          <w:szCs w:val="24"/>
        </w:rPr>
        <w:t xml:space="preserve">that the process of </w:t>
      </w:r>
      <w:r w:rsidR="00FA3F92">
        <w:rPr>
          <w:rFonts w:asciiTheme="minorHAnsi" w:hAnsiTheme="minorHAnsi" w:cstheme="minorHAnsi"/>
          <w:sz w:val="24"/>
          <w:szCs w:val="24"/>
        </w:rPr>
        <w:t xml:space="preserve">ascertaining </w:t>
      </w:r>
      <w:r w:rsidR="00DA0B0A">
        <w:rPr>
          <w:rFonts w:asciiTheme="minorHAnsi" w:hAnsiTheme="minorHAnsi" w:cstheme="minorHAnsi"/>
          <w:sz w:val="24"/>
          <w:szCs w:val="24"/>
        </w:rPr>
        <w:t xml:space="preserve">liability for negligence in healthcare is intricate and </w:t>
      </w:r>
      <w:r w:rsidR="00122301">
        <w:rPr>
          <w:rFonts w:asciiTheme="minorHAnsi" w:hAnsiTheme="minorHAnsi" w:cstheme="minorHAnsi"/>
          <w:sz w:val="24"/>
          <w:szCs w:val="24"/>
        </w:rPr>
        <w:t>necessitates a comprehensive examination of th</w:t>
      </w:r>
      <w:r w:rsidR="00330CA7">
        <w:rPr>
          <w:rFonts w:asciiTheme="minorHAnsi" w:hAnsiTheme="minorHAnsi" w:cstheme="minorHAnsi"/>
          <w:sz w:val="24"/>
          <w:szCs w:val="24"/>
        </w:rPr>
        <w:t>e specific circumstances and evidentiary fa</w:t>
      </w:r>
      <w:r w:rsidR="00FA3F92">
        <w:rPr>
          <w:rFonts w:asciiTheme="minorHAnsi" w:hAnsiTheme="minorHAnsi" w:cstheme="minorHAnsi"/>
          <w:sz w:val="24"/>
          <w:szCs w:val="24"/>
        </w:rPr>
        <w:t>cts associated with the case in hand</w:t>
      </w:r>
      <w:r w:rsidR="008879C6">
        <w:rPr>
          <w:rFonts w:asciiTheme="minorHAnsi" w:hAnsiTheme="minorHAnsi" w:cstheme="minorHAnsi"/>
          <w:sz w:val="24"/>
          <w:szCs w:val="24"/>
        </w:rPr>
        <w:t xml:space="preserve"> (Mitty, T, </w:t>
      </w:r>
      <w:r w:rsidR="005A438B">
        <w:rPr>
          <w:rFonts w:asciiTheme="minorHAnsi" w:hAnsiTheme="minorHAnsi" w:cstheme="minorHAnsi"/>
          <w:sz w:val="24"/>
          <w:szCs w:val="24"/>
        </w:rPr>
        <w:t>2024)</w:t>
      </w:r>
      <w:r w:rsidR="00FA3F92">
        <w:rPr>
          <w:rFonts w:asciiTheme="minorHAnsi" w:hAnsiTheme="minorHAnsi" w:cstheme="minorHAnsi"/>
          <w:sz w:val="24"/>
          <w:szCs w:val="24"/>
        </w:rPr>
        <w:t xml:space="preserve">. </w:t>
      </w:r>
      <w:r w:rsidR="003040AB">
        <w:rPr>
          <w:rFonts w:asciiTheme="minorHAnsi" w:hAnsiTheme="minorHAnsi" w:cstheme="minorHAnsi"/>
          <w:sz w:val="24"/>
          <w:szCs w:val="24"/>
        </w:rPr>
        <w:t>A case that demonstrates medical negligence is R v Adomako 1995</w:t>
      </w:r>
      <w:r w:rsidR="004D39FF">
        <w:rPr>
          <w:rFonts w:asciiTheme="minorHAnsi" w:hAnsiTheme="minorHAnsi" w:cstheme="minorHAnsi"/>
          <w:sz w:val="24"/>
          <w:szCs w:val="24"/>
        </w:rPr>
        <w:t>,</w:t>
      </w:r>
      <w:r w:rsidR="003040AB">
        <w:rPr>
          <w:rFonts w:asciiTheme="minorHAnsi" w:hAnsiTheme="minorHAnsi" w:cstheme="minorHAnsi"/>
          <w:sz w:val="24"/>
          <w:szCs w:val="24"/>
        </w:rPr>
        <w:t xml:space="preserve"> </w:t>
      </w:r>
      <w:r w:rsidR="003774F5">
        <w:rPr>
          <w:rFonts w:asciiTheme="minorHAnsi" w:hAnsiTheme="minorHAnsi" w:cstheme="minorHAnsi"/>
          <w:sz w:val="24"/>
          <w:szCs w:val="24"/>
        </w:rPr>
        <w:t>an</w:t>
      </w:r>
      <w:r w:rsidR="004D39FF">
        <w:rPr>
          <w:rFonts w:asciiTheme="minorHAnsi" w:hAnsiTheme="minorHAnsi" w:cstheme="minorHAnsi"/>
          <w:sz w:val="24"/>
          <w:szCs w:val="24"/>
        </w:rPr>
        <w:t xml:space="preserve"> </w:t>
      </w:r>
      <w:r w:rsidR="005A438B">
        <w:rPr>
          <w:rFonts w:asciiTheme="minorHAnsi" w:hAnsiTheme="minorHAnsi" w:cstheme="minorHAnsi"/>
          <w:sz w:val="24"/>
          <w:szCs w:val="24"/>
        </w:rPr>
        <w:t>anaesthetist who</w:t>
      </w:r>
      <w:r w:rsidR="003774F5">
        <w:rPr>
          <w:rFonts w:asciiTheme="minorHAnsi" w:hAnsiTheme="minorHAnsi" w:cstheme="minorHAnsi"/>
          <w:sz w:val="24"/>
          <w:szCs w:val="24"/>
        </w:rPr>
        <w:t xml:space="preserve"> had a duty of care to ensure that the patient</w:t>
      </w:r>
      <w:r w:rsidR="00123720">
        <w:rPr>
          <w:rFonts w:asciiTheme="minorHAnsi" w:hAnsiTheme="minorHAnsi" w:cstheme="minorHAnsi"/>
          <w:sz w:val="24"/>
          <w:szCs w:val="24"/>
        </w:rPr>
        <w:t xml:space="preserve"> was safe during the procedure. Due to the lack of care shown by Adomako a </w:t>
      </w:r>
      <w:r w:rsidR="00247565">
        <w:rPr>
          <w:rFonts w:asciiTheme="minorHAnsi" w:hAnsiTheme="minorHAnsi" w:cstheme="minorHAnsi"/>
          <w:sz w:val="24"/>
          <w:szCs w:val="24"/>
        </w:rPr>
        <w:t xml:space="preserve">crucial </w:t>
      </w:r>
      <w:r w:rsidR="00123720">
        <w:rPr>
          <w:rFonts w:asciiTheme="minorHAnsi" w:hAnsiTheme="minorHAnsi" w:cstheme="minorHAnsi"/>
          <w:sz w:val="24"/>
          <w:szCs w:val="24"/>
        </w:rPr>
        <w:t xml:space="preserve">tube that played a vital role in the surgery had </w:t>
      </w:r>
      <w:r w:rsidR="00247565">
        <w:rPr>
          <w:rFonts w:asciiTheme="minorHAnsi" w:hAnsiTheme="minorHAnsi" w:cstheme="minorHAnsi"/>
          <w:sz w:val="24"/>
          <w:szCs w:val="24"/>
        </w:rPr>
        <w:t xml:space="preserve">‘come loose’ meaning the patient suffered a fatal cardiac arrest. </w:t>
      </w:r>
    </w:p>
    <w:p w14:paraId="79834F9A" w14:textId="77777777" w:rsidR="00A6188D" w:rsidRDefault="00A6188D" w:rsidP="007F1D0A">
      <w:pPr>
        <w:rPr>
          <w:rFonts w:asciiTheme="minorHAnsi" w:hAnsiTheme="minorHAnsi" w:cstheme="minorHAnsi"/>
          <w:sz w:val="24"/>
          <w:szCs w:val="24"/>
        </w:rPr>
      </w:pPr>
    </w:p>
    <w:p w14:paraId="1C519E98" w14:textId="48E6DA13" w:rsidR="00A6188D" w:rsidRDefault="00A6188D" w:rsidP="007F1D0A">
      <w:pPr>
        <w:rPr>
          <w:rFonts w:asciiTheme="minorHAnsi" w:hAnsiTheme="minorHAnsi" w:cstheme="minorHAnsi"/>
          <w:sz w:val="24"/>
          <w:szCs w:val="24"/>
        </w:rPr>
      </w:pPr>
      <w:r>
        <w:rPr>
          <w:rFonts w:asciiTheme="minorHAnsi" w:hAnsiTheme="minorHAnsi" w:cstheme="minorHAnsi"/>
          <w:sz w:val="24"/>
          <w:szCs w:val="24"/>
        </w:rPr>
        <w:t xml:space="preserve">Personal liability </w:t>
      </w:r>
      <w:r w:rsidR="00D764BB">
        <w:rPr>
          <w:rFonts w:asciiTheme="minorHAnsi" w:hAnsiTheme="minorHAnsi" w:cstheme="minorHAnsi"/>
          <w:sz w:val="24"/>
          <w:szCs w:val="24"/>
        </w:rPr>
        <w:t xml:space="preserve">pertains </w:t>
      </w:r>
      <w:r w:rsidR="00780950">
        <w:rPr>
          <w:rFonts w:asciiTheme="minorHAnsi" w:hAnsiTheme="minorHAnsi" w:cstheme="minorHAnsi"/>
          <w:sz w:val="24"/>
          <w:szCs w:val="24"/>
        </w:rPr>
        <w:t xml:space="preserve">to the legal onus faced upon an individual for their own conduct or omissions. </w:t>
      </w:r>
      <w:r w:rsidR="002A69AE">
        <w:rPr>
          <w:rFonts w:asciiTheme="minorHAnsi" w:hAnsiTheme="minorHAnsi" w:cstheme="minorHAnsi"/>
          <w:sz w:val="24"/>
          <w:szCs w:val="24"/>
        </w:rPr>
        <w:t>Enco</w:t>
      </w:r>
      <w:r w:rsidR="00627306">
        <w:rPr>
          <w:rFonts w:asciiTheme="minorHAnsi" w:hAnsiTheme="minorHAnsi" w:cstheme="minorHAnsi"/>
          <w:sz w:val="24"/>
          <w:szCs w:val="24"/>
        </w:rPr>
        <w:t xml:space="preserve">mpasses the notion that an individual can be held legally accountable for any detriment, </w:t>
      </w:r>
      <w:r w:rsidR="00CB3A73">
        <w:rPr>
          <w:rFonts w:asciiTheme="minorHAnsi" w:hAnsiTheme="minorHAnsi" w:cstheme="minorHAnsi"/>
          <w:sz w:val="24"/>
          <w:szCs w:val="24"/>
        </w:rPr>
        <w:t>loss or harm inflicted upon others as a result of their own negligence or deliberate wrongdoings</w:t>
      </w:r>
      <w:r w:rsidR="00FA7CC6">
        <w:rPr>
          <w:rFonts w:asciiTheme="minorHAnsi" w:hAnsiTheme="minorHAnsi" w:cstheme="minorHAnsi"/>
          <w:sz w:val="24"/>
          <w:szCs w:val="24"/>
        </w:rPr>
        <w:t xml:space="preserve">. In such instances, an individual assumes personal responsibility </w:t>
      </w:r>
      <w:r w:rsidR="00C84F3A">
        <w:rPr>
          <w:rFonts w:asciiTheme="minorHAnsi" w:hAnsiTheme="minorHAnsi" w:cstheme="minorHAnsi"/>
          <w:sz w:val="24"/>
          <w:szCs w:val="24"/>
        </w:rPr>
        <w:t xml:space="preserve">for the repercussions of the actions and may be obliged to provide recompense </w:t>
      </w:r>
      <w:r w:rsidR="0025008B">
        <w:rPr>
          <w:rFonts w:asciiTheme="minorHAnsi" w:hAnsiTheme="minorHAnsi" w:cstheme="minorHAnsi"/>
          <w:sz w:val="24"/>
          <w:szCs w:val="24"/>
        </w:rPr>
        <w:t xml:space="preserve">to the agreed parties for the damages incurred. Personal liability can manifest </w:t>
      </w:r>
      <w:r w:rsidR="00955718">
        <w:rPr>
          <w:rFonts w:asciiTheme="minorHAnsi" w:hAnsiTheme="minorHAnsi" w:cstheme="minorHAnsi"/>
          <w:sz w:val="24"/>
          <w:szCs w:val="24"/>
        </w:rPr>
        <w:t xml:space="preserve">varies domains, in </w:t>
      </w:r>
      <w:r w:rsidR="00D614F1">
        <w:rPr>
          <w:rFonts w:asciiTheme="minorHAnsi" w:hAnsiTheme="minorHAnsi" w:cstheme="minorHAnsi"/>
          <w:sz w:val="24"/>
          <w:szCs w:val="24"/>
        </w:rPr>
        <w:t>compassing</w:t>
      </w:r>
      <w:r w:rsidR="00955718">
        <w:rPr>
          <w:rFonts w:asciiTheme="minorHAnsi" w:hAnsiTheme="minorHAnsi" w:cstheme="minorHAnsi"/>
          <w:sz w:val="24"/>
          <w:szCs w:val="24"/>
        </w:rPr>
        <w:t xml:space="preserve"> cases of personal injury, </w:t>
      </w:r>
      <w:r w:rsidR="0094568D">
        <w:rPr>
          <w:rFonts w:asciiTheme="minorHAnsi" w:hAnsiTheme="minorHAnsi" w:cstheme="minorHAnsi"/>
          <w:sz w:val="24"/>
          <w:szCs w:val="24"/>
        </w:rPr>
        <w:t>contractual obligations</w:t>
      </w:r>
      <w:r w:rsidR="00F41A8A">
        <w:rPr>
          <w:rFonts w:asciiTheme="minorHAnsi" w:hAnsiTheme="minorHAnsi" w:cstheme="minorHAnsi"/>
          <w:sz w:val="24"/>
          <w:szCs w:val="24"/>
        </w:rPr>
        <w:t xml:space="preserve">. </w:t>
      </w:r>
      <w:r w:rsidR="0094568D">
        <w:rPr>
          <w:rFonts w:asciiTheme="minorHAnsi" w:hAnsiTheme="minorHAnsi" w:cstheme="minorHAnsi"/>
          <w:sz w:val="24"/>
          <w:szCs w:val="24"/>
        </w:rPr>
        <w:t xml:space="preserve">It serves as a mechanism to ensure that individual </w:t>
      </w:r>
      <w:r w:rsidR="00D614F1">
        <w:rPr>
          <w:rFonts w:asciiTheme="minorHAnsi" w:hAnsiTheme="minorHAnsi" w:cstheme="minorHAnsi"/>
          <w:sz w:val="24"/>
          <w:szCs w:val="24"/>
        </w:rPr>
        <w:t>is</w:t>
      </w:r>
      <w:r w:rsidR="0094568D">
        <w:rPr>
          <w:rFonts w:asciiTheme="minorHAnsi" w:hAnsiTheme="minorHAnsi" w:cstheme="minorHAnsi"/>
          <w:sz w:val="24"/>
          <w:szCs w:val="24"/>
        </w:rPr>
        <w:t xml:space="preserve"> held </w:t>
      </w:r>
      <w:r w:rsidR="00D614F1">
        <w:rPr>
          <w:rFonts w:asciiTheme="minorHAnsi" w:hAnsiTheme="minorHAnsi" w:cstheme="minorHAnsi"/>
          <w:sz w:val="24"/>
          <w:szCs w:val="24"/>
        </w:rPr>
        <w:t>answerable for their behaviour and fosters a culture of accountability</w:t>
      </w:r>
      <w:r w:rsidR="00F41A8A">
        <w:rPr>
          <w:rFonts w:asciiTheme="minorHAnsi" w:hAnsiTheme="minorHAnsi" w:cstheme="minorHAnsi"/>
          <w:sz w:val="24"/>
          <w:szCs w:val="24"/>
        </w:rPr>
        <w:t xml:space="preserve"> (</w:t>
      </w:r>
      <w:r w:rsidR="00BE08D9">
        <w:rPr>
          <w:rFonts w:asciiTheme="minorHAnsi" w:hAnsiTheme="minorHAnsi" w:cstheme="minorHAnsi"/>
          <w:sz w:val="24"/>
          <w:szCs w:val="24"/>
        </w:rPr>
        <w:t>Reuters, T 2024)</w:t>
      </w:r>
      <w:r w:rsidR="00D614F1">
        <w:rPr>
          <w:rFonts w:asciiTheme="minorHAnsi" w:hAnsiTheme="minorHAnsi" w:cstheme="minorHAnsi"/>
          <w:sz w:val="24"/>
          <w:szCs w:val="24"/>
        </w:rPr>
        <w:t xml:space="preserve">. </w:t>
      </w:r>
    </w:p>
    <w:bookmarkEnd w:id="0"/>
    <w:p w14:paraId="463CF8A3" w14:textId="77777777" w:rsidR="00760BC7" w:rsidRDefault="00760BC7" w:rsidP="00FD6CDC">
      <w:pPr>
        <w:rPr>
          <w:rFonts w:asciiTheme="minorHAnsi" w:hAnsiTheme="minorHAnsi" w:cstheme="minorHAnsi"/>
          <w:sz w:val="24"/>
          <w:szCs w:val="24"/>
        </w:rPr>
      </w:pPr>
    </w:p>
    <w:p w14:paraId="68FAF302" w14:textId="3F10F990" w:rsidR="00E0463F" w:rsidRDefault="008D1A4C" w:rsidP="00FD6CDC">
      <w:pPr>
        <w:rPr>
          <w:rFonts w:asciiTheme="minorHAnsi" w:hAnsiTheme="minorHAnsi" w:cstheme="minorHAnsi"/>
          <w:sz w:val="24"/>
          <w:szCs w:val="24"/>
        </w:rPr>
      </w:pPr>
      <w:r>
        <w:rPr>
          <w:rFonts w:asciiTheme="minorHAnsi" w:hAnsiTheme="minorHAnsi" w:cstheme="minorHAnsi"/>
          <w:sz w:val="24"/>
          <w:szCs w:val="24"/>
        </w:rPr>
        <w:t xml:space="preserve">Legal causation, also known as ‘causation in law’, pertains to the connection </w:t>
      </w:r>
      <w:r w:rsidR="00AE706E">
        <w:rPr>
          <w:rFonts w:asciiTheme="minorHAnsi" w:hAnsiTheme="minorHAnsi" w:cstheme="minorHAnsi"/>
          <w:sz w:val="24"/>
          <w:szCs w:val="24"/>
        </w:rPr>
        <w:t>of an individual’s actions and the resulting harm or damage</w:t>
      </w:r>
      <w:r w:rsidR="00EE62FF">
        <w:rPr>
          <w:rFonts w:asciiTheme="minorHAnsi" w:hAnsiTheme="minorHAnsi" w:cstheme="minorHAnsi"/>
          <w:sz w:val="24"/>
          <w:szCs w:val="24"/>
        </w:rPr>
        <w:t xml:space="preserve">. In the legal context, in order for someone to be held legally accountable for an outcome, </w:t>
      </w:r>
      <w:r w:rsidR="00677540">
        <w:rPr>
          <w:rFonts w:asciiTheme="minorHAnsi" w:hAnsiTheme="minorHAnsi" w:cstheme="minorHAnsi"/>
          <w:sz w:val="24"/>
          <w:szCs w:val="24"/>
        </w:rPr>
        <w:t xml:space="preserve">two elements must be established: factual causation, which demonstrates the actions directly </w:t>
      </w:r>
      <w:r w:rsidR="0020559F">
        <w:rPr>
          <w:rFonts w:asciiTheme="minorHAnsi" w:hAnsiTheme="minorHAnsi" w:cstheme="minorHAnsi"/>
          <w:sz w:val="24"/>
          <w:szCs w:val="24"/>
        </w:rPr>
        <w:t xml:space="preserve">caused the harm. The second element of is legal causation, which establishes that the actions </w:t>
      </w:r>
      <w:r w:rsidR="003A4FBA">
        <w:rPr>
          <w:rFonts w:asciiTheme="minorHAnsi" w:hAnsiTheme="minorHAnsi" w:cstheme="minorHAnsi"/>
          <w:sz w:val="24"/>
          <w:szCs w:val="24"/>
        </w:rPr>
        <w:t xml:space="preserve">were a significant factor in bringing about the harm. Legal causation involves </w:t>
      </w:r>
      <w:r w:rsidR="00862028">
        <w:rPr>
          <w:rFonts w:asciiTheme="minorHAnsi" w:hAnsiTheme="minorHAnsi" w:cstheme="minorHAnsi"/>
          <w:sz w:val="24"/>
          <w:szCs w:val="24"/>
        </w:rPr>
        <w:t xml:space="preserve">evaluating whether the </w:t>
      </w:r>
      <w:r w:rsidR="00BD69B5">
        <w:rPr>
          <w:rFonts w:asciiTheme="minorHAnsi" w:hAnsiTheme="minorHAnsi" w:cstheme="minorHAnsi"/>
          <w:sz w:val="24"/>
          <w:szCs w:val="24"/>
        </w:rPr>
        <w:t>defendants’</w:t>
      </w:r>
      <w:r w:rsidR="00862028">
        <w:rPr>
          <w:rFonts w:asciiTheme="minorHAnsi" w:hAnsiTheme="minorHAnsi" w:cstheme="minorHAnsi"/>
          <w:sz w:val="24"/>
          <w:szCs w:val="24"/>
        </w:rPr>
        <w:t xml:space="preserve"> actions were reasonably foreseeable and direct cause of harm. </w:t>
      </w:r>
      <w:r w:rsidR="00BD69B5">
        <w:rPr>
          <w:rFonts w:asciiTheme="minorHAnsi" w:hAnsiTheme="minorHAnsi" w:cstheme="minorHAnsi"/>
          <w:sz w:val="24"/>
          <w:szCs w:val="24"/>
        </w:rPr>
        <w:t>It’s a crucial aspect in determining liability in legal cases</w:t>
      </w:r>
      <w:r w:rsidR="001A171F">
        <w:rPr>
          <w:rFonts w:asciiTheme="minorHAnsi" w:hAnsiTheme="minorHAnsi" w:cstheme="minorHAnsi"/>
          <w:sz w:val="24"/>
          <w:szCs w:val="24"/>
        </w:rPr>
        <w:t xml:space="preserve"> (</w:t>
      </w:r>
      <w:r w:rsidR="004437F7">
        <w:rPr>
          <w:rFonts w:asciiTheme="minorHAnsi" w:hAnsiTheme="minorHAnsi" w:cstheme="minorHAnsi"/>
          <w:sz w:val="24"/>
          <w:szCs w:val="24"/>
        </w:rPr>
        <w:t>UOLLB</w:t>
      </w:r>
      <w:r w:rsidR="00E24DED">
        <w:rPr>
          <w:rFonts w:asciiTheme="minorHAnsi" w:hAnsiTheme="minorHAnsi" w:cstheme="minorHAnsi"/>
          <w:sz w:val="24"/>
          <w:szCs w:val="24"/>
        </w:rPr>
        <w:t>, 2023)</w:t>
      </w:r>
      <w:r w:rsidR="00BD69B5">
        <w:rPr>
          <w:rFonts w:asciiTheme="minorHAnsi" w:hAnsiTheme="minorHAnsi" w:cstheme="minorHAnsi"/>
          <w:sz w:val="24"/>
          <w:szCs w:val="24"/>
        </w:rPr>
        <w:t xml:space="preserve">. </w:t>
      </w:r>
      <w:r w:rsidR="00E0463F">
        <w:rPr>
          <w:rFonts w:asciiTheme="minorHAnsi" w:hAnsiTheme="minorHAnsi" w:cstheme="minorHAnsi"/>
          <w:sz w:val="24"/>
          <w:szCs w:val="24"/>
        </w:rPr>
        <w:t xml:space="preserve">Factual causation is usually established using the ‘but-for’ test which establishes whether or not the tort would have occurred </w:t>
      </w:r>
      <w:r w:rsidR="00E0463F">
        <w:rPr>
          <w:rFonts w:asciiTheme="minorHAnsi" w:hAnsiTheme="minorHAnsi" w:cstheme="minorHAnsi"/>
          <w:sz w:val="24"/>
          <w:szCs w:val="24"/>
        </w:rPr>
        <w:lastRenderedPageBreak/>
        <w:t xml:space="preserve">without the actions of the defendant. It usually consists of a ‘yes or no’ question, if the answer is ‘no’ the harm wouldn’t have occurred without the actions of the defendant then they are then held liable for the damages. </w:t>
      </w:r>
    </w:p>
    <w:p w14:paraId="0C18721A" w14:textId="77777777" w:rsidR="00E0463F" w:rsidRDefault="00E0463F" w:rsidP="00FD6CDC">
      <w:pPr>
        <w:rPr>
          <w:rFonts w:asciiTheme="minorHAnsi" w:hAnsiTheme="minorHAnsi" w:cstheme="minorHAnsi"/>
          <w:sz w:val="24"/>
          <w:szCs w:val="24"/>
        </w:rPr>
      </w:pPr>
    </w:p>
    <w:p w14:paraId="6AB1D8D4" w14:textId="3DEC4DEE" w:rsidR="00BE0C90" w:rsidRDefault="00BE0C90" w:rsidP="00FD6CDC">
      <w:pPr>
        <w:rPr>
          <w:rFonts w:asciiTheme="minorHAnsi" w:hAnsiTheme="minorHAnsi" w:cstheme="minorHAnsi"/>
          <w:sz w:val="24"/>
          <w:szCs w:val="24"/>
        </w:rPr>
      </w:pPr>
      <w:r>
        <w:rPr>
          <w:rFonts w:asciiTheme="minorHAnsi" w:hAnsiTheme="minorHAnsi" w:cstheme="minorHAnsi"/>
          <w:sz w:val="24"/>
          <w:szCs w:val="24"/>
        </w:rPr>
        <w:t xml:space="preserve">Novus Actus Interveniens </w:t>
      </w:r>
      <w:r w:rsidR="008575FC">
        <w:rPr>
          <w:rFonts w:asciiTheme="minorHAnsi" w:hAnsiTheme="minorHAnsi" w:cstheme="minorHAnsi"/>
          <w:sz w:val="24"/>
          <w:szCs w:val="24"/>
        </w:rPr>
        <w:t xml:space="preserve">which </w:t>
      </w:r>
      <w:r w:rsidR="00B46B75">
        <w:rPr>
          <w:rFonts w:asciiTheme="minorHAnsi" w:hAnsiTheme="minorHAnsi" w:cstheme="minorHAnsi"/>
          <w:sz w:val="24"/>
          <w:szCs w:val="24"/>
        </w:rPr>
        <w:t xml:space="preserve">states that where there is a new intervening act that the chain of causation can be broken thus removing liability of the defendant. The legal test used to establish liability will depend on whether or not the act was that of a third party or the claimant themselves. If the act </w:t>
      </w:r>
      <w:r w:rsidR="00B565A9">
        <w:rPr>
          <w:rFonts w:asciiTheme="minorHAnsi" w:hAnsiTheme="minorHAnsi" w:cstheme="minorHAnsi"/>
          <w:sz w:val="24"/>
          <w:szCs w:val="24"/>
        </w:rPr>
        <w:t>consists</w:t>
      </w:r>
      <w:r w:rsidR="00B46B75">
        <w:rPr>
          <w:rFonts w:asciiTheme="minorHAnsi" w:hAnsiTheme="minorHAnsi" w:cstheme="minorHAnsi"/>
          <w:sz w:val="24"/>
          <w:szCs w:val="24"/>
        </w:rPr>
        <w:t xml:space="preserve"> of a </w:t>
      </w:r>
      <w:r w:rsidR="005F060B">
        <w:rPr>
          <w:rFonts w:asciiTheme="minorHAnsi" w:hAnsiTheme="minorHAnsi" w:cstheme="minorHAnsi"/>
          <w:sz w:val="24"/>
          <w:szCs w:val="24"/>
        </w:rPr>
        <w:t>third-party</w:t>
      </w:r>
      <w:r w:rsidR="00B46B75">
        <w:rPr>
          <w:rFonts w:asciiTheme="minorHAnsi" w:hAnsiTheme="minorHAnsi" w:cstheme="minorHAnsi"/>
          <w:sz w:val="24"/>
          <w:szCs w:val="24"/>
        </w:rPr>
        <w:t xml:space="preserve"> involvement the test used is to determine whether or not the act had been foreseeable, if the risks of the act of the third party had been foreseeable then the defendant will be held </w:t>
      </w:r>
      <w:r w:rsidR="003A596D">
        <w:rPr>
          <w:rFonts w:asciiTheme="minorHAnsi" w:hAnsiTheme="minorHAnsi" w:cstheme="minorHAnsi"/>
          <w:sz w:val="24"/>
          <w:szCs w:val="24"/>
        </w:rPr>
        <w:t>liable,</w:t>
      </w:r>
      <w:r w:rsidR="00B46B75">
        <w:rPr>
          <w:rFonts w:asciiTheme="minorHAnsi" w:hAnsiTheme="minorHAnsi" w:cstheme="minorHAnsi"/>
          <w:sz w:val="24"/>
          <w:szCs w:val="24"/>
        </w:rPr>
        <w:t xml:space="preserve"> and the chain of causation remains. If the risks of the act had not been foreseeable then the chain of causation is broken, the defendant is not held liable for any harm caused.</w:t>
      </w:r>
      <w:r w:rsidR="005F060B">
        <w:rPr>
          <w:rFonts w:asciiTheme="minorHAnsi" w:hAnsiTheme="minorHAnsi" w:cstheme="minorHAnsi"/>
          <w:sz w:val="24"/>
          <w:szCs w:val="24"/>
        </w:rPr>
        <w:t xml:space="preserve"> </w:t>
      </w:r>
      <w:r w:rsidR="008A7A11">
        <w:rPr>
          <w:rFonts w:asciiTheme="minorHAnsi" w:hAnsiTheme="minorHAnsi" w:cstheme="minorHAnsi"/>
          <w:sz w:val="24"/>
          <w:szCs w:val="24"/>
        </w:rPr>
        <w:t xml:space="preserve">The case of Knightley v Johns 1982 shows that although one act had been foreseeable the second act had not been, </w:t>
      </w:r>
      <w:r w:rsidR="003A596D">
        <w:rPr>
          <w:rFonts w:asciiTheme="minorHAnsi" w:hAnsiTheme="minorHAnsi" w:cstheme="minorHAnsi"/>
          <w:sz w:val="24"/>
          <w:szCs w:val="24"/>
        </w:rPr>
        <w:t xml:space="preserve">had the police officer not given </w:t>
      </w:r>
      <w:r w:rsidR="00A30A81">
        <w:rPr>
          <w:rFonts w:asciiTheme="minorHAnsi" w:hAnsiTheme="minorHAnsi" w:cstheme="minorHAnsi"/>
          <w:sz w:val="24"/>
          <w:szCs w:val="24"/>
        </w:rPr>
        <w:t xml:space="preserve">instructions to travel down a one-way street </w:t>
      </w:r>
      <w:r w:rsidR="00F510A0">
        <w:rPr>
          <w:rFonts w:asciiTheme="minorHAnsi" w:hAnsiTheme="minorHAnsi" w:cstheme="minorHAnsi"/>
          <w:sz w:val="24"/>
          <w:szCs w:val="24"/>
        </w:rPr>
        <w:t xml:space="preserve">then the chain of causation would not have been broken meaning Mr Johns </w:t>
      </w:r>
      <w:r w:rsidR="00A571FF">
        <w:rPr>
          <w:rFonts w:asciiTheme="minorHAnsi" w:hAnsiTheme="minorHAnsi" w:cstheme="minorHAnsi"/>
          <w:sz w:val="24"/>
          <w:szCs w:val="24"/>
        </w:rPr>
        <w:t xml:space="preserve">would have been held liable </w:t>
      </w:r>
      <w:r w:rsidR="00F81555">
        <w:rPr>
          <w:rFonts w:asciiTheme="minorHAnsi" w:hAnsiTheme="minorHAnsi" w:cstheme="minorHAnsi"/>
          <w:sz w:val="24"/>
          <w:szCs w:val="24"/>
        </w:rPr>
        <w:t xml:space="preserve">for the injuries the officer had sustained. </w:t>
      </w:r>
    </w:p>
    <w:p w14:paraId="65BF34D6" w14:textId="77777777" w:rsidR="00E0463F" w:rsidRDefault="00E0463F" w:rsidP="00FD6CDC">
      <w:pPr>
        <w:rPr>
          <w:rFonts w:asciiTheme="minorHAnsi" w:hAnsiTheme="minorHAnsi" w:cstheme="minorHAnsi"/>
          <w:sz w:val="24"/>
          <w:szCs w:val="24"/>
        </w:rPr>
      </w:pPr>
    </w:p>
    <w:p w14:paraId="7F5AE7F6" w14:textId="4EF98206" w:rsidR="00F86B8D" w:rsidRDefault="00DA0C1A" w:rsidP="00FD6CDC">
      <w:pPr>
        <w:rPr>
          <w:rFonts w:asciiTheme="minorHAnsi" w:hAnsiTheme="minorHAnsi" w:cstheme="minorHAnsi"/>
          <w:sz w:val="24"/>
          <w:szCs w:val="24"/>
        </w:rPr>
      </w:pPr>
      <w:r>
        <w:rPr>
          <w:rFonts w:asciiTheme="minorHAnsi" w:hAnsiTheme="minorHAnsi" w:cstheme="minorHAnsi"/>
          <w:sz w:val="24"/>
          <w:szCs w:val="24"/>
        </w:rPr>
        <w:t xml:space="preserve">Due to the vicarious liability clause Elijah is able to make a claim against the hospital, </w:t>
      </w:r>
      <w:r w:rsidR="007F1D0A">
        <w:rPr>
          <w:rFonts w:asciiTheme="minorHAnsi" w:hAnsiTheme="minorHAnsi" w:cstheme="minorHAnsi"/>
          <w:sz w:val="24"/>
          <w:szCs w:val="24"/>
        </w:rPr>
        <w:t>a</w:t>
      </w:r>
      <w:r>
        <w:rPr>
          <w:rFonts w:asciiTheme="minorHAnsi" w:hAnsiTheme="minorHAnsi" w:cstheme="minorHAnsi"/>
          <w:sz w:val="24"/>
          <w:szCs w:val="24"/>
        </w:rPr>
        <w:t xml:space="preserve">fter being sent home by a nurse or doctor stating that the injury ‘is probably nothing’ left Elijah open to infections. Upon returning to the </w:t>
      </w:r>
      <w:r w:rsidR="007F1D0A">
        <w:rPr>
          <w:rFonts w:asciiTheme="minorHAnsi" w:hAnsiTheme="minorHAnsi" w:cstheme="minorHAnsi"/>
          <w:sz w:val="24"/>
          <w:szCs w:val="24"/>
        </w:rPr>
        <w:t>hospital,</w:t>
      </w:r>
      <w:r>
        <w:rPr>
          <w:rFonts w:asciiTheme="minorHAnsi" w:hAnsiTheme="minorHAnsi" w:cstheme="minorHAnsi"/>
          <w:sz w:val="24"/>
          <w:szCs w:val="24"/>
        </w:rPr>
        <w:t xml:space="preserve"> </w:t>
      </w:r>
      <w:r w:rsidR="007F1D0A">
        <w:rPr>
          <w:rFonts w:asciiTheme="minorHAnsi" w:hAnsiTheme="minorHAnsi" w:cstheme="minorHAnsi"/>
          <w:sz w:val="24"/>
          <w:szCs w:val="24"/>
        </w:rPr>
        <w:t>it was discovered that Elijah’s wound had in fact contracted an infection and became a serious medical problem that required surgery, had Elijah been treated correctly when he first arrived at the hospital</w:t>
      </w:r>
      <w:r w:rsidR="00E0463F">
        <w:rPr>
          <w:rFonts w:asciiTheme="minorHAnsi" w:hAnsiTheme="minorHAnsi" w:cstheme="minorHAnsi"/>
          <w:sz w:val="24"/>
          <w:szCs w:val="24"/>
        </w:rPr>
        <w:t xml:space="preserve"> </w:t>
      </w:r>
      <w:r w:rsidR="007F1D0A">
        <w:rPr>
          <w:rFonts w:asciiTheme="minorHAnsi" w:hAnsiTheme="minorHAnsi" w:cstheme="minorHAnsi"/>
          <w:sz w:val="24"/>
          <w:szCs w:val="24"/>
        </w:rPr>
        <w:t xml:space="preserve">the situation could have been avoided. </w:t>
      </w:r>
      <w:r w:rsidR="00F86B8D">
        <w:rPr>
          <w:rFonts w:asciiTheme="minorHAnsi" w:hAnsiTheme="minorHAnsi" w:cstheme="minorHAnsi"/>
          <w:sz w:val="24"/>
          <w:szCs w:val="24"/>
        </w:rPr>
        <w:t xml:space="preserve">Referring back to the case of Knightley v Johns 1982 the hospital </w:t>
      </w:r>
      <w:r w:rsidR="00CC7B32">
        <w:rPr>
          <w:rFonts w:asciiTheme="minorHAnsi" w:hAnsiTheme="minorHAnsi" w:cstheme="minorHAnsi"/>
          <w:sz w:val="24"/>
          <w:szCs w:val="24"/>
        </w:rPr>
        <w:t xml:space="preserve">can use the defence </w:t>
      </w:r>
      <w:r w:rsidR="00C545DE">
        <w:rPr>
          <w:rFonts w:asciiTheme="minorHAnsi" w:hAnsiTheme="minorHAnsi" w:cstheme="minorHAnsi"/>
          <w:sz w:val="24"/>
          <w:szCs w:val="24"/>
        </w:rPr>
        <w:t>of Novus Actus Inter</w:t>
      </w:r>
      <w:r w:rsidR="00442407">
        <w:rPr>
          <w:rFonts w:asciiTheme="minorHAnsi" w:hAnsiTheme="minorHAnsi" w:cstheme="minorHAnsi"/>
          <w:sz w:val="24"/>
          <w:szCs w:val="24"/>
        </w:rPr>
        <w:t>veniens</w:t>
      </w:r>
      <w:r w:rsidR="00C545DE">
        <w:rPr>
          <w:rFonts w:asciiTheme="minorHAnsi" w:hAnsiTheme="minorHAnsi" w:cstheme="minorHAnsi"/>
          <w:sz w:val="24"/>
          <w:szCs w:val="24"/>
        </w:rPr>
        <w:t xml:space="preserve"> </w:t>
      </w:r>
      <w:r w:rsidR="00AC46A8">
        <w:rPr>
          <w:rFonts w:asciiTheme="minorHAnsi" w:hAnsiTheme="minorHAnsi" w:cstheme="minorHAnsi"/>
          <w:sz w:val="24"/>
          <w:szCs w:val="24"/>
        </w:rPr>
        <w:t xml:space="preserve">to determine whether or not the act of the hospital had caused </w:t>
      </w:r>
      <w:r w:rsidR="00172166">
        <w:rPr>
          <w:rFonts w:asciiTheme="minorHAnsi" w:hAnsiTheme="minorHAnsi" w:cstheme="minorHAnsi"/>
          <w:sz w:val="24"/>
          <w:szCs w:val="24"/>
        </w:rPr>
        <w:t>the harm to Elijah</w:t>
      </w:r>
      <w:r w:rsidR="00256BE6">
        <w:rPr>
          <w:rFonts w:asciiTheme="minorHAnsi" w:hAnsiTheme="minorHAnsi" w:cstheme="minorHAnsi"/>
          <w:sz w:val="24"/>
          <w:szCs w:val="24"/>
        </w:rPr>
        <w:t>,</w:t>
      </w:r>
      <w:r w:rsidR="00EE5F86">
        <w:rPr>
          <w:rFonts w:asciiTheme="minorHAnsi" w:hAnsiTheme="minorHAnsi" w:cstheme="minorHAnsi"/>
          <w:sz w:val="24"/>
          <w:szCs w:val="24"/>
        </w:rPr>
        <w:t xml:space="preserve"> or whether the chain of causation can be broken due to the injury Elijah had caused to himself </w:t>
      </w:r>
      <w:r w:rsidR="0044489E">
        <w:rPr>
          <w:rFonts w:asciiTheme="minorHAnsi" w:hAnsiTheme="minorHAnsi" w:cstheme="minorHAnsi"/>
          <w:sz w:val="24"/>
          <w:szCs w:val="24"/>
        </w:rPr>
        <w:t xml:space="preserve">by </w:t>
      </w:r>
      <w:r w:rsidR="001219A9">
        <w:rPr>
          <w:rFonts w:asciiTheme="minorHAnsi" w:hAnsiTheme="minorHAnsi" w:cstheme="minorHAnsi"/>
          <w:sz w:val="24"/>
          <w:szCs w:val="24"/>
        </w:rPr>
        <w:t xml:space="preserve">failing to comply with </w:t>
      </w:r>
      <w:r w:rsidR="00DF3873">
        <w:rPr>
          <w:rFonts w:asciiTheme="minorHAnsi" w:hAnsiTheme="minorHAnsi" w:cstheme="minorHAnsi"/>
          <w:sz w:val="24"/>
          <w:szCs w:val="24"/>
        </w:rPr>
        <w:t xml:space="preserve">health and safety </w:t>
      </w:r>
      <w:r w:rsidR="00C27289">
        <w:rPr>
          <w:rFonts w:asciiTheme="minorHAnsi" w:hAnsiTheme="minorHAnsi" w:cstheme="minorHAnsi"/>
          <w:sz w:val="24"/>
          <w:szCs w:val="24"/>
        </w:rPr>
        <w:t xml:space="preserve">regulations set within his workplace. </w:t>
      </w:r>
    </w:p>
    <w:p w14:paraId="253F9E77" w14:textId="77777777" w:rsidR="005374C5" w:rsidRDefault="005374C5" w:rsidP="00FD6CDC">
      <w:pPr>
        <w:rPr>
          <w:rFonts w:asciiTheme="minorHAnsi" w:hAnsiTheme="minorHAnsi" w:cstheme="minorHAnsi"/>
          <w:sz w:val="24"/>
          <w:szCs w:val="24"/>
        </w:rPr>
      </w:pPr>
    </w:p>
    <w:p w14:paraId="28EA6E88" w14:textId="3402F01F" w:rsidR="00984E10" w:rsidRDefault="00984E10" w:rsidP="00FD6CDC">
      <w:pPr>
        <w:rPr>
          <w:rFonts w:asciiTheme="minorHAnsi" w:hAnsiTheme="minorHAnsi" w:cstheme="minorHAnsi"/>
          <w:sz w:val="24"/>
          <w:szCs w:val="24"/>
        </w:rPr>
      </w:pPr>
      <w:r>
        <w:rPr>
          <w:rFonts w:asciiTheme="minorHAnsi" w:hAnsiTheme="minorHAnsi" w:cstheme="minorHAnsi"/>
          <w:sz w:val="24"/>
          <w:szCs w:val="24"/>
        </w:rPr>
        <w:t xml:space="preserve"> </w:t>
      </w:r>
    </w:p>
    <w:p w14:paraId="12C77433" w14:textId="77777777" w:rsidR="002F6F3A" w:rsidRDefault="002F6F3A" w:rsidP="00FD6CDC">
      <w:pPr>
        <w:rPr>
          <w:rFonts w:asciiTheme="minorHAnsi" w:hAnsiTheme="minorHAnsi" w:cstheme="minorHAnsi"/>
          <w:sz w:val="24"/>
          <w:szCs w:val="24"/>
        </w:rPr>
      </w:pPr>
    </w:p>
    <w:p w14:paraId="003815A1" w14:textId="77777777" w:rsidR="002F6F3A" w:rsidRDefault="002F6F3A" w:rsidP="00FD6CDC">
      <w:pPr>
        <w:rPr>
          <w:rFonts w:asciiTheme="minorHAnsi" w:hAnsiTheme="minorHAnsi" w:cstheme="minorHAnsi"/>
          <w:sz w:val="24"/>
          <w:szCs w:val="24"/>
        </w:rPr>
      </w:pPr>
    </w:p>
    <w:p w14:paraId="2B1DD40C" w14:textId="77777777" w:rsidR="002F6F3A" w:rsidRDefault="002F6F3A" w:rsidP="00FD6CDC">
      <w:pPr>
        <w:rPr>
          <w:rFonts w:asciiTheme="minorHAnsi" w:hAnsiTheme="minorHAnsi" w:cstheme="minorHAnsi"/>
          <w:sz w:val="24"/>
          <w:szCs w:val="24"/>
        </w:rPr>
      </w:pPr>
    </w:p>
    <w:p w14:paraId="250E66D9" w14:textId="77777777" w:rsidR="002F6F3A" w:rsidRDefault="002F6F3A" w:rsidP="00FD6CDC">
      <w:pPr>
        <w:rPr>
          <w:rFonts w:asciiTheme="minorHAnsi" w:hAnsiTheme="minorHAnsi" w:cstheme="minorHAnsi"/>
          <w:sz w:val="24"/>
          <w:szCs w:val="24"/>
        </w:rPr>
      </w:pPr>
    </w:p>
    <w:p w14:paraId="086A38A8" w14:textId="77777777" w:rsidR="002F6F3A" w:rsidRDefault="002F6F3A" w:rsidP="00FD6CDC">
      <w:pPr>
        <w:rPr>
          <w:rFonts w:asciiTheme="minorHAnsi" w:hAnsiTheme="minorHAnsi" w:cstheme="minorHAnsi"/>
          <w:sz w:val="24"/>
          <w:szCs w:val="24"/>
        </w:rPr>
      </w:pPr>
    </w:p>
    <w:p w14:paraId="68D612D2" w14:textId="77777777" w:rsidR="002F6F3A" w:rsidRDefault="002F6F3A" w:rsidP="00FD6CDC">
      <w:pPr>
        <w:rPr>
          <w:rFonts w:asciiTheme="minorHAnsi" w:hAnsiTheme="minorHAnsi" w:cstheme="minorHAnsi"/>
          <w:sz w:val="24"/>
          <w:szCs w:val="24"/>
        </w:rPr>
      </w:pPr>
    </w:p>
    <w:p w14:paraId="58C3E381" w14:textId="77777777" w:rsidR="002F6F3A" w:rsidRDefault="002F6F3A" w:rsidP="00FD6CDC">
      <w:pPr>
        <w:rPr>
          <w:rFonts w:asciiTheme="minorHAnsi" w:hAnsiTheme="minorHAnsi" w:cstheme="minorHAnsi"/>
          <w:sz w:val="24"/>
          <w:szCs w:val="24"/>
        </w:rPr>
      </w:pPr>
    </w:p>
    <w:p w14:paraId="696FC34D" w14:textId="77777777" w:rsidR="002F6F3A" w:rsidRDefault="002F6F3A" w:rsidP="00FD6CDC">
      <w:pPr>
        <w:rPr>
          <w:rFonts w:asciiTheme="minorHAnsi" w:hAnsiTheme="minorHAnsi" w:cstheme="minorHAnsi"/>
          <w:sz w:val="24"/>
          <w:szCs w:val="24"/>
        </w:rPr>
      </w:pPr>
    </w:p>
    <w:p w14:paraId="603C4C80" w14:textId="77777777" w:rsidR="002F6F3A" w:rsidRDefault="002F6F3A" w:rsidP="00FD6CDC">
      <w:pPr>
        <w:rPr>
          <w:rFonts w:asciiTheme="minorHAnsi" w:hAnsiTheme="minorHAnsi" w:cstheme="minorHAnsi"/>
          <w:sz w:val="24"/>
          <w:szCs w:val="24"/>
        </w:rPr>
      </w:pPr>
    </w:p>
    <w:p w14:paraId="019C4A09" w14:textId="77777777" w:rsidR="002F6F3A" w:rsidRDefault="002F6F3A" w:rsidP="00FD6CDC">
      <w:pPr>
        <w:rPr>
          <w:rFonts w:asciiTheme="minorHAnsi" w:hAnsiTheme="minorHAnsi" w:cstheme="minorHAnsi"/>
          <w:sz w:val="24"/>
          <w:szCs w:val="24"/>
        </w:rPr>
      </w:pPr>
    </w:p>
    <w:p w14:paraId="61AEA3B2" w14:textId="77777777" w:rsidR="002F6F3A" w:rsidRDefault="002F6F3A" w:rsidP="00FD6CDC">
      <w:pPr>
        <w:rPr>
          <w:rFonts w:asciiTheme="minorHAnsi" w:hAnsiTheme="minorHAnsi" w:cstheme="minorHAnsi"/>
          <w:sz w:val="24"/>
          <w:szCs w:val="24"/>
        </w:rPr>
      </w:pPr>
    </w:p>
    <w:p w14:paraId="16AC0ED2" w14:textId="77777777" w:rsidR="002F6F3A" w:rsidRDefault="002F6F3A" w:rsidP="00FD6CDC">
      <w:pPr>
        <w:rPr>
          <w:rFonts w:asciiTheme="minorHAnsi" w:hAnsiTheme="minorHAnsi" w:cstheme="minorHAnsi"/>
          <w:sz w:val="24"/>
          <w:szCs w:val="24"/>
        </w:rPr>
      </w:pPr>
    </w:p>
    <w:p w14:paraId="4CEDFA6B" w14:textId="77777777" w:rsidR="002F6F3A" w:rsidRDefault="002F6F3A" w:rsidP="00FD6CDC">
      <w:pPr>
        <w:rPr>
          <w:rFonts w:asciiTheme="minorHAnsi" w:hAnsiTheme="minorHAnsi" w:cstheme="minorHAnsi"/>
          <w:sz w:val="24"/>
          <w:szCs w:val="24"/>
        </w:rPr>
      </w:pPr>
    </w:p>
    <w:p w14:paraId="5EF640C2" w14:textId="77777777" w:rsidR="002F6F3A" w:rsidRDefault="002F6F3A" w:rsidP="00FD6CDC">
      <w:pPr>
        <w:rPr>
          <w:rFonts w:asciiTheme="minorHAnsi" w:hAnsiTheme="minorHAnsi" w:cstheme="minorHAnsi"/>
          <w:sz w:val="24"/>
          <w:szCs w:val="24"/>
        </w:rPr>
      </w:pPr>
    </w:p>
    <w:p w14:paraId="520A6D88" w14:textId="77777777" w:rsidR="002F6F3A" w:rsidRDefault="002F6F3A" w:rsidP="00FD6CDC">
      <w:pPr>
        <w:rPr>
          <w:rFonts w:asciiTheme="minorHAnsi" w:hAnsiTheme="minorHAnsi" w:cstheme="minorHAnsi"/>
          <w:sz w:val="24"/>
          <w:szCs w:val="24"/>
        </w:rPr>
      </w:pPr>
    </w:p>
    <w:p w14:paraId="572588F1" w14:textId="77777777" w:rsidR="002F6F3A" w:rsidRDefault="002F6F3A" w:rsidP="00FD6CDC">
      <w:pPr>
        <w:rPr>
          <w:rFonts w:asciiTheme="minorHAnsi" w:hAnsiTheme="minorHAnsi" w:cstheme="minorHAnsi"/>
          <w:sz w:val="24"/>
          <w:szCs w:val="24"/>
        </w:rPr>
      </w:pPr>
    </w:p>
    <w:p w14:paraId="2247C160" w14:textId="77777777" w:rsidR="00520747" w:rsidRDefault="00520747" w:rsidP="002F6F3A">
      <w:pPr>
        <w:rPr>
          <w:rFonts w:ascii="Calibri" w:hAnsi="Calibri" w:cs="Calibri"/>
          <w:b/>
          <w:bCs/>
          <w:sz w:val="22"/>
          <w:szCs w:val="22"/>
          <w:u w:val="single"/>
          <w:lang w:val="en-US"/>
        </w:rPr>
      </w:pPr>
    </w:p>
    <w:p w14:paraId="60D71E04" w14:textId="77777777" w:rsidR="00520747" w:rsidRDefault="00520747" w:rsidP="002F6F3A">
      <w:pPr>
        <w:rPr>
          <w:rFonts w:ascii="Calibri" w:hAnsi="Calibri" w:cs="Calibri"/>
          <w:b/>
          <w:bCs/>
          <w:sz w:val="22"/>
          <w:szCs w:val="22"/>
          <w:u w:val="single"/>
          <w:lang w:val="en-US"/>
        </w:rPr>
      </w:pPr>
    </w:p>
    <w:p w14:paraId="0AE3AEB9" w14:textId="37A759BE" w:rsidR="00EA4D72" w:rsidRDefault="00EA4D72" w:rsidP="002F6F3A">
      <w:pPr>
        <w:rPr>
          <w:rFonts w:ascii="Calibri" w:hAnsi="Calibri" w:cs="Calibri"/>
          <w:b/>
          <w:bCs/>
          <w:sz w:val="22"/>
          <w:szCs w:val="22"/>
          <w:u w:val="single"/>
          <w:lang w:val="en-US"/>
        </w:rPr>
      </w:pPr>
      <w:r>
        <w:rPr>
          <w:rFonts w:ascii="Calibri" w:hAnsi="Calibri" w:cs="Calibri"/>
          <w:b/>
          <w:bCs/>
          <w:sz w:val="22"/>
          <w:szCs w:val="22"/>
          <w:u w:val="single"/>
          <w:lang w:val="en-US"/>
        </w:rPr>
        <w:lastRenderedPageBreak/>
        <w:t>References</w:t>
      </w:r>
    </w:p>
    <w:p w14:paraId="4047DDFA" w14:textId="77777777" w:rsidR="00EA4D72" w:rsidRPr="00EA4D72" w:rsidRDefault="00EA4D72" w:rsidP="002F6F3A">
      <w:pPr>
        <w:rPr>
          <w:rFonts w:ascii="Calibri" w:hAnsi="Calibri" w:cs="Calibri"/>
          <w:color w:val="333333"/>
          <w:sz w:val="22"/>
          <w:szCs w:val="22"/>
          <w:shd w:val="clear" w:color="auto" w:fill="FBFBFB"/>
        </w:rPr>
      </w:pPr>
    </w:p>
    <w:p w14:paraId="56E7BFC2" w14:textId="7E4A7E7E" w:rsidR="002F6F3A" w:rsidRPr="008B30E8" w:rsidRDefault="002F6F3A" w:rsidP="002F6F3A">
      <w:pPr>
        <w:rPr>
          <w:rFonts w:ascii="Calibri" w:hAnsi="Calibri" w:cs="Calibri"/>
          <w:color w:val="333333"/>
          <w:sz w:val="22"/>
          <w:szCs w:val="22"/>
          <w:shd w:val="clear" w:color="auto" w:fill="FBFBFB"/>
        </w:rPr>
      </w:pPr>
      <w:r w:rsidRPr="008B30E8">
        <w:rPr>
          <w:rFonts w:ascii="Calibri" w:hAnsi="Calibri" w:cs="Calibri"/>
          <w:color w:val="333333"/>
          <w:sz w:val="22"/>
          <w:szCs w:val="22"/>
          <w:shd w:val="clear" w:color="auto" w:fill="FBFBFB"/>
        </w:rPr>
        <w:t xml:space="preserve">ACAS (2023). </w:t>
      </w:r>
      <w:r w:rsidRPr="008B30E8">
        <w:rPr>
          <w:rFonts w:ascii="Calibri" w:hAnsi="Calibri" w:cs="Calibri"/>
          <w:i/>
          <w:iCs/>
          <w:color w:val="333333"/>
          <w:sz w:val="22"/>
          <w:szCs w:val="22"/>
          <w:shd w:val="clear" w:color="auto" w:fill="FBFBFB"/>
        </w:rPr>
        <w:t xml:space="preserve">Employer and employee duties – Employment contracts and the law. </w:t>
      </w:r>
      <w:r w:rsidRPr="008B30E8">
        <w:rPr>
          <w:rFonts w:ascii="Calibri" w:hAnsi="Calibri" w:cs="Calibri"/>
          <w:color w:val="333333"/>
          <w:sz w:val="22"/>
          <w:szCs w:val="22"/>
          <w:shd w:val="clear" w:color="auto" w:fill="FBFBFB"/>
        </w:rPr>
        <w:t xml:space="preserve">Available at: </w:t>
      </w:r>
      <w:hyperlink r:id="rId7" w:anchor=":~:text=Employers%20and%20employees%20have%20certain%20duties%20that%20are,duty%20of%20trust%20and%20confidence%20duty%20of%20fidelity" w:history="1">
        <w:r w:rsidRPr="008B30E8">
          <w:rPr>
            <w:rStyle w:val="Hyperlink"/>
            <w:rFonts w:ascii="Calibri" w:hAnsi="Calibri" w:cs="Calibri"/>
            <w:sz w:val="22"/>
            <w:szCs w:val="22"/>
          </w:rPr>
          <w:t>Employer and employee duties - Employment contracts and the law - Acas</w:t>
        </w:r>
      </w:hyperlink>
      <w:r w:rsidRPr="008B30E8">
        <w:rPr>
          <w:rStyle w:val="Hyperlink"/>
          <w:rFonts w:ascii="Calibri" w:hAnsi="Calibri" w:cs="Calibri"/>
          <w:sz w:val="22"/>
          <w:szCs w:val="22"/>
        </w:rPr>
        <w:t xml:space="preserve">. </w:t>
      </w:r>
      <w:r w:rsidRPr="008B30E8">
        <w:rPr>
          <w:rFonts w:ascii="Calibri" w:hAnsi="Calibri" w:cs="Calibri"/>
          <w:color w:val="333333"/>
          <w:sz w:val="22"/>
          <w:szCs w:val="22"/>
          <w:shd w:val="clear" w:color="auto" w:fill="FBFBFB"/>
        </w:rPr>
        <w:t>(Accessed 01/01/2024)</w:t>
      </w:r>
    </w:p>
    <w:p w14:paraId="13B46918" w14:textId="77777777" w:rsidR="002F6F3A" w:rsidRDefault="002F6F3A" w:rsidP="002F6F3A">
      <w:pPr>
        <w:rPr>
          <w:rFonts w:ascii="Calibri" w:hAnsi="Calibri" w:cs="Calibri"/>
          <w:color w:val="333333"/>
          <w:sz w:val="22"/>
          <w:szCs w:val="22"/>
          <w:shd w:val="clear" w:color="auto" w:fill="FBFBFB"/>
        </w:rPr>
      </w:pPr>
      <w:r w:rsidRPr="008B30E8">
        <w:rPr>
          <w:rFonts w:ascii="Calibri" w:hAnsi="Calibri" w:cs="Calibri"/>
          <w:color w:val="333333"/>
          <w:sz w:val="22"/>
          <w:szCs w:val="22"/>
          <w:shd w:val="clear" w:color="auto" w:fill="FBFBFB"/>
        </w:rPr>
        <w:t xml:space="preserve">Deaking, S, et al (2019) </w:t>
      </w:r>
      <w:r w:rsidRPr="008B30E8">
        <w:rPr>
          <w:rFonts w:ascii="Calibri" w:hAnsi="Calibri" w:cs="Calibri"/>
          <w:i/>
          <w:iCs/>
          <w:color w:val="333333"/>
          <w:sz w:val="22"/>
          <w:szCs w:val="22"/>
          <w:shd w:val="clear" w:color="auto" w:fill="FBFBFB"/>
        </w:rPr>
        <w:t xml:space="preserve">Tort Law. </w:t>
      </w:r>
      <w:r w:rsidRPr="008B30E8">
        <w:rPr>
          <w:rFonts w:ascii="Calibri" w:hAnsi="Calibri" w:cs="Calibri"/>
          <w:color w:val="333333"/>
          <w:sz w:val="22"/>
          <w:szCs w:val="22"/>
          <w:shd w:val="clear" w:color="auto" w:fill="FBFBFB"/>
        </w:rPr>
        <w:t>Eighth Edition. Oxford. Oxford University Press. Page 528-529. (Accessed 01/01/24)</w:t>
      </w:r>
    </w:p>
    <w:p w14:paraId="0F422B7D" w14:textId="77777777" w:rsidR="00EA4D72" w:rsidRPr="008B30E8" w:rsidRDefault="00EA4D72" w:rsidP="002F6F3A">
      <w:pPr>
        <w:rPr>
          <w:rFonts w:ascii="Calibri" w:hAnsi="Calibri" w:cs="Calibri"/>
          <w:color w:val="333333"/>
          <w:sz w:val="22"/>
          <w:szCs w:val="22"/>
          <w:shd w:val="clear" w:color="auto" w:fill="FBFBFB"/>
        </w:rPr>
      </w:pPr>
    </w:p>
    <w:p w14:paraId="0B307B9D" w14:textId="77777777" w:rsidR="002F6F3A" w:rsidRPr="008B30E8" w:rsidRDefault="002F6F3A" w:rsidP="002F6F3A">
      <w:pPr>
        <w:rPr>
          <w:rFonts w:ascii="Calibri" w:hAnsi="Calibri" w:cs="Calibri"/>
          <w:color w:val="333333"/>
          <w:sz w:val="22"/>
          <w:szCs w:val="22"/>
          <w:shd w:val="clear" w:color="auto" w:fill="FBFBFB"/>
        </w:rPr>
      </w:pPr>
      <w:r w:rsidRPr="008B30E8">
        <w:rPr>
          <w:rFonts w:ascii="Calibri" w:hAnsi="Calibri" w:cs="Calibri"/>
          <w:i/>
          <w:iCs/>
          <w:color w:val="333333"/>
          <w:sz w:val="22"/>
          <w:szCs w:val="22"/>
          <w:shd w:val="clear" w:color="auto" w:fill="FBFBFB"/>
        </w:rPr>
        <w:t xml:space="preserve">Do Employers have a Duty of Care to Employees. </w:t>
      </w:r>
      <w:r w:rsidRPr="008B30E8">
        <w:rPr>
          <w:rFonts w:ascii="Calibri" w:hAnsi="Calibri" w:cs="Calibri"/>
          <w:color w:val="333333"/>
          <w:sz w:val="22"/>
          <w:szCs w:val="22"/>
          <w:shd w:val="clear" w:color="auto" w:fill="FBFBFB"/>
        </w:rPr>
        <w:t xml:space="preserve">(2022). Available at: </w:t>
      </w:r>
      <w:hyperlink r:id="rId8" w:history="1">
        <w:r w:rsidRPr="008B30E8">
          <w:rPr>
            <w:rStyle w:val="Hyperlink"/>
            <w:rFonts w:ascii="Calibri" w:hAnsi="Calibri" w:cs="Calibri"/>
            <w:sz w:val="22"/>
            <w:szCs w:val="22"/>
          </w:rPr>
          <w:t>Do Employers Have a Duty of Care to Employees? | Peoplesafe</w:t>
        </w:r>
      </w:hyperlink>
      <w:r w:rsidRPr="008B30E8">
        <w:rPr>
          <w:rStyle w:val="Hyperlink"/>
          <w:rFonts w:ascii="Calibri" w:hAnsi="Calibri" w:cs="Calibri"/>
          <w:sz w:val="22"/>
          <w:szCs w:val="22"/>
        </w:rPr>
        <w:t xml:space="preserve"> </w:t>
      </w:r>
      <w:r w:rsidRPr="008B30E8">
        <w:rPr>
          <w:rFonts w:ascii="Calibri" w:hAnsi="Calibri" w:cs="Calibri"/>
          <w:color w:val="333333"/>
          <w:sz w:val="22"/>
          <w:szCs w:val="22"/>
          <w:shd w:val="clear" w:color="auto" w:fill="FBFBFB"/>
        </w:rPr>
        <w:t>(Accessed 01/01/2024)</w:t>
      </w:r>
    </w:p>
    <w:p w14:paraId="0BE814E3" w14:textId="77777777" w:rsidR="00EA4D72" w:rsidRDefault="00EA4D72" w:rsidP="002F6F3A">
      <w:pPr>
        <w:rPr>
          <w:rFonts w:ascii="Calibri" w:hAnsi="Calibri" w:cs="Calibri"/>
          <w:color w:val="333333"/>
          <w:sz w:val="22"/>
          <w:szCs w:val="22"/>
          <w:shd w:val="clear" w:color="auto" w:fill="FBFBFB"/>
        </w:rPr>
      </w:pPr>
    </w:p>
    <w:p w14:paraId="5E02EADC" w14:textId="788B1D18" w:rsidR="002F6F3A" w:rsidRPr="008B30E8" w:rsidRDefault="002F6F3A" w:rsidP="002F6F3A">
      <w:pPr>
        <w:rPr>
          <w:rFonts w:ascii="Calibri" w:hAnsi="Calibri" w:cs="Calibri"/>
          <w:color w:val="333333"/>
          <w:sz w:val="22"/>
          <w:szCs w:val="22"/>
          <w:shd w:val="clear" w:color="auto" w:fill="FBFBFB"/>
        </w:rPr>
      </w:pPr>
      <w:r w:rsidRPr="008B30E8">
        <w:rPr>
          <w:rFonts w:ascii="Calibri" w:hAnsi="Calibri" w:cs="Calibri"/>
          <w:color w:val="333333"/>
          <w:sz w:val="22"/>
          <w:szCs w:val="22"/>
          <w:shd w:val="clear" w:color="auto" w:fill="FBFBFB"/>
        </w:rPr>
        <w:t xml:space="preserve">Forbes Advisor (2022). </w:t>
      </w:r>
      <w:r w:rsidRPr="008B30E8">
        <w:rPr>
          <w:rFonts w:ascii="Calibri" w:hAnsi="Calibri" w:cs="Calibri"/>
          <w:i/>
          <w:iCs/>
          <w:color w:val="333333"/>
          <w:sz w:val="22"/>
          <w:szCs w:val="22"/>
          <w:shd w:val="clear" w:color="auto" w:fill="FBFBFB"/>
        </w:rPr>
        <w:t xml:space="preserve">What is Vicarious Liability? Definition &amp; Examples. </w:t>
      </w:r>
      <w:r w:rsidRPr="008B30E8">
        <w:rPr>
          <w:rFonts w:ascii="Calibri" w:hAnsi="Calibri" w:cs="Calibri"/>
          <w:color w:val="333333"/>
          <w:sz w:val="22"/>
          <w:szCs w:val="22"/>
          <w:shd w:val="clear" w:color="auto" w:fill="FBFBFB"/>
        </w:rPr>
        <w:t xml:space="preserve">Available at: </w:t>
      </w:r>
      <w:hyperlink r:id="rId9" w:anchor=":~:text=Vicarious%20liability%2C%20or%20imputed%20liability%2C%20is%20a%20legal,control%20of%20people%20who%20cause%20harm%20to%20victims." w:history="1">
        <w:r w:rsidRPr="008B30E8">
          <w:rPr>
            <w:rStyle w:val="Hyperlink"/>
            <w:rFonts w:ascii="Calibri" w:hAnsi="Calibri" w:cs="Calibri"/>
            <w:sz w:val="22"/>
            <w:szCs w:val="22"/>
          </w:rPr>
          <w:t>What Is Vicarious Liability? Definition &amp; Examples – Forbes Advisor</w:t>
        </w:r>
      </w:hyperlink>
      <w:r w:rsidRPr="008B30E8">
        <w:rPr>
          <w:rFonts w:ascii="Calibri" w:hAnsi="Calibri" w:cs="Calibri"/>
          <w:sz w:val="22"/>
          <w:szCs w:val="22"/>
        </w:rPr>
        <w:t xml:space="preserve">. </w:t>
      </w:r>
      <w:r w:rsidRPr="008B30E8">
        <w:rPr>
          <w:rFonts w:ascii="Calibri" w:hAnsi="Calibri" w:cs="Calibri"/>
          <w:color w:val="333333"/>
          <w:sz w:val="22"/>
          <w:szCs w:val="22"/>
          <w:shd w:val="clear" w:color="auto" w:fill="FBFBFB"/>
        </w:rPr>
        <w:t>(Accessed 01/01/2024)</w:t>
      </w:r>
    </w:p>
    <w:p w14:paraId="075D5212" w14:textId="77777777" w:rsidR="00EA4D72" w:rsidRDefault="00EA4D72" w:rsidP="002F6F3A">
      <w:pPr>
        <w:rPr>
          <w:rFonts w:ascii="Calibri" w:hAnsi="Calibri" w:cs="Calibri"/>
          <w:color w:val="333333"/>
          <w:sz w:val="22"/>
          <w:szCs w:val="22"/>
          <w:shd w:val="clear" w:color="auto" w:fill="FBFBFB"/>
        </w:rPr>
      </w:pPr>
    </w:p>
    <w:p w14:paraId="30F8D5EF" w14:textId="617602FB" w:rsidR="002F6F3A" w:rsidRPr="008B30E8" w:rsidRDefault="002F6F3A" w:rsidP="002F6F3A">
      <w:pPr>
        <w:rPr>
          <w:rFonts w:ascii="Calibri" w:hAnsi="Calibri" w:cs="Calibri"/>
          <w:color w:val="333333"/>
          <w:sz w:val="22"/>
          <w:szCs w:val="22"/>
          <w:shd w:val="clear" w:color="auto" w:fill="FBFBFB"/>
        </w:rPr>
      </w:pPr>
      <w:r w:rsidRPr="008B30E8">
        <w:rPr>
          <w:rFonts w:ascii="Calibri" w:hAnsi="Calibri" w:cs="Calibri"/>
          <w:color w:val="333333"/>
          <w:sz w:val="22"/>
          <w:szCs w:val="22"/>
          <w:shd w:val="clear" w:color="auto" w:fill="FBFBFB"/>
        </w:rPr>
        <w:t xml:space="preserve">Free Dictionary (2024). </w:t>
      </w:r>
      <w:r w:rsidRPr="008B30E8">
        <w:rPr>
          <w:rFonts w:ascii="Calibri" w:hAnsi="Calibri" w:cs="Calibri"/>
          <w:i/>
          <w:iCs/>
          <w:color w:val="333333"/>
          <w:sz w:val="22"/>
          <w:szCs w:val="22"/>
          <w:shd w:val="clear" w:color="auto" w:fill="FBFBFB"/>
        </w:rPr>
        <w:t xml:space="preserve">Vicarious Liability Legal Definition. </w:t>
      </w:r>
      <w:r w:rsidRPr="008B30E8">
        <w:rPr>
          <w:rFonts w:ascii="Calibri" w:hAnsi="Calibri" w:cs="Calibri"/>
          <w:color w:val="333333"/>
          <w:sz w:val="22"/>
          <w:szCs w:val="22"/>
          <w:shd w:val="clear" w:color="auto" w:fill="FBFBFB"/>
        </w:rPr>
        <w:t xml:space="preserve">Available at: </w:t>
      </w:r>
      <w:hyperlink r:id="rId10" w:history="1">
        <w:r w:rsidRPr="008B30E8">
          <w:rPr>
            <w:rStyle w:val="Hyperlink"/>
            <w:rFonts w:ascii="Calibri" w:hAnsi="Calibri" w:cs="Calibri"/>
            <w:sz w:val="22"/>
            <w:szCs w:val="22"/>
          </w:rPr>
          <w:t>Vicarious liability legal definition of vicarious liability (thefreedictionary.com)</w:t>
        </w:r>
      </w:hyperlink>
      <w:r w:rsidRPr="008B30E8">
        <w:rPr>
          <w:rStyle w:val="Hyperlink"/>
          <w:rFonts w:ascii="Calibri" w:hAnsi="Calibri" w:cs="Calibri"/>
          <w:sz w:val="22"/>
          <w:szCs w:val="22"/>
        </w:rPr>
        <w:t xml:space="preserve">. </w:t>
      </w:r>
      <w:r w:rsidRPr="008B30E8">
        <w:rPr>
          <w:rFonts w:ascii="Calibri" w:hAnsi="Calibri" w:cs="Calibri"/>
          <w:color w:val="333333"/>
          <w:sz w:val="22"/>
          <w:szCs w:val="22"/>
          <w:shd w:val="clear" w:color="auto" w:fill="FBFBFB"/>
        </w:rPr>
        <w:t>(Accessed 01/01/2024)</w:t>
      </w:r>
    </w:p>
    <w:p w14:paraId="13F7E25F" w14:textId="77777777" w:rsidR="00EA4D72" w:rsidRDefault="00EA4D72" w:rsidP="002F6F3A">
      <w:pPr>
        <w:rPr>
          <w:rFonts w:ascii="Calibri" w:hAnsi="Calibri" w:cs="Calibri"/>
          <w:color w:val="333333"/>
          <w:sz w:val="22"/>
          <w:szCs w:val="22"/>
          <w:shd w:val="clear" w:color="auto" w:fill="FBFBFB"/>
        </w:rPr>
      </w:pPr>
    </w:p>
    <w:p w14:paraId="55340DC3" w14:textId="22222BD2" w:rsidR="002F6F3A" w:rsidRPr="008B30E8" w:rsidRDefault="002F6F3A" w:rsidP="002F6F3A">
      <w:pPr>
        <w:rPr>
          <w:rFonts w:ascii="Calibri" w:hAnsi="Calibri" w:cs="Calibri"/>
          <w:color w:val="333333"/>
          <w:sz w:val="22"/>
          <w:szCs w:val="22"/>
          <w:shd w:val="clear" w:color="auto" w:fill="FBFBFB"/>
        </w:rPr>
      </w:pPr>
      <w:r w:rsidRPr="008B30E8">
        <w:rPr>
          <w:rFonts w:ascii="Calibri" w:hAnsi="Calibri" w:cs="Calibri"/>
          <w:color w:val="333333"/>
          <w:sz w:val="22"/>
          <w:szCs w:val="22"/>
          <w:shd w:val="clear" w:color="auto" w:fill="FBFBFB"/>
        </w:rPr>
        <w:t xml:space="preserve">Legislation (a). (2024) </w:t>
      </w:r>
      <w:r w:rsidRPr="008B30E8">
        <w:rPr>
          <w:rFonts w:ascii="Calibri" w:hAnsi="Calibri" w:cs="Calibri"/>
          <w:i/>
          <w:iCs/>
          <w:color w:val="333333"/>
          <w:sz w:val="22"/>
          <w:szCs w:val="22"/>
          <w:shd w:val="clear" w:color="auto" w:fill="FBFBFB"/>
        </w:rPr>
        <w:t xml:space="preserve">Health and Safety at Work Act 1974. </w:t>
      </w:r>
      <w:r w:rsidRPr="008B30E8">
        <w:rPr>
          <w:rFonts w:ascii="Calibri" w:hAnsi="Calibri" w:cs="Calibri"/>
          <w:color w:val="333333"/>
          <w:sz w:val="22"/>
          <w:szCs w:val="22"/>
          <w:shd w:val="clear" w:color="auto" w:fill="FBFBFB"/>
        </w:rPr>
        <w:t xml:space="preserve">Available at: </w:t>
      </w:r>
      <w:hyperlink r:id="rId11" w:history="1">
        <w:r w:rsidRPr="008B30E8">
          <w:rPr>
            <w:rStyle w:val="Hyperlink"/>
            <w:rFonts w:ascii="Calibri" w:hAnsi="Calibri" w:cs="Calibri"/>
            <w:sz w:val="22"/>
            <w:szCs w:val="22"/>
          </w:rPr>
          <w:t>Health and Safety at Work etc. Act 1974 (legislation.gov.uk)</w:t>
        </w:r>
      </w:hyperlink>
      <w:r w:rsidRPr="008B30E8">
        <w:rPr>
          <w:rStyle w:val="Hyperlink"/>
          <w:rFonts w:ascii="Calibri" w:hAnsi="Calibri" w:cs="Calibri"/>
          <w:sz w:val="22"/>
          <w:szCs w:val="22"/>
        </w:rPr>
        <w:t xml:space="preserve"> </w:t>
      </w:r>
      <w:r w:rsidRPr="008B30E8">
        <w:rPr>
          <w:rFonts w:ascii="Calibri" w:hAnsi="Calibri" w:cs="Calibri"/>
          <w:color w:val="333333"/>
          <w:sz w:val="22"/>
          <w:szCs w:val="22"/>
          <w:shd w:val="clear" w:color="auto" w:fill="FBFBFB"/>
        </w:rPr>
        <w:t>(Accessed 01/01/2024)</w:t>
      </w:r>
    </w:p>
    <w:p w14:paraId="40F5C053" w14:textId="77777777" w:rsidR="00EA4D72" w:rsidRDefault="00EA4D72" w:rsidP="002F6F3A">
      <w:pPr>
        <w:rPr>
          <w:rFonts w:ascii="Calibri" w:hAnsi="Calibri" w:cs="Calibri"/>
          <w:color w:val="333333"/>
          <w:sz w:val="22"/>
          <w:szCs w:val="22"/>
          <w:shd w:val="clear" w:color="auto" w:fill="FBFBFB"/>
        </w:rPr>
      </w:pPr>
    </w:p>
    <w:p w14:paraId="4900C6CF" w14:textId="17201244" w:rsidR="002F6F3A" w:rsidRPr="008B30E8" w:rsidRDefault="002F6F3A" w:rsidP="002F6F3A">
      <w:pPr>
        <w:rPr>
          <w:rFonts w:ascii="Calibri" w:hAnsi="Calibri" w:cs="Calibri"/>
          <w:color w:val="333333"/>
          <w:sz w:val="22"/>
          <w:szCs w:val="22"/>
          <w:shd w:val="clear" w:color="auto" w:fill="FBFBFB"/>
        </w:rPr>
      </w:pPr>
      <w:r w:rsidRPr="008B30E8">
        <w:rPr>
          <w:rFonts w:ascii="Calibri" w:hAnsi="Calibri" w:cs="Calibri"/>
          <w:color w:val="333333"/>
          <w:sz w:val="22"/>
          <w:szCs w:val="22"/>
          <w:shd w:val="clear" w:color="auto" w:fill="FBFBFB"/>
        </w:rPr>
        <w:t xml:space="preserve">Legislation (b). (2024) </w:t>
      </w:r>
      <w:r w:rsidRPr="008B30E8">
        <w:rPr>
          <w:rFonts w:ascii="Calibri" w:hAnsi="Calibri" w:cs="Calibri"/>
          <w:i/>
          <w:iCs/>
          <w:color w:val="333333"/>
          <w:sz w:val="22"/>
          <w:szCs w:val="22"/>
          <w:shd w:val="clear" w:color="auto" w:fill="FBFBFB"/>
        </w:rPr>
        <w:t>The Management of Health and Safety at Work Regulations 1999.</w:t>
      </w:r>
      <w:r w:rsidRPr="008B30E8">
        <w:rPr>
          <w:rFonts w:ascii="Calibri" w:hAnsi="Calibri" w:cs="Calibri"/>
          <w:color w:val="333333"/>
          <w:sz w:val="22"/>
          <w:szCs w:val="22"/>
          <w:shd w:val="clear" w:color="auto" w:fill="FBFBFB"/>
        </w:rPr>
        <w:t xml:space="preserve"> Available at: </w:t>
      </w:r>
      <w:hyperlink r:id="rId12" w:history="1">
        <w:r w:rsidRPr="008B30E8">
          <w:rPr>
            <w:rStyle w:val="Hyperlink"/>
            <w:rFonts w:ascii="Calibri" w:hAnsi="Calibri" w:cs="Calibri"/>
            <w:sz w:val="22"/>
            <w:szCs w:val="22"/>
          </w:rPr>
          <w:t>The Management of Health and Safety at Work Regulations 1999 (legislation.gov.uk)</w:t>
        </w:r>
      </w:hyperlink>
      <w:r w:rsidRPr="008B30E8">
        <w:rPr>
          <w:rStyle w:val="Hyperlink"/>
          <w:rFonts w:ascii="Calibri" w:hAnsi="Calibri" w:cs="Calibri"/>
          <w:sz w:val="22"/>
          <w:szCs w:val="22"/>
        </w:rPr>
        <w:t xml:space="preserve">. </w:t>
      </w:r>
      <w:r w:rsidRPr="008B30E8">
        <w:rPr>
          <w:rFonts w:ascii="Calibri" w:hAnsi="Calibri" w:cs="Calibri"/>
          <w:color w:val="333333"/>
          <w:sz w:val="22"/>
          <w:szCs w:val="22"/>
          <w:shd w:val="clear" w:color="auto" w:fill="FBFBFB"/>
        </w:rPr>
        <w:t>(Accessed 01/01/2024)</w:t>
      </w:r>
    </w:p>
    <w:p w14:paraId="1B643002" w14:textId="77777777" w:rsidR="00EA4D72" w:rsidRDefault="00EA4D72" w:rsidP="002F6F3A">
      <w:pPr>
        <w:rPr>
          <w:rFonts w:ascii="Calibri" w:hAnsi="Calibri" w:cs="Calibri"/>
          <w:color w:val="333333"/>
          <w:sz w:val="22"/>
          <w:szCs w:val="22"/>
          <w:shd w:val="clear" w:color="auto" w:fill="FBFBFB"/>
        </w:rPr>
      </w:pPr>
    </w:p>
    <w:p w14:paraId="3DD7CC4A" w14:textId="44696C15" w:rsidR="002F6F3A" w:rsidRPr="008B30E8" w:rsidRDefault="002F6F3A" w:rsidP="002F6F3A">
      <w:pPr>
        <w:rPr>
          <w:rStyle w:val="Hyperlink"/>
          <w:rFonts w:ascii="Calibri" w:hAnsi="Calibri" w:cs="Calibri"/>
          <w:color w:val="333333"/>
          <w:sz w:val="22"/>
          <w:szCs w:val="22"/>
          <w:u w:val="none"/>
          <w:shd w:val="clear" w:color="auto" w:fill="FBFBFB"/>
        </w:rPr>
      </w:pPr>
      <w:r w:rsidRPr="008B30E8">
        <w:rPr>
          <w:rFonts w:ascii="Calibri" w:hAnsi="Calibri" w:cs="Calibri"/>
          <w:color w:val="333333"/>
          <w:sz w:val="22"/>
          <w:szCs w:val="22"/>
          <w:shd w:val="clear" w:color="auto" w:fill="FBFBFB"/>
        </w:rPr>
        <w:t xml:space="preserve">Legislation (c) (2024). </w:t>
      </w:r>
      <w:r w:rsidRPr="008B30E8">
        <w:rPr>
          <w:rFonts w:ascii="Calibri" w:hAnsi="Calibri" w:cs="Calibri"/>
          <w:i/>
          <w:iCs/>
          <w:color w:val="333333"/>
          <w:sz w:val="22"/>
          <w:szCs w:val="22"/>
          <w:shd w:val="clear" w:color="auto" w:fill="FBFBFB"/>
        </w:rPr>
        <w:t xml:space="preserve">Care Act 2014. </w:t>
      </w:r>
      <w:r w:rsidRPr="008B30E8">
        <w:rPr>
          <w:rFonts w:ascii="Calibri" w:hAnsi="Calibri" w:cs="Calibri"/>
          <w:color w:val="333333"/>
          <w:sz w:val="22"/>
          <w:szCs w:val="22"/>
          <w:shd w:val="clear" w:color="auto" w:fill="FBFBFB"/>
        </w:rPr>
        <w:t xml:space="preserve">Available at: </w:t>
      </w:r>
      <w:hyperlink r:id="rId13" w:history="1">
        <w:r w:rsidRPr="008B30E8">
          <w:rPr>
            <w:rStyle w:val="Hyperlink"/>
            <w:rFonts w:ascii="Calibri" w:hAnsi="Calibri" w:cs="Calibri"/>
            <w:sz w:val="22"/>
            <w:szCs w:val="22"/>
          </w:rPr>
          <w:t>Care Act 2014 (legislation.gov.uk)</w:t>
        </w:r>
      </w:hyperlink>
      <w:r w:rsidRPr="008B30E8">
        <w:rPr>
          <w:rStyle w:val="Hyperlink"/>
          <w:rFonts w:ascii="Calibri" w:hAnsi="Calibri" w:cs="Calibri"/>
          <w:sz w:val="22"/>
          <w:szCs w:val="22"/>
        </w:rPr>
        <w:t xml:space="preserve">. </w:t>
      </w:r>
      <w:r w:rsidRPr="008B30E8">
        <w:rPr>
          <w:rFonts w:ascii="Calibri" w:hAnsi="Calibri" w:cs="Calibri"/>
          <w:color w:val="333333"/>
          <w:sz w:val="22"/>
          <w:szCs w:val="22"/>
          <w:shd w:val="clear" w:color="auto" w:fill="FBFBFB"/>
        </w:rPr>
        <w:t>(Accessed 01/01/2024)</w:t>
      </w:r>
    </w:p>
    <w:p w14:paraId="25E18CD3" w14:textId="77777777" w:rsidR="00EA4D72" w:rsidRDefault="00EA4D72" w:rsidP="002F6F3A">
      <w:pPr>
        <w:rPr>
          <w:rFonts w:ascii="Calibri" w:hAnsi="Calibri" w:cs="Calibri"/>
          <w:color w:val="333333"/>
          <w:sz w:val="22"/>
          <w:szCs w:val="22"/>
          <w:shd w:val="clear" w:color="auto" w:fill="FBFBFB"/>
        </w:rPr>
      </w:pPr>
    </w:p>
    <w:p w14:paraId="1AC50B9A" w14:textId="6D92700D" w:rsidR="002F6F3A" w:rsidRPr="008B30E8" w:rsidRDefault="002F6F3A" w:rsidP="002F6F3A">
      <w:pPr>
        <w:rPr>
          <w:rFonts w:ascii="Calibri" w:hAnsi="Calibri" w:cs="Calibri"/>
          <w:color w:val="333333"/>
          <w:sz w:val="22"/>
          <w:szCs w:val="22"/>
          <w:shd w:val="clear" w:color="auto" w:fill="FBFBFB"/>
        </w:rPr>
      </w:pPr>
      <w:r w:rsidRPr="008B30E8">
        <w:rPr>
          <w:rFonts w:ascii="Calibri" w:hAnsi="Calibri" w:cs="Calibri"/>
          <w:color w:val="333333"/>
          <w:sz w:val="22"/>
          <w:szCs w:val="22"/>
          <w:shd w:val="clear" w:color="auto" w:fill="FBFBFB"/>
        </w:rPr>
        <w:t xml:space="preserve">Mitty, T (2024). </w:t>
      </w:r>
      <w:r w:rsidRPr="008B30E8">
        <w:rPr>
          <w:rFonts w:ascii="Calibri" w:hAnsi="Calibri" w:cs="Calibri"/>
          <w:i/>
          <w:iCs/>
          <w:color w:val="333333"/>
          <w:sz w:val="22"/>
          <w:szCs w:val="22"/>
          <w:shd w:val="clear" w:color="auto" w:fill="FBFBFB"/>
        </w:rPr>
        <w:t xml:space="preserve">The 4D’s of Medical Negligence Explained. </w:t>
      </w:r>
      <w:r w:rsidRPr="008B30E8">
        <w:rPr>
          <w:rFonts w:ascii="Calibri" w:hAnsi="Calibri" w:cs="Calibri"/>
          <w:color w:val="333333"/>
          <w:sz w:val="22"/>
          <w:szCs w:val="22"/>
          <w:shd w:val="clear" w:color="auto" w:fill="FBFBFB"/>
        </w:rPr>
        <w:t xml:space="preserve">Available at: </w:t>
      </w:r>
      <w:hyperlink r:id="rId14" w:history="1">
        <w:r w:rsidRPr="008B30E8">
          <w:rPr>
            <w:rStyle w:val="Hyperlink"/>
            <w:rFonts w:ascii="Calibri" w:hAnsi="Calibri" w:cs="Calibri"/>
            <w:sz w:val="22"/>
            <w:szCs w:val="22"/>
          </w:rPr>
          <w:t>The 4 Ds of medical negligence explained | Gadsby Wicks</w:t>
        </w:r>
      </w:hyperlink>
      <w:r w:rsidRPr="008B30E8">
        <w:rPr>
          <w:rFonts w:ascii="Calibri" w:hAnsi="Calibri" w:cs="Calibri"/>
          <w:sz w:val="22"/>
          <w:szCs w:val="22"/>
        </w:rPr>
        <w:t xml:space="preserve">. </w:t>
      </w:r>
      <w:r w:rsidRPr="008B30E8">
        <w:rPr>
          <w:rFonts w:ascii="Calibri" w:hAnsi="Calibri" w:cs="Calibri"/>
          <w:color w:val="333333"/>
          <w:sz w:val="22"/>
          <w:szCs w:val="22"/>
          <w:shd w:val="clear" w:color="auto" w:fill="FBFBFB"/>
        </w:rPr>
        <w:t>(Accessed 01/01/2024)</w:t>
      </w:r>
    </w:p>
    <w:p w14:paraId="45F56C36" w14:textId="77777777" w:rsidR="00EA4D72" w:rsidRDefault="00EA4D72" w:rsidP="002F6F3A">
      <w:pPr>
        <w:rPr>
          <w:rFonts w:ascii="Calibri" w:hAnsi="Calibri" w:cs="Calibri"/>
          <w:color w:val="333333"/>
          <w:sz w:val="22"/>
          <w:szCs w:val="22"/>
          <w:shd w:val="clear" w:color="auto" w:fill="FBFBFB"/>
        </w:rPr>
      </w:pPr>
    </w:p>
    <w:p w14:paraId="145AC8D2" w14:textId="58E435EB" w:rsidR="002F6F3A" w:rsidRPr="008B30E8" w:rsidRDefault="002F6F3A" w:rsidP="002F6F3A">
      <w:pPr>
        <w:rPr>
          <w:rFonts w:ascii="Calibri" w:hAnsi="Calibri" w:cs="Calibri"/>
          <w:color w:val="333333"/>
          <w:sz w:val="22"/>
          <w:szCs w:val="22"/>
          <w:shd w:val="clear" w:color="auto" w:fill="FBFBFB"/>
        </w:rPr>
      </w:pPr>
      <w:r w:rsidRPr="008B30E8">
        <w:rPr>
          <w:rFonts w:ascii="Calibri" w:hAnsi="Calibri" w:cs="Calibri"/>
          <w:color w:val="333333"/>
          <w:sz w:val="22"/>
          <w:szCs w:val="22"/>
          <w:shd w:val="clear" w:color="auto" w:fill="FBFBFB"/>
        </w:rPr>
        <w:t xml:space="preserve">Reuters, T (2024). </w:t>
      </w:r>
      <w:r w:rsidRPr="008B30E8">
        <w:rPr>
          <w:rFonts w:ascii="Calibri" w:hAnsi="Calibri" w:cs="Calibri"/>
          <w:i/>
          <w:iCs/>
          <w:color w:val="333333"/>
          <w:sz w:val="22"/>
          <w:szCs w:val="22"/>
          <w:shd w:val="clear" w:color="auto" w:fill="FBFBFB"/>
        </w:rPr>
        <w:t xml:space="preserve">Personal Liability. </w:t>
      </w:r>
      <w:r w:rsidRPr="008B30E8">
        <w:rPr>
          <w:rFonts w:ascii="Calibri" w:hAnsi="Calibri" w:cs="Calibri"/>
          <w:color w:val="333333"/>
          <w:sz w:val="22"/>
          <w:szCs w:val="22"/>
          <w:shd w:val="clear" w:color="auto" w:fill="FBFBFB"/>
        </w:rPr>
        <w:t>Available at:</w:t>
      </w:r>
      <w:r w:rsidRPr="008B30E8">
        <w:rPr>
          <w:rFonts w:ascii="Calibri" w:hAnsi="Calibri" w:cs="Calibri"/>
          <w:sz w:val="22"/>
          <w:szCs w:val="22"/>
        </w:rPr>
        <w:t xml:space="preserve"> </w:t>
      </w:r>
      <w:hyperlink r:id="rId15" w:history="1">
        <w:r w:rsidRPr="008B30E8">
          <w:rPr>
            <w:rStyle w:val="Hyperlink"/>
            <w:rFonts w:ascii="Calibri" w:hAnsi="Calibri" w:cs="Calibri"/>
            <w:sz w:val="22"/>
            <w:szCs w:val="22"/>
          </w:rPr>
          <w:t>Personal Liability | Thomson Reuters</w:t>
        </w:r>
      </w:hyperlink>
      <w:r w:rsidRPr="008B30E8">
        <w:rPr>
          <w:rFonts w:ascii="Calibri" w:hAnsi="Calibri" w:cs="Calibri"/>
          <w:sz w:val="22"/>
          <w:szCs w:val="22"/>
        </w:rPr>
        <w:t xml:space="preserve">. </w:t>
      </w:r>
      <w:r w:rsidRPr="008B30E8">
        <w:rPr>
          <w:rFonts w:ascii="Calibri" w:hAnsi="Calibri" w:cs="Calibri"/>
          <w:color w:val="333333"/>
          <w:sz w:val="22"/>
          <w:szCs w:val="22"/>
          <w:shd w:val="clear" w:color="auto" w:fill="FBFBFB"/>
        </w:rPr>
        <w:t>(Accessed 01/01/2024)</w:t>
      </w:r>
    </w:p>
    <w:p w14:paraId="3EDF7F55" w14:textId="77777777" w:rsidR="00EA4D72" w:rsidRDefault="00EA4D72" w:rsidP="002F6F3A">
      <w:pPr>
        <w:rPr>
          <w:rFonts w:ascii="Calibri" w:hAnsi="Calibri" w:cs="Calibri"/>
          <w:color w:val="333333"/>
          <w:sz w:val="22"/>
          <w:szCs w:val="22"/>
          <w:shd w:val="clear" w:color="auto" w:fill="FBFBFB"/>
        </w:rPr>
      </w:pPr>
    </w:p>
    <w:p w14:paraId="79D6EAC4" w14:textId="73452669" w:rsidR="002F6F3A" w:rsidRPr="008B30E8" w:rsidRDefault="002F6F3A" w:rsidP="002F6F3A">
      <w:pPr>
        <w:rPr>
          <w:rFonts w:ascii="Calibri" w:hAnsi="Calibri" w:cs="Calibri"/>
          <w:color w:val="333333"/>
          <w:sz w:val="22"/>
          <w:szCs w:val="22"/>
          <w:shd w:val="clear" w:color="auto" w:fill="FBFBFB"/>
        </w:rPr>
      </w:pPr>
      <w:r w:rsidRPr="008B30E8">
        <w:rPr>
          <w:rFonts w:ascii="Calibri" w:hAnsi="Calibri" w:cs="Calibri"/>
          <w:color w:val="333333"/>
          <w:sz w:val="22"/>
          <w:szCs w:val="22"/>
          <w:shd w:val="clear" w:color="auto" w:fill="FBFBFB"/>
        </w:rPr>
        <w:t xml:space="preserve">Royal College of Nursing (2023). </w:t>
      </w:r>
      <w:r w:rsidRPr="008B30E8">
        <w:rPr>
          <w:rFonts w:ascii="Calibri" w:hAnsi="Calibri" w:cs="Calibri"/>
          <w:i/>
          <w:iCs/>
          <w:color w:val="333333"/>
          <w:sz w:val="22"/>
          <w:szCs w:val="22"/>
          <w:shd w:val="clear" w:color="auto" w:fill="FBFBFB"/>
        </w:rPr>
        <w:t xml:space="preserve">Duty of Care. </w:t>
      </w:r>
      <w:r w:rsidRPr="008B30E8">
        <w:rPr>
          <w:rFonts w:ascii="Calibri" w:hAnsi="Calibri" w:cs="Calibri"/>
          <w:color w:val="333333"/>
          <w:sz w:val="22"/>
          <w:szCs w:val="22"/>
          <w:shd w:val="clear" w:color="auto" w:fill="FBFBFB"/>
        </w:rPr>
        <w:t xml:space="preserve">Available at: </w:t>
      </w:r>
      <w:hyperlink r:id="rId16" w:history="1">
        <w:r w:rsidRPr="008B30E8">
          <w:rPr>
            <w:rStyle w:val="Hyperlink"/>
            <w:rFonts w:ascii="Calibri" w:hAnsi="Calibri" w:cs="Calibri"/>
            <w:sz w:val="22"/>
            <w:szCs w:val="22"/>
          </w:rPr>
          <w:t>Duty of care | Advice guides | Royal College of Nursing (rcn.org.uk)</w:t>
        </w:r>
      </w:hyperlink>
      <w:r w:rsidRPr="008B30E8">
        <w:rPr>
          <w:rStyle w:val="Hyperlink"/>
          <w:rFonts w:ascii="Calibri" w:hAnsi="Calibri" w:cs="Calibri"/>
          <w:sz w:val="22"/>
          <w:szCs w:val="22"/>
        </w:rPr>
        <w:t xml:space="preserve">. </w:t>
      </w:r>
      <w:r w:rsidRPr="008B30E8">
        <w:rPr>
          <w:rFonts w:ascii="Calibri" w:hAnsi="Calibri" w:cs="Calibri"/>
          <w:color w:val="333333"/>
          <w:sz w:val="22"/>
          <w:szCs w:val="22"/>
          <w:shd w:val="clear" w:color="auto" w:fill="FBFBFB"/>
        </w:rPr>
        <w:t>(Accessed 01/01/2024</w:t>
      </w:r>
    </w:p>
    <w:p w14:paraId="5F7413D3" w14:textId="77777777" w:rsidR="00EA4D72" w:rsidRDefault="00EA4D72" w:rsidP="002F6F3A">
      <w:pPr>
        <w:rPr>
          <w:rFonts w:ascii="Calibri" w:hAnsi="Calibri" w:cs="Calibri"/>
          <w:i/>
          <w:iCs/>
          <w:color w:val="333333"/>
          <w:sz w:val="22"/>
          <w:szCs w:val="22"/>
          <w:shd w:val="clear" w:color="auto" w:fill="FBFBFB"/>
        </w:rPr>
      </w:pPr>
    </w:p>
    <w:p w14:paraId="44F9502C" w14:textId="1F24BD04" w:rsidR="002F6F3A" w:rsidRPr="008B30E8" w:rsidRDefault="002F6F3A" w:rsidP="002F6F3A">
      <w:pPr>
        <w:rPr>
          <w:rFonts w:asciiTheme="minorHAnsi" w:hAnsiTheme="minorHAnsi" w:cstheme="minorBidi"/>
          <w:b/>
          <w:bCs/>
          <w:sz w:val="22"/>
          <w:szCs w:val="22"/>
          <w:u w:val="single"/>
          <w:lang w:val="en-US"/>
        </w:rPr>
      </w:pPr>
      <w:r w:rsidRPr="008B30E8">
        <w:rPr>
          <w:rFonts w:ascii="Calibri" w:hAnsi="Calibri" w:cs="Calibri"/>
          <w:i/>
          <w:iCs/>
          <w:color w:val="333333"/>
          <w:sz w:val="22"/>
          <w:szCs w:val="22"/>
          <w:shd w:val="clear" w:color="auto" w:fill="FBFBFB"/>
        </w:rPr>
        <w:t xml:space="preserve">The Employer’s Duty of Care. </w:t>
      </w:r>
      <w:r w:rsidRPr="008B30E8">
        <w:rPr>
          <w:rFonts w:ascii="Calibri" w:hAnsi="Calibri" w:cs="Calibri"/>
          <w:color w:val="333333"/>
          <w:sz w:val="22"/>
          <w:szCs w:val="22"/>
          <w:shd w:val="clear" w:color="auto" w:fill="FBFBFB"/>
        </w:rPr>
        <w:t xml:space="preserve">(2022). Available at: </w:t>
      </w:r>
      <w:hyperlink r:id="rId17" w:history="1">
        <w:r w:rsidRPr="008B30E8">
          <w:rPr>
            <w:rStyle w:val="Hyperlink"/>
            <w:rFonts w:ascii="Calibri" w:hAnsi="Calibri" w:cs="Calibri"/>
            <w:sz w:val="22"/>
            <w:szCs w:val="22"/>
          </w:rPr>
          <w:t>The employer’s duty of care | Legal Guidance | LexisNexis</w:t>
        </w:r>
      </w:hyperlink>
      <w:r w:rsidRPr="008B30E8">
        <w:rPr>
          <w:rStyle w:val="Hyperlink"/>
          <w:rFonts w:ascii="Calibri" w:hAnsi="Calibri" w:cs="Calibri"/>
          <w:sz w:val="22"/>
          <w:szCs w:val="22"/>
        </w:rPr>
        <w:t xml:space="preserve">. </w:t>
      </w:r>
      <w:r w:rsidRPr="008B30E8">
        <w:rPr>
          <w:rStyle w:val="Hyperlink"/>
          <w:rFonts w:ascii="Calibri" w:hAnsi="Calibri" w:cs="Calibr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B30E8">
        <w:rPr>
          <w:rFonts w:ascii="Calibri" w:hAnsi="Calibri" w:cs="Calibri"/>
          <w:color w:val="333333"/>
          <w:sz w:val="22"/>
          <w:szCs w:val="22"/>
          <w:shd w:val="clear" w:color="auto" w:fill="FBFBFB"/>
        </w:rPr>
        <w:t>(Accessed 01/01/2024)</w:t>
      </w:r>
    </w:p>
    <w:p w14:paraId="66C2651D" w14:textId="77777777" w:rsidR="00EA4D72" w:rsidRDefault="00EA4D72" w:rsidP="002F6F3A">
      <w:pPr>
        <w:rPr>
          <w:rFonts w:ascii="Calibri" w:hAnsi="Calibri" w:cs="Calibri"/>
          <w:color w:val="333333"/>
          <w:sz w:val="22"/>
          <w:szCs w:val="22"/>
          <w:shd w:val="clear" w:color="auto" w:fill="FBFBFB"/>
        </w:rPr>
      </w:pPr>
    </w:p>
    <w:p w14:paraId="2B858246" w14:textId="03296989" w:rsidR="002F6F3A" w:rsidRPr="008B30E8" w:rsidRDefault="002F6F3A" w:rsidP="002F6F3A">
      <w:pPr>
        <w:rPr>
          <w:rFonts w:ascii="Calibri" w:hAnsi="Calibri" w:cs="Calibri"/>
          <w:sz w:val="22"/>
          <w:szCs w:val="22"/>
        </w:rPr>
      </w:pPr>
      <w:r w:rsidRPr="008B30E8">
        <w:rPr>
          <w:rFonts w:ascii="Calibri" w:hAnsi="Calibri" w:cs="Calibri"/>
          <w:color w:val="333333"/>
          <w:sz w:val="22"/>
          <w:szCs w:val="22"/>
          <w:shd w:val="clear" w:color="auto" w:fill="FBFBFB"/>
        </w:rPr>
        <w:t xml:space="preserve">UOLLB, (2023). </w:t>
      </w:r>
      <w:r w:rsidRPr="008B30E8">
        <w:rPr>
          <w:rFonts w:ascii="Calibri" w:hAnsi="Calibri" w:cs="Calibri"/>
          <w:i/>
          <w:iCs/>
          <w:color w:val="333333"/>
          <w:sz w:val="22"/>
          <w:szCs w:val="22"/>
          <w:shd w:val="clear" w:color="auto" w:fill="FBFBFB"/>
        </w:rPr>
        <w:t xml:space="preserve">Legal Causations vs Factual Causation. </w:t>
      </w:r>
      <w:r w:rsidRPr="008B30E8">
        <w:rPr>
          <w:rFonts w:ascii="Calibri" w:hAnsi="Calibri" w:cs="Calibri"/>
          <w:color w:val="333333"/>
          <w:sz w:val="22"/>
          <w:szCs w:val="22"/>
          <w:shd w:val="clear" w:color="auto" w:fill="FBFBFB"/>
        </w:rPr>
        <w:t xml:space="preserve">Available at: </w:t>
      </w:r>
      <w:hyperlink r:id="rId18" w:history="1">
        <w:r w:rsidRPr="008B30E8">
          <w:rPr>
            <w:rStyle w:val="Hyperlink"/>
            <w:rFonts w:ascii="Calibri" w:hAnsi="Calibri" w:cs="Calibri"/>
            <w:sz w:val="22"/>
            <w:szCs w:val="22"/>
          </w:rPr>
          <w:t>Legal Causation vs Factual Causation (uollb.com)</w:t>
        </w:r>
      </w:hyperlink>
      <w:r w:rsidRPr="008B30E8">
        <w:rPr>
          <w:rFonts w:ascii="Calibri" w:hAnsi="Calibri" w:cs="Calibri"/>
          <w:sz w:val="22"/>
          <w:szCs w:val="22"/>
        </w:rPr>
        <w:t xml:space="preserve">. </w:t>
      </w:r>
      <w:r w:rsidRPr="008B30E8">
        <w:rPr>
          <w:rFonts w:ascii="Calibri" w:hAnsi="Calibri" w:cs="Calibri"/>
          <w:color w:val="333333"/>
          <w:sz w:val="22"/>
          <w:szCs w:val="22"/>
          <w:shd w:val="clear" w:color="auto" w:fill="FBFBFB"/>
        </w:rPr>
        <w:t>(Accessed 01/01/2024)</w:t>
      </w:r>
    </w:p>
    <w:p w14:paraId="3BE38C8C" w14:textId="77777777" w:rsidR="002F6F3A" w:rsidRDefault="002F6F3A" w:rsidP="002F6F3A"/>
    <w:p w14:paraId="2393BDE3" w14:textId="77777777" w:rsidR="002F6F3A" w:rsidRPr="002823F7" w:rsidRDefault="002F6F3A" w:rsidP="002F6F3A">
      <w:pPr>
        <w:rPr>
          <w:rFonts w:ascii="Calibri" w:hAnsi="Calibri" w:cs="Calibri"/>
          <w:b/>
          <w:bCs/>
          <w:sz w:val="22"/>
          <w:szCs w:val="22"/>
          <w:u w:val="single"/>
        </w:rPr>
      </w:pPr>
      <w:r w:rsidRPr="002823F7">
        <w:rPr>
          <w:rFonts w:ascii="Calibri" w:hAnsi="Calibri" w:cs="Calibri"/>
          <w:b/>
          <w:bCs/>
          <w:sz w:val="22"/>
          <w:szCs w:val="22"/>
          <w:u w:val="single"/>
        </w:rPr>
        <w:t xml:space="preserve">Case Law </w:t>
      </w:r>
    </w:p>
    <w:p w14:paraId="75E87DEF" w14:textId="77777777" w:rsidR="002F6F3A" w:rsidRPr="002823F7" w:rsidRDefault="002F6F3A" w:rsidP="002F6F3A">
      <w:pPr>
        <w:rPr>
          <w:rFonts w:ascii="Calibri" w:hAnsi="Calibri" w:cs="Calibri"/>
          <w:sz w:val="22"/>
          <w:szCs w:val="22"/>
        </w:rPr>
      </w:pPr>
      <w:r w:rsidRPr="002823F7">
        <w:rPr>
          <w:rFonts w:ascii="Calibri" w:hAnsi="Calibri" w:cs="Calibri"/>
          <w:sz w:val="22"/>
          <w:szCs w:val="22"/>
        </w:rPr>
        <w:t xml:space="preserve">Blyth v Birmingham Waterworks [1856] 11 EX CH 781 </w:t>
      </w:r>
    </w:p>
    <w:p w14:paraId="0F629B3D" w14:textId="77777777" w:rsidR="00EA4D72" w:rsidRDefault="00EA4D72" w:rsidP="002F6F3A">
      <w:pPr>
        <w:rPr>
          <w:rFonts w:ascii="Calibri" w:hAnsi="Calibri" w:cs="Calibri"/>
          <w:sz w:val="22"/>
          <w:szCs w:val="22"/>
        </w:rPr>
      </w:pPr>
    </w:p>
    <w:p w14:paraId="73343D2C" w14:textId="4AADFA28" w:rsidR="002F6F3A" w:rsidRPr="002823F7" w:rsidRDefault="002F6F3A" w:rsidP="002F6F3A">
      <w:pPr>
        <w:rPr>
          <w:rFonts w:ascii="Calibri" w:hAnsi="Calibri" w:cs="Calibri"/>
          <w:sz w:val="22"/>
          <w:szCs w:val="22"/>
        </w:rPr>
      </w:pPr>
      <w:r w:rsidRPr="002823F7">
        <w:rPr>
          <w:rFonts w:ascii="Calibri" w:hAnsi="Calibri" w:cs="Calibri"/>
          <w:sz w:val="22"/>
          <w:szCs w:val="22"/>
        </w:rPr>
        <w:t xml:space="preserve">Knightley v Johns [1982] 1 WLR 349 </w:t>
      </w:r>
    </w:p>
    <w:p w14:paraId="3665E68D" w14:textId="77777777" w:rsidR="00EA4D72" w:rsidRDefault="00EA4D72" w:rsidP="002F6F3A">
      <w:pPr>
        <w:rPr>
          <w:rFonts w:ascii="Calibri" w:hAnsi="Calibri" w:cs="Calibri"/>
          <w:sz w:val="22"/>
          <w:szCs w:val="22"/>
          <w:lang w:val="en-US"/>
        </w:rPr>
      </w:pPr>
    </w:p>
    <w:p w14:paraId="361BAADC" w14:textId="54EA2A4E" w:rsidR="002F6F3A" w:rsidRPr="002823F7" w:rsidRDefault="002F6F3A" w:rsidP="002F6F3A">
      <w:pPr>
        <w:rPr>
          <w:rFonts w:ascii="Calibri" w:hAnsi="Calibri" w:cs="Calibri"/>
          <w:sz w:val="22"/>
          <w:szCs w:val="22"/>
          <w:lang w:val="en-US"/>
        </w:rPr>
      </w:pPr>
      <w:r w:rsidRPr="002823F7">
        <w:rPr>
          <w:rFonts w:ascii="Calibri" w:hAnsi="Calibri" w:cs="Calibri"/>
          <w:sz w:val="22"/>
          <w:szCs w:val="22"/>
          <w:lang w:val="en-US"/>
        </w:rPr>
        <w:t xml:space="preserve">R v Adomako [1995] </w:t>
      </w:r>
    </w:p>
    <w:p w14:paraId="4CE5F53B" w14:textId="77777777" w:rsidR="002F6F3A" w:rsidRPr="00984E10" w:rsidRDefault="002F6F3A" w:rsidP="00FD6CDC">
      <w:pPr>
        <w:rPr>
          <w:rFonts w:asciiTheme="minorHAnsi" w:hAnsiTheme="minorHAnsi" w:cstheme="minorHAnsi"/>
          <w:sz w:val="24"/>
          <w:szCs w:val="24"/>
        </w:rPr>
      </w:pPr>
    </w:p>
    <w:sectPr w:rsidR="002F6F3A" w:rsidRPr="00984E10">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AE4B6" w14:textId="77777777" w:rsidR="004D0FBD" w:rsidRDefault="004D0FBD" w:rsidP="004460B8">
      <w:r>
        <w:separator/>
      </w:r>
    </w:p>
  </w:endnote>
  <w:endnote w:type="continuationSeparator" w:id="0">
    <w:p w14:paraId="648CB5A4" w14:textId="77777777" w:rsidR="004D0FBD" w:rsidRDefault="004D0FBD" w:rsidP="00446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E5B20" w14:textId="77777777" w:rsidR="004D0FBD" w:rsidRDefault="004D0FBD" w:rsidP="004460B8">
      <w:r>
        <w:separator/>
      </w:r>
    </w:p>
  </w:footnote>
  <w:footnote w:type="continuationSeparator" w:id="0">
    <w:p w14:paraId="6CA97FDE" w14:textId="77777777" w:rsidR="004D0FBD" w:rsidRDefault="004D0FBD" w:rsidP="004460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4568A" w14:textId="6C627702" w:rsidR="004460B8" w:rsidRDefault="004460B8">
    <w:pPr>
      <w:pStyle w:val="Header"/>
      <w:rPr>
        <w:lang w:val="en-US"/>
      </w:rPr>
    </w:pPr>
    <w:r>
      <w:rPr>
        <w:lang w:val="en-US"/>
      </w:rPr>
      <w:t xml:space="preserve">Shannon Calrk </w:t>
    </w:r>
  </w:p>
  <w:p w14:paraId="7A35C146" w14:textId="07675AC6" w:rsidR="004460B8" w:rsidRDefault="004460B8">
    <w:pPr>
      <w:pStyle w:val="Header"/>
      <w:rPr>
        <w:lang w:val="en-US"/>
      </w:rPr>
    </w:pPr>
    <w:r>
      <w:rPr>
        <w:lang w:val="en-US"/>
      </w:rPr>
      <w:t>2205377</w:t>
    </w:r>
  </w:p>
  <w:p w14:paraId="05ABA60C" w14:textId="754F2B52" w:rsidR="004460B8" w:rsidRPr="004460B8" w:rsidRDefault="004460B8">
    <w:pPr>
      <w:pStyle w:val="Header"/>
      <w:rPr>
        <w:lang w:val="en-US"/>
      </w:rPr>
    </w:pPr>
    <w:r>
      <w:rPr>
        <w:lang w:val="en-US"/>
      </w:rPr>
      <w:t xml:space="preserve">Assignment 2 – Tort Law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01AAB"/>
    <w:multiLevelType w:val="hybridMultilevel"/>
    <w:tmpl w:val="B582B334"/>
    <w:lvl w:ilvl="0" w:tplc="63DA06B6">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11016854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0B8"/>
    <w:rsid w:val="000300A8"/>
    <w:rsid w:val="0005029B"/>
    <w:rsid w:val="00051B1F"/>
    <w:rsid w:val="000774F5"/>
    <w:rsid w:val="00091FDF"/>
    <w:rsid w:val="00105F08"/>
    <w:rsid w:val="001219A9"/>
    <w:rsid w:val="00122301"/>
    <w:rsid w:val="00123720"/>
    <w:rsid w:val="00133A0B"/>
    <w:rsid w:val="00142A73"/>
    <w:rsid w:val="00154780"/>
    <w:rsid w:val="00172166"/>
    <w:rsid w:val="001975F5"/>
    <w:rsid w:val="001A0404"/>
    <w:rsid w:val="001A171F"/>
    <w:rsid w:val="0020559F"/>
    <w:rsid w:val="00233853"/>
    <w:rsid w:val="00243A7C"/>
    <w:rsid w:val="00247565"/>
    <w:rsid w:val="0025008B"/>
    <w:rsid w:val="00252A9B"/>
    <w:rsid w:val="00256BE6"/>
    <w:rsid w:val="002823F7"/>
    <w:rsid w:val="002A4DA6"/>
    <w:rsid w:val="002A69AE"/>
    <w:rsid w:val="002F6F3A"/>
    <w:rsid w:val="003040AB"/>
    <w:rsid w:val="00330CA7"/>
    <w:rsid w:val="003774F5"/>
    <w:rsid w:val="003A4FBA"/>
    <w:rsid w:val="003A596D"/>
    <w:rsid w:val="00436B3B"/>
    <w:rsid w:val="00442407"/>
    <w:rsid w:val="004437F7"/>
    <w:rsid w:val="0044489E"/>
    <w:rsid w:val="004460B8"/>
    <w:rsid w:val="004634A6"/>
    <w:rsid w:val="00471602"/>
    <w:rsid w:val="004717D5"/>
    <w:rsid w:val="004D0FBD"/>
    <w:rsid w:val="004D39FF"/>
    <w:rsid w:val="004F24D2"/>
    <w:rsid w:val="00504815"/>
    <w:rsid w:val="00520747"/>
    <w:rsid w:val="00525F7D"/>
    <w:rsid w:val="005374C5"/>
    <w:rsid w:val="0058684D"/>
    <w:rsid w:val="005A438B"/>
    <w:rsid w:val="005B2C81"/>
    <w:rsid w:val="005F060B"/>
    <w:rsid w:val="00607C1E"/>
    <w:rsid w:val="00627306"/>
    <w:rsid w:val="006467FD"/>
    <w:rsid w:val="00656C14"/>
    <w:rsid w:val="00667A04"/>
    <w:rsid w:val="00677540"/>
    <w:rsid w:val="006B0AAA"/>
    <w:rsid w:val="00760BC7"/>
    <w:rsid w:val="00771E5A"/>
    <w:rsid w:val="00780950"/>
    <w:rsid w:val="007F1D0A"/>
    <w:rsid w:val="008575FC"/>
    <w:rsid w:val="00862028"/>
    <w:rsid w:val="008879C6"/>
    <w:rsid w:val="008A7A11"/>
    <w:rsid w:val="008B2400"/>
    <w:rsid w:val="008D1A4C"/>
    <w:rsid w:val="008F57BB"/>
    <w:rsid w:val="0094568D"/>
    <w:rsid w:val="00955718"/>
    <w:rsid w:val="00957CE7"/>
    <w:rsid w:val="009753DF"/>
    <w:rsid w:val="0098387E"/>
    <w:rsid w:val="00984E10"/>
    <w:rsid w:val="009C1B28"/>
    <w:rsid w:val="00A03088"/>
    <w:rsid w:val="00A30A81"/>
    <w:rsid w:val="00A45EDF"/>
    <w:rsid w:val="00A571FF"/>
    <w:rsid w:val="00A57BC2"/>
    <w:rsid w:val="00A6188D"/>
    <w:rsid w:val="00A915AB"/>
    <w:rsid w:val="00AC46A8"/>
    <w:rsid w:val="00AE706E"/>
    <w:rsid w:val="00AF0900"/>
    <w:rsid w:val="00B4127B"/>
    <w:rsid w:val="00B46B75"/>
    <w:rsid w:val="00B52A96"/>
    <w:rsid w:val="00B565A9"/>
    <w:rsid w:val="00B65331"/>
    <w:rsid w:val="00B93779"/>
    <w:rsid w:val="00BA6427"/>
    <w:rsid w:val="00BD69B5"/>
    <w:rsid w:val="00BE08D9"/>
    <w:rsid w:val="00BE0C90"/>
    <w:rsid w:val="00BE3A92"/>
    <w:rsid w:val="00C0059E"/>
    <w:rsid w:val="00C27289"/>
    <w:rsid w:val="00C307B6"/>
    <w:rsid w:val="00C545DE"/>
    <w:rsid w:val="00C84F3A"/>
    <w:rsid w:val="00C85FAF"/>
    <w:rsid w:val="00CB3A73"/>
    <w:rsid w:val="00CC7B32"/>
    <w:rsid w:val="00CF0512"/>
    <w:rsid w:val="00D170EB"/>
    <w:rsid w:val="00D479C1"/>
    <w:rsid w:val="00D614F1"/>
    <w:rsid w:val="00D764BB"/>
    <w:rsid w:val="00DA0B0A"/>
    <w:rsid w:val="00DA0C1A"/>
    <w:rsid w:val="00DA4D74"/>
    <w:rsid w:val="00DF3873"/>
    <w:rsid w:val="00E0463F"/>
    <w:rsid w:val="00E0501E"/>
    <w:rsid w:val="00E24DED"/>
    <w:rsid w:val="00E47601"/>
    <w:rsid w:val="00EA01C7"/>
    <w:rsid w:val="00EA4D72"/>
    <w:rsid w:val="00ED1462"/>
    <w:rsid w:val="00EE5F86"/>
    <w:rsid w:val="00EE62FF"/>
    <w:rsid w:val="00F113F7"/>
    <w:rsid w:val="00F41A8A"/>
    <w:rsid w:val="00F510A0"/>
    <w:rsid w:val="00F631AE"/>
    <w:rsid w:val="00F81555"/>
    <w:rsid w:val="00F86B8D"/>
    <w:rsid w:val="00FA3F92"/>
    <w:rsid w:val="00FA7CC6"/>
    <w:rsid w:val="00FD6CDC"/>
    <w:rsid w:val="00FD7466"/>
    <w:rsid w:val="00FD7F05"/>
    <w:rsid w:val="00FE7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6731D"/>
  <w15:chartTrackingRefBased/>
  <w15:docId w15:val="{954117F9-1243-45E5-B7B2-D330E6FB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0B8"/>
    <w:pPr>
      <w:spacing w:after="0" w:line="240" w:lineRule="auto"/>
    </w:pPr>
    <w:rPr>
      <w:rFonts w:ascii="Times New Roman" w:eastAsia="Times New Roman" w:hAnsi="Times New Roman" w:cs="Times New Roman"/>
      <w:kern w:val="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60B8"/>
    <w:pPr>
      <w:tabs>
        <w:tab w:val="center" w:pos="4513"/>
        <w:tab w:val="right" w:pos="9026"/>
      </w:tabs>
    </w:pPr>
  </w:style>
  <w:style w:type="character" w:customStyle="1" w:styleId="HeaderChar">
    <w:name w:val="Header Char"/>
    <w:basedOn w:val="DefaultParagraphFont"/>
    <w:link w:val="Header"/>
    <w:uiPriority w:val="99"/>
    <w:rsid w:val="004460B8"/>
  </w:style>
  <w:style w:type="paragraph" w:styleId="Footer">
    <w:name w:val="footer"/>
    <w:basedOn w:val="Normal"/>
    <w:link w:val="FooterChar"/>
    <w:uiPriority w:val="99"/>
    <w:unhideWhenUsed/>
    <w:rsid w:val="004460B8"/>
    <w:pPr>
      <w:tabs>
        <w:tab w:val="center" w:pos="4513"/>
        <w:tab w:val="right" w:pos="9026"/>
      </w:tabs>
    </w:pPr>
  </w:style>
  <w:style w:type="character" w:customStyle="1" w:styleId="FooterChar">
    <w:name w:val="Footer Char"/>
    <w:basedOn w:val="DefaultParagraphFont"/>
    <w:link w:val="Footer"/>
    <w:uiPriority w:val="99"/>
    <w:rsid w:val="004460B8"/>
  </w:style>
  <w:style w:type="paragraph" w:styleId="ListParagraph">
    <w:name w:val="List Paragraph"/>
    <w:basedOn w:val="Normal"/>
    <w:uiPriority w:val="34"/>
    <w:qFormat/>
    <w:rsid w:val="004460B8"/>
    <w:pPr>
      <w:ind w:left="720"/>
      <w:contextualSpacing/>
    </w:pPr>
  </w:style>
  <w:style w:type="character" w:styleId="Hyperlink">
    <w:name w:val="Hyperlink"/>
    <w:basedOn w:val="DefaultParagraphFont"/>
    <w:uiPriority w:val="99"/>
    <w:semiHidden/>
    <w:unhideWhenUsed/>
    <w:rsid w:val="002F6F3A"/>
    <w:rPr>
      <w:color w:val="0000FF"/>
      <w:u w:val="single"/>
    </w:rPr>
  </w:style>
  <w:style w:type="character" w:styleId="FollowedHyperlink">
    <w:name w:val="FollowedHyperlink"/>
    <w:basedOn w:val="DefaultParagraphFont"/>
    <w:uiPriority w:val="99"/>
    <w:semiHidden/>
    <w:unhideWhenUsed/>
    <w:rsid w:val="002F6F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38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oplesafe.co.uk/blogs/do-employers-have-a-duty-of-care-to-employees/" TargetMode="External"/><Relationship Id="rId13" Type="http://schemas.openxmlformats.org/officeDocument/2006/relationships/hyperlink" Target="https://www.legislation.gov.uk/ukpga/2014/23/part/1/crossheading/general-responsibilities-of-local-authorities/enacted" TargetMode="External"/><Relationship Id="rId18" Type="http://schemas.openxmlformats.org/officeDocument/2006/relationships/hyperlink" Target="https://uollb.com/blog/law/legal-causation-vs-factual-causatio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cas.org.uk/employment-contracts-and-the-law/employer-and-employee-duties" TargetMode="External"/><Relationship Id="rId12" Type="http://schemas.openxmlformats.org/officeDocument/2006/relationships/hyperlink" Target="https://www.legislation.gov.uk/uksi/1999/3242/contents/made" TargetMode="External"/><Relationship Id="rId17" Type="http://schemas.openxmlformats.org/officeDocument/2006/relationships/hyperlink" Target="https://www.lexisnexis.co.uk/legal/guidance/the-employers-duty-of-care" TargetMode="External"/><Relationship Id="rId2" Type="http://schemas.openxmlformats.org/officeDocument/2006/relationships/styles" Target="styles.xml"/><Relationship Id="rId16" Type="http://schemas.openxmlformats.org/officeDocument/2006/relationships/hyperlink" Target="https://www.rcn.org.uk/Get-Help/RCN-advice/duty-of-car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1974/37/contents" TargetMode="External"/><Relationship Id="rId5" Type="http://schemas.openxmlformats.org/officeDocument/2006/relationships/footnotes" Target="footnotes.xml"/><Relationship Id="rId15" Type="http://schemas.openxmlformats.org/officeDocument/2006/relationships/hyperlink" Target="https://legal.thomsonreuters.com/en/insights/white-papers/personal-liability-are-you-prepare-to-be-held-personally-responsible" TargetMode="External"/><Relationship Id="rId10" Type="http://schemas.openxmlformats.org/officeDocument/2006/relationships/hyperlink" Target="https://legal-dictionary.thefreedictionary.com/vicarious+liability"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orbes.com/advisor/legal/personal-injury/vicarious-liability/" TargetMode="External"/><Relationship Id="rId14" Type="http://schemas.openxmlformats.org/officeDocument/2006/relationships/hyperlink" Target="https://www.gadsbywicks.co.uk/insights/medical-negligence/the-4-ds-medical-negligence-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13889</TotalTime>
  <Pages>5</Pages>
  <Words>2513</Words>
  <Characters>14329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Louise</dc:creator>
  <cp:keywords/>
  <dc:description/>
  <cp:lastModifiedBy>Shannon Louise</cp:lastModifiedBy>
  <cp:revision>107</cp:revision>
  <dcterms:created xsi:type="dcterms:W3CDTF">2024-01-07T10:28:00Z</dcterms:created>
  <dcterms:modified xsi:type="dcterms:W3CDTF">2024-01-25T12:56:00Z</dcterms:modified>
</cp:coreProperties>
</file>