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B5896" w14:textId="5A35F6BC" w:rsidR="007E7745" w:rsidRPr="004A6F1D" w:rsidRDefault="007E7745" w:rsidP="00C03A91">
      <w:pPr>
        <w:spacing w:line="360" w:lineRule="auto"/>
        <w:rPr>
          <w:rFonts w:ascii="Arial" w:hAnsi="Arial" w:cs="Arial"/>
        </w:rPr>
      </w:pPr>
    </w:p>
    <w:p w14:paraId="365DE405" w14:textId="77777777" w:rsidR="00EB12BC" w:rsidRPr="004A6F1D" w:rsidRDefault="00EB12BC" w:rsidP="00C03A91">
      <w:pPr>
        <w:spacing w:line="360" w:lineRule="auto"/>
        <w:rPr>
          <w:rFonts w:ascii="Arial" w:hAnsi="Arial" w:cs="Arial"/>
          <w:szCs w:val="24"/>
        </w:rPr>
      </w:pPr>
      <w:r w:rsidRPr="004A6F1D">
        <w:rPr>
          <w:rFonts w:ascii="Arial" w:hAnsi="Arial" w:cs="Arial"/>
          <w:noProof/>
          <w:szCs w:val="24"/>
          <w:lang w:val="en-US"/>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4A6F1D" w:rsidRDefault="00EB12BC" w:rsidP="00C03A91">
      <w:pPr>
        <w:spacing w:line="360" w:lineRule="auto"/>
        <w:rPr>
          <w:rFonts w:ascii="Arial" w:hAnsi="Arial" w:cs="Arial"/>
          <w:szCs w:val="24"/>
        </w:rPr>
      </w:pPr>
    </w:p>
    <w:p w14:paraId="0E6E9383" w14:textId="77777777" w:rsidR="00EB12BC" w:rsidRPr="004A6F1D" w:rsidRDefault="00EB12BC" w:rsidP="00C03A91">
      <w:pPr>
        <w:spacing w:line="360" w:lineRule="auto"/>
        <w:rPr>
          <w:rFonts w:ascii="Arial" w:hAnsi="Arial" w:cs="Arial"/>
          <w:szCs w:val="24"/>
        </w:rPr>
      </w:pPr>
    </w:p>
    <w:p w14:paraId="431DBF4A" w14:textId="77777777" w:rsidR="00EB12BC" w:rsidRPr="004A6F1D" w:rsidRDefault="00EB12BC" w:rsidP="00C03A91">
      <w:pPr>
        <w:spacing w:line="360" w:lineRule="auto"/>
        <w:rPr>
          <w:rFonts w:ascii="Arial" w:hAnsi="Arial" w:cs="Arial"/>
          <w:szCs w:val="24"/>
        </w:rPr>
      </w:pPr>
    </w:p>
    <w:p w14:paraId="67404449" w14:textId="77777777" w:rsidR="00EB12BC" w:rsidRPr="004A6F1D" w:rsidRDefault="00EB12BC" w:rsidP="00C03A91">
      <w:pPr>
        <w:tabs>
          <w:tab w:val="left" w:pos="6540"/>
        </w:tabs>
        <w:spacing w:line="360" w:lineRule="auto"/>
        <w:rPr>
          <w:rFonts w:ascii="Arial" w:hAnsi="Arial" w:cs="Arial"/>
          <w:sz w:val="28"/>
          <w:szCs w:val="28"/>
        </w:rPr>
      </w:pPr>
    </w:p>
    <w:p w14:paraId="27888C86" w14:textId="2CD1D7B5" w:rsidR="00EB12BC" w:rsidRPr="004A6F1D" w:rsidRDefault="00EB12BC" w:rsidP="004A6F1D">
      <w:pPr>
        <w:tabs>
          <w:tab w:val="left" w:pos="6540"/>
        </w:tabs>
        <w:spacing w:line="360" w:lineRule="auto"/>
        <w:jc w:val="center"/>
        <w:rPr>
          <w:rFonts w:ascii="Arial" w:hAnsi="Arial" w:cs="Arial"/>
          <w:sz w:val="28"/>
          <w:szCs w:val="28"/>
          <w:lang w:val="nl-NL"/>
        </w:rPr>
      </w:pPr>
      <w:r w:rsidRPr="004A6F1D">
        <w:rPr>
          <w:rFonts w:ascii="Arial" w:hAnsi="Arial" w:cs="Arial"/>
          <w:b/>
          <w:bCs/>
          <w:sz w:val="28"/>
          <w:szCs w:val="28"/>
          <w:lang w:val="nl-NL"/>
        </w:rPr>
        <w:t>Student name</w:t>
      </w:r>
      <w:r w:rsidRPr="004A6F1D">
        <w:rPr>
          <w:rFonts w:ascii="Arial" w:hAnsi="Arial" w:cs="Arial"/>
          <w:sz w:val="28"/>
          <w:szCs w:val="28"/>
          <w:lang w:val="nl-NL"/>
        </w:rPr>
        <w:t>:</w:t>
      </w:r>
      <w:r w:rsidR="006B59C8">
        <w:rPr>
          <w:rFonts w:ascii="Arial" w:hAnsi="Arial" w:cs="Arial"/>
          <w:sz w:val="28"/>
          <w:szCs w:val="28"/>
          <w:lang w:val="nl-NL"/>
        </w:rPr>
        <w:t xml:space="preserve"> Henry </w:t>
      </w:r>
      <w:proofErr w:type="spellStart"/>
      <w:r w:rsidR="006B59C8">
        <w:rPr>
          <w:rFonts w:ascii="Arial" w:hAnsi="Arial" w:cs="Arial"/>
          <w:sz w:val="28"/>
          <w:szCs w:val="28"/>
          <w:lang w:val="nl-NL"/>
        </w:rPr>
        <w:t>Wiredu</w:t>
      </w:r>
      <w:proofErr w:type="spellEnd"/>
      <w:r w:rsidR="006B59C8">
        <w:rPr>
          <w:rFonts w:ascii="Arial" w:hAnsi="Arial" w:cs="Arial"/>
          <w:sz w:val="28"/>
          <w:szCs w:val="28"/>
          <w:lang w:val="nl-NL"/>
        </w:rPr>
        <w:t xml:space="preserve"> </w:t>
      </w:r>
    </w:p>
    <w:p w14:paraId="3C83A8A7" w14:textId="3769A122" w:rsidR="00EB12BC" w:rsidRPr="004A6F1D" w:rsidRDefault="00EB12BC" w:rsidP="004A6F1D">
      <w:pPr>
        <w:tabs>
          <w:tab w:val="left" w:pos="6540"/>
        </w:tabs>
        <w:spacing w:line="360" w:lineRule="auto"/>
        <w:jc w:val="center"/>
        <w:rPr>
          <w:rFonts w:ascii="Arial" w:hAnsi="Arial" w:cs="Arial"/>
          <w:sz w:val="28"/>
          <w:szCs w:val="28"/>
          <w:lang w:val="nl-NL"/>
        </w:rPr>
      </w:pPr>
      <w:r w:rsidRPr="004A6F1D">
        <w:rPr>
          <w:rFonts w:ascii="Arial" w:hAnsi="Arial" w:cs="Arial"/>
          <w:b/>
          <w:bCs/>
          <w:sz w:val="28"/>
          <w:szCs w:val="28"/>
          <w:lang w:val="nl-NL"/>
        </w:rPr>
        <w:t>Student ID</w:t>
      </w:r>
      <w:r w:rsidRPr="004A6F1D">
        <w:rPr>
          <w:rFonts w:ascii="Arial" w:hAnsi="Arial" w:cs="Arial"/>
          <w:sz w:val="28"/>
          <w:szCs w:val="28"/>
          <w:lang w:val="nl-NL"/>
        </w:rPr>
        <w:t>:</w:t>
      </w:r>
      <w:r w:rsidR="00C3231F">
        <w:rPr>
          <w:rFonts w:ascii="Arial" w:hAnsi="Arial" w:cs="Arial"/>
          <w:sz w:val="28"/>
          <w:szCs w:val="28"/>
          <w:lang w:val="nl-NL"/>
        </w:rPr>
        <w:t xml:space="preserve"> 2429459</w:t>
      </w:r>
    </w:p>
    <w:p w14:paraId="21E9DC72" w14:textId="77777777" w:rsidR="00EB12BC" w:rsidRPr="004A6F1D" w:rsidRDefault="00EB12BC" w:rsidP="004A6F1D">
      <w:pPr>
        <w:tabs>
          <w:tab w:val="left" w:pos="6540"/>
        </w:tabs>
        <w:spacing w:line="360" w:lineRule="auto"/>
        <w:jc w:val="center"/>
        <w:rPr>
          <w:rFonts w:ascii="Arial" w:hAnsi="Arial" w:cs="Arial"/>
          <w:sz w:val="28"/>
          <w:szCs w:val="28"/>
          <w:lang w:val="nl-NL"/>
        </w:rPr>
      </w:pPr>
    </w:p>
    <w:p w14:paraId="23BAC9B9" w14:textId="6AB3055C" w:rsidR="00EB12BC" w:rsidRPr="004A6F1D" w:rsidRDefault="00EB12BC" w:rsidP="004A6F1D">
      <w:pPr>
        <w:tabs>
          <w:tab w:val="left" w:pos="6540"/>
        </w:tabs>
        <w:spacing w:line="360" w:lineRule="auto"/>
        <w:jc w:val="center"/>
        <w:rPr>
          <w:rFonts w:ascii="Arial" w:hAnsi="Arial" w:cs="Arial"/>
          <w:sz w:val="28"/>
          <w:szCs w:val="28"/>
          <w:lang w:val="nl-NL"/>
        </w:rPr>
      </w:pPr>
      <w:r w:rsidRPr="004A6F1D">
        <w:rPr>
          <w:rFonts w:ascii="Arial" w:hAnsi="Arial" w:cs="Arial"/>
          <w:b/>
          <w:bCs/>
          <w:sz w:val="28"/>
          <w:szCs w:val="28"/>
          <w:lang w:val="nl-NL"/>
        </w:rPr>
        <w:t>Module name</w:t>
      </w:r>
      <w:r w:rsidRPr="004A6F1D">
        <w:rPr>
          <w:rFonts w:ascii="Arial" w:hAnsi="Arial" w:cs="Arial"/>
          <w:sz w:val="28"/>
          <w:szCs w:val="28"/>
          <w:lang w:val="nl-NL"/>
        </w:rPr>
        <w:t>:</w:t>
      </w:r>
      <w:r w:rsidR="00434FA4">
        <w:rPr>
          <w:rFonts w:ascii="Arial" w:hAnsi="Arial" w:cs="Arial"/>
          <w:sz w:val="28"/>
          <w:szCs w:val="28"/>
          <w:lang w:val="nl-NL"/>
        </w:rPr>
        <w:t xml:space="preserve"> </w:t>
      </w:r>
      <w:r w:rsidR="00A60BA1">
        <w:rPr>
          <w:rFonts w:ascii="Arial" w:hAnsi="Arial" w:cs="Arial"/>
          <w:sz w:val="28"/>
          <w:szCs w:val="28"/>
          <w:lang w:val="nl-NL"/>
        </w:rPr>
        <w:t xml:space="preserve">Introduction to </w:t>
      </w:r>
      <w:proofErr w:type="spellStart"/>
      <w:r w:rsidR="002667D2">
        <w:rPr>
          <w:rFonts w:ascii="Arial" w:hAnsi="Arial" w:cs="Arial"/>
          <w:sz w:val="28"/>
          <w:szCs w:val="28"/>
          <w:lang w:val="nl-NL"/>
        </w:rPr>
        <w:t>Physiology</w:t>
      </w:r>
      <w:proofErr w:type="spellEnd"/>
      <w:r w:rsidR="002667D2">
        <w:rPr>
          <w:rFonts w:ascii="Arial" w:hAnsi="Arial" w:cs="Arial"/>
          <w:sz w:val="28"/>
          <w:szCs w:val="28"/>
          <w:lang w:val="nl-NL"/>
        </w:rPr>
        <w:t xml:space="preserve"> </w:t>
      </w:r>
    </w:p>
    <w:p w14:paraId="4FD97C8C" w14:textId="4BB6CAB9" w:rsidR="00EB12BC" w:rsidRPr="004A6F1D" w:rsidRDefault="00EB12BC" w:rsidP="004A6F1D">
      <w:pPr>
        <w:tabs>
          <w:tab w:val="left" w:pos="6540"/>
        </w:tabs>
        <w:spacing w:line="360" w:lineRule="auto"/>
        <w:jc w:val="center"/>
        <w:rPr>
          <w:rFonts w:ascii="Arial" w:hAnsi="Arial" w:cs="Arial"/>
          <w:sz w:val="28"/>
          <w:szCs w:val="28"/>
        </w:rPr>
      </w:pPr>
      <w:r w:rsidRPr="004A6F1D">
        <w:rPr>
          <w:rFonts w:ascii="Arial" w:hAnsi="Arial" w:cs="Arial"/>
          <w:b/>
          <w:bCs/>
          <w:sz w:val="28"/>
          <w:szCs w:val="28"/>
        </w:rPr>
        <w:t>Module code</w:t>
      </w:r>
      <w:r w:rsidRPr="004A6F1D">
        <w:rPr>
          <w:rFonts w:ascii="Arial" w:hAnsi="Arial" w:cs="Arial"/>
          <w:sz w:val="28"/>
          <w:szCs w:val="28"/>
        </w:rPr>
        <w:t>:</w:t>
      </w:r>
      <w:r w:rsidR="00E50F13">
        <w:rPr>
          <w:rFonts w:ascii="Arial" w:hAnsi="Arial" w:cs="Arial"/>
          <w:sz w:val="28"/>
          <w:szCs w:val="28"/>
        </w:rPr>
        <w:t xml:space="preserve"> </w:t>
      </w:r>
      <w:r w:rsidR="00A60BA1">
        <w:rPr>
          <w:rFonts w:ascii="Arial" w:hAnsi="Arial" w:cs="Arial"/>
          <w:sz w:val="28"/>
          <w:szCs w:val="28"/>
          <w:lang w:val="nl-NL"/>
        </w:rPr>
        <w:t>BMHP5023</w:t>
      </w:r>
    </w:p>
    <w:p w14:paraId="658BE57E" w14:textId="34E7688A" w:rsidR="00EB12BC" w:rsidRPr="004A6F1D" w:rsidRDefault="00EB12BC" w:rsidP="004A6F1D">
      <w:pPr>
        <w:tabs>
          <w:tab w:val="left" w:pos="6540"/>
        </w:tabs>
        <w:spacing w:line="360" w:lineRule="auto"/>
        <w:jc w:val="center"/>
        <w:rPr>
          <w:rFonts w:ascii="Arial" w:hAnsi="Arial" w:cs="Arial"/>
          <w:sz w:val="28"/>
          <w:szCs w:val="28"/>
        </w:rPr>
      </w:pPr>
      <w:r w:rsidRPr="004A6F1D">
        <w:rPr>
          <w:rFonts w:ascii="Arial" w:hAnsi="Arial" w:cs="Arial"/>
          <w:b/>
          <w:bCs/>
          <w:sz w:val="28"/>
          <w:szCs w:val="28"/>
        </w:rPr>
        <w:t>Lecturer name</w:t>
      </w:r>
      <w:r w:rsidR="009727E7">
        <w:rPr>
          <w:rFonts w:ascii="Arial" w:hAnsi="Arial" w:cs="Arial"/>
          <w:sz w:val="28"/>
          <w:szCs w:val="28"/>
        </w:rPr>
        <w:t>: Angela Wells</w:t>
      </w:r>
    </w:p>
    <w:p w14:paraId="5AFF31F9" w14:textId="77777777" w:rsidR="001B7A40" w:rsidRPr="004A6F1D" w:rsidRDefault="001B7A40" w:rsidP="004A6F1D">
      <w:pPr>
        <w:tabs>
          <w:tab w:val="left" w:pos="6540"/>
        </w:tabs>
        <w:spacing w:line="360" w:lineRule="auto"/>
        <w:jc w:val="center"/>
        <w:rPr>
          <w:rFonts w:ascii="Arial" w:hAnsi="Arial" w:cs="Arial"/>
          <w:b/>
          <w:bCs/>
          <w:sz w:val="28"/>
          <w:szCs w:val="28"/>
        </w:rPr>
      </w:pPr>
    </w:p>
    <w:p w14:paraId="53B923F4" w14:textId="57E52DB1" w:rsidR="001B7A40" w:rsidRPr="004A6F1D" w:rsidRDefault="001B7A40" w:rsidP="004A6F1D">
      <w:pPr>
        <w:tabs>
          <w:tab w:val="left" w:pos="6540"/>
        </w:tabs>
        <w:spacing w:line="360" w:lineRule="auto"/>
        <w:jc w:val="center"/>
        <w:rPr>
          <w:rFonts w:ascii="Arial" w:hAnsi="Arial" w:cs="Arial"/>
          <w:b/>
          <w:bCs/>
          <w:sz w:val="28"/>
          <w:szCs w:val="28"/>
        </w:rPr>
      </w:pPr>
      <w:r w:rsidRPr="004A6F1D">
        <w:rPr>
          <w:rFonts w:ascii="Arial" w:hAnsi="Arial" w:cs="Arial"/>
          <w:b/>
          <w:bCs/>
          <w:sz w:val="28"/>
          <w:szCs w:val="28"/>
        </w:rPr>
        <w:t>Assessment:</w:t>
      </w:r>
      <w:r w:rsidR="00E519CF">
        <w:rPr>
          <w:rFonts w:ascii="Arial" w:hAnsi="Arial" w:cs="Arial"/>
          <w:b/>
          <w:bCs/>
          <w:sz w:val="28"/>
          <w:szCs w:val="28"/>
        </w:rPr>
        <w:t xml:space="preserve"> </w:t>
      </w:r>
      <w:r w:rsidR="00BD7826">
        <w:rPr>
          <w:rFonts w:ascii="Arial" w:hAnsi="Arial" w:cs="Arial"/>
          <w:b/>
          <w:bCs/>
          <w:sz w:val="28"/>
          <w:szCs w:val="28"/>
        </w:rPr>
        <w:t xml:space="preserve">Case Study Report </w:t>
      </w:r>
    </w:p>
    <w:p w14:paraId="36E012A0" w14:textId="5B56EC2E" w:rsidR="004A6F1D" w:rsidRDefault="004A6F1D">
      <w:pPr>
        <w:rPr>
          <w:rFonts w:ascii="Arial" w:hAnsi="Arial" w:cs="Arial"/>
          <w:sz w:val="28"/>
          <w:szCs w:val="28"/>
        </w:rPr>
      </w:pPr>
      <w:r>
        <w:rPr>
          <w:rFonts w:ascii="Arial" w:hAnsi="Arial" w:cs="Arial"/>
          <w:sz w:val="28"/>
          <w:szCs w:val="28"/>
        </w:rPr>
        <w:br w:type="page"/>
      </w:r>
    </w:p>
    <w:sdt>
      <w:sdtPr>
        <w:rPr>
          <w:rFonts w:ascii="Times New Roman" w:eastAsiaTheme="minorHAnsi" w:hAnsi="Times New Roman" w:cstheme="minorBidi"/>
          <w:color w:val="auto"/>
          <w:sz w:val="24"/>
          <w:szCs w:val="22"/>
          <w:lang w:val="en-GB"/>
        </w:rPr>
        <w:id w:val="1831323385"/>
        <w:docPartObj>
          <w:docPartGallery w:val="Table of Contents"/>
          <w:docPartUnique/>
        </w:docPartObj>
      </w:sdtPr>
      <w:sdtEndPr>
        <w:rPr>
          <w:b/>
          <w:bCs/>
          <w:noProof/>
        </w:rPr>
      </w:sdtEndPr>
      <w:sdtContent>
        <w:p w14:paraId="67F062DB" w14:textId="5BB1298D" w:rsidR="004A6F1D" w:rsidRDefault="004A6F1D">
          <w:pPr>
            <w:pStyle w:val="TOCHeading"/>
          </w:pPr>
          <w:r w:rsidRPr="004A6F1D">
            <w:rPr>
              <w:b/>
              <w:color w:val="auto"/>
            </w:rPr>
            <w:t>Table of Contents</w:t>
          </w:r>
        </w:p>
        <w:p w14:paraId="3B6CA507" w14:textId="77777777" w:rsidR="004A6F1D" w:rsidRDefault="004A6F1D">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222247398" w:history="1">
            <w:r w:rsidRPr="00D720AE">
              <w:rPr>
                <w:rStyle w:val="Hyperlink"/>
                <w:rFonts w:cs="Arial"/>
                <w:noProof/>
              </w:rPr>
              <w:t>1. Introduction</w:t>
            </w:r>
            <w:r>
              <w:rPr>
                <w:noProof/>
                <w:webHidden/>
              </w:rPr>
              <w:tab/>
            </w:r>
            <w:r>
              <w:rPr>
                <w:noProof/>
                <w:webHidden/>
              </w:rPr>
              <w:fldChar w:fldCharType="begin"/>
            </w:r>
            <w:r>
              <w:rPr>
                <w:noProof/>
                <w:webHidden/>
              </w:rPr>
              <w:instrText xml:space="preserve"> PAGEREF _Toc222247398 \h </w:instrText>
            </w:r>
            <w:r>
              <w:rPr>
                <w:noProof/>
                <w:webHidden/>
              </w:rPr>
            </w:r>
            <w:r>
              <w:rPr>
                <w:noProof/>
                <w:webHidden/>
              </w:rPr>
              <w:fldChar w:fldCharType="separate"/>
            </w:r>
            <w:r>
              <w:rPr>
                <w:noProof/>
                <w:webHidden/>
              </w:rPr>
              <w:t>3</w:t>
            </w:r>
            <w:r>
              <w:rPr>
                <w:noProof/>
                <w:webHidden/>
              </w:rPr>
              <w:fldChar w:fldCharType="end"/>
            </w:r>
          </w:hyperlink>
        </w:p>
        <w:p w14:paraId="5203C4CD" w14:textId="77777777" w:rsidR="004A6F1D" w:rsidRDefault="004A6F1D">
          <w:pPr>
            <w:pStyle w:val="TOC1"/>
            <w:tabs>
              <w:tab w:val="right" w:leader="dot" w:pos="9016"/>
            </w:tabs>
            <w:rPr>
              <w:noProof/>
            </w:rPr>
          </w:pPr>
          <w:hyperlink w:anchor="_Toc222247399" w:history="1">
            <w:r w:rsidRPr="00D720AE">
              <w:rPr>
                <w:rStyle w:val="Hyperlink"/>
                <w:rFonts w:cs="Arial"/>
                <w:noProof/>
              </w:rPr>
              <w:t>2. Blood Sugar Regulation</w:t>
            </w:r>
            <w:r>
              <w:rPr>
                <w:noProof/>
                <w:webHidden/>
              </w:rPr>
              <w:tab/>
            </w:r>
            <w:r>
              <w:rPr>
                <w:noProof/>
                <w:webHidden/>
              </w:rPr>
              <w:fldChar w:fldCharType="begin"/>
            </w:r>
            <w:r>
              <w:rPr>
                <w:noProof/>
                <w:webHidden/>
              </w:rPr>
              <w:instrText xml:space="preserve"> PAGEREF _Toc222247399 \h </w:instrText>
            </w:r>
            <w:r>
              <w:rPr>
                <w:noProof/>
                <w:webHidden/>
              </w:rPr>
            </w:r>
            <w:r>
              <w:rPr>
                <w:noProof/>
                <w:webHidden/>
              </w:rPr>
              <w:fldChar w:fldCharType="separate"/>
            </w:r>
            <w:r>
              <w:rPr>
                <w:noProof/>
                <w:webHidden/>
              </w:rPr>
              <w:t>3</w:t>
            </w:r>
            <w:r>
              <w:rPr>
                <w:noProof/>
                <w:webHidden/>
              </w:rPr>
              <w:fldChar w:fldCharType="end"/>
            </w:r>
          </w:hyperlink>
        </w:p>
        <w:p w14:paraId="75A1BC58" w14:textId="77777777" w:rsidR="004A6F1D" w:rsidRDefault="004A6F1D">
          <w:pPr>
            <w:pStyle w:val="TOC1"/>
            <w:tabs>
              <w:tab w:val="right" w:leader="dot" w:pos="9016"/>
            </w:tabs>
            <w:rPr>
              <w:noProof/>
            </w:rPr>
          </w:pPr>
          <w:hyperlink w:anchor="_Toc222247400" w:history="1">
            <w:r w:rsidRPr="00D720AE">
              <w:rPr>
                <w:rStyle w:val="Hyperlink"/>
                <w:rFonts w:cs="Arial"/>
                <w:noProof/>
              </w:rPr>
              <w:t>3. Cellular Metabolism</w:t>
            </w:r>
            <w:r>
              <w:rPr>
                <w:noProof/>
                <w:webHidden/>
              </w:rPr>
              <w:tab/>
            </w:r>
            <w:r>
              <w:rPr>
                <w:noProof/>
                <w:webHidden/>
              </w:rPr>
              <w:fldChar w:fldCharType="begin"/>
            </w:r>
            <w:r>
              <w:rPr>
                <w:noProof/>
                <w:webHidden/>
              </w:rPr>
              <w:instrText xml:space="preserve"> PAGEREF _Toc222247400 \h </w:instrText>
            </w:r>
            <w:r>
              <w:rPr>
                <w:noProof/>
                <w:webHidden/>
              </w:rPr>
            </w:r>
            <w:r>
              <w:rPr>
                <w:noProof/>
                <w:webHidden/>
              </w:rPr>
              <w:fldChar w:fldCharType="separate"/>
            </w:r>
            <w:r>
              <w:rPr>
                <w:noProof/>
                <w:webHidden/>
              </w:rPr>
              <w:t>4</w:t>
            </w:r>
            <w:r>
              <w:rPr>
                <w:noProof/>
                <w:webHidden/>
              </w:rPr>
              <w:fldChar w:fldCharType="end"/>
            </w:r>
          </w:hyperlink>
        </w:p>
        <w:p w14:paraId="58C36DEF" w14:textId="77777777" w:rsidR="004A6F1D" w:rsidRDefault="004A6F1D">
          <w:pPr>
            <w:pStyle w:val="TOC1"/>
            <w:tabs>
              <w:tab w:val="right" w:leader="dot" w:pos="9016"/>
            </w:tabs>
            <w:rPr>
              <w:noProof/>
            </w:rPr>
          </w:pPr>
          <w:hyperlink w:anchor="_Toc222247401" w:history="1">
            <w:r w:rsidRPr="00D720AE">
              <w:rPr>
                <w:rStyle w:val="Hyperlink"/>
                <w:rFonts w:cs="Arial"/>
                <w:noProof/>
              </w:rPr>
              <w:t>4. Recording and tracking blood sugar levels for type 2 diabetes</w:t>
            </w:r>
            <w:r>
              <w:rPr>
                <w:noProof/>
                <w:webHidden/>
              </w:rPr>
              <w:tab/>
            </w:r>
            <w:r>
              <w:rPr>
                <w:noProof/>
                <w:webHidden/>
              </w:rPr>
              <w:fldChar w:fldCharType="begin"/>
            </w:r>
            <w:r>
              <w:rPr>
                <w:noProof/>
                <w:webHidden/>
              </w:rPr>
              <w:instrText xml:space="preserve"> PAGEREF _Toc222247401 \h </w:instrText>
            </w:r>
            <w:r>
              <w:rPr>
                <w:noProof/>
                <w:webHidden/>
              </w:rPr>
            </w:r>
            <w:r>
              <w:rPr>
                <w:noProof/>
                <w:webHidden/>
              </w:rPr>
              <w:fldChar w:fldCharType="separate"/>
            </w:r>
            <w:r>
              <w:rPr>
                <w:noProof/>
                <w:webHidden/>
              </w:rPr>
              <w:t>5</w:t>
            </w:r>
            <w:r>
              <w:rPr>
                <w:noProof/>
                <w:webHidden/>
              </w:rPr>
              <w:fldChar w:fldCharType="end"/>
            </w:r>
          </w:hyperlink>
        </w:p>
        <w:p w14:paraId="5C5D4E4D" w14:textId="77777777" w:rsidR="004A6F1D" w:rsidRDefault="004A6F1D">
          <w:pPr>
            <w:pStyle w:val="TOC1"/>
            <w:tabs>
              <w:tab w:val="right" w:leader="dot" w:pos="9016"/>
            </w:tabs>
            <w:rPr>
              <w:noProof/>
            </w:rPr>
          </w:pPr>
          <w:hyperlink w:anchor="_Toc222247402" w:history="1">
            <w:r w:rsidRPr="00D720AE">
              <w:rPr>
                <w:rStyle w:val="Hyperlink"/>
                <w:rFonts w:cs="Arial"/>
                <w:noProof/>
              </w:rPr>
              <w:t>5. Recommendations</w:t>
            </w:r>
            <w:r>
              <w:rPr>
                <w:noProof/>
                <w:webHidden/>
              </w:rPr>
              <w:tab/>
            </w:r>
            <w:r>
              <w:rPr>
                <w:noProof/>
                <w:webHidden/>
              </w:rPr>
              <w:fldChar w:fldCharType="begin"/>
            </w:r>
            <w:r>
              <w:rPr>
                <w:noProof/>
                <w:webHidden/>
              </w:rPr>
              <w:instrText xml:space="preserve"> PAGEREF _Toc222247402 \h </w:instrText>
            </w:r>
            <w:r>
              <w:rPr>
                <w:noProof/>
                <w:webHidden/>
              </w:rPr>
            </w:r>
            <w:r>
              <w:rPr>
                <w:noProof/>
                <w:webHidden/>
              </w:rPr>
              <w:fldChar w:fldCharType="separate"/>
            </w:r>
            <w:r>
              <w:rPr>
                <w:noProof/>
                <w:webHidden/>
              </w:rPr>
              <w:t>6</w:t>
            </w:r>
            <w:r>
              <w:rPr>
                <w:noProof/>
                <w:webHidden/>
              </w:rPr>
              <w:fldChar w:fldCharType="end"/>
            </w:r>
          </w:hyperlink>
        </w:p>
        <w:p w14:paraId="0291D012" w14:textId="77777777" w:rsidR="004A6F1D" w:rsidRDefault="004A6F1D">
          <w:pPr>
            <w:pStyle w:val="TOC2"/>
            <w:tabs>
              <w:tab w:val="right" w:leader="dot" w:pos="9016"/>
            </w:tabs>
            <w:rPr>
              <w:noProof/>
            </w:rPr>
          </w:pPr>
          <w:hyperlink w:anchor="_Toc222247403" w:history="1">
            <w:r w:rsidRPr="00D720AE">
              <w:rPr>
                <w:rStyle w:val="Hyperlink"/>
                <w:noProof/>
                <w:lang w:val="en-US"/>
              </w:rPr>
              <w:t>5.1 Smoking Cessation</w:t>
            </w:r>
            <w:r>
              <w:rPr>
                <w:noProof/>
                <w:webHidden/>
              </w:rPr>
              <w:tab/>
            </w:r>
            <w:r>
              <w:rPr>
                <w:noProof/>
                <w:webHidden/>
              </w:rPr>
              <w:fldChar w:fldCharType="begin"/>
            </w:r>
            <w:r>
              <w:rPr>
                <w:noProof/>
                <w:webHidden/>
              </w:rPr>
              <w:instrText xml:space="preserve"> PAGEREF _Toc222247403 \h </w:instrText>
            </w:r>
            <w:r>
              <w:rPr>
                <w:noProof/>
                <w:webHidden/>
              </w:rPr>
            </w:r>
            <w:r>
              <w:rPr>
                <w:noProof/>
                <w:webHidden/>
              </w:rPr>
              <w:fldChar w:fldCharType="separate"/>
            </w:r>
            <w:r>
              <w:rPr>
                <w:noProof/>
                <w:webHidden/>
              </w:rPr>
              <w:t>6</w:t>
            </w:r>
            <w:r>
              <w:rPr>
                <w:noProof/>
                <w:webHidden/>
              </w:rPr>
              <w:fldChar w:fldCharType="end"/>
            </w:r>
          </w:hyperlink>
        </w:p>
        <w:p w14:paraId="2EE7EBD3" w14:textId="77777777" w:rsidR="004A6F1D" w:rsidRDefault="004A6F1D">
          <w:pPr>
            <w:pStyle w:val="TOC2"/>
            <w:tabs>
              <w:tab w:val="right" w:leader="dot" w:pos="9016"/>
            </w:tabs>
            <w:rPr>
              <w:noProof/>
            </w:rPr>
          </w:pPr>
          <w:hyperlink w:anchor="_Toc222247404" w:history="1">
            <w:r w:rsidRPr="00D720AE">
              <w:rPr>
                <w:rStyle w:val="Hyperlink"/>
                <w:noProof/>
                <w:lang w:val="en-US"/>
              </w:rPr>
              <w:t>5.2 Dietary Modification</w:t>
            </w:r>
            <w:r>
              <w:rPr>
                <w:noProof/>
                <w:webHidden/>
              </w:rPr>
              <w:tab/>
            </w:r>
            <w:r>
              <w:rPr>
                <w:noProof/>
                <w:webHidden/>
              </w:rPr>
              <w:fldChar w:fldCharType="begin"/>
            </w:r>
            <w:r>
              <w:rPr>
                <w:noProof/>
                <w:webHidden/>
              </w:rPr>
              <w:instrText xml:space="preserve"> PAGEREF _Toc222247404 \h </w:instrText>
            </w:r>
            <w:r>
              <w:rPr>
                <w:noProof/>
                <w:webHidden/>
              </w:rPr>
            </w:r>
            <w:r>
              <w:rPr>
                <w:noProof/>
                <w:webHidden/>
              </w:rPr>
              <w:fldChar w:fldCharType="separate"/>
            </w:r>
            <w:r>
              <w:rPr>
                <w:noProof/>
                <w:webHidden/>
              </w:rPr>
              <w:t>7</w:t>
            </w:r>
            <w:r>
              <w:rPr>
                <w:noProof/>
                <w:webHidden/>
              </w:rPr>
              <w:fldChar w:fldCharType="end"/>
            </w:r>
          </w:hyperlink>
        </w:p>
        <w:p w14:paraId="124EDAB8" w14:textId="77777777" w:rsidR="004A6F1D" w:rsidRDefault="004A6F1D">
          <w:pPr>
            <w:pStyle w:val="TOC2"/>
            <w:tabs>
              <w:tab w:val="right" w:leader="dot" w:pos="9016"/>
            </w:tabs>
            <w:rPr>
              <w:noProof/>
            </w:rPr>
          </w:pPr>
          <w:hyperlink w:anchor="_Toc222247405" w:history="1">
            <w:r w:rsidRPr="00D720AE">
              <w:rPr>
                <w:rStyle w:val="Hyperlink"/>
                <w:noProof/>
                <w:lang w:val="en-US"/>
              </w:rPr>
              <w:t>5.3 Physical Activity</w:t>
            </w:r>
            <w:r>
              <w:rPr>
                <w:noProof/>
                <w:webHidden/>
              </w:rPr>
              <w:tab/>
            </w:r>
            <w:r>
              <w:rPr>
                <w:noProof/>
                <w:webHidden/>
              </w:rPr>
              <w:fldChar w:fldCharType="begin"/>
            </w:r>
            <w:r>
              <w:rPr>
                <w:noProof/>
                <w:webHidden/>
              </w:rPr>
              <w:instrText xml:space="preserve"> PAGEREF _Toc222247405 \h </w:instrText>
            </w:r>
            <w:r>
              <w:rPr>
                <w:noProof/>
                <w:webHidden/>
              </w:rPr>
            </w:r>
            <w:r>
              <w:rPr>
                <w:noProof/>
                <w:webHidden/>
              </w:rPr>
              <w:fldChar w:fldCharType="separate"/>
            </w:r>
            <w:r>
              <w:rPr>
                <w:noProof/>
                <w:webHidden/>
              </w:rPr>
              <w:t>7</w:t>
            </w:r>
            <w:r>
              <w:rPr>
                <w:noProof/>
                <w:webHidden/>
              </w:rPr>
              <w:fldChar w:fldCharType="end"/>
            </w:r>
          </w:hyperlink>
        </w:p>
        <w:p w14:paraId="76297FE2" w14:textId="77777777" w:rsidR="004A6F1D" w:rsidRDefault="004A6F1D">
          <w:pPr>
            <w:pStyle w:val="TOC1"/>
            <w:tabs>
              <w:tab w:val="right" w:leader="dot" w:pos="9016"/>
            </w:tabs>
            <w:rPr>
              <w:noProof/>
            </w:rPr>
          </w:pPr>
          <w:hyperlink w:anchor="_Toc222247406" w:history="1">
            <w:r w:rsidRPr="00D720AE">
              <w:rPr>
                <w:rStyle w:val="Hyperlink"/>
                <w:rFonts w:cs="Arial"/>
                <w:noProof/>
              </w:rPr>
              <w:t>6. Conclusion</w:t>
            </w:r>
            <w:r>
              <w:rPr>
                <w:noProof/>
                <w:webHidden/>
              </w:rPr>
              <w:tab/>
            </w:r>
            <w:r>
              <w:rPr>
                <w:noProof/>
                <w:webHidden/>
              </w:rPr>
              <w:fldChar w:fldCharType="begin"/>
            </w:r>
            <w:r>
              <w:rPr>
                <w:noProof/>
                <w:webHidden/>
              </w:rPr>
              <w:instrText xml:space="preserve"> PAGEREF _Toc222247406 \h </w:instrText>
            </w:r>
            <w:r>
              <w:rPr>
                <w:noProof/>
                <w:webHidden/>
              </w:rPr>
            </w:r>
            <w:r>
              <w:rPr>
                <w:noProof/>
                <w:webHidden/>
              </w:rPr>
              <w:fldChar w:fldCharType="separate"/>
            </w:r>
            <w:r>
              <w:rPr>
                <w:noProof/>
                <w:webHidden/>
              </w:rPr>
              <w:t>8</w:t>
            </w:r>
            <w:r>
              <w:rPr>
                <w:noProof/>
                <w:webHidden/>
              </w:rPr>
              <w:fldChar w:fldCharType="end"/>
            </w:r>
          </w:hyperlink>
        </w:p>
        <w:p w14:paraId="311C0666" w14:textId="77777777" w:rsidR="004A6F1D" w:rsidRDefault="004A6F1D">
          <w:pPr>
            <w:pStyle w:val="TOC1"/>
            <w:tabs>
              <w:tab w:val="right" w:leader="dot" w:pos="9016"/>
            </w:tabs>
            <w:rPr>
              <w:noProof/>
            </w:rPr>
          </w:pPr>
          <w:hyperlink w:anchor="_Toc222247407" w:history="1">
            <w:r w:rsidRPr="00D720AE">
              <w:rPr>
                <w:rStyle w:val="Hyperlink"/>
                <w:noProof/>
              </w:rPr>
              <w:t>7. References</w:t>
            </w:r>
            <w:r>
              <w:rPr>
                <w:noProof/>
                <w:webHidden/>
              </w:rPr>
              <w:tab/>
            </w:r>
            <w:r>
              <w:rPr>
                <w:noProof/>
                <w:webHidden/>
              </w:rPr>
              <w:fldChar w:fldCharType="begin"/>
            </w:r>
            <w:r>
              <w:rPr>
                <w:noProof/>
                <w:webHidden/>
              </w:rPr>
              <w:instrText xml:space="preserve"> PAGEREF _Toc222247407 \h </w:instrText>
            </w:r>
            <w:r>
              <w:rPr>
                <w:noProof/>
                <w:webHidden/>
              </w:rPr>
            </w:r>
            <w:r>
              <w:rPr>
                <w:noProof/>
                <w:webHidden/>
              </w:rPr>
              <w:fldChar w:fldCharType="separate"/>
            </w:r>
            <w:r>
              <w:rPr>
                <w:noProof/>
                <w:webHidden/>
              </w:rPr>
              <w:t>9</w:t>
            </w:r>
            <w:r>
              <w:rPr>
                <w:noProof/>
                <w:webHidden/>
              </w:rPr>
              <w:fldChar w:fldCharType="end"/>
            </w:r>
          </w:hyperlink>
        </w:p>
        <w:p w14:paraId="0C0D6C24" w14:textId="1B2E564B" w:rsidR="004A6F1D" w:rsidRDefault="004A6F1D">
          <w:r>
            <w:rPr>
              <w:b/>
              <w:bCs/>
              <w:noProof/>
            </w:rPr>
            <w:fldChar w:fldCharType="end"/>
          </w:r>
        </w:p>
      </w:sdtContent>
    </w:sdt>
    <w:p w14:paraId="30AF7D40" w14:textId="77777777" w:rsidR="000C4EDA" w:rsidRPr="004A6F1D" w:rsidRDefault="000C4EDA" w:rsidP="00C03A91">
      <w:pPr>
        <w:tabs>
          <w:tab w:val="left" w:pos="6540"/>
        </w:tabs>
        <w:spacing w:line="360" w:lineRule="auto"/>
        <w:rPr>
          <w:rFonts w:ascii="Arial" w:hAnsi="Arial" w:cs="Arial"/>
          <w:sz w:val="28"/>
          <w:szCs w:val="28"/>
        </w:rPr>
      </w:pPr>
    </w:p>
    <w:p w14:paraId="60C916A4" w14:textId="1D768040" w:rsidR="000C4EDA" w:rsidRPr="004A6F1D" w:rsidRDefault="000C4EDA" w:rsidP="00C03A91">
      <w:pPr>
        <w:spacing w:line="360" w:lineRule="auto"/>
        <w:rPr>
          <w:rFonts w:ascii="Arial" w:hAnsi="Arial" w:cs="Arial"/>
          <w:sz w:val="28"/>
          <w:szCs w:val="28"/>
        </w:rPr>
      </w:pPr>
      <w:r w:rsidRPr="004A6F1D">
        <w:rPr>
          <w:rFonts w:ascii="Arial" w:hAnsi="Arial" w:cs="Arial"/>
          <w:sz w:val="28"/>
          <w:szCs w:val="28"/>
        </w:rPr>
        <w:br w:type="page"/>
      </w:r>
    </w:p>
    <w:p w14:paraId="442A8432" w14:textId="20361020" w:rsidR="000C4EDA" w:rsidRPr="004A6F1D" w:rsidRDefault="000C4EDA" w:rsidP="00C03A91">
      <w:pPr>
        <w:pStyle w:val="Heading1"/>
        <w:spacing w:line="360" w:lineRule="auto"/>
        <w:rPr>
          <w:rFonts w:cs="Arial"/>
        </w:rPr>
      </w:pPr>
      <w:bookmarkStart w:id="0" w:name="_Toc222247398"/>
      <w:r w:rsidRPr="004A6F1D">
        <w:rPr>
          <w:rFonts w:cs="Arial"/>
        </w:rPr>
        <w:lastRenderedPageBreak/>
        <w:t>1. Introduction</w:t>
      </w:r>
      <w:bookmarkEnd w:id="0"/>
      <w:r w:rsidR="00C03A91" w:rsidRPr="004A6F1D">
        <w:rPr>
          <w:rFonts w:cs="Arial"/>
        </w:rPr>
        <w:t xml:space="preserve"> </w:t>
      </w:r>
    </w:p>
    <w:p w14:paraId="669C05BB" w14:textId="77777777" w:rsidR="004A6F1D" w:rsidRPr="004A6F1D" w:rsidRDefault="004A6F1D" w:rsidP="004A6F1D">
      <w:pPr>
        <w:tabs>
          <w:tab w:val="left" w:pos="6540"/>
        </w:tabs>
        <w:spacing w:line="360" w:lineRule="auto"/>
        <w:rPr>
          <w:rFonts w:ascii="Arial" w:hAnsi="Arial" w:cs="Arial"/>
          <w:lang w:val="en-US"/>
        </w:rPr>
      </w:pPr>
      <w:r w:rsidRPr="004A6F1D">
        <w:rPr>
          <w:rFonts w:ascii="Arial" w:hAnsi="Arial" w:cs="Arial"/>
          <w:lang w:val="en-US"/>
        </w:rPr>
        <w:t>Diabetes mellitus is a long-term metabolic condition that is defined by the constant high level of blood glucose (</w:t>
      </w:r>
      <w:proofErr w:type="spellStart"/>
      <w:r w:rsidRPr="004A6F1D">
        <w:rPr>
          <w:rFonts w:ascii="Arial" w:hAnsi="Arial" w:cs="Arial"/>
          <w:lang w:val="en-US"/>
        </w:rPr>
        <w:t>hyperglycaemia</w:t>
      </w:r>
      <w:proofErr w:type="spellEnd"/>
      <w:r w:rsidRPr="004A6F1D">
        <w:rPr>
          <w:rFonts w:ascii="Arial" w:hAnsi="Arial" w:cs="Arial"/>
          <w:lang w:val="en-US"/>
        </w:rPr>
        <w:t xml:space="preserve">), which may occur due to lack of sufficient insulin secretion or because of the inability of the body to react on insulin depending on its presence (World Health Organisation, 2024). The WHO estimated the number of adults living with diabetes has increased to 14% across the world in 2022, more than twice the figure in 1990 and in 2021 alone the condition had claimed 1.6 million lives, of which more than half were below the age of 70 (WHO, 2024). These statistics are seen in daily clinical practise as a practise nurse working in a busy GP surgery, and the proper understanding of the underlying physiology is the key to assisting patients with containing their condition to be safe. Type 1 diabetes is an autoimmune disease that involves the method of insulin therapy throughout the life of an individual, whereas Type 2 diabetes (T2DM), which comprises about 90% of all cases in the world is a condition of progressive insulin resistance and relative insulin deficiency (Goyal et al., 2023). </w:t>
      </w:r>
    </w:p>
    <w:p w14:paraId="6AFAC76D" w14:textId="5DF30649" w:rsidR="00C03A91" w:rsidRPr="004A6F1D" w:rsidRDefault="004A6F1D" w:rsidP="00C03A91">
      <w:pPr>
        <w:tabs>
          <w:tab w:val="left" w:pos="6540"/>
        </w:tabs>
        <w:spacing w:line="360" w:lineRule="auto"/>
        <w:rPr>
          <w:rFonts w:ascii="Arial" w:hAnsi="Arial" w:cs="Arial"/>
          <w:lang w:val="en-US"/>
        </w:rPr>
      </w:pPr>
      <w:r w:rsidRPr="004A6F1D">
        <w:rPr>
          <w:rFonts w:ascii="Arial" w:hAnsi="Arial" w:cs="Arial"/>
          <w:lang w:val="en-US"/>
        </w:rPr>
        <w:t xml:space="preserve">There is established knowledge on risk factors of T2DM. Excess body weight, especially in adiposity in the visceral cavity is the biggest risk factor that can be changed and directly </w:t>
      </w:r>
      <w:proofErr w:type="spellStart"/>
      <w:r w:rsidRPr="004A6F1D">
        <w:rPr>
          <w:rFonts w:ascii="Arial" w:hAnsi="Arial" w:cs="Arial"/>
          <w:lang w:val="en-US"/>
        </w:rPr>
        <w:t>favours</w:t>
      </w:r>
      <w:proofErr w:type="spellEnd"/>
      <w:r w:rsidRPr="004A6F1D">
        <w:rPr>
          <w:rFonts w:ascii="Arial" w:hAnsi="Arial" w:cs="Arial"/>
          <w:lang w:val="en-US"/>
        </w:rPr>
        <w:t xml:space="preserve"> insulin resistance. This is compounded by physical inactivity, high carbohydrate content diet, cigarette smoking, and old age. Such non-modifiable factors include ethnicity such as South Asian, African-Caribbean, and Black African heritage are at increased risk, and family history as well (World Health Organisation, 2024). More importantly, lifestyle modification is one of the most effective measures of T2DM prevention, which means that educating the patients is a necessary element of any treatment strategy (</w:t>
      </w:r>
      <w:r w:rsidRPr="004A6F1D">
        <w:rPr>
          <w:rFonts w:ascii="Arial" w:hAnsi="Arial" w:cs="Arial"/>
        </w:rPr>
        <w:t>Rosenfeld et al., 2025</w:t>
      </w:r>
      <w:r w:rsidRPr="004A6F1D">
        <w:rPr>
          <w:rFonts w:ascii="Arial" w:hAnsi="Arial" w:cs="Arial"/>
          <w:lang w:val="en-US"/>
        </w:rPr>
        <w:t>). Hence, critical and extended attention is paid to Type 2 diabetes explicitly in this report exploring different contributing factors and making relevant recommendations accordingly.</w:t>
      </w:r>
    </w:p>
    <w:p w14:paraId="2D95E97C" w14:textId="0116D9CF" w:rsidR="00C03A91" w:rsidRPr="004A6F1D" w:rsidRDefault="00C03A91" w:rsidP="00C03A91">
      <w:pPr>
        <w:pStyle w:val="Heading1"/>
        <w:spacing w:line="360" w:lineRule="auto"/>
        <w:rPr>
          <w:rFonts w:cs="Arial"/>
        </w:rPr>
      </w:pPr>
      <w:bookmarkStart w:id="1" w:name="_Toc222247399"/>
      <w:r w:rsidRPr="004A6F1D">
        <w:rPr>
          <w:rFonts w:cs="Arial"/>
        </w:rPr>
        <w:t xml:space="preserve">2. </w:t>
      </w:r>
      <w:r w:rsidR="00FD7392" w:rsidRPr="004A6F1D">
        <w:rPr>
          <w:rFonts w:cs="Arial"/>
        </w:rPr>
        <w:t>Blood Sugar Regulation</w:t>
      </w:r>
      <w:bookmarkEnd w:id="1"/>
    </w:p>
    <w:p w14:paraId="6F9B67A7" w14:textId="77777777" w:rsidR="004A6F1D" w:rsidRPr="004A6F1D" w:rsidRDefault="004A6F1D" w:rsidP="004A6F1D">
      <w:pPr>
        <w:tabs>
          <w:tab w:val="left" w:pos="6540"/>
        </w:tabs>
        <w:spacing w:line="360" w:lineRule="auto"/>
        <w:rPr>
          <w:rFonts w:ascii="Arial" w:hAnsi="Arial" w:cs="Arial"/>
          <w:lang w:val="en-US"/>
        </w:rPr>
      </w:pPr>
      <w:r w:rsidRPr="004A6F1D">
        <w:rPr>
          <w:rFonts w:ascii="Arial" w:hAnsi="Arial" w:cs="Arial"/>
          <w:lang w:val="en-US"/>
        </w:rPr>
        <w:t xml:space="preserve">The hormone system around the pancreatic islets of Langerhans, also referred to as Langerhans, maintains the blood glucose at about 4.0-7.8 </w:t>
      </w:r>
      <w:proofErr w:type="spellStart"/>
      <w:r w:rsidRPr="004A6F1D">
        <w:rPr>
          <w:rFonts w:ascii="Arial" w:hAnsi="Arial" w:cs="Arial"/>
          <w:lang w:val="en-US"/>
        </w:rPr>
        <w:t>millimoles</w:t>
      </w:r>
      <w:proofErr w:type="spellEnd"/>
      <w:r w:rsidRPr="004A6F1D">
        <w:rPr>
          <w:rFonts w:ascii="Arial" w:hAnsi="Arial" w:cs="Arial"/>
          <w:lang w:val="en-US"/>
        </w:rPr>
        <w:t xml:space="preserve"> per </w:t>
      </w:r>
      <w:proofErr w:type="spellStart"/>
      <w:r w:rsidRPr="004A6F1D">
        <w:rPr>
          <w:rFonts w:ascii="Arial" w:hAnsi="Arial" w:cs="Arial"/>
          <w:lang w:val="en-US"/>
        </w:rPr>
        <w:t>litre</w:t>
      </w:r>
      <w:proofErr w:type="spellEnd"/>
      <w:r w:rsidRPr="004A6F1D">
        <w:rPr>
          <w:rFonts w:ascii="Arial" w:hAnsi="Arial" w:cs="Arial"/>
          <w:lang w:val="en-US"/>
        </w:rPr>
        <w:t xml:space="preserve"> (</w:t>
      </w:r>
      <w:proofErr w:type="spellStart"/>
      <w:r w:rsidRPr="004A6F1D">
        <w:rPr>
          <w:rFonts w:ascii="Arial" w:hAnsi="Arial" w:cs="Arial"/>
          <w:lang w:val="en-US"/>
        </w:rPr>
        <w:t>mmol</w:t>
      </w:r>
      <w:proofErr w:type="spellEnd"/>
      <w:r w:rsidRPr="004A6F1D">
        <w:rPr>
          <w:rFonts w:ascii="Arial" w:hAnsi="Arial" w:cs="Arial"/>
          <w:lang w:val="en-US"/>
        </w:rPr>
        <w:t>/L) (</w:t>
      </w:r>
      <w:proofErr w:type="spellStart"/>
      <w:r w:rsidRPr="004A6F1D">
        <w:rPr>
          <w:rFonts w:ascii="Arial" w:hAnsi="Arial" w:cs="Arial"/>
          <w:lang w:val="en-US"/>
        </w:rPr>
        <w:t>Hantzidiamantis</w:t>
      </w:r>
      <w:proofErr w:type="spellEnd"/>
      <w:r w:rsidRPr="004A6F1D">
        <w:rPr>
          <w:rFonts w:ascii="Arial" w:hAnsi="Arial" w:cs="Arial"/>
          <w:lang w:val="en-US"/>
        </w:rPr>
        <w:t xml:space="preserve"> et al., 2023). A glucose-induced insulin secretion of the beta cells following a meal leads to cell glucose uptake through GLUT4 transporter </w:t>
      </w:r>
      <w:r w:rsidRPr="004A6F1D">
        <w:rPr>
          <w:rFonts w:ascii="Arial" w:hAnsi="Arial" w:cs="Arial"/>
          <w:lang w:val="en-US"/>
        </w:rPr>
        <w:lastRenderedPageBreak/>
        <w:t xml:space="preserve">proteins into muscle and adipose tissues and glycogenesis (converting glucose to glycogen) in the liver. Instead, falling glucose during fasting will cause the alpha cells to secrete glucagon which stimulates </w:t>
      </w:r>
      <w:proofErr w:type="spellStart"/>
      <w:r w:rsidRPr="004A6F1D">
        <w:rPr>
          <w:rFonts w:ascii="Arial" w:hAnsi="Arial" w:cs="Arial"/>
          <w:lang w:val="en-US"/>
        </w:rPr>
        <w:t>glycogenolysis</w:t>
      </w:r>
      <w:proofErr w:type="spellEnd"/>
      <w:r w:rsidRPr="004A6F1D">
        <w:rPr>
          <w:rFonts w:ascii="Arial" w:hAnsi="Arial" w:cs="Arial"/>
          <w:lang w:val="en-US"/>
        </w:rPr>
        <w:t xml:space="preserve"> (break down of glycogen to glucose) to avoid life threatening </w:t>
      </w:r>
      <w:proofErr w:type="spellStart"/>
      <w:r w:rsidRPr="004A6F1D">
        <w:rPr>
          <w:rFonts w:ascii="Arial" w:hAnsi="Arial" w:cs="Arial"/>
          <w:lang w:val="en-US"/>
        </w:rPr>
        <w:t>hypoglycaemia</w:t>
      </w:r>
      <w:proofErr w:type="spellEnd"/>
      <w:r w:rsidRPr="004A6F1D">
        <w:rPr>
          <w:rFonts w:ascii="Arial" w:hAnsi="Arial" w:cs="Arial"/>
          <w:lang w:val="en-US"/>
        </w:rPr>
        <w:t>. This adrenal-cortisol-adrenal negative feedback loop is responsible in keeping metabolic homeostasis in a broad spectrum of physiological conditions.</w:t>
      </w:r>
    </w:p>
    <w:p w14:paraId="2D1F610C" w14:textId="193AE08B" w:rsidR="004A6F1D" w:rsidRPr="004A6F1D" w:rsidRDefault="004A6F1D" w:rsidP="00C03A91">
      <w:pPr>
        <w:tabs>
          <w:tab w:val="left" w:pos="6540"/>
        </w:tabs>
        <w:spacing w:line="360" w:lineRule="auto"/>
        <w:rPr>
          <w:rFonts w:ascii="Arial" w:hAnsi="Arial" w:cs="Arial"/>
          <w:lang w:val="en-US"/>
        </w:rPr>
      </w:pPr>
      <w:r w:rsidRPr="004A6F1D">
        <w:rPr>
          <w:rFonts w:ascii="Arial" w:hAnsi="Arial" w:cs="Arial"/>
          <w:lang w:val="en-US"/>
        </w:rPr>
        <w:t xml:space="preserve">This system fails in T2DM critically as the </w:t>
      </w:r>
      <w:proofErr w:type="spellStart"/>
      <w:r w:rsidRPr="004A6F1D">
        <w:rPr>
          <w:rFonts w:ascii="Arial" w:hAnsi="Arial" w:cs="Arial"/>
          <w:lang w:val="en-US"/>
        </w:rPr>
        <w:t>signalling</w:t>
      </w:r>
      <w:proofErr w:type="spellEnd"/>
      <w:r w:rsidRPr="004A6F1D">
        <w:rPr>
          <w:rFonts w:ascii="Arial" w:hAnsi="Arial" w:cs="Arial"/>
          <w:lang w:val="en-US"/>
        </w:rPr>
        <w:t xml:space="preserve"> of the peripheral tissues, especially the skeletal muscle, is resistant to insulin, hence glucose is unable to penetrate into cells effectively despite the presence of insulin. The pancreatic beta cells counter this by secretion of additional insulin but this is not sustainable. In the long term, beta cell wears out, the secretion of insulin decreases, and the level of glucose in the blood is constantly high (Davies et al., 2022). This insulin resistance to overt </w:t>
      </w:r>
      <w:proofErr w:type="spellStart"/>
      <w:r w:rsidRPr="004A6F1D">
        <w:rPr>
          <w:rFonts w:ascii="Arial" w:hAnsi="Arial" w:cs="Arial"/>
          <w:lang w:val="en-US"/>
        </w:rPr>
        <w:t>hyperglycaemia</w:t>
      </w:r>
      <w:proofErr w:type="spellEnd"/>
      <w:r w:rsidRPr="004A6F1D">
        <w:rPr>
          <w:rFonts w:ascii="Arial" w:hAnsi="Arial" w:cs="Arial"/>
          <w:lang w:val="en-US"/>
        </w:rPr>
        <w:t xml:space="preserve"> is the reason why T2DM is insidious, and the urgent necessity of early lifestyle intervention before it is quite late to save beta cell functioning effectively.</w:t>
      </w:r>
    </w:p>
    <w:p w14:paraId="381CCE5B" w14:textId="0417323A" w:rsidR="000C4EDA" w:rsidRPr="004A6F1D" w:rsidRDefault="00076AC0" w:rsidP="00C03A91">
      <w:pPr>
        <w:pStyle w:val="Heading1"/>
        <w:spacing w:line="360" w:lineRule="auto"/>
        <w:rPr>
          <w:rFonts w:cs="Arial"/>
        </w:rPr>
      </w:pPr>
      <w:bookmarkStart w:id="2" w:name="_Toc222247400"/>
      <w:r w:rsidRPr="004A6F1D">
        <w:rPr>
          <w:rFonts w:cs="Arial"/>
        </w:rPr>
        <w:t>3</w:t>
      </w:r>
      <w:r w:rsidR="000C4EDA" w:rsidRPr="004A6F1D">
        <w:rPr>
          <w:rFonts w:cs="Arial"/>
        </w:rPr>
        <w:t xml:space="preserve">. </w:t>
      </w:r>
      <w:r w:rsidR="007A7297" w:rsidRPr="004A6F1D">
        <w:rPr>
          <w:rFonts w:cs="Arial"/>
        </w:rPr>
        <w:t>Cellular Metabolism</w:t>
      </w:r>
      <w:bookmarkEnd w:id="2"/>
      <w:r w:rsidR="000C4EDA" w:rsidRPr="004A6F1D">
        <w:rPr>
          <w:rFonts w:cs="Arial"/>
        </w:rPr>
        <w:t xml:space="preserve"> </w:t>
      </w:r>
    </w:p>
    <w:p w14:paraId="160FB9FD" w14:textId="77777777" w:rsidR="004A6F1D" w:rsidRPr="004A6F1D" w:rsidRDefault="004A6F1D" w:rsidP="004A6F1D">
      <w:pPr>
        <w:tabs>
          <w:tab w:val="left" w:pos="6540"/>
        </w:tabs>
        <w:spacing w:line="360" w:lineRule="auto"/>
        <w:rPr>
          <w:rFonts w:ascii="Arial" w:hAnsi="Arial" w:cs="Arial"/>
          <w:lang w:val="en-US"/>
        </w:rPr>
      </w:pPr>
      <w:r w:rsidRPr="004A6F1D">
        <w:rPr>
          <w:rFonts w:ascii="Arial" w:hAnsi="Arial" w:cs="Arial"/>
          <w:lang w:val="en-US"/>
        </w:rPr>
        <w:t xml:space="preserve">The reason why </w:t>
      </w:r>
      <w:proofErr w:type="spellStart"/>
      <w:r w:rsidRPr="004A6F1D">
        <w:rPr>
          <w:rFonts w:ascii="Arial" w:hAnsi="Arial" w:cs="Arial"/>
          <w:lang w:val="en-US"/>
        </w:rPr>
        <w:t>hyperglycaemia</w:t>
      </w:r>
      <w:proofErr w:type="spellEnd"/>
      <w:r w:rsidRPr="004A6F1D">
        <w:rPr>
          <w:rFonts w:ascii="Arial" w:hAnsi="Arial" w:cs="Arial"/>
          <w:lang w:val="en-US"/>
        </w:rPr>
        <w:t xml:space="preserve"> is disadvantageous is that it is essential to observe the normal mechanism of cellular </w:t>
      </w:r>
      <w:proofErr w:type="spellStart"/>
      <w:r w:rsidRPr="004A6F1D">
        <w:rPr>
          <w:rFonts w:ascii="Arial" w:hAnsi="Arial" w:cs="Arial"/>
          <w:lang w:val="en-US"/>
        </w:rPr>
        <w:t>utilisation</w:t>
      </w:r>
      <w:proofErr w:type="spellEnd"/>
      <w:r w:rsidRPr="004A6F1D">
        <w:rPr>
          <w:rFonts w:ascii="Arial" w:hAnsi="Arial" w:cs="Arial"/>
          <w:lang w:val="en-US"/>
        </w:rPr>
        <w:t xml:space="preserve"> of glucose and oxygen to produce energy. Cellular respiration occurs in three linked processes including glycolysis, Krebs (citric acid) cycle, and oxidative phosphorylation through electron transport chain (</w:t>
      </w:r>
      <w:proofErr w:type="spellStart"/>
      <w:r w:rsidRPr="004A6F1D">
        <w:rPr>
          <w:rFonts w:ascii="Arial" w:hAnsi="Arial" w:cs="Arial"/>
          <w:lang w:val="en-US"/>
        </w:rPr>
        <w:t>Hantzidiamantis</w:t>
      </w:r>
      <w:proofErr w:type="spellEnd"/>
      <w:r w:rsidRPr="004A6F1D">
        <w:rPr>
          <w:rFonts w:ascii="Arial" w:hAnsi="Arial" w:cs="Arial"/>
          <w:lang w:val="en-US"/>
        </w:rPr>
        <w:t xml:space="preserve"> et al., 2023). Glycolysis which takes place in the cytoplasm divides one molecule of glucose into two molecules of pyruvate and the net gain is only two molecules of adenosine triphosphate (ATP). This step does not involve the use of oxygen.</w:t>
      </w:r>
    </w:p>
    <w:p w14:paraId="745EEF15" w14:textId="77777777" w:rsidR="004A6F1D" w:rsidRPr="004A6F1D" w:rsidRDefault="004A6F1D" w:rsidP="004A6F1D">
      <w:pPr>
        <w:tabs>
          <w:tab w:val="left" w:pos="6540"/>
        </w:tabs>
        <w:spacing w:line="360" w:lineRule="auto"/>
        <w:rPr>
          <w:rFonts w:ascii="Arial" w:hAnsi="Arial" w:cs="Arial"/>
          <w:lang w:val="en-US"/>
        </w:rPr>
      </w:pPr>
      <w:r w:rsidRPr="004A6F1D">
        <w:rPr>
          <w:rFonts w:ascii="Arial" w:hAnsi="Arial" w:cs="Arial"/>
          <w:lang w:val="en-US"/>
        </w:rPr>
        <w:t xml:space="preserve">In aerobic environments, pyruvate is transported into the mitochondria and altered into acetyl coenzyme A which drives the Krebs cycle. This produces electron carriers (NADH and FADH 2), which transfers electrons in the electron transport chain in the inner membrane of the mitochondrion. With the cascade of these electrons through protein complexes, protons are pumped across the membrane, and the process of ATP production is facilitated by protons by ATP synthase. Most importantly, oxygen is the final electron acceptor and it is combined with electrons and protons to produce water. In the absence of oxygen, the entire process stops. The overall </w:t>
      </w:r>
      <w:r w:rsidRPr="004A6F1D">
        <w:rPr>
          <w:rFonts w:ascii="Arial" w:hAnsi="Arial" w:cs="Arial"/>
          <w:lang w:val="en-US"/>
        </w:rPr>
        <w:lastRenderedPageBreak/>
        <w:t>aerobic yield is about 36-38 ATP molecules/glucose motor, which is only two glucose molecules through glycolysis (</w:t>
      </w:r>
      <w:proofErr w:type="spellStart"/>
      <w:r w:rsidRPr="004A6F1D">
        <w:rPr>
          <w:rFonts w:ascii="Arial" w:hAnsi="Arial" w:cs="Arial"/>
          <w:lang w:val="en-US"/>
        </w:rPr>
        <w:t>Hantzidiamantis</w:t>
      </w:r>
      <w:proofErr w:type="spellEnd"/>
      <w:r w:rsidRPr="004A6F1D">
        <w:rPr>
          <w:rFonts w:ascii="Arial" w:hAnsi="Arial" w:cs="Arial"/>
          <w:lang w:val="en-US"/>
        </w:rPr>
        <w:t xml:space="preserve"> et al., 2023).</w:t>
      </w:r>
    </w:p>
    <w:p w14:paraId="1983DF21" w14:textId="208041EB" w:rsidR="004A6F1D" w:rsidRPr="004A6F1D" w:rsidRDefault="004A6F1D" w:rsidP="00F44C8F">
      <w:pPr>
        <w:tabs>
          <w:tab w:val="left" w:pos="6540"/>
        </w:tabs>
        <w:spacing w:line="360" w:lineRule="auto"/>
        <w:rPr>
          <w:rFonts w:ascii="Arial" w:hAnsi="Arial" w:cs="Arial"/>
          <w:lang w:val="en-US"/>
        </w:rPr>
      </w:pPr>
      <w:r w:rsidRPr="004A6F1D">
        <w:rPr>
          <w:rFonts w:ascii="Arial" w:hAnsi="Arial" w:cs="Arial"/>
          <w:lang w:val="en-US"/>
        </w:rPr>
        <w:t xml:space="preserve">In diabetes that is chronic, this metabolism is impaired directly. The long-term </w:t>
      </w:r>
      <w:proofErr w:type="spellStart"/>
      <w:r w:rsidRPr="004A6F1D">
        <w:rPr>
          <w:rFonts w:ascii="Arial" w:hAnsi="Arial" w:cs="Arial"/>
          <w:lang w:val="en-US"/>
        </w:rPr>
        <w:t>hyperglycaemia</w:t>
      </w:r>
      <w:proofErr w:type="spellEnd"/>
      <w:r w:rsidRPr="004A6F1D">
        <w:rPr>
          <w:rFonts w:ascii="Arial" w:hAnsi="Arial" w:cs="Arial"/>
          <w:lang w:val="en-US"/>
        </w:rPr>
        <w:t xml:space="preserve"> disrupts the functioning of the mitochondria in those tissues as skeletal muscle and kidneys, diminishing oxygen consumption rate and causing malfunction of ATP-linked respiration (</w:t>
      </w:r>
      <w:proofErr w:type="spellStart"/>
      <w:r w:rsidRPr="004A6F1D">
        <w:rPr>
          <w:rFonts w:ascii="Arial" w:hAnsi="Arial" w:cs="Arial"/>
        </w:rPr>
        <w:t>Heald</w:t>
      </w:r>
      <w:proofErr w:type="spellEnd"/>
      <w:r w:rsidRPr="004A6F1D">
        <w:rPr>
          <w:rFonts w:ascii="Arial" w:hAnsi="Arial" w:cs="Arial"/>
        </w:rPr>
        <w:t xml:space="preserve"> et al., 2023</w:t>
      </w:r>
      <w:r w:rsidRPr="004A6F1D">
        <w:rPr>
          <w:rFonts w:ascii="Arial" w:hAnsi="Arial" w:cs="Arial"/>
          <w:lang w:val="en-US"/>
        </w:rPr>
        <w:t>). This implies that the patients are not only overloaded with all the circulating glucose as they are also less effective in converting it to energy, which is one of the causes of the fatigue, poor wound healing, and gradual organ damage of poorly controlled T2DM.</w:t>
      </w:r>
    </w:p>
    <w:p w14:paraId="00AEA37C" w14:textId="422160CC" w:rsidR="000C4EDA" w:rsidRPr="004A6F1D" w:rsidRDefault="00076AC0" w:rsidP="00C03A91">
      <w:pPr>
        <w:pStyle w:val="Heading1"/>
        <w:spacing w:line="360" w:lineRule="auto"/>
        <w:rPr>
          <w:rFonts w:cs="Arial"/>
        </w:rPr>
      </w:pPr>
      <w:bookmarkStart w:id="3" w:name="_Toc222247401"/>
      <w:r w:rsidRPr="004A6F1D">
        <w:rPr>
          <w:rFonts w:cs="Arial"/>
        </w:rPr>
        <w:t>4</w:t>
      </w:r>
      <w:r w:rsidR="000C4EDA" w:rsidRPr="004A6F1D">
        <w:rPr>
          <w:rFonts w:cs="Arial"/>
        </w:rPr>
        <w:t xml:space="preserve">. </w:t>
      </w:r>
      <w:r w:rsidR="007A7297" w:rsidRPr="004A6F1D">
        <w:rPr>
          <w:rFonts w:cs="Arial"/>
        </w:rPr>
        <w:t>Recording and tracking blood sugar levels for type 2 diabetes</w:t>
      </w:r>
      <w:bookmarkEnd w:id="3"/>
    </w:p>
    <w:p w14:paraId="18D50E0C" w14:textId="77777777" w:rsidR="004A6F1D" w:rsidRPr="004A6F1D" w:rsidRDefault="004A6F1D" w:rsidP="004A6F1D">
      <w:pPr>
        <w:spacing w:line="360" w:lineRule="auto"/>
        <w:rPr>
          <w:rFonts w:ascii="Arial" w:hAnsi="Arial" w:cs="Arial"/>
          <w:lang w:val="en-US"/>
        </w:rPr>
      </w:pPr>
      <w:r w:rsidRPr="004A6F1D">
        <w:rPr>
          <w:rFonts w:ascii="Arial" w:hAnsi="Arial" w:cs="Arial"/>
          <w:lang w:val="en-US"/>
        </w:rPr>
        <w:t xml:space="preserve">Frequent blood glucose monitoring is not a clinical formality, but it is an essential and clinically proven element of safe T2DM self-management. There are two main methods, one is the conventional self-monitoring of blood glucose (SMBG), a process that is usually performed with the help of a finger-prick test, and another is the continuous glucose monitoring (CGM), where glucose in the </w:t>
      </w:r>
      <w:proofErr w:type="spellStart"/>
      <w:r w:rsidRPr="004A6F1D">
        <w:rPr>
          <w:rFonts w:ascii="Arial" w:hAnsi="Arial" w:cs="Arial"/>
          <w:lang w:val="en-US"/>
        </w:rPr>
        <w:t>interstitium</w:t>
      </w:r>
      <w:proofErr w:type="spellEnd"/>
      <w:r w:rsidRPr="004A6F1D">
        <w:rPr>
          <w:rFonts w:ascii="Arial" w:hAnsi="Arial" w:cs="Arial"/>
          <w:lang w:val="en-US"/>
        </w:rPr>
        <w:t xml:space="preserve"> is monitored almost in real-time. Additionally, the </w:t>
      </w:r>
      <w:proofErr w:type="spellStart"/>
      <w:r w:rsidRPr="004A6F1D">
        <w:rPr>
          <w:rFonts w:ascii="Arial" w:hAnsi="Arial" w:cs="Arial"/>
          <w:lang w:val="en-US"/>
        </w:rPr>
        <w:t>glycated</w:t>
      </w:r>
      <w:proofErr w:type="spellEnd"/>
      <w:r w:rsidRPr="004A6F1D">
        <w:rPr>
          <w:rFonts w:ascii="Arial" w:hAnsi="Arial" w:cs="Arial"/>
          <w:lang w:val="en-US"/>
        </w:rPr>
        <w:t xml:space="preserve"> </w:t>
      </w:r>
      <w:proofErr w:type="spellStart"/>
      <w:r w:rsidRPr="004A6F1D">
        <w:rPr>
          <w:rFonts w:ascii="Arial" w:hAnsi="Arial" w:cs="Arial"/>
          <w:lang w:val="en-US"/>
        </w:rPr>
        <w:t>haemoglobin</w:t>
      </w:r>
      <w:proofErr w:type="spellEnd"/>
      <w:r w:rsidRPr="004A6F1D">
        <w:rPr>
          <w:rFonts w:ascii="Arial" w:hAnsi="Arial" w:cs="Arial"/>
          <w:lang w:val="en-US"/>
        </w:rPr>
        <w:t xml:space="preserve"> (HbA1c) analysis, performed after every three to six months in clinical practise, indicates the average blood glucose levels in the previous two to three months as a long-term perspective of the </w:t>
      </w:r>
      <w:proofErr w:type="spellStart"/>
      <w:r w:rsidRPr="004A6F1D">
        <w:rPr>
          <w:rFonts w:ascii="Arial" w:hAnsi="Arial" w:cs="Arial"/>
          <w:lang w:val="en-US"/>
        </w:rPr>
        <w:t>glycaemic</w:t>
      </w:r>
      <w:proofErr w:type="spellEnd"/>
      <w:r w:rsidRPr="004A6F1D">
        <w:rPr>
          <w:rFonts w:ascii="Arial" w:hAnsi="Arial" w:cs="Arial"/>
          <w:lang w:val="en-US"/>
        </w:rPr>
        <w:t xml:space="preserve"> pattern (NICE, 2022).</w:t>
      </w:r>
    </w:p>
    <w:p w14:paraId="4088B468" w14:textId="77777777" w:rsidR="004A6F1D" w:rsidRPr="004A6F1D" w:rsidRDefault="004A6F1D" w:rsidP="004A6F1D">
      <w:pPr>
        <w:spacing w:line="360" w:lineRule="auto"/>
        <w:rPr>
          <w:rFonts w:ascii="Arial" w:hAnsi="Arial" w:cs="Arial"/>
          <w:lang w:val="en-US"/>
        </w:rPr>
      </w:pPr>
      <w:r w:rsidRPr="004A6F1D">
        <w:rPr>
          <w:rFonts w:ascii="Arial" w:hAnsi="Arial" w:cs="Arial"/>
          <w:lang w:val="en-US"/>
        </w:rPr>
        <w:t>The justification of surveillance is quite strong as well. The systematic review and meta-analysis conducted in 2023 discovered that the use of CGM in adults with T2DM resulted in statistically significant reduction of the HbA1c of -0.31% as compared to SMBG (</w:t>
      </w:r>
      <w:r w:rsidRPr="004A6F1D">
        <w:rPr>
          <w:rFonts w:ascii="Arial" w:hAnsi="Arial" w:cs="Arial"/>
        </w:rPr>
        <w:t>Cardoso et al., 2024</w:t>
      </w:r>
      <w:r w:rsidRPr="004A6F1D">
        <w:rPr>
          <w:rFonts w:ascii="Arial" w:hAnsi="Arial" w:cs="Arial"/>
          <w:lang w:val="en-US"/>
        </w:rPr>
        <w:t xml:space="preserve">). </w:t>
      </w:r>
      <w:proofErr w:type="spellStart"/>
      <w:r w:rsidRPr="004A6F1D">
        <w:rPr>
          <w:rFonts w:ascii="Arial" w:hAnsi="Arial" w:cs="Arial"/>
        </w:rPr>
        <w:t>Kieu</w:t>
      </w:r>
      <w:proofErr w:type="spellEnd"/>
      <w:r w:rsidRPr="004A6F1D">
        <w:rPr>
          <w:rFonts w:ascii="Arial" w:hAnsi="Arial" w:cs="Arial"/>
        </w:rPr>
        <w:t xml:space="preserve"> et al. (2023) </w:t>
      </w:r>
      <w:r w:rsidRPr="004A6F1D">
        <w:rPr>
          <w:rFonts w:ascii="Arial" w:hAnsi="Arial" w:cs="Arial"/>
          <w:lang w:val="en-US"/>
        </w:rPr>
        <w:t>also found that the weighted mean change of HbA1c was reduced by -0.43% with CGM in primary care. Even regular SMBG will gain especially about 0.4% of HbA1c. A 1% change in HbA1c lowers the mortality rate due to diabetes by 21% and the microvascular complications by 37% (NICE, 2022). These statistics are clinically significant as they are actual improvements in the number of blind people, kidney failures, and amputated limbs.</w:t>
      </w:r>
    </w:p>
    <w:p w14:paraId="7313AF48" w14:textId="7A4675F2" w:rsidR="004A6F1D" w:rsidRPr="004A6F1D" w:rsidRDefault="004A6F1D" w:rsidP="00C03A91">
      <w:pPr>
        <w:spacing w:line="360" w:lineRule="auto"/>
        <w:rPr>
          <w:rFonts w:ascii="Arial" w:hAnsi="Arial" w:cs="Arial"/>
          <w:lang w:val="en-US"/>
        </w:rPr>
      </w:pPr>
      <w:r w:rsidRPr="004A6F1D">
        <w:rPr>
          <w:rFonts w:ascii="Arial" w:hAnsi="Arial" w:cs="Arial"/>
          <w:lang w:val="en-US"/>
        </w:rPr>
        <w:lastRenderedPageBreak/>
        <w:t xml:space="preserve">In the absence of regular surveillance, patients and clinicians cannot identify </w:t>
      </w:r>
      <w:proofErr w:type="spellStart"/>
      <w:r w:rsidRPr="004A6F1D">
        <w:rPr>
          <w:rFonts w:ascii="Arial" w:hAnsi="Arial" w:cs="Arial"/>
          <w:lang w:val="en-US"/>
        </w:rPr>
        <w:t>hyperglycaemic</w:t>
      </w:r>
      <w:proofErr w:type="spellEnd"/>
      <w:r w:rsidRPr="004A6F1D">
        <w:rPr>
          <w:rFonts w:ascii="Arial" w:hAnsi="Arial" w:cs="Arial"/>
          <w:lang w:val="en-US"/>
        </w:rPr>
        <w:t xml:space="preserve"> and </w:t>
      </w:r>
      <w:proofErr w:type="spellStart"/>
      <w:r w:rsidRPr="004A6F1D">
        <w:rPr>
          <w:rFonts w:ascii="Arial" w:hAnsi="Arial" w:cs="Arial"/>
          <w:lang w:val="en-US"/>
        </w:rPr>
        <w:t>hypoglycaemic</w:t>
      </w:r>
      <w:proofErr w:type="spellEnd"/>
      <w:r w:rsidRPr="004A6F1D">
        <w:rPr>
          <w:rFonts w:ascii="Arial" w:hAnsi="Arial" w:cs="Arial"/>
          <w:lang w:val="en-US"/>
        </w:rPr>
        <w:t xml:space="preserve"> events. Chronic </w:t>
      </w:r>
      <w:proofErr w:type="spellStart"/>
      <w:r w:rsidRPr="004A6F1D">
        <w:rPr>
          <w:rFonts w:ascii="Arial" w:hAnsi="Arial" w:cs="Arial"/>
          <w:lang w:val="en-US"/>
        </w:rPr>
        <w:t>hyperglycaemia</w:t>
      </w:r>
      <w:proofErr w:type="spellEnd"/>
      <w:r w:rsidRPr="004A6F1D">
        <w:rPr>
          <w:rFonts w:ascii="Arial" w:hAnsi="Arial" w:cs="Arial"/>
          <w:lang w:val="en-US"/>
        </w:rPr>
        <w:t xml:space="preserve"> that is not detected induces progressive vascular and neural injury, and finally results in nephropathy, retinopathy, neuropathy, and cardiovascular disease (World Health Organisation, 2024). Dosage of medication, changes of diet and effects of exercise on blood glucose cannot be comparatively assessed without reliable data. Considering the critical perspective, it must be noted that the evidence on whether SMBG in insulin-free patients should be offered is rather conflicting, and surveillance should be combined with education and professional assistance to be effective (NICE, 2022). Monitoring in turn can facilitate an evidence-based, proactive approach to care as opposed to crisis management but the value of this monitoring is determined by how patients and clinicians act upon the data it produces.</w:t>
      </w:r>
    </w:p>
    <w:p w14:paraId="012D50EF" w14:textId="4B5AEE0C" w:rsidR="001B7A40" w:rsidRPr="004A6F1D" w:rsidRDefault="001B7A40" w:rsidP="00C03A91">
      <w:pPr>
        <w:pStyle w:val="Heading1"/>
        <w:spacing w:line="360" w:lineRule="auto"/>
        <w:rPr>
          <w:rFonts w:cs="Arial"/>
        </w:rPr>
      </w:pPr>
      <w:bookmarkStart w:id="4" w:name="_Toc222247402"/>
      <w:r w:rsidRPr="004A6F1D">
        <w:rPr>
          <w:rFonts w:cs="Arial"/>
        </w:rPr>
        <w:t>5. Recommend</w:t>
      </w:r>
      <w:r w:rsidR="007A7297" w:rsidRPr="004A6F1D">
        <w:rPr>
          <w:rFonts w:cs="Arial"/>
        </w:rPr>
        <w:t>ations</w:t>
      </w:r>
      <w:bookmarkEnd w:id="4"/>
    </w:p>
    <w:p w14:paraId="44D117DA" w14:textId="77777777" w:rsidR="004A6F1D" w:rsidRPr="004A6F1D" w:rsidRDefault="004A6F1D" w:rsidP="004A6F1D">
      <w:pPr>
        <w:spacing w:line="360" w:lineRule="auto"/>
        <w:rPr>
          <w:rFonts w:ascii="Arial" w:hAnsi="Arial" w:cs="Arial"/>
          <w:lang w:val="en-US"/>
        </w:rPr>
      </w:pPr>
      <w:r w:rsidRPr="004A6F1D">
        <w:rPr>
          <w:rFonts w:ascii="Arial" w:hAnsi="Arial" w:cs="Arial"/>
          <w:lang w:val="en-US"/>
        </w:rPr>
        <w:t>The ACLM clinical practise guideline has made lifestyle interventions such as nutrition, physical activity, and risky substances avoidance the primary part of the T2DM management, rather than a supplement to pharmacotherapy (Rosenfeld et al., 2025). The three guidelines that can be given regarding the factors related to the lifestyle are as follows and applicable to this case study explicitly, as below.</w:t>
      </w:r>
    </w:p>
    <w:p w14:paraId="248CD253" w14:textId="77777777" w:rsidR="004A6F1D" w:rsidRPr="004A6F1D" w:rsidRDefault="004A6F1D" w:rsidP="004A6F1D">
      <w:pPr>
        <w:pStyle w:val="Heading2"/>
        <w:rPr>
          <w:color w:val="auto"/>
          <w:lang w:val="en-US"/>
        </w:rPr>
      </w:pPr>
      <w:bookmarkStart w:id="5" w:name="_Toc222247403"/>
      <w:r w:rsidRPr="004A6F1D">
        <w:rPr>
          <w:color w:val="auto"/>
          <w:lang w:val="en-US"/>
        </w:rPr>
        <w:t>5.1 Smoking Cessation</w:t>
      </w:r>
      <w:bookmarkEnd w:id="5"/>
    </w:p>
    <w:p w14:paraId="496D829C" w14:textId="77777777" w:rsidR="004A6F1D" w:rsidRPr="004A6F1D" w:rsidRDefault="004A6F1D" w:rsidP="004A6F1D">
      <w:pPr>
        <w:spacing w:line="360" w:lineRule="auto"/>
        <w:rPr>
          <w:rFonts w:ascii="Arial" w:hAnsi="Arial" w:cs="Arial"/>
          <w:lang w:val="en-US"/>
        </w:rPr>
      </w:pPr>
      <w:r w:rsidRPr="004A6F1D">
        <w:rPr>
          <w:rFonts w:ascii="Arial" w:hAnsi="Arial" w:cs="Arial"/>
          <w:lang w:val="en-US"/>
        </w:rPr>
        <w:t xml:space="preserve">Smoking is a biologically active risk factor of T2DM which has a direct negative impact on the </w:t>
      </w:r>
      <w:proofErr w:type="spellStart"/>
      <w:r w:rsidRPr="004A6F1D">
        <w:rPr>
          <w:rFonts w:ascii="Arial" w:hAnsi="Arial" w:cs="Arial"/>
          <w:lang w:val="en-US"/>
        </w:rPr>
        <w:t>glycaemic</w:t>
      </w:r>
      <w:proofErr w:type="spellEnd"/>
      <w:r w:rsidRPr="004A6F1D">
        <w:rPr>
          <w:rFonts w:ascii="Arial" w:hAnsi="Arial" w:cs="Arial"/>
          <w:lang w:val="en-US"/>
        </w:rPr>
        <w:t xml:space="preserve"> control. Nicotine stimulates inhibition of insulin receptor </w:t>
      </w:r>
      <w:proofErr w:type="spellStart"/>
      <w:r w:rsidRPr="004A6F1D">
        <w:rPr>
          <w:rFonts w:ascii="Arial" w:hAnsi="Arial" w:cs="Arial"/>
          <w:lang w:val="en-US"/>
        </w:rPr>
        <w:t>signalling</w:t>
      </w:r>
      <w:proofErr w:type="spellEnd"/>
      <w:r w:rsidRPr="004A6F1D">
        <w:rPr>
          <w:rFonts w:ascii="Arial" w:hAnsi="Arial" w:cs="Arial"/>
          <w:lang w:val="en-US"/>
        </w:rPr>
        <w:t>, that is it enhances serine phosphorylation of insulin receptor substrate-1 (IRS-1), decreases glucose uptake in skeletal muscle by 10%-40% relative to non-smokers (</w:t>
      </w:r>
      <w:r w:rsidRPr="004A6F1D">
        <w:rPr>
          <w:rFonts w:ascii="Arial" w:hAnsi="Arial" w:cs="Arial"/>
        </w:rPr>
        <w:t>Chang, 2012</w:t>
      </w:r>
      <w:r w:rsidRPr="004A6F1D">
        <w:rPr>
          <w:rFonts w:ascii="Arial" w:hAnsi="Arial" w:cs="Arial"/>
          <w:lang w:val="en-US"/>
        </w:rPr>
        <w:t>). It also stimulates insulin insensitivity by causing cortisol release, catecholamine release, which is antagonistic to insulin, central adiposity and systemic inflammation, which further impairs insulin sensitivity (</w:t>
      </w:r>
      <w:proofErr w:type="spellStart"/>
      <w:r w:rsidRPr="004A6F1D">
        <w:rPr>
          <w:rFonts w:ascii="Arial" w:hAnsi="Arial" w:cs="Arial"/>
        </w:rPr>
        <w:t>Chiolero</w:t>
      </w:r>
      <w:proofErr w:type="spellEnd"/>
      <w:r w:rsidRPr="004A6F1D">
        <w:rPr>
          <w:rFonts w:ascii="Arial" w:hAnsi="Arial" w:cs="Arial"/>
        </w:rPr>
        <w:t xml:space="preserve"> et al., 2008</w:t>
      </w:r>
      <w:r w:rsidRPr="004A6F1D">
        <w:rPr>
          <w:rFonts w:ascii="Arial" w:hAnsi="Arial" w:cs="Arial"/>
          <w:lang w:val="en-US"/>
        </w:rPr>
        <w:t xml:space="preserve">). Most importantly, these harms are reversible as the response of insulin starts improving in eight weeks of withdrawal (FDA, 2022). A recent scoping review by </w:t>
      </w:r>
      <w:proofErr w:type="spellStart"/>
      <w:r w:rsidRPr="004A6F1D">
        <w:rPr>
          <w:rFonts w:ascii="Arial" w:hAnsi="Arial" w:cs="Arial"/>
        </w:rPr>
        <w:t>Walicka</w:t>
      </w:r>
      <w:proofErr w:type="spellEnd"/>
      <w:r w:rsidRPr="004A6F1D">
        <w:rPr>
          <w:rFonts w:ascii="Arial" w:hAnsi="Arial" w:cs="Arial"/>
        </w:rPr>
        <w:t xml:space="preserve"> et al. (2022) </w:t>
      </w:r>
      <w:r w:rsidRPr="004A6F1D">
        <w:rPr>
          <w:rFonts w:ascii="Arial" w:hAnsi="Arial" w:cs="Arial"/>
          <w:lang w:val="en-US"/>
        </w:rPr>
        <w:t xml:space="preserve">affirmed that smoking cessation is among the most significant clinical goals to </w:t>
      </w:r>
      <w:proofErr w:type="spellStart"/>
      <w:r w:rsidRPr="004A6F1D">
        <w:rPr>
          <w:rFonts w:ascii="Arial" w:hAnsi="Arial" w:cs="Arial"/>
          <w:lang w:val="en-US"/>
        </w:rPr>
        <w:t>minimise</w:t>
      </w:r>
      <w:proofErr w:type="spellEnd"/>
      <w:r w:rsidRPr="004A6F1D">
        <w:rPr>
          <w:rFonts w:ascii="Arial" w:hAnsi="Arial" w:cs="Arial"/>
          <w:lang w:val="en-US"/>
        </w:rPr>
        <w:t xml:space="preserve"> the adverse effects of diabetes, such as cardiovascular disease. Structured support should be offered to patients as a priority intervention such as nicotine replacement therapy and </w:t>
      </w:r>
      <w:proofErr w:type="spellStart"/>
      <w:r w:rsidRPr="004A6F1D">
        <w:rPr>
          <w:rFonts w:ascii="Arial" w:hAnsi="Arial" w:cs="Arial"/>
          <w:lang w:val="en-US"/>
        </w:rPr>
        <w:t>behavioural</w:t>
      </w:r>
      <w:proofErr w:type="spellEnd"/>
      <w:r w:rsidRPr="004A6F1D">
        <w:rPr>
          <w:rFonts w:ascii="Arial" w:hAnsi="Arial" w:cs="Arial"/>
          <w:lang w:val="en-US"/>
        </w:rPr>
        <w:t xml:space="preserve"> </w:t>
      </w:r>
      <w:proofErr w:type="spellStart"/>
      <w:r w:rsidRPr="004A6F1D">
        <w:rPr>
          <w:rFonts w:ascii="Arial" w:hAnsi="Arial" w:cs="Arial"/>
          <w:lang w:val="en-US"/>
        </w:rPr>
        <w:t>counselling</w:t>
      </w:r>
      <w:proofErr w:type="spellEnd"/>
      <w:r w:rsidRPr="004A6F1D">
        <w:rPr>
          <w:rFonts w:ascii="Arial" w:hAnsi="Arial" w:cs="Arial"/>
          <w:lang w:val="en-US"/>
        </w:rPr>
        <w:t>.</w:t>
      </w:r>
    </w:p>
    <w:p w14:paraId="093866F4" w14:textId="77777777" w:rsidR="004A6F1D" w:rsidRPr="004A6F1D" w:rsidRDefault="004A6F1D" w:rsidP="004A6F1D">
      <w:pPr>
        <w:pStyle w:val="Heading2"/>
        <w:rPr>
          <w:color w:val="auto"/>
          <w:lang w:val="en-US"/>
        </w:rPr>
      </w:pPr>
      <w:bookmarkStart w:id="6" w:name="_Toc222247404"/>
      <w:r w:rsidRPr="004A6F1D">
        <w:rPr>
          <w:color w:val="auto"/>
          <w:lang w:val="en-US"/>
        </w:rPr>
        <w:lastRenderedPageBreak/>
        <w:t>5.2 Dietary Modification</w:t>
      </w:r>
      <w:bookmarkEnd w:id="6"/>
    </w:p>
    <w:p w14:paraId="53D24EAB" w14:textId="77777777" w:rsidR="004A6F1D" w:rsidRPr="004A6F1D" w:rsidRDefault="004A6F1D" w:rsidP="004A6F1D">
      <w:pPr>
        <w:spacing w:line="360" w:lineRule="auto"/>
        <w:rPr>
          <w:rFonts w:ascii="Arial" w:hAnsi="Arial" w:cs="Arial"/>
          <w:lang w:val="en-US"/>
        </w:rPr>
      </w:pPr>
      <w:r w:rsidRPr="004A6F1D">
        <w:rPr>
          <w:rFonts w:ascii="Arial" w:hAnsi="Arial" w:cs="Arial"/>
          <w:lang w:val="en-US"/>
        </w:rPr>
        <w:t xml:space="preserve">The nutritional intake has a direct effect on </w:t>
      </w:r>
      <w:proofErr w:type="spellStart"/>
      <w:r w:rsidRPr="004A6F1D">
        <w:rPr>
          <w:rFonts w:ascii="Arial" w:hAnsi="Arial" w:cs="Arial"/>
          <w:lang w:val="en-US"/>
        </w:rPr>
        <w:t>glycaemic</w:t>
      </w:r>
      <w:proofErr w:type="spellEnd"/>
      <w:r w:rsidRPr="004A6F1D">
        <w:rPr>
          <w:rFonts w:ascii="Arial" w:hAnsi="Arial" w:cs="Arial"/>
          <w:lang w:val="en-US"/>
        </w:rPr>
        <w:t xml:space="preserve"> strain on a compromised regulating system. High-refined carbohydrate and saturated fat diets generate high levels of postprandial </w:t>
      </w:r>
      <w:proofErr w:type="spellStart"/>
      <w:r w:rsidRPr="004A6F1D">
        <w:rPr>
          <w:rFonts w:ascii="Arial" w:hAnsi="Arial" w:cs="Arial"/>
          <w:lang w:val="en-US"/>
        </w:rPr>
        <w:t>glycaemic</w:t>
      </w:r>
      <w:proofErr w:type="spellEnd"/>
      <w:r w:rsidRPr="004A6F1D">
        <w:rPr>
          <w:rFonts w:ascii="Arial" w:hAnsi="Arial" w:cs="Arial"/>
          <w:lang w:val="en-US"/>
        </w:rPr>
        <w:t xml:space="preserve"> peaks which put a strain on insulin levels. A systematic review of 32 studies by </w:t>
      </w:r>
      <w:proofErr w:type="spellStart"/>
      <w:r w:rsidRPr="004A6F1D">
        <w:rPr>
          <w:rFonts w:ascii="Arial" w:hAnsi="Arial" w:cs="Arial"/>
        </w:rPr>
        <w:t>Milenkovic</w:t>
      </w:r>
      <w:proofErr w:type="spellEnd"/>
      <w:r w:rsidRPr="004A6F1D">
        <w:rPr>
          <w:rFonts w:ascii="Arial" w:hAnsi="Arial" w:cs="Arial"/>
        </w:rPr>
        <w:t xml:space="preserve"> et al. (2021) </w:t>
      </w:r>
      <w:r w:rsidRPr="004A6F1D">
        <w:rPr>
          <w:rFonts w:ascii="Arial" w:hAnsi="Arial" w:cs="Arial"/>
          <w:lang w:val="en-US"/>
        </w:rPr>
        <w:t xml:space="preserve">provides evidence that all three diets such as Mediterranean, low-carbohydrate, and plant-based nutritional patterns are effective in reducing HbA1c, fasting blood glucose, and body mass index in adults with T2DM. The ACLM recommendation focuses on diets predominant with plants, whole-food diets, which reduce gastric emptying, decrease glucose absorption, and promote the health of gut microbiota, which promotes a more stable glycemic response (Rosenfeld et al., 2025). In case of availability, dietetic referral can be provided because </w:t>
      </w:r>
      <w:proofErr w:type="spellStart"/>
      <w:r w:rsidRPr="004A6F1D">
        <w:rPr>
          <w:rFonts w:ascii="Arial" w:hAnsi="Arial" w:cs="Arial"/>
          <w:lang w:val="en-US"/>
        </w:rPr>
        <w:t>individualised</w:t>
      </w:r>
      <w:proofErr w:type="spellEnd"/>
      <w:r w:rsidRPr="004A6F1D">
        <w:rPr>
          <w:rFonts w:ascii="Arial" w:hAnsi="Arial" w:cs="Arial"/>
          <w:lang w:val="en-US"/>
        </w:rPr>
        <w:t xml:space="preserve"> plans outperform generic advice greatly.</w:t>
      </w:r>
    </w:p>
    <w:p w14:paraId="4620E085" w14:textId="77777777" w:rsidR="004A6F1D" w:rsidRPr="004A6F1D" w:rsidRDefault="004A6F1D" w:rsidP="004A6F1D">
      <w:pPr>
        <w:pStyle w:val="Heading2"/>
        <w:rPr>
          <w:color w:val="auto"/>
          <w:lang w:val="en-US"/>
        </w:rPr>
      </w:pPr>
      <w:bookmarkStart w:id="7" w:name="_Toc222247405"/>
      <w:r w:rsidRPr="004A6F1D">
        <w:rPr>
          <w:color w:val="auto"/>
          <w:lang w:val="en-US"/>
        </w:rPr>
        <w:t>5.3 Physical Activity</w:t>
      </w:r>
      <w:bookmarkEnd w:id="7"/>
    </w:p>
    <w:p w14:paraId="76522574" w14:textId="77777777" w:rsidR="004A6F1D" w:rsidRPr="004A6F1D" w:rsidRDefault="004A6F1D" w:rsidP="004A6F1D">
      <w:pPr>
        <w:spacing w:line="360" w:lineRule="auto"/>
        <w:rPr>
          <w:rFonts w:ascii="Arial" w:hAnsi="Arial" w:cs="Arial"/>
          <w:lang w:val="en-US"/>
        </w:rPr>
      </w:pPr>
      <w:r w:rsidRPr="004A6F1D">
        <w:rPr>
          <w:rFonts w:ascii="Arial" w:hAnsi="Arial" w:cs="Arial"/>
          <w:lang w:val="en-US"/>
        </w:rPr>
        <w:t>Physiologically, the most direct lifestyle intervention that can be applied in T2DM is exercise. When physical activity occurs, skeletal muscle cells absorb glucose through GLUT4 transporters without any insulin involvement and bypass insulin resistance that defines the situation (</w:t>
      </w:r>
      <w:proofErr w:type="spellStart"/>
      <w:r w:rsidRPr="004A6F1D">
        <w:rPr>
          <w:rFonts w:ascii="Arial" w:hAnsi="Arial" w:cs="Arial"/>
          <w:lang w:val="en-US"/>
        </w:rPr>
        <w:t>Hantzidiamantis</w:t>
      </w:r>
      <w:proofErr w:type="spellEnd"/>
      <w:r w:rsidRPr="004A6F1D">
        <w:rPr>
          <w:rFonts w:ascii="Arial" w:hAnsi="Arial" w:cs="Arial"/>
          <w:lang w:val="en-US"/>
        </w:rPr>
        <w:t xml:space="preserve"> et al., 2023). Consistent aerobic and resistance training with time may elevate mitochondrial biogenesis and oxidative strength, decrease visceral adiposity, and enhance insulin </w:t>
      </w:r>
      <w:proofErr w:type="spellStart"/>
      <w:r w:rsidRPr="004A6F1D">
        <w:rPr>
          <w:rFonts w:ascii="Arial" w:hAnsi="Arial" w:cs="Arial"/>
          <w:lang w:val="en-US"/>
        </w:rPr>
        <w:t>signalling</w:t>
      </w:r>
      <w:proofErr w:type="spellEnd"/>
      <w:r w:rsidRPr="004A6F1D">
        <w:rPr>
          <w:rFonts w:ascii="Arial" w:hAnsi="Arial" w:cs="Arial"/>
          <w:lang w:val="en-US"/>
        </w:rPr>
        <w:t xml:space="preserve"> in the cellular scale, covering a variety of the underlying causes of T2DM altogether (</w:t>
      </w:r>
      <w:proofErr w:type="spellStart"/>
      <w:r w:rsidRPr="004A6F1D">
        <w:rPr>
          <w:rFonts w:ascii="Arial" w:hAnsi="Arial" w:cs="Arial"/>
        </w:rPr>
        <w:t>Ritov</w:t>
      </w:r>
      <w:proofErr w:type="spellEnd"/>
      <w:r w:rsidRPr="004A6F1D">
        <w:rPr>
          <w:rFonts w:ascii="Arial" w:hAnsi="Arial" w:cs="Arial"/>
        </w:rPr>
        <w:t xml:space="preserve"> et al., 2005</w:t>
      </w:r>
      <w:r w:rsidRPr="004A6F1D">
        <w:rPr>
          <w:rFonts w:ascii="Arial" w:hAnsi="Arial" w:cs="Arial"/>
          <w:lang w:val="en-US"/>
        </w:rPr>
        <w:t xml:space="preserve">). According to NICE (2022), moderate-intensity aerobic activity should be taken at least 150 minutes per week and resistance training should be taken at least two to more days a week. The findings of the Finnish Diabetes Prevention Study by </w:t>
      </w:r>
      <w:proofErr w:type="spellStart"/>
      <w:r w:rsidRPr="004A6F1D">
        <w:rPr>
          <w:rFonts w:ascii="Arial" w:hAnsi="Arial" w:cs="Arial"/>
        </w:rPr>
        <w:t>Tuomilehto</w:t>
      </w:r>
      <w:proofErr w:type="spellEnd"/>
      <w:r w:rsidRPr="004A6F1D">
        <w:rPr>
          <w:rFonts w:ascii="Arial" w:hAnsi="Arial" w:cs="Arial"/>
        </w:rPr>
        <w:t xml:space="preserve"> et al. (2011) </w:t>
      </w:r>
      <w:r w:rsidRPr="004A6F1D">
        <w:rPr>
          <w:rFonts w:ascii="Arial" w:hAnsi="Arial" w:cs="Arial"/>
          <w:lang w:val="en-US"/>
        </w:rPr>
        <w:t>proved that small physical activity goals, along with smaller weight loss of approximately 5%, decreased T2DM rates among high-risk participants more than 50%. Patients must be influenced and assisted in identifying sustainable activities that are interesting as the long-term compliance will be the ultimate decisive factor of clinical benefit.</w:t>
      </w:r>
    </w:p>
    <w:p w14:paraId="6DBA6107" w14:textId="77777777" w:rsidR="00C03A91" w:rsidRPr="004A6F1D" w:rsidRDefault="00C03A91" w:rsidP="00C03A91">
      <w:pPr>
        <w:spacing w:line="360" w:lineRule="auto"/>
        <w:rPr>
          <w:rFonts w:ascii="Arial" w:hAnsi="Arial" w:cs="Arial"/>
        </w:rPr>
      </w:pPr>
    </w:p>
    <w:p w14:paraId="55384322" w14:textId="77777777" w:rsidR="004A6F1D" w:rsidRPr="004A6F1D" w:rsidRDefault="004A6F1D" w:rsidP="00C03A91">
      <w:pPr>
        <w:spacing w:line="360" w:lineRule="auto"/>
        <w:rPr>
          <w:rFonts w:ascii="Arial" w:hAnsi="Arial" w:cs="Arial"/>
        </w:rPr>
      </w:pPr>
    </w:p>
    <w:p w14:paraId="59F05989" w14:textId="19BD97AF" w:rsidR="001B7A40" w:rsidRPr="004A6F1D" w:rsidRDefault="001B7A40" w:rsidP="00C03A91">
      <w:pPr>
        <w:pStyle w:val="Heading1"/>
        <w:spacing w:line="360" w:lineRule="auto"/>
        <w:rPr>
          <w:rFonts w:cs="Arial"/>
        </w:rPr>
      </w:pPr>
      <w:bookmarkStart w:id="8" w:name="_Toc222247406"/>
      <w:r w:rsidRPr="004A6F1D">
        <w:rPr>
          <w:rFonts w:cs="Arial"/>
        </w:rPr>
        <w:lastRenderedPageBreak/>
        <w:t>6. Conclusion</w:t>
      </w:r>
      <w:bookmarkEnd w:id="8"/>
    </w:p>
    <w:p w14:paraId="08E99182" w14:textId="68B26815" w:rsidR="001B7A40" w:rsidRPr="004A6F1D" w:rsidRDefault="004A6F1D" w:rsidP="00C03A91">
      <w:pPr>
        <w:spacing w:line="360" w:lineRule="auto"/>
        <w:rPr>
          <w:rFonts w:ascii="Arial" w:hAnsi="Arial" w:cs="Arial"/>
        </w:rPr>
      </w:pPr>
      <w:r w:rsidRPr="004A6F1D">
        <w:rPr>
          <w:rFonts w:ascii="Arial" w:hAnsi="Arial" w:cs="Arial"/>
        </w:rPr>
        <w:t>Summarising the discussion provided above, it is concluded that Diabetes Type 2 is a severe and yet treatable disease that is based on the inability of normal homeostasis of blood glucose, caused by insulin resistance and progressive dysfunction of beta cells. The physiological basis of these processes has been followed in this report, starting with the hormonal maintenance of blood glucose by insulin and glucagon, and the cellular outcome of chronic hyperglycaemia on the production of cellular energy by the mitochondrion. It has shown that blood glucose monitoring, either through SMBG or CGM is not a formalistic exercise but a clinically proven intervention that directly lead to the diminishment of complications and death. Similarly, lifestyle choices, especially smoking, dietary habits, and physical sedentary lifestyles are not periphery issues but rather mechanistic precipitants of the condition which react to evidence-based treatment. In the case of patients who visit a GP surgery, consultation is the best opportunity to offer education which is based on the physiology and the cause and consequence relationship which encourages behaviour change. When a practise nurse realises such links, they can make complex science into meaningful, actionable advice which help patients to take on their care and enhance their long-term health outcomes explicitly as well.</w:t>
      </w:r>
    </w:p>
    <w:p w14:paraId="5BCBB22C" w14:textId="7E8A924B" w:rsidR="001B7A40" w:rsidRPr="004A6F1D" w:rsidRDefault="001B7A40" w:rsidP="00C03A91">
      <w:pPr>
        <w:spacing w:line="360" w:lineRule="auto"/>
        <w:rPr>
          <w:rFonts w:ascii="Arial" w:hAnsi="Arial" w:cs="Arial"/>
        </w:rPr>
      </w:pPr>
      <w:r w:rsidRPr="004A6F1D">
        <w:rPr>
          <w:rFonts w:ascii="Arial" w:hAnsi="Arial" w:cs="Arial"/>
        </w:rPr>
        <w:br w:type="page"/>
      </w:r>
    </w:p>
    <w:p w14:paraId="251B3492" w14:textId="0B64E040" w:rsidR="001B7A40" w:rsidRPr="004A6F1D" w:rsidRDefault="004A6F1D" w:rsidP="00C03A91">
      <w:pPr>
        <w:pStyle w:val="Heading1"/>
        <w:spacing w:line="360" w:lineRule="auto"/>
      </w:pPr>
      <w:bookmarkStart w:id="9" w:name="_Toc222247407"/>
      <w:r w:rsidRPr="004A6F1D">
        <w:lastRenderedPageBreak/>
        <w:t xml:space="preserve">7. </w:t>
      </w:r>
      <w:r w:rsidR="001B7A40" w:rsidRPr="004A6F1D">
        <w:t>References</w:t>
      </w:r>
      <w:bookmarkEnd w:id="9"/>
    </w:p>
    <w:p w14:paraId="3CFA0270" w14:textId="77777777" w:rsidR="004A6F1D" w:rsidRPr="004A6F1D" w:rsidRDefault="004A6F1D" w:rsidP="004A6F1D">
      <w:pPr>
        <w:spacing w:line="360" w:lineRule="auto"/>
        <w:ind w:left="720" w:hanging="720"/>
        <w:rPr>
          <w:rFonts w:ascii="Arial" w:hAnsi="Arial" w:cs="Arial"/>
          <w:lang w:val="en-US"/>
        </w:rPr>
      </w:pPr>
      <w:r w:rsidRPr="004A6F1D">
        <w:rPr>
          <w:rFonts w:ascii="Arial" w:hAnsi="Arial" w:cs="Arial"/>
          <w:lang w:val="en-US"/>
        </w:rPr>
        <w:t xml:space="preserve">Cardoso, P., Young, K.G., Nair, A.T., Hopkins, R., McGovern, A.P., Haider, E., </w:t>
      </w:r>
      <w:proofErr w:type="spellStart"/>
      <w:r w:rsidRPr="004A6F1D">
        <w:rPr>
          <w:rFonts w:ascii="Arial" w:hAnsi="Arial" w:cs="Arial"/>
          <w:lang w:val="en-US"/>
        </w:rPr>
        <w:t>Karunaratne</w:t>
      </w:r>
      <w:proofErr w:type="spellEnd"/>
      <w:r w:rsidRPr="004A6F1D">
        <w:rPr>
          <w:rFonts w:ascii="Arial" w:hAnsi="Arial" w:cs="Arial"/>
          <w:lang w:val="en-US"/>
        </w:rPr>
        <w:t xml:space="preserve">, P., Donnelly, L., </w:t>
      </w:r>
      <w:proofErr w:type="spellStart"/>
      <w:r w:rsidRPr="004A6F1D">
        <w:rPr>
          <w:rFonts w:ascii="Arial" w:hAnsi="Arial" w:cs="Arial"/>
          <w:lang w:val="en-US"/>
        </w:rPr>
        <w:t>Mateen</w:t>
      </w:r>
      <w:proofErr w:type="spellEnd"/>
      <w:r w:rsidRPr="004A6F1D">
        <w:rPr>
          <w:rFonts w:ascii="Arial" w:hAnsi="Arial" w:cs="Arial"/>
          <w:lang w:val="en-US"/>
        </w:rPr>
        <w:t xml:space="preserve">, B.A., </w:t>
      </w:r>
      <w:proofErr w:type="spellStart"/>
      <w:r w:rsidRPr="004A6F1D">
        <w:rPr>
          <w:rFonts w:ascii="Arial" w:hAnsi="Arial" w:cs="Arial"/>
          <w:lang w:val="en-US"/>
        </w:rPr>
        <w:t>Sattar</w:t>
      </w:r>
      <w:proofErr w:type="spellEnd"/>
      <w:r w:rsidRPr="004A6F1D">
        <w:rPr>
          <w:rFonts w:ascii="Arial" w:hAnsi="Arial" w:cs="Arial"/>
          <w:lang w:val="en-US"/>
        </w:rPr>
        <w:t xml:space="preserve">, N. and Holman, R.R. (2024) ‘Phenotype-based targeted treatment of SGLT2 inhibitors and GLP-1 receptor agonists in type 2 diabetes’, </w:t>
      </w:r>
      <w:proofErr w:type="spellStart"/>
      <w:r w:rsidRPr="004A6F1D">
        <w:rPr>
          <w:rFonts w:ascii="Arial" w:hAnsi="Arial" w:cs="Arial"/>
          <w:i/>
          <w:iCs/>
          <w:lang w:val="en-US"/>
        </w:rPr>
        <w:t>Diabetologia</w:t>
      </w:r>
      <w:proofErr w:type="spellEnd"/>
      <w:r w:rsidRPr="004A6F1D">
        <w:rPr>
          <w:rFonts w:ascii="Arial" w:hAnsi="Arial" w:cs="Arial"/>
          <w:lang w:val="en-US"/>
        </w:rPr>
        <w:t>, 67(5), pp. 822–836.</w:t>
      </w:r>
    </w:p>
    <w:p w14:paraId="5E3C6391" w14:textId="77777777" w:rsidR="004A6F1D" w:rsidRPr="004A6F1D" w:rsidRDefault="004A6F1D" w:rsidP="004A6F1D">
      <w:pPr>
        <w:spacing w:line="360" w:lineRule="auto"/>
        <w:ind w:left="720" w:hanging="720"/>
        <w:rPr>
          <w:rFonts w:ascii="Arial" w:hAnsi="Arial" w:cs="Arial"/>
          <w:lang w:val="en-US"/>
        </w:rPr>
      </w:pPr>
      <w:r w:rsidRPr="004A6F1D">
        <w:rPr>
          <w:rFonts w:ascii="Arial" w:hAnsi="Arial" w:cs="Arial"/>
          <w:lang w:val="en-US"/>
        </w:rPr>
        <w:t xml:space="preserve">Chang, S.A. (2012) ‘Smoking and type 2 diabetes mellitus’, </w:t>
      </w:r>
      <w:r w:rsidRPr="004A6F1D">
        <w:rPr>
          <w:rFonts w:ascii="Arial" w:hAnsi="Arial" w:cs="Arial"/>
          <w:i/>
          <w:iCs/>
          <w:lang w:val="en-US"/>
        </w:rPr>
        <w:t>Diabetes &amp; Metabolism Journal</w:t>
      </w:r>
      <w:r w:rsidRPr="004A6F1D">
        <w:rPr>
          <w:rFonts w:ascii="Arial" w:hAnsi="Arial" w:cs="Arial"/>
          <w:lang w:val="en-US"/>
        </w:rPr>
        <w:t>, 36(6), pp. 399–403.</w:t>
      </w:r>
    </w:p>
    <w:p w14:paraId="4DC4AC8F" w14:textId="77777777" w:rsidR="004A6F1D" w:rsidRPr="004A6F1D" w:rsidRDefault="004A6F1D" w:rsidP="004A6F1D">
      <w:pPr>
        <w:spacing w:line="360" w:lineRule="auto"/>
        <w:ind w:left="720" w:hanging="720"/>
        <w:rPr>
          <w:rFonts w:ascii="Arial" w:hAnsi="Arial" w:cs="Arial"/>
          <w:lang w:val="en-US"/>
        </w:rPr>
      </w:pPr>
      <w:proofErr w:type="spellStart"/>
      <w:r w:rsidRPr="004A6F1D">
        <w:rPr>
          <w:rFonts w:ascii="Arial" w:hAnsi="Arial" w:cs="Arial"/>
          <w:lang w:val="en-US"/>
        </w:rPr>
        <w:t>Chiolero</w:t>
      </w:r>
      <w:proofErr w:type="spellEnd"/>
      <w:r w:rsidRPr="004A6F1D">
        <w:rPr>
          <w:rFonts w:ascii="Arial" w:hAnsi="Arial" w:cs="Arial"/>
          <w:lang w:val="en-US"/>
        </w:rPr>
        <w:t xml:space="preserve">, A., </w:t>
      </w:r>
      <w:proofErr w:type="spellStart"/>
      <w:r w:rsidRPr="004A6F1D">
        <w:rPr>
          <w:rFonts w:ascii="Arial" w:hAnsi="Arial" w:cs="Arial"/>
          <w:lang w:val="en-US"/>
        </w:rPr>
        <w:t>Faeh</w:t>
      </w:r>
      <w:proofErr w:type="spellEnd"/>
      <w:r w:rsidRPr="004A6F1D">
        <w:rPr>
          <w:rFonts w:ascii="Arial" w:hAnsi="Arial" w:cs="Arial"/>
          <w:lang w:val="en-US"/>
        </w:rPr>
        <w:t xml:space="preserve">, D., </w:t>
      </w:r>
      <w:proofErr w:type="spellStart"/>
      <w:r w:rsidRPr="004A6F1D">
        <w:rPr>
          <w:rFonts w:ascii="Arial" w:hAnsi="Arial" w:cs="Arial"/>
          <w:lang w:val="en-US"/>
        </w:rPr>
        <w:t>Paccaud</w:t>
      </w:r>
      <w:proofErr w:type="spellEnd"/>
      <w:r w:rsidRPr="004A6F1D">
        <w:rPr>
          <w:rFonts w:ascii="Arial" w:hAnsi="Arial" w:cs="Arial"/>
          <w:lang w:val="en-US"/>
        </w:rPr>
        <w:t xml:space="preserve">, F. and </w:t>
      </w:r>
      <w:proofErr w:type="spellStart"/>
      <w:r w:rsidRPr="004A6F1D">
        <w:rPr>
          <w:rFonts w:ascii="Arial" w:hAnsi="Arial" w:cs="Arial"/>
          <w:lang w:val="en-US"/>
        </w:rPr>
        <w:t>Cornuz</w:t>
      </w:r>
      <w:proofErr w:type="spellEnd"/>
      <w:r w:rsidRPr="004A6F1D">
        <w:rPr>
          <w:rFonts w:ascii="Arial" w:hAnsi="Arial" w:cs="Arial"/>
          <w:lang w:val="en-US"/>
        </w:rPr>
        <w:t xml:space="preserve">, J. (2008) ‘Consequences of smoking for body weight, body fat distribution, and insulin resistance’, </w:t>
      </w:r>
      <w:r w:rsidRPr="004A6F1D">
        <w:rPr>
          <w:rFonts w:ascii="Arial" w:hAnsi="Arial" w:cs="Arial"/>
          <w:i/>
          <w:iCs/>
          <w:lang w:val="en-US"/>
        </w:rPr>
        <w:t>The American Journal of Clinical Nutrition</w:t>
      </w:r>
      <w:r w:rsidRPr="004A6F1D">
        <w:rPr>
          <w:rFonts w:ascii="Arial" w:hAnsi="Arial" w:cs="Arial"/>
          <w:lang w:val="en-US"/>
        </w:rPr>
        <w:t>, 87(4), pp. 801–809.</w:t>
      </w:r>
    </w:p>
    <w:p w14:paraId="0D1CBF98" w14:textId="77777777" w:rsidR="004A6F1D" w:rsidRPr="004A6F1D" w:rsidRDefault="004A6F1D" w:rsidP="004A6F1D">
      <w:pPr>
        <w:spacing w:line="360" w:lineRule="auto"/>
        <w:ind w:left="720" w:hanging="720"/>
        <w:rPr>
          <w:rFonts w:ascii="Arial" w:hAnsi="Arial" w:cs="Arial"/>
          <w:lang w:val="en-US"/>
        </w:rPr>
      </w:pPr>
      <w:r w:rsidRPr="004A6F1D">
        <w:rPr>
          <w:rFonts w:ascii="Arial" w:hAnsi="Arial" w:cs="Arial"/>
          <w:lang w:val="en-US"/>
        </w:rPr>
        <w:t xml:space="preserve">Davies, M.J., </w:t>
      </w:r>
      <w:proofErr w:type="spellStart"/>
      <w:r w:rsidRPr="004A6F1D">
        <w:rPr>
          <w:rFonts w:ascii="Arial" w:hAnsi="Arial" w:cs="Arial"/>
          <w:lang w:val="en-US"/>
        </w:rPr>
        <w:t>Aroda</w:t>
      </w:r>
      <w:proofErr w:type="spellEnd"/>
      <w:r w:rsidRPr="004A6F1D">
        <w:rPr>
          <w:rFonts w:ascii="Arial" w:hAnsi="Arial" w:cs="Arial"/>
          <w:lang w:val="en-US"/>
        </w:rPr>
        <w:t xml:space="preserve">, V.R., Collins, B.S., </w:t>
      </w:r>
      <w:r w:rsidRPr="004A6F1D">
        <w:rPr>
          <w:rFonts w:ascii="Arial" w:hAnsi="Arial" w:cs="Arial"/>
          <w:i/>
          <w:iCs/>
          <w:lang w:val="en-US"/>
        </w:rPr>
        <w:t>et al.</w:t>
      </w:r>
      <w:r w:rsidRPr="004A6F1D">
        <w:rPr>
          <w:rFonts w:ascii="Arial" w:hAnsi="Arial" w:cs="Arial"/>
          <w:lang w:val="en-US"/>
        </w:rPr>
        <w:t xml:space="preserve"> (2022) ‘Management of </w:t>
      </w:r>
      <w:proofErr w:type="spellStart"/>
      <w:r w:rsidRPr="004A6F1D">
        <w:rPr>
          <w:rFonts w:ascii="Arial" w:hAnsi="Arial" w:cs="Arial"/>
          <w:lang w:val="en-US"/>
        </w:rPr>
        <w:t>hyperglycaemia</w:t>
      </w:r>
      <w:proofErr w:type="spellEnd"/>
      <w:r w:rsidRPr="004A6F1D">
        <w:rPr>
          <w:rFonts w:ascii="Arial" w:hAnsi="Arial" w:cs="Arial"/>
          <w:lang w:val="en-US"/>
        </w:rPr>
        <w:t xml:space="preserve"> in type 2 diabetes, 2022: a consensus report by the American Diabetes Association (ADA) and the European Association for the Study of Diabetes (EASD)’, </w:t>
      </w:r>
      <w:proofErr w:type="spellStart"/>
      <w:r w:rsidRPr="004A6F1D">
        <w:rPr>
          <w:rFonts w:ascii="Arial" w:hAnsi="Arial" w:cs="Arial"/>
          <w:i/>
          <w:iCs/>
          <w:lang w:val="en-US"/>
        </w:rPr>
        <w:t>Diabetologia</w:t>
      </w:r>
      <w:proofErr w:type="spellEnd"/>
      <w:r w:rsidRPr="004A6F1D">
        <w:rPr>
          <w:rFonts w:ascii="Arial" w:hAnsi="Arial" w:cs="Arial"/>
          <w:lang w:val="en-US"/>
        </w:rPr>
        <w:t>, 65(12), pp. 1925–1966.</w:t>
      </w:r>
    </w:p>
    <w:p w14:paraId="22EEF54D" w14:textId="77777777" w:rsidR="004A6F1D" w:rsidRPr="004A6F1D" w:rsidRDefault="004A6F1D" w:rsidP="004A6F1D">
      <w:pPr>
        <w:spacing w:line="360" w:lineRule="auto"/>
        <w:ind w:left="720" w:hanging="720"/>
        <w:rPr>
          <w:rFonts w:ascii="Arial" w:hAnsi="Arial" w:cs="Arial"/>
          <w:lang w:val="en-US"/>
        </w:rPr>
      </w:pPr>
      <w:r w:rsidRPr="004A6F1D">
        <w:rPr>
          <w:rFonts w:ascii="Arial" w:hAnsi="Arial" w:cs="Arial"/>
          <w:lang w:val="en-US"/>
        </w:rPr>
        <w:t xml:space="preserve">Food and Drug Administration (FDA) (2022) </w:t>
      </w:r>
      <w:r w:rsidRPr="004A6F1D">
        <w:rPr>
          <w:rFonts w:ascii="Arial" w:hAnsi="Arial" w:cs="Arial"/>
          <w:i/>
          <w:iCs/>
          <w:lang w:val="en-US"/>
        </w:rPr>
        <w:t>How smoking can increase risk for and affect diabetes</w:t>
      </w:r>
      <w:r w:rsidRPr="004A6F1D">
        <w:rPr>
          <w:rFonts w:ascii="Arial" w:hAnsi="Arial" w:cs="Arial"/>
          <w:lang w:val="en-US"/>
        </w:rPr>
        <w:t xml:space="preserve">. Available at: </w:t>
      </w:r>
      <w:hyperlink w:tgtFrame="_blank" w:history="1">
        <w:r w:rsidRPr="004A6F1D">
          <w:rPr>
            <w:rStyle w:val="Hyperlink"/>
            <w:rFonts w:ascii="Arial" w:hAnsi="Arial" w:cs="Arial"/>
            <w:lang w:val="en-US"/>
          </w:rPr>
          <w:t>https://www.fda.gov/tobacco-products/health-effects-tobacco-use/how-smoking-can-increase-risk-and-affect-diabetes</w:t>
        </w:r>
      </w:hyperlink>
      <w:r w:rsidRPr="004A6F1D">
        <w:rPr>
          <w:rFonts w:ascii="Arial" w:hAnsi="Arial" w:cs="Arial"/>
          <w:lang w:val="en-US"/>
        </w:rPr>
        <w:t xml:space="preserve"> (Accessed: 17 February 2026).</w:t>
      </w:r>
    </w:p>
    <w:p w14:paraId="44453E99" w14:textId="77777777" w:rsidR="004A6F1D" w:rsidRPr="004A6F1D" w:rsidRDefault="004A6F1D" w:rsidP="004A6F1D">
      <w:pPr>
        <w:spacing w:line="360" w:lineRule="auto"/>
        <w:ind w:left="720" w:hanging="720"/>
        <w:rPr>
          <w:rFonts w:ascii="Arial" w:hAnsi="Arial" w:cs="Arial"/>
          <w:lang w:val="en-US"/>
        </w:rPr>
      </w:pPr>
      <w:r w:rsidRPr="004A6F1D">
        <w:rPr>
          <w:rFonts w:ascii="Arial" w:hAnsi="Arial" w:cs="Arial"/>
          <w:lang w:val="en-US"/>
        </w:rPr>
        <w:t xml:space="preserve">Goyal, R., </w:t>
      </w:r>
      <w:proofErr w:type="spellStart"/>
      <w:r w:rsidRPr="004A6F1D">
        <w:rPr>
          <w:rFonts w:ascii="Arial" w:hAnsi="Arial" w:cs="Arial"/>
          <w:lang w:val="en-US"/>
        </w:rPr>
        <w:t>Singhal</w:t>
      </w:r>
      <w:proofErr w:type="spellEnd"/>
      <w:r w:rsidRPr="004A6F1D">
        <w:rPr>
          <w:rFonts w:ascii="Arial" w:hAnsi="Arial" w:cs="Arial"/>
          <w:lang w:val="en-US"/>
        </w:rPr>
        <w:t xml:space="preserve">, M. and </w:t>
      </w:r>
      <w:proofErr w:type="spellStart"/>
      <w:r w:rsidRPr="004A6F1D">
        <w:rPr>
          <w:rFonts w:ascii="Arial" w:hAnsi="Arial" w:cs="Arial"/>
          <w:lang w:val="en-US"/>
        </w:rPr>
        <w:t>Jialal</w:t>
      </w:r>
      <w:proofErr w:type="spellEnd"/>
      <w:r w:rsidRPr="004A6F1D">
        <w:rPr>
          <w:rFonts w:ascii="Arial" w:hAnsi="Arial" w:cs="Arial"/>
          <w:lang w:val="en-US"/>
        </w:rPr>
        <w:t xml:space="preserve">, I. (2023) ‘Type 2 diabetes’, in </w:t>
      </w:r>
      <w:r w:rsidRPr="004A6F1D">
        <w:rPr>
          <w:rFonts w:ascii="Arial" w:hAnsi="Arial" w:cs="Arial"/>
          <w:i/>
          <w:iCs/>
          <w:lang w:val="en-US"/>
        </w:rPr>
        <w:t>StatPearls</w:t>
      </w:r>
      <w:r w:rsidRPr="004A6F1D">
        <w:rPr>
          <w:rFonts w:ascii="Arial" w:hAnsi="Arial" w:cs="Arial"/>
          <w:lang w:val="en-US"/>
        </w:rPr>
        <w:t xml:space="preserve">. [Online]. Treasure Island (FL): StatPearls Publishing. Available at: </w:t>
      </w:r>
      <w:hyperlink w:tgtFrame="_blank" w:history="1">
        <w:r w:rsidRPr="004A6F1D">
          <w:rPr>
            <w:rStyle w:val="Hyperlink"/>
            <w:rFonts w:ascii="Arial" w:hAnsi="Arial" w:cs="Arial"/>
            <w:lang w:val="en-US"/>
          </w:rPr>
          <w:t>https://pubmed.ncbi.nlm.nih.gov/30020625/</w:t>
        </w:r>
      </w:hyperlink>
      <w:r w:rsidRPr="004A6F1D">
        <w:rPr>
          <w:rFonts w:ascii="Arial" w:hAnsi="Arial" w:cs="Arial"/>
          <w:lang w:val="en-US"/>
        </w:rPr>
        <w:t xml:space="preserve"> (Accessed: 17 February 2026).</w:t>
      </w:r>
    </w:p>
    <w:p w14:paraId="2F7F5331" w14:textId="77777777" w:rsidR="004A6F1D" w:rsidRPr="004A6F1D" w:rsidRDefault="004A6F1D" w:rsidP="004A6F1D">
      <w:pPr>
        <w:spacing w:line="360" w:lineRule="auto"/>
        <w:ind w:left="720" w:hanging="720"/>
        <w:rPr>
          <w:rFonts w:ascii="Arial" w:hAnsi="Arial" w:cs="Arial"/>
          <w:lang w:val="en-US"/>
        </w:rPr>
      </w:pPr>
      <w:proofErr w:type="spellStart"/>
      <w:r w:rsidRPr="004A6F1D">
        <w:rPr>
          <w:rFonts w:ascii="Arial" w:hAnsi="Arial" w:cs="Arial"/>
          <w:lang w:val="en-US"/>
        </w:rPr>
        <w:t>Hantzidiamantis</w:t>
      </w:r>
      <w:proofErr w:type="spellEnd"/>
      <w:r w:rsidRPr="004A6F1D">
        <w:rPr>
          <w:rFonts w:ascii="Arial" w:hAnsi="Arial" w:cs="Arial"/>
          <w:lang w:val="en-US"/>
        </w:rPr>
        <w:t xml:space="preserve">, P.J., </w:t>
      </w:r>
      <w:proofErr w:type="spellStart"/>
      <w:r w:rsidRPr="004A6F1D">
        <w:rPr>
          <w:rFonts w:ascii="Arial" w:hAnsi="Arial" w:cs="Arial"/>
          <w:lang w:val="en-US"/>
        </w:rPr>
        <w:t>Awosika</w:t>
      </w:r>
      <w:proofErr w:type="spellEnd"/>
      <w:r w:rsidRPr="004A6F1D">
        <w:rPr>
          <w:rFonts w:ascii="Arial" w:hAnsi="Arial" w:cs="Arial"/>
          <w:lang w:val="en-US"/>
        </w:rPr>
        <w:t xml:space="preserve">, A.O. and </w:t>
      </w:r>
      <w:proofErr w:type="spellStart"/>
      <w:r w:rsidRPr="004A6F1D">
        <w:rPr>
          <w:rFonts w:ascii="Arial" w:hAnsi="Arial" w:cs="Arial"/>
          <w:lang w:val="en-US"/>
        </w:rPr>
        <w:t>Lappin</w:t>
      </w:r>
      <w:proofErr w:type="spellEnd"/>
      <w:r w:rsidRPr="004A6F1D">
        <w:rPr>
          <w:rFonts w:ascii="Arial" w:hAnsi="Arial" w:cs="Arial"/>
          <w:lang w:val="en-US"/>
        </w:rPr>
        <w:t xml:space="preserve">, S.L. (2023) ‘Physiology, glucose’, in </w:t>
      </w:r>
      <w:r w:rsidRPr="004A6F1D">
        <w:rPr>
          <w:rFonts w:ascii="Arial" w:hAnsi="Arial" w:cs="Arial"/>
          <w:i/>
          <w:iCs/>
          <w:lang w:val="en-US"/>
        </w:rPr>
        <w:t>StatPearls</w:t>
      </w:r>
      <w:r w:rsidRPr="004A6F1D">
        <w:rPr>
          <w:rFonts w:ascii="Arial" w:hAnsi="Arial" w:cs="Arial"/>
          <w:lang w:val="en-US"/>
        </w:rPr>
        <w:t xml:space="preserve">. [Online]. Treasure Island (FL): StatPearls Publishing. Available at: </w:t>
      </w:r>
      <w:hyperlink w:tgtFrame="_blank" w:history="1">
        <w:r w:rsidRPr="004A6F1D">
          <w:rPr>
            <w:rStyle w:val="Hyperlink"/>
            <w:rFonts w:ascii="Arial" w:hAnsi="Arial" w:cs="Arial"/>
            <w:lang w:val="en-US"/>
          </w:rPr>
          <w:t>https://www.ncbi.nlm.nih.gov/books/NBK545201/</w:t>
        </w:r>
      </w:hyperlink>
      <w:r w:rsidRPr="004A6F1D">
        <w:rPr>
          <w:rFonts w:ascii="Arial" w:hAnsi="Arial" w:cs="Arial"/>
          <w:lang w:val="en-US"/>
        </w:rPr>
        <w:t xml:space="preserve"> (Accessed: 17 February 2026).</w:t>
      </w:r>
    </w:p>
    <w:p w14:paraId="42A74FF3" w14:textId="77777777" w:rsidR="004A6F1D" w:rsidRPr="004A6F1D" w:rsidRDefault="004A6F1D" w:rsidP="004A6F1D">
      <w:pPr>
        <w:spacing w:line="360" w:lineRule="auto"/>
        <w:ind w:left="720" w:hanging="720"/>
        <w:rPr>
          <w:rFonts w:ascii="Arial" w:hAnsi="Arial" w:cs="Arial"/>
          <w:lang w:val="en-US"/>
        </w:rPr>
      </w:pPr>
      <w:proofErr w:type="spellStart"/>
      <w:r w:rsidRPr="004A6F1D">
        <w:rPr>
          <w:rFonts w:ascii="Arial" w:hAnsi="Arial" w:cs="Arial"/>
          <w:lang w:val="en-US"/>
        </w:rPr>
        <w:t>Heald</w:t>
      </w:r>
      <w:proofErr w:type="spellEnd"/>
      <w:r w:rsidRPr="004A6F1D">
        <w:rPr>
          <w:rFonts w:ascii="Arial" w:hAnsi="Arial" w:cs="Arial"/>
          <w:lang w:val="en-US"/>
        </w:rPr>
        <w:t xml:space="preserve">, A.H., </w:t>
      </w:r>
      <w:proofErr w:type="spellStart"/>
      <w:r w:rsidRPr="004A6F1D">
        <w:rPr>
          <w:rFonts w:ascii="Arial" w:hAnsi="Arial" w:cs="Arial"/>
          <w:lang w:val="en-US"/>
        </w:rPr>
        <w:t>Fachim</w:t>
      </w:r>
      <w:proofErr w:type="spellEnd"/>
      <w:r w:rsidRPr="004A6F1D">
        <w:rPr>
          <w:rFonts w:ascii="Arial" w:hAnsi="Arial" w:cs="Arial"/>
          <w:lang w:val="en-US"/>
        </w:rPr>
        <w:t xml:space="preserve">, H.A., Bashir, B., Garside, B., Adam, S., Iqbal, Z., Syed, A.A., Donn, R., Le Roux, C.W., </w:t>
      </w:r>
      <w:proofErr w:type="spellStart"/>
      <w:r w:rsidRPr="004A6F1D">
        <w:rPr>
          <w:rFonts w:ascii="Arial" w:hAnsi="Arial" w:cs="Arial"/>
          <w:lang w:val="en-US"/>
        </w:rPr>
        <w:t>Abdelaal</w:t>
      </w:r>
      <w:proofErr w:type="spellEnd"/>
      <w:r w:rsidRPr="004A6F1D">
        <w:rPr>
          <w:rFonts w:ascii="Arial" w:hAnsi="Arial" w:cs="Arial"/>
          <w:lang w:val="en-US"/>
        </w:rPr>
        <w:t xml:space="preserve">, M. and White, J. (2023) ‘Impact of bariatric surgery on </w:t>
      </w:r>
      <w:proofErr w:type="spellStart"/>
      <w:r w:rsidRPr="004A6F1D">
        <w:rPr>
          <w:rFonts w:ascii="Arial" w:hAnsi="Arial" w:cs="Arial"/>
          <w:lang w:val="en-US"/>
        </w:rPr>
        <w:t>Subtilisin</w:t>
      </w:r>
      <w:proofErr w:type="spellEnd"/>
      <w:r w:rsidRPr="004A6F1D">
        <w:rPr>
          <w:rFonts w:ascii="Arial" w:hAnsi="Arial" w:cs="Arial"/>
          <w:lang w:val="en-US"/>
        </w:rPr>
        <w:t>/</w:t>
      </w:r>
      <w:proofErr w:type="spellStart"/>
      <w:r w:rsidRPr="004A6F1D">
        <w:rPr>
          <w:rFonts w:ascii="Arial" w:hAnsi="Arial" w:cs="Arial"/>
          <w:lang w:val="en-US"/>
        </w:rPr>
        <w:t>Kexin</w:t>
      </w:r>
      <w:proofErr w:type="spellEnd"/>
      <w:r w:rsidRPr="004A6F1D">
        <w:rPr>
          <w:rFonts w:ascii="Arial" w:hAnsi="Arial" w:cs="Arial"/>
          <w:lang w:val="en-US"/>
        </w:rPr>
        <w:t xml:space="preserve"> Type 9 (PCSK9) gene expression and inflammation in the adipose tissue of obese diabetic rats’, </w:t>
      </w:r>
      <w:r w:rsidRPr="004A6F1D">
        <w:rPr>
          <w:rFonts w:ascii="Arial" w:hAnsi="Arial" w:cs="Arial"/>
          <w:i/>
          <w:iCs/>
          <w:lang w:val="en-US"/>
        </w:rPr>
        <w:t>International Journal of Molecular Sciences</w:t>
      </w:r>
      <w:r w:rsidRPr="004A6F1D">
        <w:rPr>
          <w:rFonts w:ascii="Arial" w:hAnsi="Arial" w:cs="Arial"/>
          <w:lang w:val="en-US"/>
        </w:rPr>
        <w:t>, 24(23), art. 16978.</w:t>
      </w:r>
    </w:p>
    <w:p w14:paraId="27B2EC41" w14:textId="77777777" w:rsidR="004A6F1D" w:rsidRPr="004A6F1D" w:rsidRDefault="004A6F1D" w:rsidP="004A6F1D">
      <w:pPr>
        <w:spacing w:line="360" w:lineRule="auto"/>
        <w:ind w:left="720" w:hanging="720"/>
        <w:rPr>
          <w:rFonts w:ascii="Arial" w:hAnsi="Arial" w:cs="Arial"/>
          <w:lang w:val="en-US"/>
        </w:rPr>
      </w:pPr>
      <w:proofErr w:type="spellStart"/>
      <w:r w:rsidRPr="004A6F1D">
        <w:rPr>
          <w:rFonts w:ascii="Arial" w:hAnsi="Arial" w:cs="Arial"/>
          <w:lang w:val="en-US"/>
        </w:rPr>
        <w:lastRenderedPageBreak/>
        <w:t>Kieu</w:t>
      </w:r>
      <w:proofErr w:type="spellEnd"/>
      <w:r w:rsidRPr="004A6F1D">
        <w:rPr>
          <w:rFonts w:ascii="Arial" w:hAnsi="Arial" w:cs="Arial"/>
          <w:lang w:val="en-US"/>
        </w:rPr>
        <w:t xml:space="preserve">, A., King, J., </w:t>
      </w:r>
      <w:proofErr w:type="spellStart"/>
      <w:r w:rsidRPr="004A6F1D">
        <w:rPr>
          <w:rFonts w:ascii="Arial" w:hAnsi="Arial" w:cs="Arial"/>
          <w:lang w:val="en-US"/>
        </w:rPr>
        <w:t>Govender</w:t>
      </w:r>
      <w:proofErr w:type="spellEnd"/>
      <w:r w:rsidRPr="004A6F1D">
        <w:rPr>
          <w:rFonts w:ascii="Arial" w:hAnsi="Arial" w:cs="Arial"/>
          <w:lang w:val="en-US"/>
        </w:rPr>
        <w:t xml:space="preserve">, R.D. and </w:t>
      </w:r>
      <w:proofErr w:type="spellStart"/>
      <w:r w:rsidRPr="004A6F1D">
        <w:rPr>
          <w:rFonts w:ascii="Arial" w:hAnsi="Arial" w:cs="Arial"/>
          <w:lang w:val="en-US"/>
        </w:rPr>
        <w:t>Östlundh</w:t>
      </w:r>
      <w:proofErr w:type="spellEnd"/>
      <w:r w:rsidRPr="004A6F1D">
        <w:rPr>
          <w:rFonts w:ascii="Arial" w:hAnsi="Arial" w:cs="Arial"/>
          <w:lang w:val="en-US"/>
        </w:rPr>
        <w:t xml:space="preserve">, L. (2023) ‘The benefits of utilizing continuous glucose monitoring of diabetes mellitus in primary care: a systematic review’, </w:t>
      </w:r>
      <w:r w:rsidRPr="004A6F1D">
        <w:rPr>
          <w:rFonts w:ascii="Arial" w:hAnsi="Arial" w:cs="Arial"/>
          <w:i/>
          <w:iCs/>
          <w:lang w:val="en-US"/>
        </w:rPr>
        <w:t>Journal of Diabetes Science and Technology</w:t>
      </w:r>
      <w:r w:rsidRPr="004A6F1D">
        <w:rPr>
          <w:rFonts w:ascii="Arial" w:hAnsi="Arial" w:cs="Arial"/>
          <w:lang w:val="en-US"/>
        </w:rPr>
        <w:t>, 17(3), pp. 762–774.</w:t>
      </w:r>
    </w:p>
    <w:p w14:paraId="161E3E53" w14:textId="77777777" w:rsidR="004A6F1D" w:rsidRPr="004A6F1D" w:rsidRDefault="004A6F1D" w:rsidP="004A6F1D">
      <w:pPr>
        <w:spacing w:line="360" w:lineRule="auto"/>
        <w:ind w:left="720" w:hanging="720"/>
        <w:rPr>
          <w:rFonts w:ascii="Arial" w:hAnsi="Arial" w:cs="Arial"/>
          <w:lang w:val="en-US"/>
        </w:rPr>
      </w:pPr>
      <w:proofErr w:type="spellStart"/>
      <w:r w:rsidRPr="004A6F1D">
        <w:rPr>
          <w:rFonts w:ascii="Arial" w:hAnsi="Arial" w:cs="Arial"/>
          <w:lang w:val="en-US"/>
        </w:rPr>
        <w:t>Milenkovic</w:t>
      </w:r>
      <w:proofErr w:type="spellEnd"/>
      <w:r w:rsidRPr="004A6F1D">
        <w:rPr>
          <w:rFonts w:ascii="Arial" w:hAnsi="Arial" w:cs="Arial"/>
          <w:lang w:val="en-US"/>
        </w:rPr>
        <w:t xml:space="preserve">, T., </w:t>
      </w:r>
      <w:proofErr w:type="spellStart"/>
      <w:r w:rsidRPr="004A6F1D">
        <w:rPr>
          <w:rFonts w:ascii="Arial" w:hAnsi="Arial" w:cs="Arial"/>
          <w:lang w:val="en-US"/>
        </w:rPr>
        <w:t>Bozhinovska</w:t>
      </w:r>
      <w:proofErr w:type="spellEnd"/>
      <w:r w:rsidRPr="004A6F1D">
        <w:rPr>
          <w:rFonts w:ascii="Arial" w:hAnsi="Arial" w:cs="Arial"/>
          <w:lang w:val="en-US"/>
        </w:rPr>
        <w:t xml:space="preserve">, N., </w:t>
      </w:r>
      <w:proofErr w:type="spellStart"/>
      <w:r w:rsidRPr="004A6F1D">
        <w:rPr>
          <w:rFonts w:ascii="Arial" w:hAnsi="Arial" w:cs="Arial"/>
          <w:lang w:val="en-US"/>
        </w:rPr>
        <w:t>Macut</w:t>
      </w:r>
      <w:proofErr w:type="spellEnd"/>
      <w:r w:rsidRPr="004A6F1D">
        <w:rPr>
          <w:rFonts w:ascii="Arial" w:hAnsi="Arial" w:cs="Arial"/>
          <w:lang w:val="en-US"/>
        </w:rPr>
        <w:t xml:space="preserve">, D., </w:t>
      </w:r>
      <w:proofErr w:type="spellStart"/>
      <w:r w:rsidRPr="004A6F1D">
        <w:rPr>
          <w:rFonts w:ascii="Arial" w:hAnsi="Arial" w:cs="Arial"/>
          <w:lang w:val="en-US"/>
        </w:rPr>
        <w:t>Bjekic-Macut</w:t>
      </w:r>
      <w:proofErr w:type="spellEnd"/>
      <w:r w:rsidRPr="004A6F1D">
        <w:rPr>
          <w:rFonts w:ascii="Arial" w:hAnsi="Arial" w:cs="Arial"/>
          <w:lang w:val="en-US"/>
        </w:rPr>
        <w:t xml:space="preserve">, J., </w:t>
      </w:r>
      <w:proofErr w:type="spellStart"/>
      <w:r w:rsidRPr="004A6F1D">
        <w:rPr>
          <w:rFonts w:ascii="Arial" w:hAnsi="Arial" w:cs="Arial"/>
          <w:lang w:val="en-US"/>
        </w:rPr>
        <w:t>Rahelic</w:t>
      </w:r>
      <w:proofErr w:type="spellEnd"/>
      <w:r w:rsidRPr="004A6F1D">
        <w:rPr>
          <w:rFonts w:ascii="Arial" w:hAnsi="Arial" w:cs="Arial"/>
          <w:lang w:val="en-US"/>
        </w:rPr>
        <w:t xml:space="preserve">, D., </w:t>
      </w:r>
      <w:proofErr w:type="spellStart"/>
      <w:r w:rsidRPr="004A6F1D">
        <w:rPr>
          <w:rFonts w:ascii="Arial" w:hAnsi="Arial" w:cs="Arial"/>
          <w:lang w:val="en-US"/>
        </w:rPr>
        <w:t>Velija</w:t>
      </w:r>
      <w:proofErr w:type="spellEnd"/>
      <w:r w:rsidRPr="004A6F1D">
        <w:rPr>
          <w:rFonts w:ascii="Arial" w:hAnsi="Arial" w:cs="Arial"/>
          <w:lang w:val="en-US"/>
        </w:rPr>
        <w:t xml:space="preserve"> </w:t>
      </w:r>
      <w:proofErr w:type="spellStart"/>
      <w:r w:rsidRPr="004A6F1D">
        <w:rPr>
          <w:rFonts w:ascii="Arial" w:hAnsi="Arial" w:cs="Arial"/>
          <w:lang w:val="en-US"/>
        </w:rPr>
        <w:t>Asimi</w:t>
      </w:r>
      <w:proofErr w:type="spellEnd"/>
      <w:r w:rsidRPr="004A6F1D">
        <w:rPr>
          <w:rFonts w:ascii="Arial" w:hAnsi="Arial" w:cs="Arial"/>
          <w:lang w:val="en-US"/>
        </w:rPr>
        <w:t xml:space="preserve">, Z. and </w:t>
      </w:r>
      <w:proofErr w:type="spellStart"/>
      <w:r w:rsidRPr="004A6F1D">
        <w:rPr>
          <w:rFonts w:ascii="Arial" w:hAnsi="Arial" w:cs="Arial"/>
          <w:lang w:val="en-US"/>
        </w:rPr>
        <w:t>Burekovic</w:t>
      </w:r>
      <w:proofErr w:type="spellEnd"/>
      <w:r w:rsidRPr="004A6F1D">
        <w:rPr>
          <w:rFonts w:ascii="Arial" w:hAnsi="Arial" w:cs="Arial"/>
          <w:lang w:val="en-US"/>
        </w:rPr>
        <w:t xml:space="preserve">, A. (2021) ‘Mediterranean diet and type 2 diabetes mellitus: a perpetual inspiration for the scientific world. A review’, </w:t>
      </w:r>
      <w:r w:rsidRPr="004A6F1D">
        <w:rPr>
          <w:rFonts w:ascii="Arial" w:hAnsi="Arial" w:cs="Arial"/>
          <w:i/>
          <w:iCs/>
          <w:lang w:val="en-US"/>
        </w:rPr>
        <w:t>Nutrients</w:t>
      </w:r>
      <w:r w:rsidRPr="004A6F1D">
        <w:rPr>
          <w:rFonts w:ascii="Arial" w:hAnsi="Arial" w:cs="Arial"/>
          <w:lang w:val="en-US"/>
        </w:rPr>
        <w:t>, 13(4), art. 1307.</w:t>
      </w:r>
    </w:p>
    <w:p w14:paraId="2149BF49" w14:textId="77777777" w:rsidR="004A6F1D" w:rsidRPr="004A6F1D" w:rsidRDefault="004A6F1D" w:rsidP="004A6F1D">
      <w:pPr>
        <w:spacing w:line="360" w:lineRule="auto"/>
        <w:ind w:left="720" w:hanging="720"/>
        <w:rPr>
          <w:rFonts w:ascii="Arial" w:hAnsi="Arial" w:cs="Arial"/>
          <w:lang w:val="en-US"/>
        </w:rPr>
      </w:pPr>
      <w:r w:rsidRPr="004A6F1D">
        <w:rPr>
          <w:rFonts w:ascii="Arial" w:hAnsi="Arial" w:cs="Arial"/>
          <w:lang w:val="en-US"/>
        </w:rPr>
        <w:t xml:space="preserve">National Institute for Health and Care Excellence (NICE) (2022) </w:t>
      </w:r>
      <w:r w:rsidRPr="004A6F1D">
        <w:rPr>
          <w:rFonts w:ascii="Arial" w:hAnsi="Arial" w:cs="Arial"/>
          <w:i/>
          <w:iCs/>
          <w:lang w:val="en-US"/>
        </w:rPr>
        <w:t>Type 2 diabetes in adults: management</w:t>
      </w:r>
      <w:r w:rsidRPr="004A6F1D">
        <w:rPr>
          <w:rFonts w:ascii="Arial" w:hAnsi="Arial" w:cs="Arial"/>
          <w:lang w:val="en-US"/>
        </w:rPr>
        <w:t xml:space="preserve"> [NICE guideline NG28]. Available at: </w:t>
      </w:r>
      <w:hyperlink w:tgtFrame="_blank" w:history="1">
        <w:r w:rsidRPr="004A6F1D">
          <w:rPr>
            <w:rStyle w:val="Hyperlink"/>
            <w:rFonts w:ascii="Arial" w:hAnsi="Arial" w:cs="Arial"/>
            <w:lang w:val="en-US"/>
          </w:rPr>
          <w:t>https://www.nice.org.uk/guidance/ng28</w:t>
        </w:r>
      </w:hyperlink>
      <w:r w:rsidRPr="004A6F1D">
        <w:rPr>
          <w:rFonts w:ascii="Arial" w:hAnsi="Arial" w:cs="Arial"/>
          <w:lang w:val="en-US"/>
        </w:rPr>
        <w:t xml:space="preserve"> (Accessed: 17 February 2026).</w:t>
      </w:r>
    </w:p>
    <w:p w14:paraId="253C11C9" w14:textId="77777777" w:rsidR="004A6F1D" w:rsidRPr="004A6F1D" w:rsidRDefault="004A6F1D" w:rsidP="004A6F1D">
      <w:pPr>
        <w:spacing w:line="360" w:lineRule="auto"/>
        <w:ind w:left="720" w:hanging="720"/>
        <w:rPr>
          <w:rFonts w:ascii="Arial" w:hAnsi="Arial" w:cs="Arial"/>
          <w:lang w:val="en-US"/>
        </w:rPr>
      </w:pPr>
      <w:proofErr w:type="spellStart"/>
      <w:r w:rsidRPr="004A6F1D">
        <w:rPr>
          <w:rFonts w:ascii="Arial" w:hAnsi="Arial" w:cs="Arial"/>
          <w:lang w:val="en-US"/>
        </w:rPr>
        <w:t>Ritov</w:t>
      </w:r>
      <w:proofErr w:type="spellEnd"/>
      <w:r w:rsidRPr="004A6F1D">
        <w:rPr>
          <w:rFonts w:ascii="Arial" w:hAnsi="Arial" w:cs="Arial"/>
          <w:lang w:val="en-US"/>
        </w:rPr>
        <w:t xml:space="preserve">, V.B., </w:t>
      </w:r>
      <w:proofErr w:type="spellStart"/>
      <w:r w:rsidRPr="004A6F1D">
        <w:rPr>
          <w:rFonts w:ascii="Arial" w:hAnsi="Arial" w:cs="Arial"/>
          <w:lang w:val="en-US"/>
        </w:rPr>
        <w:t>Menshikova</w:t>
      </w:r>
      <w:proofErr w:type="spellEnd"/>
      <w:r w:rsidRPr="004A6F1D">
        <w:rPr>
          <w:rFonts w:ascii="Arial" w:hAnsi="Arial" w:cs="Arial"/>
          <w:lang w:val="en-US"/>
        </w:rPr>
        <w:t xml:space="preserve">, E.V., He, J., Ferrell, R.E., </w:t>
      </w:r>
      <w:proofErr w:type="spellStart"/>
      <w:r w:rsidRPr="004A6F1D">
        <w:rPr>
          <w:rFonts w:ascii="Arial" w:hAnsi="Arial" w:cs="Arial"/>
          <w:lang w:val="en-US"/>
        </w:rPr>
        <w:t>Goodpaster</w:t>
      </w:r>
      <w:proofErr w:type="spellEnd"/>
      <w:r w:rsidRPr="004A6F1D">
        <w:rPr>
          <w:rFonts w:ascii="Arial" w:hAnsi="Arial" w:cs="Arial"/>
          <w:lang w:val="en-US"/>
        </w:rPr>
        <w:t xml:space="preserve">, B.H. and Kelley, D.E. (2005) ‘Deficiency of </w:t>
      </w:r>
      <w:proofErr w:type="spellStart"/>
      <w:r w:rsidRPr="004A6F1D">
        <w:rPr>
          <w:rFonts w:ascii="Arial" w:hAnsi="Arial" w:cs="Arial"/>
          <w:lang w:val="en-US"/>
        </w:rPr>
        <w:t>subsarcolemmal</w:t>
      </w:r>
      <w:proofErr w:type="spellEnd"/>
      <w:r w:rsidRPr="004A6F1D">
        <w:rPr>
          <w:rFonts w:ascii="Arial" w:hAnsi="Arial" w:cs="Arial"/>
          <w:lang w:val="en-US"/>
        </w:rPr>
        <w:t xml:space="preserve"> mitochondria in obesity and type 2 diabetes’, </w:t>
      </w:r>
      <w:r w:rsidRPr="004A6F1D">
        <w:rPr>
          <w:rFonts w:ascii="Arial" w:hAnsi="Arial" w:cs="Arial"/>
          <w:i/>
          <w:iCs/>
          <w:lang w:val="en-US"/>
        </w:rPr>
        <w:t>Diabetes</w:t>
      </w:r>
      <w:r w:rsidRPr="004A6F1D">
        <w:rPr>
          <w:rFonts w:ascii="Arial" w:hAnsi="Arial" w:cs="Arial"/>
          <w:lang w:val="en-US"/>
        </w:rPr>
        <w:t>, 54(1), pp. 8–14.</w:t>
      </w:r>
    </w:p>
    <w:p w14:paraId="0C8323B0" w14:textId="77777777" w:rsidR="004A6F1D" w:rsidRPr="004A6F1D" w:rsidRDefault="004A6F1D" w:rsidP="004A6F1D">
      <w:pPr>
        <w:spacing w:line="360" w:lineRule="auto"/>
        <w:ind w:left="720" w:hanging="720"/>
        <w:rPr>
          <w:rFonts w:ascii="Arial" w:hAnsi="Arial" w:cs="Arial"/>
          <w:lang w:val="en-US"/>
        </w:rPr>
      </w:pPr>
      <w:proofErr w:type="spellStart"/>
      <w:r w:rsidRPr="004A6F1D">
        <w:rPr>
          <w:rFonts w:ascii="Arial" w:hAnsi="Arial" w:cs="Arial"/>
          <w:lang w:val="en-US"/>
        </w:rPr>
        <w:t>Rosenfeld</w:t>
      </w:r>
      <w:proofErr w:type="spellEnd"/>
      <w:r w:rsidRPr="004A6F1D">
        <w:rPr>
          <w:rFonts w:ascii="Arial" w:hAnsi="Arial" w:cs="Arial"/>
          <w:lang w:val="en-US"/>
        </w:rPr>
        <w:t xml:space="preserve">, R.M., </w:t>
      </w:r>
      <w:proofErr w:type="spellStart"/>
      <w:r w:rsidRPr="004A6F1D">
        <w:rPr>
          <w:rFonts w:ascii="Arial" w:hAnsi="Arial" w:cs="Arial"/>
          <w:lang w:val="en-US"/>
        </w:rPr>
        <w:t>Grega</w:t>
      </w:r>
      <w:proofErr w:type="spellEnd"/>
      <w:r w:rsidRPr="004A6F1D">
        <w:rPr>
          <w:rFonts w:ascii="Arial" w:hAnsi="Arial" w:cs="Arial"/>
          <w:lang w:val="en-US"/>
        </w:rPr>
        <w:t xml:space="preserve">, M.L., </w:t>
      </w:r>
      <w:proofErr w:type="spellStart"/>
      <w:r w:rsidRPr="004A6F1D">
        <w:rPr>
          <w:rFonts w:ascii="Arial" w:hAnsi="Arial" w:cs="Arial"/>
          <w:lang w:val="en-US"/>
        </w:rPr>
        <w:t>Karlsen</w:t>
      </w:r>
      <w:proofErr w:type="spellEnd"/>
      <w:r w:rsidRPr="004A6F1D">
        <w:rPr>
          <w:rFonts w:ascii="Arial" w:hAnsi="Arial" w:cs="Arial"/>
          <w:lang w:val="en-US"/>
        </w:rPr>
        <w:t xml:space="preserve">, M.C., Abu </w:t>
      </w:r>
      <w:proofErr w:type="spellStart"/>
      <w:r w:rsidRPr="004A6F1D">
        <w:rPr>
          <w:rFonts w:ascii="Arial" w:hAnsi="Arial" w:cs="Arial"/>
          <w:lang w:val="en-US"/>
        </w:rPr>
        <w:t>Dabrh</w:t>
      </w:r>
      <w:proofErr w:type="spellEnd"/>
      <w:r w:rsidRPr="004A6F1D">
        <w:rPr>
          <w:rFonts w:ascii="Arial" w:hAnsi="Arial" w:cs="Arial"/>
          <w:lang w:val="en-US"/>
        </w:rPr>
        <w:t xml:space="preserve">, A.M., Aurora, R.N., Bonnet, J.P., Donnell, L., Fitzpatrick, S.L., Frates, B., Joy, E.A. and Kapustin, J.F. (2025) ‘Lifestyle interventions for treatment and remission of type 2 diabetes and prediabetes in adults: a clinical practice guideline from the American College of Lifestyle Medicine’, </w:t>
      </w:r>
      <w:r w:rsidRPr="004A6F1D">
        <w:rPr>
          <w:rFonts w:ascii="Arial" w:hAnsi="Arial" w:cs="Arial"/>
          <w:i/>
          <w:iCs/>
          <w:lang w:val="en-US"/>
        </w:rPr>
        <w:t>American Journal of Lifestyle Medicine</w:t>
      </w:r>
      <w:r w:rsidRPr="004A6F1D">
        <w:rPr>
          <w:rFonts w:ascii="Arial" w:hAnsi="Arial" w:cs="Arial"/>
          <w:lang w:val="en-US"/>
        </w:rPr>
        <w:t xml:space="preserve">, 19(2 </w:t>
      </w:r>
      <w:proofErr w:type="spellStart"/>
      <w:r w:rsidRPr="004A6F1D">
        <w:rPr>
          <w:rFonts w:ascii="Arial" w:hAnsi="Arial" w:cs="Arial"/>
          <w:lang w:val="en-US"/>
        </w:rPr>
        <w:t>suppl</w:t>
      </w:r>
      <w:proofErr w:type="spellEnd"/>
      <w:r w:rsidRPr="004A6F1D">
        <w:rPr>
          <w:rFonts w:ascii="Arial" w:hAnsi="Arial" w:cs="Arial"/>
          <w:lang w:val="en-US"/>
        </w:rPr>
        <w:t>), pp. 10S–131S.</w:t>
      </w:r>
    </w:p>
    <w:p w14:paraId="1DFCDE59" w14:textId="77777777" w:rsidR="004A6F1D" w:rsidRPr="004A6F1D" w:rsidRDefault="004A6F1D" w:rsidP="004A6F1D">
      <w:pPr>
        <w:spacing w:line="360" w:lineRule="auto"/>
        <w:ind w:left="720" w:hanging="720"/>
        <w:rPr>
          <w:rFonts w:ascii="Arial" w:hAnsi="Arial" w:cs="Arial"/>
          <w:lang w:val="en-US"/>
        </w:rPr>
      </w:pPr>
      <w:proofErr w:type="spellStart"/>
      <w:r w:rsidRPr="004A6F1D">
        <w:rPr>
          <w:rFonts w:ascii="Arial" w:hAnsi="Arial" w:cs="Arial"/>
          <w:lang w:val="en-US"/>
        </w:rPr>
        <w:t>Tuomilehto</w:t>
      </w:r>
      <w:proofErr w:type="spellEnd"/>
      <w:r w:rsidRPr="004A6F1D">
        <w:rPr>
          <w:rFonts w:ascii="Arial" w:hAnsi="Arial" w:cs="Arial"/>
          <w:lang w:val="en-US"/>
        </w:rPr>
        <w:t xml:space="preserve">, J., Schwarz, P. and </w:t>
      </w:r>
      <w:proofErr w:type="spellStart"/>
      <w:r w:rsidRPr="004A6F1D">
        <w:rPr>
          <w:rFonts w:ascii="Arial" w:hAnsi="Arial" w:cs="Arial"/>
          <w:lang w:val="en-US"/>
        </w:rPr>
        <w:t>Lindström</w:t>
      </w:r>
      <w:proofErr w:type="spellEnd"/>
      <w:r w:rsidRPr="004A6F1D">
        <w:rPr>
          <w:rFonts w:ascii="Arial" w:hAnsi="Arial" w:cs="Arial"/>
          <w:lang w:val="en-US"/>
        </w:rPr>
        <w:t xml:space="preserve">, J. (2011) ‘Long-term benefits from lifestyle interventions for type 2 diabetes prevention: time to expand the efforts’, </w:t>
      </w:r>
      <w:r w:rsidRPr="004A6F1D">
        <w:rPr>
          <w:rFonts w:ascii="Arial" w:hAnsi="Arial" w:cs="Arial"/>
          <w:i/>
          <w:iCs/>
          <w:lang w:val="en-US"/>
        </w:rPr>
        <w:t>Diabetes Care</w:t>
      </w:r>
      <w:r w:rsidRPr="004A6F1D">
        <w:rPr>
          <w:rFonts w:ascii="Arial" w:hAnsi="Arial" w:cs="Arial"/>
          <w:lang w:val="en-US"/>
        </w:rPr>
        <w:t>, 34(</w:t>
      </w:r>
      <w:proofErr w:type="spellStart"/>
      <w:r w:rsidRPr="004A6F1D">
        <w:rPr>
          <w:rFonts w:ascii="Arial" w:hAnsi="Arial" w:cs="Arial"/>
          <w:lang w:val="en-US"/>
        </w:rPr>
        <w:t>Suppl</w:t>
      </w:r>
      <w:proofErr w:type="spellEnd"/>
      <w:r w:rsidRPr="004A6F1D">
        <w:rPr>
          <w:rFonts w:ascii="Arial" w:hAnsi="Arial" w:cs="Arial"/>
          <w:lang w:val="en-US"/>
        </w:rPr>
        <w:t xml:space="preserve"> 2), pp. S210–S214.</w:t>
      </w:r>
    </w:p>
    <w:p w14:paraId="08EAB3C8" w14:textId="77777777" w:rsidR="004A6F1D" w:rsidRPr="004A6F1D" w:rsidRDefault="004A6F1D" w:rsidP="004A6F1D">
      <w:pPr>
        <w:spacing w:line="360" w:lineRule="auto"/>
        <w:ind w:left="720" w:hanging="720"/>
        <w:rPr>
          <w:rFonts w:ascii="Arial" w:hAnsi="Arial" w:cs="Arial"/>
          <w:lang w:val="en-US"/>
        </w:rPr>
      </w:pPr>
      <w:proofErr w:type="spellStart"/>
      <w:r w:rsidRPr="004A6F1D">
        <w:rPr>
          <w:rFonts w:ascii="Arial" w:hAnsi="Arial" w:cs="Arial"/>
          <w:lang w:val="en-US"/>
        </w:rPr>
        <w:t>Walicka</w:t>
      </w:r>
      <w:proofErr w:type="spellEnd"/>
      <w:r w:rsidRPr="004A6F1D">
        <w:rPr>
          <w:rFonts w:ascii="Arial" w:hAnsi="Arial" w:cs="Arial"/>
          <w:lang w:val="en-US"/>
        </w:rPr>
        <w:t xml:space="preserve">, M., Russo, C., Baxter, M., John, I., </w:t>
      </w:r>
      <w:proofErr w:type="spellStart"/>
      <w:r w:rsidRPr="004A6F1D">
        <w:rPr>
          <w:rFonts w:ascii="Arial" w:hAnsi="Arial" w:cs="Arial"/>
          <w:lang w:val="en-US"/>
        </w:rPr>
        <w:t>Caci</w:t>
      </w:r>
      <w:proofErr w:type="spellEnd"/>
      <w:r w:rsidRPr="004A6F1D">
        <w:rPr>
          <w:rFonts w:ascii="Arial" w:hAnsi="Arial" w:cs="Arial"/>
          <w:lang w:val="en-US"/>
        </w:rPr>
        <w:t xml:space="preserve">, G. and </w:t>
      </w:r>
      <w:proofErr w:type="spellStart"/>
      <w:r w:rsidRPr="004A6F1D">
        <w:rPr>
          <w:rFonts w:ascii="Arial" w:hAnsi="Arial" w:cs="Arial"/>
          <w:lang w:val="en-US"/>
        </w:rPr>
        <w:t>Polosa</w:t>
      </w:r>
      <w:proofErr w:type="spellEnd"/>
      <w:r w:rsidRPr="004A6F1D">
        <w:rPr>
          <w:rFonts w:ascii="Arial" w:hAnsi="Arial" w:cs="Arial"/>
          <w:lang w:val="en-US"/>
        </w:rPr>
        <w:t xml:space="preserve">, R. (2022) ‘Impact of stopping smoking on metabolic parameters in diabetes mellitus: a scoping review’, </w:t>
      </w:r>
      <w:r w:rsidRPr="004A6F1D">
        <w:rPr>
          <w:rFonts w:ascii="Arial" w:hAnsi="Arial" w:cs="Arial"/>
          <w:i/>
          <w:iCs/>
          <w:lang w:val="en-US"/>
        </w:rPr>
        <w:t>World Journal of Diabetes</w:t>
      </w:r>
      <w:r w:rsidRPr="004A6F1D">
        <w:rPr>
          <w:rFonts w:ascii="Arial" w:hAnsi="Arial" w:cs="Arial"/>
          <w:lang w:val="en-US"/>
        </w:rPr>
        <w:t>, 13(6), pp. 422–433.</w:t>
      </w:r>
    </w:p>
    <w:p w14:paraId="2EFFC305" w14:textId="77777777" w:rsidR="004A6F1D" w:rsidRPr="004A6F1D" w:rsidRDefault="004A6F1D" w:rsidP="004A6F1D">
      <w:pPr>
        <w:spacing w:line="360" w:lineRule="auto"/>
        <w:ind w:left="720" w:hanging="720"/>
        <w:rPr>
          <w:rFonts w:ascii="Arial" w:hAnsi="Arial" w:cs="Arial"/>
          <w:lang w:val="en-US"/>
        </w:rPr>
      </w:pPr>
      <w:r w:rsidRPr="004A6F1D">
        <w:rPr>
          <w:rFonts w:ascii="Arial" w:hAnsi="Arial" w:cs="Arial"/>
          <w:lang w:val="en-US"/>
        </w:rPr>
        <w:t xml:space="preserve">World Health Organization (WHO) (2024) </w:t>
      </w:r>
      <w:r w:rsidRPr="004A6F1D">
        <w:rPr>
          <w:rFonts w:ascii="Arial" w:hAnsi="Arial" w:cs="Arial"/>
          <w:i/>
          <w:iCs/>
          <w:lang w:val="en-US"/>
        </w:rPr>
        <w:t>Diabetes</w:t>
      </w:r>
      <w:r w:rsidRPr="004A6F1D">
        <w:rPr>
          <w:rFonts w:ascii="Arial" w:hAnsi="Arial" w:cs="Arial"/>
          <w:lang w:val="en-US"/>
        </w:rPr>
        <w:t xml:space="preserve"> [Fact sheet]. Available at: </w:t>
      </w:r>
      <w:hyperlink w:tgtFrame="_blank" w:history="1">
        <w:r w:rsidRPr="004A6F1D">
          <w:rPr>
            <w:rStyle w:val="Hyperlink"/>
            <w:rFonts w:ascii="Arial" w:hAnsi="Arial" w:cs="Arial"/>
            <w:lang w:val="en-US"/>
          </w:rPr>
          <w:t>https://www.who.int/news-room/fact-sheets/detail/diabetes</w:t>
        </w:r>
      </w:hyperlink>
      <w:r w:rsidRPr="004A6F1D">
        <w:rPr>
          <w:rFonts w:ascii="Arial" w:hAnsi="Arial" w:cs="Arial"/>
          <w:lang w:val="en-US"/>
        </w:rPr>
        <w:t xml:space="preserve"> (Accessed: 17 February 2026).</w:t>
      </w:r>
    </w:p>
    <w:p w14:paraId="15D654F8" w14:textId="77777777" w:rsidR="001B7A40" w:rsidRPr="004A6F1D" w:rsidRDefault="001B7A40" w:rsidP="00C03A91">
      <w:pPr>
        <w:spacing w:line="360" w:lineRule="auto"/>
        <w:rPr>
          <w:rFonts w:ascii="Arial" w:hAnsi="Arial" w:cs="Arial"/>
        </w:rPr>
      </w:pPr>
    </w:p>
    <w:p w14:paraId="1C1B5B6E" w14:textId="77777777" w:rsidR="001B7A40" w:rsidRPr="004A6F1D" w:rsidRDefault="001B7A40" w:rsidP="00C03A91">
      <w:pPr>
        <w:spacing w:line="360" w:lineRule="auto"/>
        <w:rPr>
          <w:rFonts w:ascii="Arial" w:hAnsi="Arial" w:cs="Arial"/>
        </w:rPr>
      </w:pPr>
    </w:p>
    <w:sectPr w:rsidR="001B7A40" w:rsidRPr="004A6F1D" w:rsidSect="0037028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266B4E" w14:textId="77777777" w:rsidR="006F27C7" w:rsidRDefault="006F27C7" w:rsidP="00C03A91">
      <w:pPr>
        <w:spacing w:after="0" w:line="240" w:lineRule="auto"/>
      </w:pPr>
      <w:r>
        <w:separator/>
      </w:r>
    </w:p>
  </w:endnote>
  <w:endnote w:type="continuationSeparator" w:id="0">
    <w:p w14:paraId="14C42E7C" w14:textId="77777777" w:rsidR="006F27C7" w:rsidRDefault="006F27C7"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004A6F1D">
          <w:rPr>
            <w:rFonts w:ascii="Arial" w:hAnsi="Arial" w:cs="Arial"/>
            <w:noProof/>
            <w:sz w:val="22"/>
          </w:rPr>
          <w:t>11</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72C89F" w14:textId="77777777" w:rsidR="006F27C7" w:rsidRDefault="006F27C7" w:rsidP="00C03A91">
      <w:pPr>
        <w:spacing w:after="0" w:line="240" w:lineRule="auto"/>
      </w:pPr>
      <w:r>
        <w:separator/>
      </w:r>
    </w:p>
  </w:footnote>
  <w:footnote w:type="continuationSeparator" w:id="0">
    <w:p w14:paraId="5285E6C1" w14:textId="77777777" w:rsidR="006F27C7" w:rsidRDefault="006F27C7"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5052119">
    <w:abstractNumId w:val="1"/>
  </w:num>
  <w:num w:numId="2" w16cid:durableId="535433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745"/>
    <w:rsid w:val="00076AC0"/>
    <w:rsid w:val="000C4EDA"/>
    <w:rsid w:val="001B7A40"/>
    <w:rsid w:val="001F6DDB"/>
    <w:rsid w:val="00216C85"/>
    <w:rsid w:val="002667D2"/>
    <w:rsid w:val="00273EDD"/>
    <w:rsid w:val="00292C2B"/>
    <w:rsid w:val="002C3965"/>
    <w:rsid w:val="002D5EDB"/>
    <w:rsid w:val="00320B76"/>
    <w:rsid w:val="00321C4C"/>
    <w:rsid w:val="00370282"/>
    <w:rsid w:val="00434FA4"/>
    <w:rsid w:val="004577F7"/>
    <w:rsid w:val="004908FE"/>
    <w:rsid w:val="004A6F1D"/>
    <w:rsid w:val="005247B0"/>
    <w:rsid w:val="005851AD"/>
    <w:rsid w:val="00595925"/>
    <w:rsid w:val="006B59C8"/>
    <w:rsid w:val="006F27C7"/>
    <w:rsid w:val="007A7297"/>
    <w:rsid w:val="007B338E"/>
    <w:rsid w:val="007E61FA"/>
    <w:rsid w:val="007E7745"/>
    <w:rsid w:val="008353D4"/>
    <w:rsid w:val="00857635"/>
    <w:rsid w:val="009727E7"/>
    <w:rsid w:val="009D1D1E"/>
    <w:rsid w:val="00A035FD"/>
    <w:rsid w:val="00A57907"/>
    <w:rsid w:val="00A60BA1"/>
    <w:rsid w:val="00AA4DD8"/>
    <w:rsid w:val="00BD7826"/>
    <w:rsid w:val="00C03A91"/>
    <w:rsid w:val="00C3231F"/>
    <w:rsid w:val="00CD2863"/>
    <w:rsid w:val="00CE7A90"/>
    <w:rsid w:val="00D73FB0"/>
    <w:rsid w:val="00DA2A1E"/>
    <w:rsid w:val="00DB6D4B"/>
    <w:rsid w:val="00E2038D"/>
    <w:rsid w:val="00E50F13"/>
    <w:rsid w:val="00E519CF"/>
    <w:rsid w:val="00EB12BC"/>
    <w:rsid w:val="00F137E3"/>
    <w:rsid w:val="00F44C8F"/>
    <w:rsid w:val="00FC18B3"/>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customStyle="1" w:styleId="UnresolvedMention1">
    <w:name w:val="Unresolved Mention1"/>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TOCHeading">
    <w:name w:val="TOC Heading"/>
    <w:basedOn w:val="Heading1"/>
    <w:next w:val="Normal"/>
    <w:uiPriority w:val="39"/>
    <w:unhideWhenUsed/>
    <w:qFormat/>
    <w:rsid w:val="004A6F1D"/>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A6F1D"/>
    <w:pPr>
      <w:spacing w:after="100"/>
    </w:pPr>
  </w:style>
  <w:style w:type="paragraph" w:styleId="TOC2">
    <w:name w:val="toc 2"/>
    <w:basedOn w:val="Normal"/>
    <w:next w:val="Normal"/>
    <w:autoRedefine/>
    <w:uiPriority w:val="39"/>
    <w:unhideWhenUsed/>
    <w:rsid w:val="004A6F1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D5596-7411-4322-B746-580B984C07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2715</Words>
  <Characters>15478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HENRY WIREDU</cp:lastModifiedBy>
  <cp:revision>4</cp:revision>
  <dcterms:created xsi:type="dcterms:W3CDTF">2026-02-26T14:04:00Z</dcterms:created>
  <dcterms:modified xsi:type="dcterms:W3CDTF">2026-04-07T15:49:00Z</dcterms:modified>
</cp:coreProperties>
</file>