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pPr>
      <w:r>
        <mc:AlternateContent>
          <mc:Choice Requires="wpg">
            <w:drawing xmlns:a="http://schemas.openxmlformats.org/drawingml/2006/main">
              <wp:anchor distT="0" distB="0" distL="0" distR="0" simplePos="0" relativeHeight="251661312" behindDoc="0" locked="0" layoutInCell="1" allowOverlap="1">
                <wp:simplePos x="0" y="0"/>
                <wp:positionH relativeFrom="page">
                  <wp:posOffset>122554</wp:posOffset>
                </wp:positionH>
                <wp:positionV relativeFrom="page">
                  <wp:posOffset>245745</wp:posOffset>
                </wp:positionV>
                <wp:extent cx="7315200" cy="1215391"/>
                <wp:effectExtent l="0" t="0" r="0" b="0"/>
                <wp:wrapNone/>
                <wp:docPr id="1073741827" name="officeArt object" descr="Group 149"/>
                <wp:cNvGraphicFramePr/>
                <a:graphic xmlns:a="http://schemas.openxmlformats.org/drawingml/2006/main">
                  <a:graphicData uri="http://schemas.microsoft.com/office/word/2010/wordprocessingGroup">
                    <wpg:wgp>
                      <wpg:cNvGrpSpPr/>
                      <wpg:grpSpPr>
                        <a:xfrm>
                          <a:off x="0" y="0"/>
                          <a:ext cx="7315200" cy="1215391"/>
                          <a:chOff x="0" y="0"/>
                          <a:chExt cx="7315200" cy="1215390"/>
                        </a:xfrm>
                      </wpg:grpSpPr>
                      <wps:wsp>
                        <wps:cNvPr id="1073741825" name="Rectangle 51"/>
                        <wps:cNvSpPr/>
                        <wps:spPr>
                          <a:xfrm>
                            <a:off x="0" y="0"/>
                            <a:ext cx="7315201" cy="112966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0"/>
                                </a:lnTo>
                                <a:lnTo>
                                  <a:pt x="21600" y="21600"/>
                                </a:lnTo>
                                <a:lnTo>
                                  <a:pt x="10691" y="14024"/>
                                </a:lnTo>
                                <a:lnTo>
                                  <a:pt x="0" y="20872"/>
                                </a:lnTo>
                                <a:lnTo>
                                  <a:pt x="0" y="0"/>
                                </a:lnTo>
                                <a:close/>
                              </a:path>
                            </a:pathLst>
                          </a:custGeom>
                          <a:solidFill>
                            <a:schemeClr val="accent1"/>
                          </a:solidFill>
                          <a:ln w="12700" cap="flat">
                            <a:noFill/>
                            <a:miter lim="400000"/>
                          </a:ln>
                          <a:effectLst/>
                        </wps:spPr>
                        <wps:bodyPr/>
                      </wps:wsp>
                      <wps:wsp>
                        <wps:cNvPr id="1073741826" name="Rectangle 151"/>
                        <wps:cNvSpPr/>
                        <wps:spPr>
                          <a:xfrm>
                            <a:off x="0" y="1"/>
                            <a:ext cx="7315200" cy="1215390"/>
                          </a:xfrm>
                          <a:prstGeom prst="rect">
                            <a:avLst/>
                          </a:prstGeom>
                          <a:blipFill rotWithShape="1">
                            <a:blip r:embed="rId4"/>
                            <a:srcRect l="0" t="0" r="0" b="0"/>
                            <a:stretch>
                              <a:fillRect/>
                            </a:stretch>
                          </a:blipFill>
                          <a:ln w="12700" cap="flat">
                            <a:noFill/>
                            <a:miter lim="400000"/>
                          </a:ln>
                          <a:effectLst/>
                        </wps:spPr>
                        <wps:bodyPr/>
                      </wps:wsp>
                    </wpg:wgp>
                  </a:graphicData>
                </a:graphic>
              </wp:anchor>
            </w:drawing>
          </mc:Choice>
          <mc:Fallback>
            <w:pict>
              <v:group id="_x0000_s1026" style="visibility:visible;position:absolute;margin-left:9.6pt;margin-top:19.4pt;width:576.0pt;height:95.7pt;z-index:251661312;mso-position-horizontal:absolute;mso-position-horizontal-relative:page;mso-position-vertical:absolute;mso-position-vertical-relative:page;mso-wrap-distance-left:0.0pt;mso-wrap-distance-top:0.0pt;mso-wrap-distance-right:0.0pt;mso-wrap-distance-bottom:0.0pt;" coordorigin="0,0" coordsize="7315200,1215391">
                <w10:wrap type="none" side="bothSides" anchorx="page" anchory="page"/>
                <v:shape id="_x0000_s1027" style="position:absolute;left:0;top:0;width:7315200;height:1129665;" coordorigin="0,0" coordsize="21600,21600" path="M 0,0 L 21600,0 L 21600,21600 L 10691,14024 L 0,20872 L 0,0 X E">
                  <v:fill color="#4472C4" opacity="100.0%" type="solid"/>
                  <v:stroke on="f" weight="1.0pt" dashstyle="solid" endcap="flat" miterlimit="400.0%" joinstyle="miter" linestyle="single" startarrow="none" startarrowwidth="medium" startarrowlength="medium" endarrow="none" endarrowwidth="medium" endarrowlength="medium"/>
                </v:shape>
                <v:rect id="_x0000_s1028" style="position:absolute;left:0;top:1;width:7315200;height:1215390;">
                  <v:fill r:id="rId4" o:title="image1.png" rotate="t" type="frame"/>
                  <v:stroke on="f" weight="1.0pt" dashstyle="solid" endcap="flat" miterlimit="400.0%" joinstyle="miter" linestyle="single" startarrow="none" startarrowwidth="medium" startarrowlength="medium" endarrow="none" endarrowwidth="medium" endarrowlength="medium"/>
                </v:rect>
              </v:group>
            </w:pict>
          </mc:Fallback>
        </mc:AlternateContent>
      </w:r>
      <w:r>
        <mc:AlternateContent>
          <mc:Choice Requires="wps">
            <w:drawing xmlns:a="http://schemas.openxmlformats.org/drawingml/2006/main">
              <wp:anchor distT="57150" distB="57150" distL="57150" distR="57150" simplePos="0" relativeHeight="251660288" behindDoc="0" locked="0" layoutInCell="1" allowOverlap="1">
                <wp:simplePos x="0" y="0"/>
                <wp:positionH relativeFrom="page">
                  <wp:posOffset>1722754</wp:posOffset>
                </wp:positionH>
                <wp:positionV relativeFrom="page">
                  <wp:posOffset>8745855</wp:posOffset>
                </wp:positionV>
                <wp:extent cx="5029200" cy="914400"/>
                <wp:effectExtent l="0" t="0" r="0" b="0"/>
                <wp:wrapSquare wrapText="bothSides" distL="57150" distR="57150" distT="57150" distB="57150"/>
                <wp:docPr id="1073741828" name="officeArt object" descr="Text Box 152"/>
                <wp:cNvGraphicFramePr/>
                <a:graphic xmlns:a="http://schemas.openxmlformats.org/drawingml/2006/main">
                  <a:graphicData uri="http://schemas.microsoft.com/office/word/2010/wordprocessingShape">
                    <wps:wsp>
                      <wps:cNvSpPr txBox="1"/>
                      <wps:spPr>
                        <a:xfrm>
                          <a:off x="0" y="0"/>
                          <a:ext cx="5029200" cy="914400"/>
                        </a:xfrm>
                        <a:prstGeom prst="rect">
                          <a:avLst/>
                        </a:prstGeom>
                        <a:noFill/>
                        <a:ln w="12700" cap="flat">
                          <a:noFill/>
                          <a:miter lim="400000"/>
                        </a:ln>
                        <a:effectLst/>
                      </wps:spPr>
                      <wps:txbx>
                        <w:txbxContent>
                          <w:p>
                            <w:pPr>
                              <w:pStyle w:val="No Spacing"/>
                              <w:jc w:val="right"/>
                              <w:rPr>
                                <w:outline w:val="0"/>
                                <w:color w:val="595959"/>
                                <w:sz w:val="28"/>
                                <w:szCs w:val="28"/>
                                <w:u w:color="595959"/>
                                <w14:textFill>
                                  <w14:solidFill>
                                    <w14:srgbClr w14:val="595959"/>
                                  </w14:solidFill>
                                </w14:textFill>
                              </w:rPr>
                            </w:pPr>
                            <w:r>
                              <w:rPr>
                                <w:outline w:val="0"/>
                                <w:color w:val="595959"/>
                                <w:sz w:val="28"/>
                                <w:szCs w:val="28"/>
                                <w:u w:color="595959"/>
                                <w:rtl w:val="0"/>
                                <w:lang w:val="en-US"/>
                                <w14:textFill>
                                  <w14:solidFill>
                                    <w14:srgbClr w14:val="595959"/>
                                  </w14:solidFill>
                                </w14:textFill>
                              </w:rPr>
                              <w:t>Rowan Dhillon</w:t>
                            </w:r>
                          </w:p>
                          <w:p>
                            <w:pPr>
                              <w:pStyle w:val="No Spacing"/>
                              <w:jc w:val="right"/>
                            </w:pPr>
                            <w:r>
                              <w:rPr>
                                <w:outline w:val="0"/>
                                <w:color w:val="595959"/>
                                <w:sz w:val="28"/>
                                <w:szCs w:val="28"/>
                                <w:u w:color="595959"/>
                                <w:rtl w:val="0"/>
                                <w:lang w:val="en-US"/>
                                <w14:textFill>
                                  <w14:solidFill>
                                    <w14:srgbClr w14:val="595959"/>
                                  </w14:solidFill>
                                </w14:textFill>
                              </w:rPr>
                              <w:t>2221627</w:t>
                            </w:r>
                          </w:p>
                        </w:txbxContent>
                      </wps:txbx>
                      <wps:bodyPr wrap="square" lIns="0" tIns="0" rIns="0" bIns="0" numCol="1" anchor="b">
                        <a:noAutofit/>
                      </wps:bodyPr>
                    </wps:wsp>
                  </a:graphicData>
                </a:graphic>
              </wp:anchor>
            </w:drawing>
          </mc:Choice>
          <mc:Fallback>
            <w:pict>
              <v:shape id="_x0000_s1029" type="#_x0000_t202" style="visibility:visible;position:absolute;margin-left:135.6pt;margin-top:688.7pt;width:396.0pt;height:72.0pt;z-index:251660288;mso-position-horizontal:absolute;mso-position-horizontal-relative:page;mso-position-vertical:absolute;mso-position-vertical-relative:page;mso-wrap-distance-left:4.5pt;mso-wrap-distance-top:4.5pt;mso-wrap-distance-right:4.5pt;mso-wrap-distance-bottom:4.5pt;">
                <v:fill on="f"/>
                <v:stroke on="f" weight="1.0pt" dashstyle="solid" endcap="flat" miterlimit="400.0%" joinstyle="miter" linestyle="single" startarrow="none" startarrowwidth="medium" startarrowlength="medium" endarrow="none" endarrowwidth="medium" endarrowlength="medium"/>
                <v:textbox>
                  <w:txbxContent>
                    <w:p>
                      <w:pPr>
                        <w:pStyle w:val="No Spacing"/>
                        <w:jc w:val="right"/>
                        <w:rPr>
                          <w:outline w:val="0"/>
                          <w:color w:val="595959"/>
                          <w:sz w:val="28"/>
                          <w:szCs w:val="28"/>
                          <w:u w:color="595959"/>
                          <w14:textFill>
                            <w14:solidFill>
                              <w14:srgbClr w14:val="595959"/>
                            </w14:solidFill>
                          </w14:textFill>
                        </w:rPr>
                      </w:pPr>
                      <w:r>
                        <w:rPr>
                          <w:outline w:val="0"/>
                          <w:color w:val="595959"/>
                          <w:sz w:val="28"/>
                          <w:szCs w:val="28"/>
                          <w:u w:color="595959"/>
                          <w:rtl w:val="0"/>
                          <w:lang w:val="en-US"/>
                          <w14:textFill>
                            <w14:solidFill>
                              <w14:srgbClr w14:val="595959"/>
                            </w14:solidFill>
                          </w14:textFill>
                        </w:rPr>
                        <w:t>Rowan Dhillon</w:t>
                      </w:r>
                    </w:p>
                    <w:p>
                      <w:pPr>
                        <w:pStyle w:val="No Spacing"/>
                        <w:jc w:val="right"/>
                      </w:pPr>
                      <w:r>
                        <w:rPr>
                          <w:outline w:val="0"/>
                          <w:color w:val="595959"/>
                          <w:sz w:val="28"/>
                          <w:szCs w:val="28"/>
                          <w:u w:color="595959"/>
                          <w:rtl w:val="0"/>
                          <w:lang w:val="en-US"/>
                          <w14:textFill>
                            <w14:solidFill>
                              <w14:srgbClr w14:val="595959"/>
                            </w14:solidFill>
                          </w14:textFill>
                        </w:rPr>
                        <w:t>2221627</w:t>
                      </w:r>
                    </w:p>
                  </w:txbxContent>
                </v:textbox>
                <w10:wrap type="square" side="bothSides" anchorx="page" anchory="page"/>
              </v:shape>
            </w:pict>
          </mc:Fallback>
        </mc:AlternateContent>
      </w:r>
      <w:r>
        <mc:AlternateContent>
          <mc:Choice Requires="wps">
            <w:drawing xmlns:a="http://schemas.openxmlformats.org/drawingml/2006/main">
              <wp:anchor distT="57150" distB="57150" distL="57150" distR="57150" simplePos="0" relativeHeight="251659264" behindDoc="0" locked="0" layoutInCell="1" allowOverlap="1">
                <wp:simplePos x="0" y="0"/>
                <wp:positionH relativeFrom="page">
                  <wp:posOffset>1722754</wp:posOffset>
                </wp:positionH>
                <wp:positionV relativeFrom="page">
                  <wp:posOffset>3207385</wp:posOffset>
                </wp:positionV>
                <wp:extent cx="5029200" cy="3638550"/>
                <wp:effectExtent l="0" t="0" r="0" b="0"/>
                <wp:wrapSquare wrapText="bothSides" distL="57150" distR="57150" distT="57150" distB="57150"/>
                <wp:docPr id="1073741829" name="officeArt object" descr="Text Box 154"/>
                <wp:cNvGraphicFramePr/>
                <a:graphic xmlns:a="http://schemas.openxmlformats.org/drawingml/2006/main">
                  <a:graphicData uri="http://schemas.microsoft.com/office/word/2010/wordprocessingShape">
                    <wps:wsp>
                      <wps:cNvSpPr txBox="1"/>
                      <wps:spPr>
                        <a:xfrm>
                          <a:off x="0" y="0"/>
                          <a:ext cx="5029200" cy="3638550"/>
                        </a:xfrm>
                        <a:prstGeom prst="rect">
                          <a:avLst/>
                        </a:prstGeom>
                        <a:noFill/>
                        <a:ln w="12700" cap="flat">
                          <a:noFill/>
                          <a:miter lim="400000"/>
                        </a:ln>
                        <a:effectLst/>
                      </wps:spPr>
                      <wps:txbx>
                        <w:txbxContent>
                          <w:p>
                            <w:pPr>
                              <w:pStyle w:val="Body"/>
                              <w:jc w:val="right"/>
                              <w:rPr>
                                <w:outline w:val="0"/>
                                <w:color w:val="4472c4"/>
                                <w:sz w:val="64"/>
                                <w:szCs w:val="64"/>
                                <w:u w:color="4472c4"/>
                                <w14:textFill>
                                  <w14:solidFill>
                                    <w14:srgbClr w14:val="4472C4"/>
                                  </w14:solidFill>
                                </w14:textFill>
                              </w:rPr>
                            </w:pPr>
                            <w:r>
                              <w:rPr>
                                <w:caps w:val="1"/>
                                <w:outline w:val="0"/>
                                <w:color w:val="4472c4"/>
                                <w:sz w:val="64"/>
                                <w:szCs w:val="64"/>
                                <w:u w:color="4472c4"/>
                                <w:rtl w:val="0"/>
                                <w:lang w:val="it-IT"/>
                                <w14:textFill>
                                  <w14:solidFill>
                                    <w14:srgbClr w14:val="4472C4"/>
                                  </w14:solidFill>
                                </w14:textFill>
                              </w:rPr>
                              <w:t>E-portfolio report</w:t>
                            </w:r>
                          </w:p>
                          <w:p>
                            <w:pPr>
                              <w:pStyle w:val="Body"/>
                              <w:jc w:val="right"/>
                            </w:pPr>
                            <w:r>
                              <w:rPr>
                                <w:outline w:val="0"/>
                                <w:color w:val="404040"/>
                                <w:sz w:val="36"/>
                                <w:szCs w:val="36"/>
                                <w:u w:color="404040"/>
                                <w:rtl w:val="0"/>
                                <w:lang w:val="en-US"/>
                                <w14:textFill>
                                  <w14:solidFill>
                                    <w14:srgbClr w14:val="404040"/>
                                  </w14:solidFill>
                                </w14:textFill>
                              </w:rPr>
                              <w:t xml:space="preserve">Learning in the Digital Era </w:t>
                            </w:r>
                            <w:r>
                              <w:rPr>
                                <w:outline w:val="0"/>
                                <w:color w:val="404040"/>
                                <w:sz w:val="36"/>
                                <w:szCs w:val="36"/>
                                <w:u w:color="404040"/>
                                <w:rtl w:val="0"/>
                                <w14:textFill>
                                  <w14:solidFill>
                                    <w14:srgbClr w14:val="404040"/>
                                  </w14:solidFill>
                                </w14:textFill>
                              </w:rPr>
                              <w:t xml:space="preserve">– </w:t>
                            </w:r>
                            <w:r>
                              <w:rPr>
                                <w:outline w:val="0"/>
                                <w:color w:val="404040"/>
                                <w:sz w:val="36"/>
                                <w:szCs w:val="36"/>
                                <w:u w:color="404040"/>
                                <w:rtl w:val="0"/>
                                <w:lang w:val="pt-PT"/>
                                <w14:textFill>
                                  <w14:solidFill>
                                    <w14:srgbClr w14:val="404040"/>
                                  </w14:solidFill>
                                </w14:textFill>
                              </w:rPr>
                              <w:t>BMPL4007/BMPS4009</w:t>
                            </w:r>
                          </w:p>
                        </w:txbxContent>
                      </wps:txbx>
                      <wps:bodyPr wrap="square" lIns="0" tIns="0" rIns="0" bIns="0" numCol="1" anchor="b">
                        <a:noAutofit/>
                      </wps:bodyPr>
                    </wps:wsp>
                  </a:graphicData>
                </a:graphic>
              </wp:anchor>
            </w:drawing>
          </mc:Choice>
          <mc:Fallback>
            <w:pict>
              <v:shape id="_x0000_s1030" type="#_x0000_t202" style="visibility:visible;position:absolute;margin-left:135.6pt;margin-top:252.6pt;width:396.0pt;height:286.5pt;z-index:251659264;mso-position-horizontal:absolute;mso-position-horizontal-relative:page;mso-position-vertical:absolute;mso-position-vertical-relative:page;mso-wrap-distance-left:4.5pt;mso-wrap-distance-top:4.5pt;mso-wrap-distance-right:4.5pt;mso-wrap-distance-bottom:4.5pt;">
                <v:fill on="f"/>
                <v:stroke on="f" weight="1.0pt" dashstyle="solid" endcap="flat" miterlimit="400.0%" joinstyle="miter" linestyle="single" startarrow="none" startarrowwidth="medium" startarrowlength="medium" endarrow="none" endarrowwidth="medium" endarrowlength="medium"/>
                <v:textbox>
                  <w:txbxContent>
                    <w:p>
                      <w:pPr>
                        <w:pStyle w:val="Body"/>
                        <w:jc w:val="right"/>
                        <w:rPr>
                          <w:outline w:val="0"/>
                          <w:color w:val="4472c4"/>
                          <w:sz w:val="64"/>
                          <w:szCs w:val="64"/>
                          <w:u w:color="4472c4"/>
                          <w14:textFill>
                            <w14:solidFill>
                              <w14:srgbClr w14:val="4472C4"/>
                            </w14:solidFill>
                          </w14:textFill>
                        </w:rPr>
                      </w:pPr>
                      <w:r>
                        <w:rPr>
                          <w:caps w:val="1"/>
                          <w:outline w:val="0"/>
                          <w:color w:val="4472c4"/>
                          <w:sz w:val="64"/>
                          <w:szCs w:val="64"/>
                          <w:u w:color="4472c4"/>
                          <w:rtl w:val="0"/>
                          <w:lang w:val="it-IT"/>
                          <w14:textFill>
                            <w14:solidFill>
                              <w14:srgbClr w14:val="4472C4"/>
                            </w14:solidFill>
                          </w14:textFill>
                        </w:rPr>
                        <w:t>E-portfolio report</w:t>
                      </w:r>
                    </w:p>
                    <w:p>
                      <w:pPr>
                        <w:pStyle w:val="Body"/>
                        <w:jc w:val="right"/>
                      </w:pPr>
                      <w:r>
                        <w:rPr>
                          <w:outline w:val="0"/>
                          <w:color w:val="404040"/>
                          <w:sz w:val="36"/>
                          <w:szCs w:val="36"/>
                          <w:u w:color="404040"/>
                          <w:rtl w:val="0"/>
                          <w:lang w:val="en-US"/>
                          <w14:textFill>
                            <w14:solidFill>
                              <w14:srgbClr w14:val="404040"/>
                            </w14:solidFill>
                          </w14:textFill>
                        </w:rPr>
                        <w:t xml:space="preserve">Learning in the Digital Era </w:t>
                      </w:r>
                      <w:r>
                        <w:rPr>
                          <w:outline w:val="0"/>
                          <w:color w:val="404040"/>
                          <w:sz w:val="36"/>
                          <w:szCs w:val="36"/>
                          <w:u w:color="404040"/>
                          <w:rtl w:val="0"/>
                          <w14:textFill>
                            <w14:solidFill>
                              <w14:srgbClr w14:val="404040"/>
                            </w14:solidFill>
                          </w14:textFill>
                        </w:rPr>
                        <w:t xml:space="preserve">– </w:t>
                      </w:r>
                      <w:r>
                        <w:rPr>
                          <w:outline w:val="0"/>
                          <w:color w:val="404040"/>
                          <w:sz w:val="36"/>
                          <w:szCs w:val="36"/>
                          <w:u w:color="404040"/>
                          <w:rtl w:val="0"/>
                          <w:lang w:val="pt-PT"/>
                          <w14:textFill>
                            <w14:solidFill>
                              <w14:srgbClr w14:val="404040"/>
                            </w14:solidFill>
                          </w14:textFill>
                        </w:rPr>
                        <w:t>BMPL4007/BMPS4009</w:t>
                      </w:r>
                    </w:p>
                  </w:txbxContent>
                </v:textbox>
                <w10:wrap type="square" side="bothSides" anchorx="page" anchory="page"/>
              </v:shape>
            </w:pict>
          </mc:Fallback>
        </mc:AlternateContent>
      </w:r>
    </w:p>
    <w:p>
      <w:pPr>
        <w:pStyle w:val="Body"/>
      </w:pPr>
      <w:r>
        <w:rPr>
          <w:rFonts w:ascii="Arial Unicode MS" w:cs="Arial Unicode MS" w:hAnsi="Arial Unicode MS" w:eastAsia="Arial Unicode MS"/>
          <w:b w:val="0"/>
          <w:bCs w:val="0"/>
          <w:i w:val="0"/>
          <w:iCs w:val="0"/>
        </w:rPr>
        <w:br w:type="page"/>
      </w:r>
    </w:p>
    <w:p>
      <w:pPr>
        <w:pStyle w:val="TOC Heading"/>
      </w:pPr>
      <w:r>
        <w:rPr>
          <w:rtl w:val="0"/>
          <w:lang w:val="en-US"/>
        </w:rPr>
        <w:t>Table of Contents</w:t>
      </w:r>
    </w:p>
    <w:p>
      <w:pPr>
        <w:pStyle w:val="Body"/>
        <w:rPr>
          <w:lang w:val="en-US"/>
        </w:rPr>
      </w:pPr>
    </w:p>
    <w:p>
      <w:pPr>
        <w:pStyle w:val="Body"/>
      </w:pPr>
      <w:r>
        <w:rPr/>
        <w:fldChar w:fldCharType="begin" w:fldLock="0"/>
      </w:r>
      <w:r>
        <w:instrText xml:space="preserve"> TOC \o 1-1 </w:instrText>
      </w:r>
      <w:r>
        <w:rPr/>
        <w:fldChar w:fldCharType="separate" w:fldLock="0"/>
      </w:r>
    </w:p>
    <w:p>
      <w:pPr>
        <w:pStyle w:val="TOC 1"/>
      </w:pPr>
      <w:r>
        <w:rPr>
          <w:rFonts w:cs="Arial Unicode MS" w:eastAsia="Arial Unicode MS" w:hint="default"/>
          <w:rtl w:val="0"/>
        </w:rPr>
        <w:t>Task 1 – Written summary</w:t>
        <w:tab/>
      </w:r>
      <w:r>
        <w:rPr/>
        <w:fldChar w:fldCharType="begin" w:fldLock="0"/>
      </w:r>
      <w:r>
        <w:instrText xml:space="preserve"> PAGEREF _Toc \h </w:instrText>
      </w:r>
      <w:r>
        <w:rPr/>
        <w:fldChar w:fldCharType="separate" w:fldLock="0"/>
      </w:r>
      <w:r>
        <w:rPr>
          <w:rFonts w:cs="Arial Unicode MS" w:eastAsia="Arial Unicode MS"/>
          <w:rtl w:val="0"/>
        </w:rPr>
        <w:t>2</w:t>
      </w:r>
      <w:r>
        <w:rPr/>
        <w:fldChar w:fldCharType="end" w:fldLock="0"/>
      </w:r>
    </w:p>
    <w:p>
      <w:pPr>
        <w:pStyle w:val="TOC 1"/>
      </w:pPr>
      <w:r>
        <w:rPr>
          <w:rFonts w:cs="Arial Unicode MS" w:eastAsia="Arial Unicode MS" w:hint="default"/>
          <w:rtl w:val="0"/>
        </w:rPr>
        <w:t>Task 2 – Mind map</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hint="default"/>
          <w:rtl w:val="0"/>
        </w:rPr>
        <w:t>Task 3 – Presentation</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hint="default"/>
          <w:rtl w:val="0"/>
        </w:rPr>
        <w:t>Task 4 – Reflection</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Reference list</w:t>
        <w:tab/>
      </w:r>
      <w:r>
        <w:rPr/>
        <w:fldChar w:fldCharType="begin" w:fldLock="0"/>
      </w:r>
      <w:r>
        <w:instrText xml:space="preserve"> PAGEREF _Toc4 \h </w:instrText>
      </w:r>
      <w:r>
        <w:rPr/>
        <w:fldChar w:fldCharType="separate" w:fldLock="0"/>
      </w:r>
      <w:r>
        <w:rPr>
          <w:rFonts w:cs="Arial Unicode MS" w:eastAsia="Arial Unicode MS"/>
          <w:rtl w:val="0"/>
        </w:rPr>
        <w:t>6</w:t>
      </w:r>
      <w:r>
        <w:rPr/>
        <w:fldChar w:fldCharType="end" w:fldLock="0"/>
      </w:r>
    </w:p>
    <w:p>
      <w:pPr>
        <w:pStyle w:val="Body"/>
      </w:pPr>
      <w:r>
        <w:rPr/>
        <w:fldChar w:fldCharType="end" w:fldLock="0"/>
      </w: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Heading"/>
      </w:pPr>
      <w:bookmarkStart w:name="_Toc" w:id="0"/>
      <w:r>
        <w:rPr>
          <w:rFonts w:cs="Arial Unicode MS" w:eastAsia="Arial Unicode MS"/>
          <w:rtl w:val="0"/>
          <w:lang w:val="en-US"/>
        </w:rPr>
        <w:t xml:space="preserve">Task 1 </w:t>
      </w:r>
      <w:r>
        <w:rPr>
          <w:rFonts w:cs="Arial Unicode MS" w:eastAsia="Arial Unicode MS" w:hint="default"/>
          <w:rtl w:val="0"/>
        </w:rPr>
        <w:t xml:space="preserve">– </w:t>
      </w:r>
      <w:r>
        <w:rPr>
          <w:rFonts w:cs="Arial Unicode MS" w:eastAsia="Arial Unicode MS"/>
          <w:rtl w:val="0"/>
          <w:lang w:val="en-US"/>
        </w:rPr>
        <w:t>Written summary</w:t>
      </w:r>
      <w:bookmarkEnd w:id="0"/>
    </w:p>
    <w:p>
      <w:pPr>
        <w:pStyle w:val="Body"/>
      </w:pPr>
      <w:r>
        <w:rPr>
          <w:rtl w:val="0"/>
          <w:lang w:val="en-US"/>
        </w:rPr>
        <w:t xml:space="preserve">Preparing for higher education is about understanding how to get the best work out of yourself and analysing your strengths and weaknesses when it comes to your work. The area you study in is vital in being able to produce your best work, which makes studying at home a great option. The distractions at home can be far less if the chosen study area is picked correctly. The distraction of classmates or busy environments around you is something that is not present when studying at home unlike if you were working in a classroom (Smith, 2022) which shows its advantages for studying. Organisation is another key aspect of higher education, which means being able to understand the difference between the tasks that are given is something that needs to be learned. Tasks can be labelled into important and urgent activities and need to be identified which category that they fit into. The priority level of tasks can then be shown and which ones need to be done first can become completed which is what the Eisenhower principle shows us (Bell, 2022). Utilising all the resources available is another tool that needs to be used when preparing for higher education as there will be the need for different applications at different times. For example, being able to use word is a vital when writing essays whereas a presentation would require powerpoint and so having the range of skills to the different tools is needed as they will all be used at different moments. </w:t>
      </w: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Heading"/>
      </w:pPr>
      <w:bookmarkStart w:name="_Toc1" w:id="1"/>
      <w:r>
        <w:rPr>
          <w:rFonts w:cs="Arial Unicode MS" w:eastAsia="Arial Unicode MS"/>
          <w:rtl w:val="0"/>
          <w:lang w:val="en-US"/>
        </w:rPr>
        <w:t xml:space="preserve">Task 2 </w:t>
      </w:r>
      <w:r>
        <w:rPr>
          <w:rFonts w:cs="Arial Unicode MS" w:eastAsia="Arial Unicode MS" w:hint="default"/>
          <w:rtl w:val="0"/>
        </w:rPr>
        <w:t xml:space="preserve">– </w:t>
      </w:r>
      <w:r>
        <w:rPr>
          <w:rFonts w:cs="Arial Unicode MS" w:eastAsia="Arial Unicode MS"/>
          <w:rtl w:val="0"/>
          <w:lang w:val="en-US"/>
        </w:rPr>
        <w:t>Mind map</w:t>
      </w:r>
      <w:bookmarkEnd w:id="1"/>
    </w:p>
    <w:p>
      <w:pPr>
        <w:pStyle w:val="Body"/>
      </w:pPr>
    </w:p>
    <w:p>
      <w:pPr>
        <w:pStyle w:val="Body"/>
      </w:pPr>
      <w:r>
        <mc:AlternateContent>
          <mc:Choice Requires="wpg">
            <w:drawing xmlns:a="http://schemas.openxmlformats.org/drawingml/2006/main">
              <wp:anchor distT="152400" distB="152400" distL="152400" distR="152400" simplePos="0" relativeHeight="251662336" behindDoc="0" locked="0" layoutInCell="1" allowOverlap="1">
                <wp:simplePos x="0" y="0"/>
                <wp:positionH relativeFrom="margin">
                  <wp:posOffset>349249</wp:posOffset>
                </wp:positionH>
                <wp:positionV relativeFrom="line">
                  <wp:posOffset>165099</wp:posOffset>
                </wp:positionV>
                <wp:extent cx="5029200" cy="7114354"/>
                <wp:effectExtent l="0" t="0" r="0" b="0"/>
                <wp:wrapTopAndBottom distT="152400" distB="152400"/>
                <wp:docPr id="1073741832" name="officeArt object" descr="Image Gallery"/>
                <wp:cNvGraphicFramePr/>
                <a:graphic xmlns:a="http://schemas.openxmlformats.org/drawingml/2006/main">
                  <a:graphicData uri="http://schemas.microsoft.com/office/word/2010/wordprocessingGroup">
                    <wpg:wgp>
                      <wpg:cNvGrpSpPr/>
                      <wpg:grpSpPr>
                        <a:xfrm>
                          <a:off x="0" y="0"/>
                          <a:ext cx="5029200" cy="7114354"/>
                          <a:chOff x="0" y="0"/>
                          <a:chExt cx="5029200" cy="7114353"/>
                        </a:xfrm>
                      </wpg:grpSpPr>
                      <pic:pic xmlns:pic="http://schemas.openxmlformats.org/drawingml/2006/picture">
                        <pic:nvPicPr>
                          <pic:cNvPr id="1073741830" name="Image" descr="Image"/>
                          <pic:cNvPicPr>
                            <a:picLocks noChangeAspect="1"/>
                          </pic:cNvPicPr>
                        </pic:nvPicPr>
                        <pic:blipFill>
                          <a:blip r:embed="rId5">
                            <a:extLst/>
                          </a:blip>
                          <a:srcRect l="0" t="44" r="0" b="44"/>
                          <a:stretch>
                            <a:fillRect/>
                          </a:stretch>
                        </pic:blipFill>
                        <pic:spPr>
                          <a:xfrm>
                            <a:off x="0" y="0"/>
                            <a:ext cx="5029200" cy="6699675"/>
                          </a:xfrm>
                          <a:prstGeom prst="rect">
                            <a:avLst/>
                          </a:prstGeom>
                          <a:ln w="12700" cap="flat">
                            <a:noFill/>
                            <a:miter lim="400000"/>
                          </a:ln>
                          <a:effectLst/>
                        </pic:spPr>
                      </pic:pic>
                      <wps:wsp>
                        <wps:cNvPr id="1073741831" name="Caption"/>
                        <wps:cNvSpPr/>
                        <wps:spPr>
                          <a:xfrm>
                            <a:off x="0" y="6775874"/>
                            <a:ext cx="5029200" cy="338480"/>
                          </a:xfrm>
                          <a:prstGeom prst="rect">
                            <a:avLst/>
                          </a:prstGeom>
                          <a:noFill/>
                          <a:ln w="12700" cap="flat">
                            <a:noFill/>
                            <a:miter lim="400000"/>
                          </a:ln>
                          <a:effectLst/>
                        </wps:spPr>
                        <wps:txbx>
                          <w:txbxContent>
                            <w:p>
                              <w:pPr>
                                <w:pStyle w:val="Object Caption"/>
                                <w:bidi w:val="0"/>
                              </w:pPr>
                              <w:r>
                                <w:rPr>
                                  <w:rtl w:val="0"/>
                                </w:rPr>
                                <w:t>Caption</w:t>
                              </w:r>
                            </w:p>
                          </w:txbxContent>
                        </wps:txbx>
                        <wps:bodyPr wrap="square" lIns="76200" tIns="76200" rIns="76200" bIns="76200" numCol="1" anchor="t">
                          <a:noAutofit/>
                        </wps:bodyPr>
                      </wps:wsp>
                    </wpg:wgp>
                  </a:graphicData>
                </a:graphic>
              </wp:anchor>
            </w:drawing>
          </mc:Choice>
          <mc:Fallback>
            <w:pict>
              <v:group id="_x0000_s1031" style="visibility:visible;position:absolute;margin-left:27.5pt;margin-top:13.0pt;width:396.0pt;height:560.2pt;z-index:251662336;mso-position-horizontal:absolute;mso-position-horizontal-relative:margin;mso-position-vertical:absolute;mso-position-vertical-relative:line;mso-wrap-distance-left:12.0pt;mso-wrap-distance-top:12.0pt;mso-wrap-distance-right:12.0pt;mso-wrap-distance-bottom:12.0pt;" coordorigin="0,0" coordsize="5029200,7114353">
                <w10:wrap type="topAndBottom" side="bothSides" anchorx="margin"/>
                <v:shape id="_x0000_s1032" type="#_x0000_t75" style="position:absolute;left:0;top:0;width:5029200;height:6699674;">
                  <v:imagedata r:id="rId5" o:title="IMG_6939.jpeg" croptop="0.0%" cropbottom="0.0%"/>
                </v:shape>
                <v:rect id="_x0000_s1033" style="position:absolute;left:0;top:6775874;width:5029200;height:338479;">
                  <v:fill on="f"/>
                  <v:stroke on="f" weight="1.0pt" dashstyle="solid" endcap="flat" miterlimit="400.0%" joinstyle="miter" linestyle="single" startarrow="none" startarrowwidth="medium" startarrowlength="medium" endarrow="none" endarrowwidth="medium" endarrowlength="medium"/>
                  <v:textbox>
                    <w:txbxContent>
                      <w:p>
                        <w:pPr>
                          <w:pStyle w:val="Object Caption"/>
                          <w:bidi w:val="0"/>
                        </w:pPr>
                        <w:r>
                          <w:rPr>
                            <w:rtl w:val="0"/>
                          </w:rPr>
                          <w:t>Caption</w:t>
                        </w:r>
                      </w:p>
                    </w:txbxContent>
                  </v:textbox>
                </v:rect>
              </v:group>
            </w:pict>
          </mc:Fallback>
        </mc:AlternateContent>
      </w:r>
    </w:p>
    <w:p>
      <w:pPr>
        <w:pStyle w:val="Body"/>
      </w:pPr>
    </w:p>
    <w:p>
      <w:pPr>
        <w:pStyle w:val="Body"/>
      </w:pPr>
    </w:p>
    <w:p>
      <w:pPr>
        <w:pStyle w:val="Heading"/>
      </w:pPr>
      <w:bookmarkStart w:name="_Toc2" w:id="2"/>
      <w:r>
        <w:rPr>
          <w:rFonts w:cs="Arial Unicode MS" w:eastAsia="Arial Unicode MS"/>
          <w:rtl w:val="0"/>
          <w:lang w:val="en-US"/>
        </w:rPr>
        <w:t xml:space="preserve">Task 3 </w:t>
      </w:r>
      <w:r>
        <w:rPr>
          <w:rFonts w:cs="Arial Unicode MS" w:eastAsia="Arial Unicode MS" w:hint="default"/>
          <w:rtl w:val="0"/>
        </w:rPr>
        <w:t xml:space="preserve">– </w:t>
      </w:r>
      <w:r>
        <w:rPr>
          <w:rFonts w:cs="Arial Unicode MS" w:eastAsia="Arial Unicode MS"/>
          <w:rtl w:val="0"/>
          <w:lang w:val="en-US"/>
        </w:rPr>
        <w:t>Presentation</w:t>
      </w:r>
      <w:bookmarkEnd w:id="2"/>
    </w:p>
    <w:p>
      <w:pPr>
        <w:pStyle w:val="Body"/>
      </w:pPr>
      <w:r>
        <w:rPr>
          <w:rtl w:val="0"/>
          <w:lang w:val="en-US"/>
        </w:rPr>
        <w:t>Please follow this link to view my presentation</w:t>
      </w:r>
      <w:r>
        <w:rPr>
          <w:rtl w:val="0"/>
          <w:lang w:val="en-US"/>
        </w:rPr>
        <w:t>:</w:t>
      </w:r>
      <w:r>
        <w:drawing xmlns:a="http://schemas.openxmlformats.org/drawingml/2006/main">
          <wp:anchor distT="152400" distB="152400" distL="152400" distR="152400" simplePos="0" relativeHeight="251663360" behindDoc="0" locked="0" layoutInCell="1" allowOverlap="1">
            <wp:simplePos x="0" y="0"/>
            <wp:positionH relativeFrom="margin">
              <wp:posOffset>0</wp:posOffset>
            </wp:positionH>
            <wp:positionV relativeFrom="line">
              <wp:posOffset>277329</wp:posOffset>
            </wp:positionV>
            <wp:extent cx="5727700" cy="3221832"/>
            <wp:effectExtent l="0" t="0" r="0" b="0"/>
            <wp:wrapTopAndBottom distT="152400" distB="152400"/>
            <wp:docPr id="1073741833" name="officeArt object" descr="Web Video">
              <a:hlinkClick r:id="rId6" invalidUrl="" action="" tgtFrame="" tooltip="" history="1" highlightClick="0" endSnd="0"/>
            </wp:docPr>
            <wp:cNvGraphicFramePr/>
            <a:graphic xmlns:a="http://schemas.openxmlformats.org/drawingml/2006/main">
              <a:graphicData uri="http://schemas.openxmlformats.org/drawingml/2006/picture">
                <pic:pic xmlns:pic="http://schemas.openxmlformats.org/drawingml/2006/picture">
                  <pic:nvPicPr>
                    <pic:cNvPr id="1073741833" name="Web Video" descr="Web Video">
                      <a:hlinkClick r:id="rId6" invalidUrl="" action="" tgtFrame="" tooltip="" history="1" highlightClick="0" endSnd="0"/>
                    </pic:cNvPr>
                    <pic:cNvPicPr>
                      <a:picLocks noChangeAspect="0"/>
                    </pic:cNvPicPr>
                  </pic:nvPicPr>
                  <pic:blipFill>
                    <a:blip r:embed="rId7">
                      <a:extLst/>
                    </a:blip>
                    <a:stretch>
                      <a:fillRect/>
                    </a:stretch>
                  </pic:blipFill>
                  <pic:spPr>
                    <a:xfrm>
                      <a:off x="0" y="0"/>
                      <a:ext cx="5727700" cy="3221832"/>
                    </a:xfrm>
                    <a:prstGeom prst="rect">
                      <a:avLst/>
                    </a:prstGeom>
                  </pic:spPr>
                </pic:pic>
              </a:graphicData>
            </a:graphic>
          </wp:anchor>
        </w:drawing>
      </w: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Heading"/>
      </w:pPr>
      <w:bookmarkStart w:name="_Toc3" w:id="3"/>
      <w:r>
        <w:rPr>
          <w:rFonts w:cs="Arial Unicode MS" w:eastAsia="Arial Unicode MS"/>
          <w:rtl w:val="0"/>
          <w:lang w:val="en-US"/>
        </w:rPr>
        <w:t xml:space="preserve">Task 4 </w:t>
      </w:r>
      <w:r>
        <w:rPr>
          <w:rFonts w:cs="Arial Unicode MS" w:eastAsia="Arial Unicode MS" w:hint="default"/>
          <w:rtl w:val="0"/>
        </w:rPr>
        <w:t xml:space="preserve">– </w:t>
      </w:r>
      <w:r>
        <w:rPr>
          <w:rFonts w:cs="Arial Unicode MS" w:eastAsia="Arial Unicode MS"/>
          <w:rtl w:val="0"/>
          <w:lang w:val="en-US"/>
        </w:rPr>
        <w:t>Reflection</w:t>
      </w:r>
      <w:bookmarkEnd w:id="3"/>
    </w:p>
    <w:p>
      <w:pPr>
        <w:pStyle w:val="Body"/>
      </w:pPr>
    </w:p>
    <w:p>
      <w:pPr>
        <w:pStyle w:val="Body"/>
      </w:pPr>
      <w:r>
        <w:rPr>
          <w:rtl w:val="0"/>
          <w:lang w:val="en-US"/>
        </w:rPr>
        <w:t xml:space="preserve">After completing my first assignment in university I have learned many things about myself as a learner and my own strengths and weaknesses. I have learned that I need to be more organised when completing work so that I know what I should be working each day as sometime I would become unorganised and not know where to start for the assignment. However, I have learned that my writing skills are at a good level and that I am able to write with good sources that are credible. Finding the credible sources is sometimes difficult and is something that I need to keep working on as it can be made very easy if I just keep using the library website to find the information that I need. Being able to find credible sources improves the assignment writing level and allows for better understanding of the topic to be shown (Farah, 2017) which in turn will allow me to achieve better. The next step is to keep working in a similar manner that I did for this assignment but to also implement these changes such as organising what part of the work needs to be done by which day and to keep using the library resources to find my sources of information. </w:t>
      </w: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Heading"/>
      </w:pPr>
      <w:bookmarkStart w:name="_Toc4" w:id="4"/>
      <w:r>
        <w:rPr>
          <w:rFonts w:cs="Arial Unicode MS" w:eastAsia="Arial Unicode MS"/>
          <w:rtl w:val="0"/>
          <w:lang w:val="fr-FR"/>
        </w:rPr>
        <w:t>Reference list</w:t>
      </w:r>
      <w:bookmarkEnd w:id="4"/>
    </w:p>
    <w:p>
      <w:pPr>
        <w:pStyle w:val="Default"/>
        <w:bidi w:val="0"/>
        <w:spacing w:before="0" w:after="240" w:line="240" w:lineRule="auto"/>
        <w:ind w:left="756" w:right="0" w:hanging="756"/>
        <w:jc w:val="left"/>
        <w:rPr>
          <w:rFonts w:ascii="Times Roman" w:cs="Times Roman" w:hAnsi="Times Roman" w:eastAsia="Times Roman"/>
          <w:rtl w:val="0"/>
        </w:rPr>
      </w:pPr>
      <w:r>
        <w:rPr>
          <w:rFonts w:ascii="Times Roman" w:hAnsi="Times Roman"/>
          <w:rtl w:val="0"/>
        </w:rPr>
        <w:t xml:space="preserve">Ahmad, T. (2015) </w:t>
      </w:r>
      <w:r>
        <w:rPr>
          <w:rFonts w:ascii="Times Roman" w:hAnsi="Times Roman"/>
          <w:i w:val="1"/>
          <w:iCs w:val="1"/>
          <w:rtl w:val="0"/>
          <w:lang w:val="en-US"/>
        </w:rPr>
        <w:t>Preparing for the future of Higher Education</w:t>
      </w:r>
      <w:r>
        <w:rPr>
          <w:rFonts w:ascii="Times Roman" w:hAnsi="Times Roman"/>
          <w:rtl w:val="0"/>
        </w:rPr>
        <w:t xml:space="preserve">, </w:t>
      </w:r>
      <w:r>
        <w:rPr>
          <w:rFonts w:ascii="Times Roman" w:hAnsi="Times Roman"/>
          <w:i w:val="1"/>
          <w:iCs w:val="1"/>
          <w:rtl w:val="0"/>
          <w:lang w:val="en-US"/>
        </w:rPr>
        <w:t>On the Horizon</w:t>
      </w:r>
      <w:r>
        <w:rPr>
          <w:rFonts w:ascii="Times Roman" w:hAnsi="Times Roman"/>
          <w:rtl w:val="0"/>
          <w:lang w:val="en-US"/>
        </w:rPr>
        <w:t xml:space="preserve">. Emerald Group Publishing Limited. Available at: </w:t>
      </w:r>
      <w:r>
        <w:rPr>
          <w:rStyle w:val="Hyperlink.0"/>
          <w:rFonts w:ascii="Times Roman" w:cs="Times Roman" w:hAnsi="Times Roman" w:eastAsia="Times Roman"/>
          <w:rtl w:val="0"/>
        </w:rPr>
        <w:fldChar w:fldCharType="begin" w:fldLock="0"/>
      </w:r>
      <w:r>
        <w:rPr>
          <w:rStyle w:val="Hyperlink.0"/>
          <w:rFonts w:ascii="Times Roman" w:cs="Times Roman" w:hAnsi="Times Roman" w:eastAsia="Times Roman"/>
          <w:rtl w:val="0"/>
        </w:rPr>
        <w:instrText xml:space="preserve"> HYPERLINK "https://www.emerald.com/insight/content/doi/10.1108/OTH-06-2015-0029/full/html?fullSc=1"</w:instrText>
      </w:r>
      <w:r>
        <w:rPr>
          <w:rStyle w:val="Hyperlink.0"/>
          <w:rFonts w:ascii="Times Roman" w:cs="Times Roman" w:hAnsi="Times Roman" w:eastAsia="Times Roman"/>
          <w:rtl w:val="0"/>
        </w:rPr>
        <w:fldChar w:fldCharType="separate" w:fldLock="0"/>
      </w:r>
      <w:r>
        <w:rPr>
          <w:rStyle w:val="Hyperlink.0"/>
          <w:rFonts w:ascii="Times Roman" w:hAnsi="Times Roman"/>
          <w:rtl w:val="0"/>
          <w:lang w:val="en-US"/>
        </w:rPr>
        <w:t>https://www.emerald.com/insight/content/doi/10.1108/OTH-06-2015-0029/full/html?fullSc=1</w:t>
      </w:r>
      <w:r>
        <w:rPr>
          <w:rFonts w:ascii="Times Roman" w:cs="Times Roman" w:hAnsi="Times Roman" w:eastAsia="Times Roman"/>
          <w:rtl w:val="0"/>
        </w:rPr>
        <w:fldChar w:fldCharType="end" w:fldLock="0"/>
      </w:r>
    </w:p>
    <w:p>
      <w:pPr>
        <w:pStyle w:val="Default"/>
        <w:bidi w:val="0"/>
        <w:spacing w:before="0" w:after="240" w:line="240" w:lineRule="auto"/>
        <w:ind w:left="756" w:right="0" w:hanging="756"/>
        <w:jc w:val="left"/>
        <w:rPr>
          <w:rFonts w:ascii="Times Roman" w:cs="Times Roman" w:hAnsi="Times Roman" w:eastAsia="Times Roman"/>
          <w:rtl w:val="0"/>
        </w:rPr>
      </w:pPr>
      <w:r>
        <w:rPr>
          <w:rFonts w:ascii="Times Roman" w:hAnsi="Times Roman"/>
          <w:i w:val="1"/>
          <w:iCs w:val="1"/>
          <w:rtl w:val="0"/>
          <w:lang w:val="en-US"/>
        </w:rPr>
        <w:t>Aging education in higher education: Preparing for the 21st Century</w:t>
      </w:r>
      <w:r>
        <w:rPr>
          <w:rFonts w:ascii="Times Roman" w:hAnsi="Times Roman"/>
          <w:rtl w:val="0"/>
        </w:rPr>
        <w:t xml:space="preserve"> (no</w:t>
      </w:r>
      <w:r>
        <w:rPr>
          <w:rFonts w:ascii="Times Roman" w:hAnsi="Times Roman"/>
          <w:rtl w:val="0"/>
          <w:lang w:val="en-US"/>
        </w:rPr>
        <w:t xml:space="preserve"> date</w:t>
      </w:r>
      <w:r>
        <w:rPr>
          <w:rFonts w:ascii="Times Roman" w:hAnsi="Times Roman"/>
          <w:rtl w:val="0"/>
        </w:rPr>
        <w:t xml:space="preserve">) </w:t>
      </w:r>
      <w:r>
        <w:rPr>
          <w:rFonts w:ascii="Times Roman" w:hAnsi="Times Roman"/>
          <w:i w:val="1"/>
          <w:iCs w:val="1"/>
          <w:rtl w:val="0"/>
          <w:lang w:val="it-IT"/>
        </w:rPr>
        <w:t>Taylor &amp; Francis</w:t>
      </w:r>
      <w:r>
        <w:rPr>
          <w:rFonts w:ascii="Times Roman" w:hAnsi="Times Roman"/>
          <w:rtl w:val="0"/>
          <w:lang w:val="en-US"/>
        </w:rPr>
        <w:t xml:space="preserve">. Available at: </w:t>
      </w:r>
      <w:r>
        <w:rPr>
          <w:rStyle w:val="Hyperlink.0"/>
          <w:rFonts w:ascii="Times Roman" w:cs="Times Roman" w:hAnsi="Times Roman" w:eastAsia="Times Roman"/>
          <w:rtl w:val="0"/>
        </w:rPr>
        <w:fldChar w:fldCharType="begin" w:fldLock="0"/>
      </w:r>
      <w:r>
        <w:rPr>
          <w:rStyle w:val="Hyperlink.0"/>
          <w:rFonts w:ascii="Times Roman" w:cs="Times Roman" w:hAnsi="Times Roman" w:eastAsia="Times Roman"/>
          <w:rtl w:val="0"/>
        </w:rPr>
        <w:instrText xml:space="preserve"> HYPERLINK "https://www.tandfonline.com/doi/abs/10.1080/036012799267639"</w:instrText>
      </w:r>
      <w:r>
        <w:rPr>
          <w:rStyle w:val="Hyperlink.0"/>
          <w:rFonts w:ascii="Times Roman" w:cs="Times Roman" w:hAnsi="Times Roman" w:eastAsia="Times Roman"/>
          <w:rtl w:val="0"/>
        </w:rPr>
        <w:fldChar w:fldCharType="separate" w:fldLock="0"/>
      </w:r>
      <w:r>
        <w:rPr>
          <w:rStyle w:val="Hyperlink.0"/>
          <w:rFonts w:ascii="Times Roman" w:hAnsi="Times Roman"/>
          <w:rtl w:val="0"/>
          <w:lang w:val="en-US"/>
        </w:rPr>
        <w:t>https://www.tandfonline.com/doi/abs/10.1080/036012799267639</w:t>
      </w:r>
      <w:r>
        <w:rPr>
          <w:rFonts w:ascii="Times Roman" w:cs="Times Roman" w:hAnsi="Times Roman" w:eastAsia="Times Roman"/>
          <w:rtl w:val="0"/>
        </w:rPr>
        <w:fldChar w:fldCharType="end" w:fldLock="0"/>
      </w: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after="240" w:line="240" w:lineRule="auto"/>
        <w:ind w:left="756" w:right="0" w:hanging="756"/>
        <w:jc w:val="left"/>
        <w:rPr>
          <w:rFonts w:ascii="Times Roman" w:cs="Times Roman" w:hAnsi="Times Roman" w:eastAsia="Times Roman"/>
          <w:rtl w:val="0"/>
        </w:rPr>
      </w:pPr>
      <w:r>
        <w:rPr>
          <w:rFonts w:ascii="Times Roman" w:hAnsi="Times Roman"/>
          <w:rtl w:val="0"/>
        </w:rPr>
        <w:t xml:space="preserve">Akrim, M. (2018) </w:t>
      </w:r>
      <w:r>
        <w:rPr>
          <w:rFonts w:ascii="Times Roman" w:hAnsi="Times Roman"/>
          <w:i w:val="1"/>
          <w:iCs w:val="1"/>
          <w:rtl w:val="0"/>
          <w:lang w:val="en-US"/>
        </w:rPr>
        <w:t>Media learning in Digital Era</w:t>
      </w:r>
      <w:r>
        <w:rPr>
          <w:rFonts w:ascii="Times Roman" w:hAnsi="Times Roman"/>
          <w:rtl w:val="0"/>
        </w:rPr>
        <w:t xml:space="preserve">, </w:t>
      </w:r>
      <w:r>
        <w:rPr>
          <w:rFonts w:ascii="Times Roman" w:hAnsi="Times Roman"/>
          <w:i w:val="1"/>
          <w:iCs w:val="1"/>
          <w:rtl w:val="0"/>
        </w:rPr>
        <w:t>Media Learning in Digital Era | Atlantis Press</w:t>
      </w:r>
      <w:r>
        <w:rPr>
          <w:rFonts w:ascii="Times Roman" w:hAnsi="Times Roman"/>
          <w:rtl w:val="0"/>
          <w:lang w:val="en-US"/>
        </w:rPr>
        <w:t xml:space="preserve">. Atlantis Press. Available at: </w:t>
      </w:r>
      <w:r>
        <w:rPr>
          <w:rStyle w:val="Hyperlink.0"/>
          <w:rFonts w:ascii="Times Roman" w:cs="Times Roman" w:hAnsi="Times Roman" w:eastAsia="Times Roman"/>
          <w:rtl w:val="0"/>
        </w:rPr>
        <w:fldChar w:fldCharType="begin" w:fldLock="0"/>
      </w:r>
      <w:r>
        <w:rPr>
          <w:rStyle w:val="Hyperlink.0"/>
          <w:rFonts w:ascii="Times Roman" w:cs="Times Roman" w:hAnsi="Times Roman" w:eastAsia="Times Roman"/>
          <w:rtl w:val="0"/>
        </w:rPr>
        <w:instrText xml:space="preserve"> HYPERLINK "https://www.atlantis-press.com/proceedings/amca-18/25901808"</w:instrText>
      </w:r>
      <w:r>
        <w:rPr>
          <w:rStyle w:val="Hyperlink.0"/>
          <w:rFonts w:ascii="Times Roman" w:cs="Times Roman" w:hAnsi="Times Roman" w:eastAsia="Times Roman"/>
          <w:rtl w:val="0"/>
        </w:rPr>
        <w:fldChar w:fldCharType="separate" w:fldLock="0"/>
      </w:r>
      <w:r>
        <w:rPr>
          <w:rStyle w:val="Hyperlink.0"/>
          <w:rFonts w:ascii="Times Roman" w:hAnsi="Times Roman"/>
          <w:rtl w:val="0"/>
          <w:lang w:val="en-US"/>
        </w:rPr>
        <w:t>https://www.atlantis-press.com/proceedings/amca-18/25901808</w:t>
      </w:r>
      <w:r>
        <w:rPr>
          <w:rFonts w:ascii="Times Roman" w:cs="Times Roman" w:hAnsi="Times Roman" w:eastAsia="Times Roman"/>
          <w:rtl w:val="0"/>
        </w:rPr>
        <w:fldChar w:fldCharType="end" w:fldLock="0"/>
      </w:r>
    </w:p>
    <w:p>
      <w:pPr>
        <w:pStyle w:val="Default"/>
        <w:bidi w:val="0"/>
        <w:spacing w:before="0" w:after="240" w:line="240" w:lineRule="auto"/>
        <w:ind w:left="756" w:right="0" w:hanging="756"/>
        <w:jc w:val="left"/>
        <w:rPr>
          <w:rFonts w:ascii="Times Roman" w:cs="Times Roman" w:hAnsi="Times Roman" w:eastAsia="Times Roman"/>
          <w:rtl w:val="0"/>
        </w:rPr>
      </w:pPr>
      <w:r>
        <w:rPr>
          <w:rFonts w:ascii="Times Roman" w:hAnsi="Times Roman"/>
          <w:rtl w:val="0"/>
          <w:lang w:val="en-US"/>
        </w:rPr>
        <w:t>Hashim, H. (</w:t>
      </w:r>
      <w:r>
        <w:rPr>
          <w:rFonts w:ascii="Times Roman" w:hAnsi="Times Roman"/>
          <w:rtl w:val="0"/>
          <w:lang w:val="en-US"/>
        </w:rPr>
        <w:t>2020</w:t>
      </w:r>
      <w:r>
        <w:rPr>
          <w:rFonts w:ascii="Times Roman" w:hAnsi="Times Roman"/>
          <w:rtl w:val="0"/>
        </w:rPr>
        <w:t xml:space="preserve">) </w:t>
      </w:r>
      <w:r>
        <w:rPr>
          <w:rFonts w:ascii="Times Roman" w:hAnsi="Times Roman"/>
          <w:i w:val="1"/>
          <w:iCs w:val="1"/>
          <w:rtl w:val="0"/>
          <w:lang w:val="en-US"/>
        </w:rPr>
        <w:t>Application of technology in the Digital Era Education</w:t>
      </w:r>
      <w:r>
        <w:rPr>
          <w:rFonts w:ascii="Times Roman" w:hAnsi="Times Roman"/>
          <w:rtl w:val="0"/>
        </w:rPr>
        <w:t xml:space="preserve">, </w:t>
      </w:r>
      <w:r>
        <w:rPr>
          <w:rFonts w:ascii="Times Roman" w:hAnsi="Times Roman"/>
          <w:i w:val="1"/>
          <w:iCs w:val="1"/>
          <w:rtl w:val="0"/>
          <w:lang w:val="en-US"/>
        </w:rPr>
        <w:t>International Journal of Research in Counseling and Education</w:t>
      </w:r>
      <w:r>
        <w:rPr>
          <w:rFonts w:ascii="Times Roman" w:hAnsi="Times Roman"/>
          <w:rtl w:val="0"/>
          <w:lang w:val="en-US"/>
        </w:rPr>
        <w:t xml:space="preserve">. Available at: </w:t>
      </w:r>
      <w:r>
        <w:rPr>
          <w:rStyle w:val="Hyperlink.0"/>
          <w:rFonts w:ascii="Times Roman" w:cs="Times Roman" w:hAnsi="Times Roman" w:eastAsia="Times Roman"/>
          <w:rtl w:val="0"/>
        </w:rPr>
        <w:fldChar w:fldCharType="begin" w:fldLock="0"/>
      </w:r>
      <w:r>
        <w:rPr>
          <w:rStyle w:val="Hyperlink.0"/>
          <w:rFonts w:ascii="Times Roman" w:cs="Times Roman" w:hAnsi="Times Roman" w:eastAsia="Times Roman"/>
          <w:rtl w:val="0"/>
        </w:rPr>
        <w:instrText xml:space="preserve"> HYPERLINK "http://ppsfip.ppj.unp.ac.id/index.php/ijrice/article/view/2"</w:instrText>
      </w:r>
      <w:r>
        <w:rPr>
          <w:rStyle w:val="Hyperlink.0"/>
          <w:rFonts w:ascii="Times Roman" w:cs="Times Roman" w:hAnsi="Times Roman" w:eastAsia="Times Roman"/>
          <w:rtl w:val="0"/>
        </w:rPr>
        <w:fldChar w:fldCharType="separate" w:fldLock="0"/>
      </w:r>
      <w:r>
        <w:rPr>
          <w:rStyle w:val="Hyperlink.0"/>
          <w:rFonts w:ascii="Times Roman" w:hAnsi="Times Roman"/>
          <w:rtl w:val="0"/>
          <w:lang w:val="en-US"/>
        </w:rPr>
        <w:t>http://ppsfip.ppj.unp.ac.id/index.php/ijrice/article/view/2</w:t>
      </w:r>
      <w:r>
        <w:rPr>
          <w:rFonts w:ascii="Times Roman" w:cs="Times Roman" w:hAnsi="Times Roman" w:eastAsia="Times Roman"/>
          <w:rtl w:val="0"/>
        </w:rPr>
        <w:fldChar w:fldCharType="end" w:fldLock="0"/>
      </w:r>
    </w:p>
    <w:p>
      <w:pPr>
        <w:pStyle w:val="Default"/>
        <w:bidi w:val="0"/>
        <w:spacing w:before="0" w:after="240" w:line="240" w:lineRule="auto"/>
        <w:ind w:left="756" w:right="0" w:hanging="756"/>
        <w:jc w:val="left"/>
        <w:rPr>
          <w:rFonts w:ascii="Times Roman" w:cs="Times Roman" w:hAnsi="Times Roman" w:eastAsia="Times Roman"/>
          <w:rtl w:val="0"/>
        </w:rPr>
      </w:pPr>
      <w:r>
        <w:rPr>
          <w:rFonts w:ascii="Times Roman" w:hAnsi="Times Roman"/>
          <w:i w:val="1"/>
          <w:iCs w:val="1"/>
          <w:rtl w:val="0"/>
          <w:lang w:val="en-US"/>
        </w:rPr>
        <w:t>(PDF) the effects of teaching methods in leadership ... - researchgate</w:t>
      </w:r>
      <w:r>
        <w:rPr>
          <w:rFonts w:ascii="Times Roman" w:hAnsi="Times Roman"/>
          <w:rtl w:val="0"/>
          <w:lang w:val="en-US"/>
        </w:rPr>
        <w:t xml:space="preserve"> (no date). Available at: </w:t>
      </w:r>
      <w:r>
        <w:rPr>
          <w:rStyle w:val="Hyperlink.0"/>
          <w:rFonts w:ascii="Times Roman" w:cs="Times Roman" w:hAnsi="Times Roman" w:eastAsia="Times Roman"/>
          <w:rtl w:val="0"/>
        </w:rPr>
        <w:fldChar w:fldCharType="begin" w:fldLock="0"/>
      </w:r>
      <w:r>
        <w:rPr>
          <w:rStyle w:val="Hyperlink.0"/>
          <w:rFonts w:ascii="Times Roman" w:cs="Times Roman" w:hAnsi="Times Roman" w:eastAsia="Times Roman"/>
          <w:rtl w:val="0"/>
        </w:rPr>
        <w:instrText xml:space="preserve"> HYPERLINK "https://www.researchgate.net/publication/275933658_The_Effects_of_Teaching_Methods_in_Leadership_Knowledge_Retenti"</w:instrText>
      </w:r>
      <w:r>
        <w:rPr>
          <w:rStyle w:val="Hyperlink.0"/>
          <w:rFonts w:ascii="Times Roman" w:cs="Times Roman" w:hAnsi="Times Roman" w:eastAsia="Times Roman"/>
          <w:rtl w:val="0"/>
        </w:rPr>
        <w:fldChar w:fldCharType="separate" w:fldLock="0"/>
      </w:r>
      <w:r>
        <w:rPr>
          <w:rStyle w:val="Hyperlink.0"/>
          <w:rFonts w:ascii="Times Roman" w:hAnsi="Times Roman"/>
          <w:rtl w:val="0"/>
          <w:lang w:val="en-US"/>
        </w:rPr>
        <w:t>https://www.researchgate.net/publication/275933658_The_Effects_of_Teaching_Methods_in_Leadership_Knowledge_Retent</w:t>
      </w:r>
      <w:r>
        <w:rPr>
          <w:rStyle w:val="Hyperlink.0"/>
          <w:rFonts w:ascii="Times Roman" w:hAnsi="Times Roman"/>
          <w:rtl w:val="0"/>
          <w:lang w:val="en-US"/>
        </w:rPr>
        <w:t>i</w:t>
      </w:r>
      <w:r>
        <w:rPr>
          <w:rFonts w:ascii="Times Roman" w:cs="Times Roman" w:hAnsi="Times Roman" w:eastAsia="Times Roman"/>
          <w:rtl w:val="0"/>
        </w:rPr>
        <w:fldChar w:fldCharType="end" w:fldLock="0"/>
      </w: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after="240" w:line="240" w:lineRule="auto"/>
        <w:ind w:left="756" w:right="0" w:hanging="756"/>
        <w:jc w:val="left"/>
        <w:rPr>
          <w:rFonts w:ascii="Times Roman" w:cs="Times Roman" w:hAnsi="Times Roman" w:eastAsia="Times Roman"/>
          <w:rtl w:val="0"/>
        </w:rPr>
      </w:pPr>
      <w:r>
        <w:rPr>
          <w:rFonts w:ascii="Times Roman" w:hAnsi="Times Roman"/>
          <w:rtl w:val="0"/>
          <w:lang w:val="en-US"/>
        </w:rPr>
        <w:t>Smith, W.by J. (</w:t>
      </w:r>
      <w:r>
        <w:rPr>
          <w:rFonts w:ascii="Times Roman" w:hAnsi="Times Roman"/>
          <w:rtl w:val="0"/>
          <w:lang w:val="en-US"/>
        </w:rPr>
        <w:t>2016</w:t>
      </w:r>
      <w:r>
        <w:rPr>
          <w:rFonts w:ascii="Times Roman" w:hAnsi="Times Roman"/>
          <w:rtl w:val="0"/>
        </w:rPr>
        <w:t xml:space="preserve">) </w:t>
      </w:r>
      <w:r>
        <w:rPr>
          <w:rFonts w:ascii="Times Roman" w:hAnsi="Times Roman"/>
          <w:i w:val="1"/>
          <w:iCs w:val="1"/>
          <w:rtl w:val="0"/>
          <w:lang w:val="en-US"/>
        </w:rPr>
        <w:t>5 tips for studying at home</w:t>
      </w:r>
      <w:r>
        <w:rPr>
          <w:rFonts w:ascii="Times Roman" w:hAnsi="Times Roman"/>
          <w:rtl w:val="0"/>
        </w:rPr>
        <w:t xml:space="preserve">, </w:t>
      </w:r>
      <w:r>
        <w:rPr>
          <w:rFonts w:ascii="Times Roman" w:hAnsi="Times Roman"/>
          <w:i w:val="1"/>
          <w:iCs w:val="1"/>
          <w:rtl w:val="0"/>
          <w:lang w:val="en-US"/>
        </w:rPr>
        <w:t>Prospects.ac.uk</w:t>
      </w:r>
      <w:r>
        <w:rPr>
          <w:rFonts w:ascii="Times Roman" w:hAnsi="Times Roman"/>
          <w:rtl w:val="0"/>
          <w:lang w:val="en-US"/>
        </w:rPr>
        <w:t xml:space="preserve">. Available at: </w:t>
      </w:r>
      <w:r>
        <w:rPr>
          <w:rStyle w:val="Hyperlink.0"/>
          <w:rFonts w:ascii="Times Roman" w:cs="Times Roman" w:hAnsi="Times Roman" w:eastAsia="Times Roman"/>
          <w:rtl w:val="0"/>
        </w:rPr>
        <w:fldChar w:fldCharType="begin" w:fldLock="0"/>
      </w:r>
      <w:r>
        <w:rPr>
          <w:rStyle w:val="Hyperlink.0"/>
          <w:rFonts w:ascii="Times Roman" w:cs="Times Roman" w:hAnsi="Times Roman" w:eastAsia="Times Roman"/>
          <w:rtl w:val="0"/>
        </w:rPr>
        <w:instrText xml:space="preserve"> HYPERLINK "https://www.prospects.ac.uk/applying-for-university/university-life/5-tips-for-studying-at-home"</w:instrText>
      </w:r>
      <w:r>
        <w:rPr>
          <w:rStyle w:val="Hyperlink.0"/>
          <w:rFonts w:ascii="Times Roman" w:cs="Times Roman" w:hAnsi="Times Roman" w:eastAsia="Times Roman"/>
          <w:rtl w:val="0"/>
        </w:rPr>
        <w:fldChar w:fldCharType="separate" w:fldLock="0"/>
      </w:r>
      <w:r>
        <w:rPr>
          <w:rStyle w:val="Hyperlink.0"/>
          <w:rFonts w:ascii="Times Roman" w:hAnsi="Times Roman"/>
          <w:rtl w:val="0"/>
          <w:lang w:val="en-US"/>
        </w:rPr>
        <w:t>https://www.prospects.ac.uk/applying-for-university/university-life/5-tips-for-studying-at-home</w:t>
      </w:r>
      <w:r>
        <w:rPr>
          <w:rFonts w:ascii="Times Roman" w:cs="Times Roman" w:hAnsi="Times Roman" w:eastAsia="Times Roman"/>
          <w:rtl w:val="0"/>
        </w:rPr>
        <w:fldChar w:fldCharType="end" w:fldLock="0"/>
      </w:r>
    </w:p>
    <w:p>
      <w:pPr>
        <w:pStyle w:val="Default"/>
        <w:bidi w:val="0"/>
        <w:spacing w:before="0" w:after="240" w:line="240" w:lineRule="auto"/>
        <w:ind w:left="756" w:right="0" w:hanging="756"/>
        <w:jc w:val="left"/>
        <w:rPr>
          <w:rFonts w:ascii="Times Roman" w:cs="Times Roman" w:hAnsi="Times Roman" w:eastAsia="Times Roman"/>
          <w:rtl w:val="0"/>
        </w:rPr>
      </w:pPr>
      <w:r>
        <w:rPr>
          <w:rFonts w:ascii="Times Roman" w:hAnsi="Times Roman"/>
          <w:rtl w:val="0"/>
          <w:lang w:val="en-US"/>
        </w:rPr>
        <w:t xml:space="preserve">the Mind Tools Content Team By the Mind Tools Content Team </w:t>
      </w:r>
      <w:r>
        <w:rPr>
          <w:rFonts w:ascii="Times Roman" w:hAnsi="Times Roman"/>
          <w:i w:val="1"/>
          <w:iCs w:val="1"/>
          <w:rtl w:val="0"/>
        </w:rPr>
        <w:t>et al.</w:t>
      </w:r>
      <w:r>
        <w:rPr>
          <w:rFonts w:ascii="Times Roman" w:hAnsi="Times Roman"/>
          <w:rtl w:val="0"/>
        </w:rPr>
        <w:t xml:space="preserve"> (</w:t>
      </w:r>
      <w:r>
        <w:rPr>
          <w:rFonts w:ascii="Times Roman" w:hAnsi="Times Roman"/>
          <w:rtl w:val="0"/>
          <w:lang w:val="en-US"/>
        </w:rPr>
        <w:t>2019</w:t>
      </w:r>
      <w:r>
        <w:rPr>
          <w:rFonts w:ascii="Times Roman" w:hAnsi="Times Roman"/>
          <w:rtl w:val="0"/>
        </w:rPr>
        <w:t xml:space="preserve">) </w:t>
      </w:r>
      <w:r>
        <w:rPr>
          <w:rFonts w:ascii="Times Roman" w:hAnsi="Times Roman"/>
          <w:i w:val="1"/>
          <w:iCs w:val="1"/>
          <w:rtl w:val="0"/>
          <w:lang w:val="en-US"/>
        </w:rPr>
        <w:t>Eisenhower's urgent/important principle: Using time effectively, not just efficiently</w:t>
      </w:r>
      <w:r>
        <w:rPr>
          <w:rFonts w:ascii="Times Roman" w:hAnsi="Times Roman"/>
          <w:rtl w:val="0"/>
        </w:rPr>
        <w:t xml:space="preserve">, </w:t>
      </w:r>
      <w:r>
        <w:rPr>
          <w:rFonts w:ascii="Times Roman" w:hAnsi="Times Roman"/>
          <w:i w:val="1"/>
          <w:iCs w:val="1"/>
          <w:rtl w:val="0"/>
          <w:lang w:val="en-US"/>
        </w:rPr>
        <w:t>Time Management Skills</w:t>
      </w:r>
      <w:r>
        <w:rPr>
          <w:rFonts w:ascii="Times Roman" w:hAnsi="Times Roman"/>
          <w:rtl w:val="0"/>
          <w:lang w:val="en-US"/>
        </w:rPr>
        <w:t xml:space="preserve">. Available at: </w:t>
      </w:r>
      <w:r>
        <w:rPr>
          <w:rStyle w:val="Hyperlink.0"/>
          <w:rFonts w:ascii="Times Roman" w:cs="Times Roman" w:hAnsi="Times Roman" w:eastAsia="Times Roman"/>
          <w:rtl w:val="0"/>
        </w:rPr>
        <w:fldChar w:fldCharType="begin" w:fldLock="0"/>
      </w:r>
      <w:r>
        <w:rPr>
          <w:rStyle w:val="Hyperlink.0"/>
          <w:rFonts w:ascii="Times Roman" w:cs="Times Roman" w:hAnsi="Times Roman" w:eastAsia="Times Roman"/>
          <w:rtl w:val="0"/>
        </w:rPr>
        <w:instrText xml:space="preserve"> HYPERLINK "https://www.mindtools.com/pages/article/newHTE_91.htm"</w:instrText>
      </w:r>
      <w:r>
        <w:rPr>
          <w:rStyle w:val="Hyperlink.0"/>
          <w:rFonts w:ascii="Times Roman" w:cs="Times Roman" w:hAnsi="Times Roman" w:eastAsia="Times Roman"/>
          <w:rtl w:val="0"/>
        </w:rPr>
        <w:fldChar w:fldCharType="separate" w:fldLock="0"/>
      </w:r>
      <w:r>
        <w:rPr>
          <w:rStyle w:val="Hyperlink.0"/>
          <w:rFonts w:ascii="Times Roman" w:hAnsi="Times Roman"/>
          <w:rtl w:val="0"/>
          <w:lang w:val="en-US"/>
        </w:rPr>
        <w:t>https://www.mindtools.com/pages/article/newHTE_91.htm</w:t>
      </w:r>
      <w:r>
        <w:rPr>
          <w:rFonts w:ascii="Times Roman" w:cs="Times Roman" w:hAnsi="Times Roman" w:eastAsia="Times Roman"/>
          <w:rtl w:val="0"/>
        </w:rPr>
        <w:fldChar w:fldCharType="end" w:fldLock="0"/>
      </w:r>
    </w:p>
    <w:p>
      <w:pPr>
        <w:pStyle w:val="Default"/>
        <w:bidi w:val="0"/>
        <w:spacing w:before="0" w:after="240" w:line="240" w:lineRule="auto"/>
        <w:ind w:left="756" w:right="0" w:hanging="756"/>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Fonts w:ascii="Times Roman" w:cs="Times Roman" w:hAnsi="Times Roman" w:eastAsia="Times Roman"/>
          <w:rtl w:val="0"/>
        </w:rPr>
      </w:pPr>
    </w:p>
    <w:p>
      <w:pPr>
        <w:pStyle w:val="Default"/>
        <w:bidi w:val="0"/>
        <w:spacing w:before="0" w:line="240" w:lineRule="auto"/>
        <w:ind w:left="0" w:right="0" w:firstLine="0"/>
        <w:jc w:val="left"/>
        <w:rPr>
          <w:rtl w:val="0"/>
        </w:rPr>
      </w:pPr>
      <w:r>
        <w:rPr>
          <w:rFonts w:ascii="Times Roman" w:cs="Times Roman" w:hAnsi="Times Roman" w:eastAsia="Times Roman"/>
          <w:rtl w:val="0"/>
        </w:rPr>
      </w:r>
    </w:p>
    <w:sectPr>
      <w:headerReference w:type="default" r:id="rId8"/>
      <w:headerReference w:type="first" r:id="rId9"/>
      <w:footerReference w:type="default" r:id="rId10"/>
      <w:footerReference w:type="first" r:id="rId11"/>
      <w:pgSz w:w="11900" w:h="16840" w:orient="portrait"/>
      <w:pgMar w:top="1440" w:right="1440" w:bottom="1440" w:left="1440" w:header="708" w:footer="708"/>
      <w:pgNumType w:start="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libri Light">
    <w:charset w:val="00"/>
    <w:family w:val="roman"/>
    <w:pitch w:val="default"/>
  </w:font>
  <w:font w:name="Helvetica Neue Light">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center"/>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No Spacing">
    <w:name w:val="No Spacing"/>
    <w:next w:val="No Spacing"/>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Arial Unicode MS" w:hAnsi="Calibri Light" w:eastAsia="Arial Unicode MS"/>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lang w:val="en-US"/>
      <w14:textFill>
        <w14:solidFill>
          <w14:srgbClr w14:val="2F5496"/>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120" w:after="120" w:line="259" w:lineRule="auto"/>
      <w:ind w:left="0" w:right="0" w:firstLine="0"/>
      <w:jc w:val="left"/>
      <w:outlineLvl w:val="0"/>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shd w:val="nil" w:color="auto" w:fill="auto"/>
      <w:vertAlign w:val="baseline"/>
      <w14:textOutline>
        <w14:noFill/>
      </w14:textOutline>
      <w14:textFill>
        <w14:solidFill>
          <w14:srgbClr w14:val="2F5496"/>
        </w14:solidFill>
      </w14:textFill>
    </w:rPr>
  </w:style>
  <w:style w:type="paragraph" w:styleId="Object Caption">
    <w:name w:val="Object Caption"/>
    <w:next w:val="Object Caption"/>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Helvetica Neue Light" w:cs="Arial Unicode MS" w:hAnsi="Helvetica Neue Light"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outline w:val="0"/>
      <w:color w:val="0563c1"/>
      <w:u w:val="single" w:color="0563c1"/>
      <w14:textFill>
        <w14:solidFill>
          <w14:srgbClr w14:val="0563C1"/>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1.jpeg"/><Relationship Id="rId6" Type="http://schemas.openxmlformats.org/officeDocument/2006/relationships/hyperlink" Target="https://www.youtube.com/watch?v=d8fqGfjkMdM" TargetMode="External"/><Relationship Id="rId7" Type="http://schemas.openxmlformats.org/officeDocument/2006/relationships/image" Target="media/image2.jpeg"/><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