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AC9" w:rsidRDefault="00792AC9" w:rsidP="00792AC9">
      <w:pPr>
        <w:rPr>
          <w:u w:val="single"/>
        </w:rPr>
      </w:pPr>
      <w:r>
        <w:rPr>
          <w:rFonts w:ascii="Arial" w:hAnsi="Arial" w:cs="Arial"/>
          <w:b/>
          <w:i/>
        </w:rPr>
        <w:t xml:space="preserve">A critical analysis of the relationship between teacher subject knowledge and effective learning and teaching in the primary school </w:t>
      </w:r>
      <w:bookmarkStart w:id="0" w:name="_GoBack"/>
      <w:bookmarkEnd w:id="0"/>
    </w:p>
    <w:p w:rsidR="00792AC9" w:rsidRPr="006B1C8D" w:rsidRDefault="00792AC9" w:rsidP="00792AC9">
      <w:pPr>
        <w:rPr>
          <w:u w:val="single"/>
        </w:rPr>
      </w:pPr>
      <w:r w:rsidRPr="006B1C8D">
        <w:rPr>
          <w:u w:val="single"/>
        </w:rPr>
        <w:t xml:space="preserve">Introduction </w:t>
      </w:r>
    </w:p>
    <w:p w:rsidR="00792AC9" w:rsidRPr="006B1C8D" w:rsidRDefault="00792AC9" w:rsidP="00792AC9">
      <w:r w:rsidRPr="006B1C8D">
        <w:t xml:space="preserve">In this essay I am going to be researching the topic of teacher subject knowledge and the place it has in relation to effective teaching. I am going to produce a literature review synthesising any relevant books, articles and papers I find, comparing and contrasting ideas and concepts. I will then use this research to evaluate my own subject knowledge during my experience in my first placement block. </w:t>
      </w:r>
    </w:p>
    <w:p w:rsidR="00792AC9" w:rsidRPr="006B1C8D" w:rsidRDefault="00792AC9" w:rsidP="00792AC9">
      <w:r w:rsidRPr="006B1C8D">
        <w:t xml:space="preserve">This placement took place in a Pioneer primary school in South Wales. Pioneer schools are schools throughout Wales that are implementing suggestions for the new curriculum set out in Donaldson’s ‘Successful Futures’ (2015) report. The school’s 2017 Estyn report </w:t>
      </w:r>
      <w:r w:rsidRPr="006B1C8D">
        <w:rPr>
          <w:rStyle w:val="Hyperlink"/>
          <w:color w:val="auto"/>
          <w:u w:val="none"/>
        </w:rPr>
        <w:t>(</w:t>
      </w:r>
      <w:r w:rsidRPr="006B1C8D">
        <w:t xml:space="preserve">Estyn, 2017) states that the school has 471 children on roll, with 31% recognised as having additional learning needs (ALN) and 36% receiving free school meals. The report gave the school a mixture of ‘good’ and ‘excellent’ judgements in each inspection area. I have omitted the school’s name from the reference for confidentiality reasons. </w:t>
      </w:r>
      <w:r w:rsidRPr="006B1C8D">
        <w:rPr>
          <w:color w:val="FF0000"/>
        </w:rPr>
        <w:t xml:space="preserve"> </w:t>
      </w:r>
    </w:p>
    <w:p w:rsidR="00792AC9" w:rsidRPr="006B1C8D" w:rsidRDefault="00792AC9" w:rsidP="00792AC9">
      <w:r w:rsidRPr="006B1C8D">
        <w:t>For the first part of my placement in this school, I was assigned to the Nursery. There are 68</w:t>
      </w:r>
      <w:r w:rsidRPr="006B1C8D">
        <w:rPr>
          <w:b/>
        </w:rPr>
        <w:t xml:space="preserve"> </w:t>
      </w:r>
      <w:r w:rsidRPr="006B1C8D">
        <w:t>children enrolled in the nursery, split between the morning and afternoon sessions. Each session is then further separated into 5 key worker groups of roughly 7 children per group. I planned and led the lessons for one key worker group during each session, with 6 children in the morning and 6 children in the afternoon. I will keep the name of the school, the teachers and all students, anonymous in accordance with the BERA guidelines (BERA, 2018).</w:t>
      </w:r>
    </w:p>
    <w:p w:rsidR="00792AC9" w:rsidRPr="006B1C8D" w:rsidRDefault="00792AC9" w:rsidP="00792AC9">
      <w:pPr>
        <w:rPr>
          <w:u w:val="single"/>
        </w:rPr>
      </w:pPr>
      <w:r w:rsidRPr="006B1C8D">
        <w:rPr>
          <w:u w:val="single"/>
        </w:rPr>
        <w:t xml:space="preserve">Extracts from literature reviews </w:t>
      </w:r>
    </w:p>
    <w:p w:rsidR="00792AC9" w:rsidRPr="006B1C8D" w:rsidRDefault="00792AC9" w:rsidP="00792AC9">
      <w:r w:rsidRPr="006B1C8D">
        <w:t>It is a widely held idea that teacher subject knowledge is important in order for students to learn effectively. A lack of subject knowledge can negatively impact a teacher’s confidence level and the coping techniques that some use to deal with their lack of confidence, like avoiding topics that they are unsure of, can really limit children’s learning (</w:t>
      </w:r>
      <w:proofErr w:type="spellStart"/>
      <w:r w:rsidRPr="006B1C8D">
        <w:t>Harlen</w:t>
      </w:r>
      <w:proofErr w:type="spellEnd"/>
      <w:r w:rsidRPr="006B1C8D">
        <w:t xml:space="preserve"> and Holroyd, 1997). Similarly, in their journal ‘Subject Knowledge in Early Childhood Curriculum and Pedagogy: beliefs and practices’ (date), Hedges and Cullen conclude that in order for teachers to extend their children’s desire for knowledge and understanding, an excellent level of subject knowledge is vital. This is also the case with Haylock and Cockburn (2008) who state that in order for teachers to teach in a way that promotes understanding, they must clearly understand the concepts that they are teaching. </w:t>
      </w:r>
    </w:p>
    <w:p w:rsidR="00792AC9" w:rsidRPr="006B1C8D" w:rsidRDefault="00792AC9" w:rsidP="00792AC9">
      <w:r w:rsidRPr="006B1C8D">
        <w:t>Constructivism is a learning theory that holds that people learn through taking part in, and reflecting upon, active experiences (</w:t>
      </w:r>
      <w:proofErr w:type="spellStart"/>
      <w:r w:rsidRPr="006B1C8D">
        <w:t>Fosnot</w:t>
      </w:r>
      <w:proofErr w:type="spellEnd"/>
      <w:r w:rsidRPr="006B1C8D">
        <w:t xml:space="preserve"> and Perry, 2005). Vygotsky is a key advocate for constructivism and his social development theory is made up of three main features: social interaction, the more knowledgeable other, and the zone of proximal development (ZPD) (Aubrey and Riley, 2016). The latter two are important in this case. The more knowledgeable other, he maintains, is a person who has a </w:t>
      </w:r>
      <w:r>
        <w:t>superior</w:t>
      </w:r>
      <w:r w:rsidRPr="006B1C8D">
        <w:t xml:space="preserve"> amount of knowledge on a subject than another person – normally a teacher to a child. The ZPD is the gap between a person’s independent ability and their potential ability when coupled with the presence of this more knowledgeable other. This ‘gap’ is where Vygotsky states that the learning takes place. So in order for the pupils that we are teaching to learn effectively, we need to act as the more knowledgeable other. Therefore, our knowledge base has to be higher than theirs on the given subject, showing the importance of subject knowledge. Although his theory only states that learning takes place in the ZPD with the help of a more knowledgeable other, it does not mention that this necessarily means that effective teaching is taking place. Effective teaching is not mentioned. This theory just shows the role that teacher subject knowledge has in learning.</w:t>
      </w:r>
    </w:p>
    <w:p w:rsidR="00792AC9" w:rsidRPr="006B1C8D" w:rsidRDefault="00792AC9" w:rsidP="00792AC9">
      <w:r w:rsidRPr="006B1C8D">
        <w:lastRenderedPageBreak/>
        <w:t xml:space="preserve">There are some people who maintain that although subject knowledge is important, there are other characteristics or ideas that are of more importance. John </w:t>
      </w:r>
      <w:proofErr w:type="spellStart"/>
      <w:r w:rsidRPr="006B1C8D">
        <w:t>Bruer</w:t>
      </w:r>
      <w:proofErr w:type="spellEnd"/>
      <w:r w:rsidRPr="006B1C8D">
        <w:t xml:space="preserve"> (1993) makes a strong point that in the past, schools have been focusing on subject knowledge where they should have focused on how that subject knowledge is taught. There are a lot of misconceptions that if someone has a very strong knowledge of a subject, that they can effectively portray that knowledge to others but that is not always the case. Shulman </w:t>
      </w:r>
      <w:r>
        <w:t>(</w:t>
      </w:r>
      <w:r>
        <w:t>1987</w:t>
      </w:r>
      <w:r>
        <w:t xml:space="preserve">) </w:t>
      </w:r>
      <w:r w:rsidRPr="006B1C8D">
        <w:t xml:space="preserve">talks about how someone with a mathematics degree shows a good understanding of mathematics but there is a difference between this person </w:t>
      </w:r>
      <w:r>
        <w:t>having</w:t>
      </w:r>
      <w:r w:rsidRPr="006B1C8D">
        <w:t xml:space="preserve"> the knowledge and being able to teach it. The art of teaching is to </w:t>
      </w:r>
      <w:r>
        <w:t xml:space="preserve">discover </w:t>
      </w:r>
      <w:r w:rsidRPr="006B1C8D">
        <w:t xml:space="preserve">how </w:t>
      </w:r>
      <w:r>
        <w:t>different</w:t>
      </w:r>
      <w:r w:rsidRPr="006B1C8D">
        <w:t xml:space="preserve"> children will best understand a concept and teach it to them in that way. </w:t>
      </w:r>
      <w:r>
        <w:t>S</w:t>
      </w:r>
      <w:r w:rsidRPr="006B1C8D">
        <w:t xml:space="preserve">ubject knowledge is not enough on its own as there needs to be an element of adaptation and translation of the knowledge (be it by simplifying or altering) to make it easier to understand. </w:t>
      </w:r>
    </w:p>
    <w:p w:rsidR="00792AC9" w:rsidRPr="006B1C8D" w:rsidRDefault="00792AC9" w:rsidP="00792AC9">
      <w:r w:rsidRPr="006B1C8D">
        <w:t>In ‘Knowledge and ‘Teaching: Foundations of the New Reform’ (</w:t>
      </w:r>
      <w:r>
        <w:t>1987</w:t>
      </w:r>
      <w:r w:rsidRPr="006B1C8D">
        <w:t>), Shulman highlights the difference between content knowledge (CK) and pedagogical knowledge (PK). CK is the thorough understanding of what is being taught and PK is the tools and practices that are used in teaching. The latter is seen as the ‘heart of what is means to be an excellent teacher’ (Donaldson, 2015, pp.63). Shulman thinks teachers should aim to be where these two types of knowledge overlap, known as Pedagogical Content Knowledge (PCK). Shulman (</w:t>
      </w:r>
      <w:r>
        <w:t>1987</w:t>
      </w:r>
      <w:r w:rsidRPr="006B1C8D">
        <w:t>) says that the art of effective teaching, specifically pedagogic reasoning and action, moves through five steps: Comprehension, transformation, instruction, evaluation and reflection. Initially comes comprehension. This is the idea that in order for you to teach a subject or topic, you must first understand it. The second step, transformation, is the art of altering the knowledge that you have and adapting it in a way that can be easily learned by the recipient. Instruction is the third step and this involves the way that the knowledge is delivered, with a variety of teaching methods and pedagogical knowledge. The next step is evaluation which involves checking the children’s understanding and misunderstanding of the subject and assessing gaps in their knowledge, and this is closely linked to the final step: reflection. Reflection involves looking back over lessons taught and teaching experiences, learning from any mistakes made or evaluating why some things worked well. This leads to the teacher having a new comprehension of the purposes and of the subject.</w:t>
      </w:r>
      <w:r w:rsidRPr="006B1C8D">
        <w:rPr>
          <w:color w:val="5B9BD5" w:themeColor="accent1"/>
        </w:rPr>
        <w:t xml:space="preserve"> </w:t>
      </w:r>
    </w:p>
    <w:p w:rsidR="00792AC9" w:rsidRPr="006B1C8D" w:rsidRDefault="00792AC9" w:rsidP="00792AC9">
      <w:r w:rsidRPr="006B1C8D">
        <w:t>Similar to this, Rowland et al. talk about ‘The Knowledge Quartet’ (year) as a tool for assessing how subject knowledge and pedagogical knowledge is presented in the classroom. They assessed 24 lessons carried out by trainee teachers, looking for evidence of subject and pedagogical knowledge and separated what they found into four units: Foundation, Transformation, Connection and Contingency. The paper described how the foundation category was the trainee teacher’s knowledge before entering the classroom. They then moved on to talk about the transformation of this knowledge into a form that the pupil can understand. This category is based on Shulman’s transformation step mentioned previously and involves the input of pedagogical knowledge in order to transform the knowledge in the correct way. The next category Rowland et al. talk about is connection. This is the binding together of all aspects of the topic. And finally, contingency. This entails all the classroom activities that we cannot plan for, that will inevitably happen in a class full of children. It is the art of being able to ‘think on our feet’ and run with an idea that a child seems interested in or has questions about. (</w:t>
      </w:r>
      <w:proofErr w:type="gramStart"/>
      <w:r w:rsidRPr="006B1C8D">
        <w:t>reference</w:t>
      </w:r>
      <w:proofErr w:type="gramEnd"/>
      <w:r w:rsidRPr="006B1C8D">
        <w:t>, page number)</w:t>
      </w:r>
    </w:p>
    <w:p w:rsidR="00792AC9" w:rsidRPr="006B1C8D" w:rsidRDefault="00792AC9" w:rsidP="00792AC9">
      <w:r w:rsidRPr="006B1C8D">
        <w:t xml:space="preserve">John Hattie (2012) talks about the importance of effective teaching. He claims that effective, or what he calls “high-impact”, teaching gives a student nearly a year’s advantage over other students who aren’t receiving as effective teaching (Hattie, 2012, p.26). He states that ‘high-impact’ teachers are </w:t>
      </w:r>
      <w:r>
        <w:t>categorised by</w:t>
      </w:r>
      <w:r w:rsidRPr="006B1C8D">
        <w:t xml:space="preserve"> their attitudes and beliefs around teaching. He highlights the importance of having teachers that are ’passionate and inspired’ (Hattie, 2012, pp. 27). Interestingly, he is not alone in this </w:t>
      </w:r>
      <w:r w:rsidRPr="006B1C8D">
        <w:lastRenderedPageBreak/>
        <w:t>view, with Walberg and Paik (2000), and Brophy and Good (1986) also mentioning the importance of enthusiasm and passion. His overall point is that that there are lots of factors that affect student’s progress, many being factors that we as teachers have no control over, like the background of the child. However, one factor that teachers can control is their own ‘beliefs and commitments’ (Hattie, 2012, pp.25).</w:t>
      </w:r>
    </w:p>
    <w:p w:rsidR="00792AC9" w:rsidRPr="006B1C8D" w:rsidRDefault="00792AC9" w:rsidP="00792AC9">
      <w:r w:rsidRPr="006B1C8D">
        <w:t xml:space="preserve">Hattie (2012) also goes on to suggest some characteristics common to what he calls ‘expert teachers’. He notes that they have the ability to create an effective learning environment, monitor progress and give the children feedback, have belief that the success criteria can be achieved by all children, they can adapt their teaching to best represent the knowledge they are trying to teach, and they have an impressive influence on student outcomes, both academically and non-academically. A similar list of characteristics is also shown in Donaldson’s (2015) report (pp. 63). Through further research, I found three articles that agree with Hattie (2012) that subject knowledge is just a part of what makes up effective teaching and that suggest </w:t>
      </w:r>
      <w:r>
        <w:t>the key</w:t>
      </w:r>
      <w:r w:rsidRPr="006B1C8D">
        <w:t xml:space="preserve"> characteristics of an effective teacher. These articles were: A review of the underpinning research on what makes great teaching (Coe et al., 2015), Effective teaching (</w:t>
      </w:r>
      <w:r w:rsidRPr="006B1C8D">
        <w:rPr>
          <w:rFonts w:ascii="Arial" w:hAnsi="Arial" w:cs="Arial"/>
          <w:color w:val="000000"/>
          <w:sz w:val="20"/>
          <w:szCs w:val="20"/>
          <w:shd w:val="clear" w:color="auto" w:fill="FFFFFF"/>
        </w:rPr>
        <w:t>Education.wa.edu.au, 2019)</w:t>
      </w:r>
      <w:r w:rsidRPr="006B1C8D">
        <w:t xml:space="preserve">, and A Second Report of the Independent Review of Teachers’ Standards (reference). There were similarities and differences between the papers themselves and with Hattie’s (2012) views, mentioned above, that I will thus discuss. All three articles mention that an effective teacher has good subject knowledge, a good knowledge of questioning and assessment methods and high expectations of the children and themselves. Professional development and teacher self-evaluation is present in all three articles, as well as, like Hattie (2012) says, the ability to provide a safe and appropriate environment for the age group of the children. Two of the articles (Education &amp; Coates) maintain that a good knowledge of the children’s background is important and mention that having respect for and from the pupils is important too, with Coates going further saying that they should hold respect from parents too. These two articles also mention that keeping records of the children’s achievements is important, with education going further saying providing them with feedback is essential, a characteristic also mentioned by Hattie (2012). Two articles (Sutton and Coates) talk about the importance of the teacher having professionalism within the school, accepting advice readily and supporting colleagues. They also understand that behaviour management is key. The main thing I understood from all of these articles is that subject knowledge is part of what makes up the characteristics of an effective teacher but that it is not by any means the only important characteristic. It is instead one of many. The fact that there were quite a few characteristics that were common to all three articles, and John Hattie’s book, is evidence that there must be a link between these characteristics and effective teaching, again highlighting that subject knowledge alone is not enough. An effective teacher not only has the knowledge of the subject but also has a range of other skills that make them efficient, from behaviour management to professional development – a mixture of PK and CK, just as Hattie holds. </w:t>
      </w:r>
    </w:p>
    <w:p w:rsidR="00792AC9" w:rsidRDefault="00792AC9" w:rsidP="00792AC9">
      <w:pPr>
        <w:rPr>
          <w:u w:val="single"/>
        </w:rPr>
      </w:pPr>
      <w:r w:rsidRPr="0071500F">
        <w:rPr>
          <w:u w:val="single"/>
        </w:rPr>
        <w:t>Extracts from Analysis and Evaluation of subject knowledge section</w:t>
      </w:r>
      <w:r>
        <w:rPr>
          <w:u w:val="single"/>
        </w:rPr>
        <w:t xml:space="preserve"> </w:t>
      </w:r>
    </w:p>
    <w:p w:rsidR="00792AC9" w:rsidRDefault="00792AC9" w:rsidP="00792AC9">
      <w:r w:rsidRPr="00431604">
        <w:t xml:space="preserve">Although in </w:t>
      </w:r>
      <w:r>
        <w:t xml:space="preserve">Nursery some subject knowledge was needed, through observation of the class teacher in the first week, it quickly came across that the quality of instruction, classroom management and classroom climate were the main components that seemed to make up effective teaching. Some lessons required subject knowledge such as the Welsh lessons, as although they were simple, the correct words and pronunciation had to be used in order for the children to learn efficiently. The element of the lessons that I found to be most important was the speed of progression through their learning, as the most efficient way was to keep returning to prior knowledge and slowly developing their knowledge once they understood what had come before. For example, only once we were </w:t>
      </w:r>
      <w:r>
        <w:lastRenderedPageBreak/>
        <w:t>certain that they understood ‘</w:t>
      </w:r>
      <w:proofErr w:type="spellStart"/>
      <w:r>
        <w:t>Dyma</w:t>
      </w:r>
      <w:proofErr w:type="spellEnd"/>
      <w:r>
        <w:t xml:space="preserve">’ did we introduce ‘dim </w:t>
      </w:r>
      <w:proofErr w:type="spellStart"/>
      <w:r>
        <w:t>yma</w:t>
      </w:r>
      <w:proofErr w:type="spellEnd"/>
      <w:r>
        <w:t>’ alongside the ‘</w:t>
      </w:r>
      <w:proofErr w:type="spellStart"/>
      <w:r>
        <w:t>dyma</w:t>
      </w:r>
      <w:proofErr w:type="spellEnd"/>
      <w:r>
        <w:t>’ they had already learnt. Scaffolding.</w:t>
      </w:r>
    </w:p>
    <w:p w:rsidR="00792AC9" w:rsidRDefault="00792AC9" w:rsidP="00792AC9">
      <w:r>
        <w:t>Personally, my own personal subject knowledge in mathematics (having a maths degree) didn’t matter teaching nursery. The more important things were knowledge of the children’s knowledge and how they learn, along with behaviour management. For example, one lesson that I planned for was a numeracy lesson on applied counting. It started with an active</w:t>
      </w:r>
      <w:r w:rsidRPr="004D2192">
        <w:t xml:space="preserve"> </w:t>
      </w:r>
      <w:r>
        <w:t xml:space="preserve">‘blast off’ activity. This involved counting up and down from 0 to 10, with the children jumping on every number </w:t>
      </w:r>
      <w:proofErr w:type="gramStart"/>
      <w:r>
        <w:t>they</w:t>
      </w:r>
      <w:proofErr w:type="gramEnd"/>
      <w:r>
        <w:t xml:space="preserve"> ‘blasting off’ when they reach 10. This was an activity that they were familiar with as I had made sure to do it before every maths lessons and they got very excited about it. The </w:t>
      </w:r>
      <w:r w:rsidRPr="00AD30F1">
        <w:t xml:space="preserve">main part of the lesson consisted of them applying their knowledge of counting to a game. The game (figure 1) was centred on the children rolling a colour dice and moving that far along the circle of dots to the colour that they had rolled. From my previous notes, I knew that the majority of the children could only </w:t>
      </w:r>
      <w:r>
        <w:t xml:space="preserve">confidently count one-to-one up to 5 so I made sure that that was the maximum they would have to move their counter along. Having a mathematics degree, my subject knowledge was far above the lesson objective and so I felt confident going into the lesson that it would go well. </w:t>
      </w:r>
    </w:p>
    <w:p w:rsidR="00792AC9" w:rsidRDefault="00792AC9" w:rsidP="00792AC9">
      <w:r>
        <w:rPr>
          <w:noProof/>
          <w:lang w:eastAsia="en-GB"/>
        </w:rPr>
        <w:drawing>
          <wp:inline distT="0" distB="0" distL="0" distR="0" wp14:anchorId="5EFA90D7" wp14:editId="4D936CBC">
            <wp:extent cx="2784408" cy="264415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5771"/>
                    <a:stretch/>
                  </pic:blipFill>
                  <pic:spPr bwMode="auto">
                    <a:xfrm>
                      <a:off x="0" y="0"/>
                      <a:ext cx="2797639" cy="2656716"/>
                    </a:xfrm>
                    <a:prstGeom prst="rect">
                      <a:avLst/>
                    </a:prstGeom>
                    <a:ln>
                      <a:noFill/>
                    </a:ln>
                    <a:extLst>
                      <a:ext uri="{53640926-AAD7-44D8-BBD7-CCE9431645EC}">
                        <a14:shadowObscured xmlns:a14="http://schemas.microsoft.com/office/drawing/2010/main"/>
                      </a:ext>
                    </a:extLst>
                  </pic:spPr>
                </pic:pic>
              </a:graphicData>
            </a:graphic>
          </wp:inline>
        </w:drawing>
      </w:r>
    </w:p>
    <w:p w:rsidR="00792AC9" w:rsidRDefault="00792AC9" w:rsidP="00792AC9">
      <w:r>
        <w:t>Figure 1</w:t>
      </w:r>
    </w:p>
    <w:p w:rsidR="00792AC9" w:rsidRDefault="00792AC9" w:rsidP="00792AC9">
      <w:r>
        <w:t>I will now apply the knowledge quartet to my own teaching knowledge and experiences in an effort to reflect and try and improve my future teaching.</w:t>
      </w:r>
    </w:p>
    <w:p w:rsidR="00792AC9" w:rsidRDefault="00792AC9" w:rsidP="00792AC9">
      <w:pPr>
        <w:rPr>
          <w:b/>
        </w:rPr>
      </w:pPr>
      <w:r>
        <w:rPr>
          <w:b/>
        </w:rPr>
        <w:t xml:space="preserve">Foundation </w:t>
      </w:r>
    </w:p>
    <w:p w:rsidR="00792AC9" w:rsidRDefault="00792AC9" w:rsidP="00792AC9">
      <w:r>
        <w:t>My foundation knowledge before the numeracy lesson was good, due to having a mathematics degree</w:t>
      </w:r>
      <w:r>
        <w:t xml:space="preserve">. </w:t>
      </w:r>
      <w:r>
        <w:t>I also did a lesson involving digital competency, where the children were to research pictures of their chosen vehicle on iPads. Similar to with my numeracy lesson, I felt confident that my subject knowledge was of a high enough standard as I have an iPad myself and am familiar with how they work.</w:t>
      </w:r>
      <w:r w:rsidRPr="0070738C">
        <w:t xml:space="preserve"> </w:t>
      </w:r>
      <w:r>
        <w:t xml:space="preserve">So I felt confident going into both of these lessons because I thought that because I had the subject knowledge that the lesson would go well. </w:t>
      </w:r>
    </w:p>
    <w:p w:rsidR="00792AC9" w:rsidRDefault="00792AC9" w:rsidP="00792AC9">
      <w:r>
        <w:t>Conversely, I did a Welsh lesson on the sentence structure ‘</w:t>
      </w:r>
      <w:proofErr w:type="spellStart"/>
      <w:r>
        <w:t>dyma</w:t>
      </w:r>
      <w:proofErr w:type="spellEnd"/>
      <w:r>
        <w:t>’ which included reading a Welsh story book called ‘Picnic’ which introduced all the items you might take on a picnic by saying ‘</w:t>
      </w:r>
      <w:proofErr w:type="spellStart"/>
      <w:r>
        <w:t>dyma</w:t>
      </w:r>
      <w:proofErr w:type="spellEnd"/>
      <w:r>
        <w:t xml:space="preserve"> </w:t>
      </w:r>
      <w:proofErr w:type="spellStart"/>
      <w:r>
        <w:t>afal</w:t>
      </w:r>
      <w:proofErr w:type="spellEnd"/>
      <w:r>
        <w:t xml:space="preserve">’ etc. This worried me as I didn’t feel confident that I would get the pronunciation correct. To improve my foundation knowledge before going into the lesson, I checked and practiced the </w:t>
      </w:r>
      <w:r>
        <w:lastRenderedPageBreak/>
        <w:t xml:space="preserve">pronunciations with a Welsh-first-language speaker. This made me feel a lot happier about taking the lesson, however as I had learnt it not a week before the lesson I was still worried that I may get confused and mess up the pronunciation so I feel that this anxiety may have had an impact on the lesson. </w:t>
      </w:r>
    </w:p>
    <w:p w:rsidR="00F46517" w:rsidRDefault="00F46517" w:rsidP="00792AC9">
      <w:r>
        <w:t>My</w:t>
      </w:r>
      <w:r w:rsidR="00AD30F1">
        <w:t xml:space="preserve"> lack of confidence in my own subject knowledge of literacy was not a problem in Nursery as </w:t>
      </w:r>
    </w:p>
    <w:p w:rsidR="00792AC9" w:rsidRDefault="00792AC9" w:rsidP="00792AC9">
      <w:r>
        <w:t>Similar to what was discussed in my literature review, in the section regarding a lack of teacher subject knowledge having an impact on their confidence and hence, negatively impacting the children’s learning (</w:t>
      </w:r>
      <w:proofErr w:type="spellStart"/>
      <w:r w:rsidRPr="006B1C8D">
        <w:t>Harlen</w:t>
      </w:r>
      <w:proofErr w:type="spellEnd"/>
      <w:r w:rsidRPr="006B1C8D">
        <w:t xml:space="preserve"> and Holroyd</w:t>
      </w:r>
      <w:r>
        <w:t xml:space="preserve">, </w:t>
      </w:r>
      <w:r w:rsidRPr="006B1C8D">
        <w:t>1997</w:t>
      </w:r>
      <w:r>
        <w:t>), I</w:t>
      </w:r>
      <w:r w:rsidRPr="006B1C8D">
        <w:t xml:space="preserve"> </w:t>
      </w:r>
      <w:r>
        <w:t>found that the difference in my subject knowledge in numeracy and ICT compared to the Welsh also showed a correlation with my confidence and hence performance in teaching these subjects. Similar to Shulman’s</w:t>
      </w:r>
      <w:r>
        <w:t xml:space="preserve"> (1987)</w:t>
      </w:r>
      <w:r>
        <w:t xml:space="preserve"> case study about Nancy</w:t>
      </w:r>
      <w:r>
        <w:t xml:space="preserve"> </w:t>
      </w:r>
      <w:r>
        <w:t xml:space="preserve">who didn’t perform as well in lessons </w:t>
      </w:r>
      <w:r>
        <w:t xml:space="preserve">that </w:t>
      </w:r>
      <w:r w:rsidR="00AD30F1">
        <w:t>she didn’t feel prepared for.</w:t>
      </w:r>
    </w:p>
    <w:p w:rsidR="00792AC9" w:rsidRPr="00B25211" w:rsidRDefault="00792AC9" w:rsidP="00792AC9">
      <w:pPr>
        <w:rPr>
          <w:b/>
        </w:rPr>
      </w:pPr>
      <w:r>
        <w:rPr>
          <w:b/>
        </w:rPr>
        <w:t xml:space="preserve">Having subject knowledge across all curriculum subjects can help you be a more consistent teacher overall - </w:t>
      </w:r>
      <w:proofErr w:type="spellStart"/>
      <w:r>
        <w:rPr>
          <w:b/>
        </w:rPr>
        <w:t>donaldson</w:t>
      </w:r>
      <w:proofErr w:type="spellEnd"/>
    </w:p>
    <w:p w:rsidR="00F46517" w:rsidRDefault="00792AC9" w:rsidP="00792AC9">
      <w:pPr>
        <w:rPr>
          <w:b/>
        </w:rPr>
      </w:pPr>
      <w:r>
        <w:rPr>
          <w:b/>
        </w:rPr>
        <w:t>Transformation</w:t>
      </w:r>
      <w:r w:rsidR="00F46517">
        <w:rPr>
          <w:b/>
        </w:rPr>
        <w:t xml:space="preserve"> </w:t>
      </w:r>
    </w:p>
    <w:p w:rsidR="00F46517" w:rsidRDefault="00792AC9" w:rsidP="00792AC9">
      <w:pPr>
        <w:rPr>
          <w:rFonts w:ascii="Arial" w:hAnsi="Arial" w:cs="Arial"/>
          <w:color w:val="000000"/>
          <w:sz w:val="20"/>
          <w:szCs w:val="20"/>
          <w:shd w:val="clear" w:color="auto" w:fill="FFFFFF"/>
        </w:rPr>
      </w:pPr>
      <w:r w:rsidRPr="004D2192">
        <w:t>In my Numeracy lesson</w:t>
      </w:r>
      <w:r>
        <w:t xml:space="preserve">, I feel that I translated my knowledge of counting into a more understandable form for the children. I made sure that the task wasn’t too challenging by making the highest number they could move on 5. I also made the lesson visual as this </w:t>
      </w:r>
      <w:r w:rsidR="00F46517">
        <w:t xml:space="preserve">helps children learn, </w:t>
      </w:r>
      <w:r>
        <w:t>I also believed that making it into a game would make the children enthusiastic about the learning as Hedges and Cullen(“Young children benefit from teaching embedded in experiences that are meaningful to them such as play.”</w:t>
      </w:r>
      <w:r w:rsidR="00F46517">
        <w:t xml:space="preserve">) </w:t>
      </w:r>
      <w:r w:rsidR="00F46517">
        <w:rPr>
          <w:rFonts w:ascii="Arial" w:hAnsi="Arial" w:cs="Arial"/>
          <w:color w:val="000000"/>
          <w:sz w:val="20"/>
          <w:szCs w:val="20"/>
          <w:shd w:val="clear" w:color="auto" w:fill="FFFFFF"/>
        </w:rPr>
        <w:t>Hedges and Cullen, 2005</w:t>
      </w:r>
      <w:r>
        <w:rPr>
          <w:rFonts w:ascii="Arial" w:hAnsi="Arial" w:cs="Arial"/>
          <w:color w:val="000000"/>
          <w:sz w:val="20"/>
          <w:szCs w:val="20"/>
          <w:shd w:val="clear" w:color="auto" w:fill="FFFFFF"/>
        </w:rPr>
        <w:t xml:space="preserve">. </w:t>
      </w:r>
    </w:p>
    <w:p w:rsidR="00F46517" w:rsidRDefault="00F46517" w:rsidP="00792AC9">
      <w:pPr>
        <w:rPr>
          <w:b/>
        </w:rPr>
      </w:pPr>
      <w:r>
        <w:rPr>
          <w:b/>
        </w:rPr>
        <w:t xml:space="preserve">Connection </w:t>
      </w:r>
    </w:p>
    <w:p w:rsidR="00792AC9" w:rsidRPr="00F46517" w:rsidRDefault="00792AC9" w:rsidP="00792AC9">
      <w:pPr>
        <w:rPr>
          <w:b/>
        </w:rPr>
      </w:pPr>
      <w:r>
        <w:t xml:space="preserve">The area that I failed at in my numeracy lesson was in this phase. My starting activity was a ‘blast off’ activity, I included it in my lesson because I felt it was a fun way to recap their number knowledge. However, I wrongly assumed that as the children knew how to count objects one-to-one, and knew their colours, that they’d be able to use a die to move a counter forward by a certain number. I misunderstood the complexity of this task to a 3 or 4 year old child. They had full understanding of how to count the number of objects in front of them with their fingers, but got very confused moving a counter on ‘one more’. They started counting on the space that they were on, or didn’t understand that you counted on one more every time you moved the counter. Unfortunately, there was a gap in my pedagogical knowledge. </w:t>
      </w:r>
    </w:p>
    <w:p w:rsidR="003F52CC" w:rsidRDefault="00F46517">
      <w:pPr>
        <w:rPr>
          <w:b/>
        </w:rPr>
      </w:pPr>
      <w:r>
        <w:rPr>
          <w:b/>
        </w:rPr>
        <w:t>Contingency</w:t>
      </w:r>
    </w:p>
    <w:p w:rsidR="00F46517" w:rsidRDefault="00AD30F1">
      <w:r w:rsidRPr="008B35A2">
        <w:t xml:space="preserve">Due to the fact that I </w:t>
      </w:r>
      <w:r>
        <w:t>had no</w:t>
      </w:r>
      <w:r w:rsidRPr="008B35A2">
        <w:t>t anticipated the children finding the game as hard as they did, my lesson did</w:t>
      </w:r>
      <w:r>
        <w:t xml:space="preserve"> </w:t>
      </w:r>
      <w:r w:rsidRPr="008B35A2">
        <w:t>n</w:t>
      </w:r>
      <w:r>
        <w:t>o</w:t>
      </w:r>
      <w:r w:rsidRPr="008B35A2">
        <w:t>t go as planned. I instead had to offer a lot of support, using my finger as the ‘counter’ and counting along with them</w:t>
      </w:r>
      <w:r>
        <w:t>. I learnt from this lesson and thought about how I could transform the knowledge into a more understandable form and planned a lesson for the following week with hula hoops as the ‘dots’ and the children themselves as the ‘counters’. I explained that they counted every jump they did from one hula hoop to another and they understood the task a lot more second time around.</w:t>
      </w:r>
    </w:p>
    <w:p w:rsidR="00AD30F1" w:rsidRDefault="00AD30F1" w:rsidP="00AD30F1">
      <w:pPr>
        <w:rPr>
          <w:u w:val="single"/>
        </w:rPr>
      </w:pPr>
      <w:r>
        <w:rPr>
          <w:u w:val="single"/>
        </w:rPr>
        <w:t xml:space="preserve">Conclusion </w:t>
      </w:r>
    </w:p>
    <w:p w:rsidR="00AD30F1" w:rsidRDefault="00AD30F1" w:rsidP="00AD30F1">
      <w:r w:rsidRPr="00667231">
        <w:t>In conclusion,</w:t>
      </w:r>
      <w:r>
        <w:t xml:space="preserve"> </w:t>
      </w:r>
      <w:r>
        <w:t xml:space="preserve">I believe that </w:t>
      </w:r>
      <w:r>
        <w:t xml:space="preserve">teacher subject knowledge is essential to effective teaching, however not in isolation. Someone who is unrivalled in their knowledge of a subject is not necessarily an effective teacher. I synthesised a number of articles who listed characteristics </w:t>
      </w:r>
      <w:r>
        <w:t xml:space="preserve">that exist alongside </w:t>
      </w:r>
      <w:r>
        <w:lastRenderedPageBreak/>
        <w:t>subject knowledge to make up effective teaching</w:t>
      </w:r>
      <w:r>
        <w:t xml:space="preserve">. </w:t>
      </w:r>
      <w:r>
        <w:t xml:space="preserve">They showed a number of common </w:t>
      </w:r>
      <w:r>
        <w:t>skills that make up an effective teacher including having good explanation skills, confidence, and empathy as just a few. In this essay I have read a number of different texts on the topic of teacher subject knowledge and collected together and summarised similar points and brought forward differing perspectives. I have then reflected on my PTE experience in relation to the research that I have done, describing some lessons in accordance with the knowledge quartet</w:t>
      </w:r>
      <w:r>
        <w:t xml:space="preserve"> in order to develop and inform my future practice</w:t>
      </w:r>
      <w:r>
        <w:t>.</w:t>
      </w:r>
    </w:p>
    <w:p w:rsidR="00AD30F1" w:rsidRDefault="00AD30F1" w:rsidP="00AD30F1">
      <w:pPr>
        <w:rPr>
          <w:u w:val="single"/>
        </w:rPr>
      </w:pPr>
      <w:r w:rsidRPr="00FF3C94">
        <w:rPr>
          <w:u w:val="single"/>
        </w:rPr>
        <w:t>References</w:t>
      </w:r>
    </w:p>
    <w:p w:rsidR="00AD30F1" w:rsidRPr="00667231" w:rsidRDefault="00AD30F1" w:rsidP="00AD30F1"/>
    <w:p w:rsidR="00AD30F1" w:rsidRPr="00F46517" w:rsidRDefault="00AD30F1">
      <w:pPr>
        <w:rPr>
          <w:b/>
        </w:rPr>
      </w:pPr>
    </w:p>
    <w:sectPr w:rsidR="00AD30F1" w:rsidRPr="00F46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5C5"/>
    <w:rsid w:val="002D05C5"/>
    <w:rsid w:val="006715F6"/>
    <w:rsid w:val="00792AC9"/>
    <w:rsid w:val="009A006F"/>
    <w:rsid w:val="00AD30F1"/>
    <w:rsid w:val="00F46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9DB476-100C-44C3-A808-A1563504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A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2A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2855</Words>
  <Characters>16279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McGiveron</dc:creator>
  <cp:keywords/>
  <dc:description/>
  <cp:lastModifiedBy>Caitlin McGiveron</cp:lastModifiedBy>
  <cp:revision>3</cp:revision>
  <dcterms:created xsi:type="dcterms:W3CDTF">2019-01-10T22:30:00Z</dcterms:created>
  <dcterms:modified xsi:type="dcterms:W3CDTF">2019-01-10T22:52:00Z</dcterms:modified>
</cp:coreProperties>
</file>