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2626E7" w14:textId="77777777" w:rsidR="005B0E1A" w:rsidRDefault="005B0E1A" w:rsidP="00A14D79">
      <w:pPr>
        <w:spacing w:line="360" w:lineRule="auto"/>
        <w:jc w:val="center"/>
        <w:rPr>
          <w:lang w:eastAsia="en-GB"/>
        </w:rPr>
      </w:pPr>
    </w:p>
    <w:p w14:paraId="7A5694B3" w14:textId="0488C6F5" w:rsidR="005B0E1A" w:rsidRDefault="00F51931" w:rsidP="00A14D79">
      <w:pPr>
        <w:spacing w:line="360" w:lineRule="auto"/>
        <w:rPr>
          <w:lang w:eastAsia="en-GB"/>
        </w:rPr>
      </w:pPr>
      <w:r w:rsidRPr="00876C33">
        <w:rPr>
          <w:rFonts w:ascii="Times New Roman" w:eastAsia="Times New Roman" w:hAnsi="Times New Roman" w:cs="Times New Roman"/>
          <w:kern w:val="0"/>
          <w14:ligatures w14:val="none"/>
        </w:rPr>
        <w:fldChar w:fldCharType="begin"/>
      </w:r>
      <w:r w:rsidRPr="00876C33">
        <w:rPr>
          <w:rFonts w:ascii="Times New Roman" w:eastAsia="Times New Roman" w:hAnsi="Times New Roman" w:cs="Times New Roman"/>
          <w:kern w:val="0"/>
          <w14:ligatures w14:val="none"/>
        </w:rPr>
        <w:instrText xml:space="preserve"> INCLUDEPICTURE "/var/folders/7v/vb45y66s33s7632tm9zv73c40000gn/T/com.microsoft.Word/WebArchiveCopyPasteTempFiles/h+719q1E1Gf2gAAAABJRU5ErkJggg==" \* MERGEFORMATINET </w:instrText>
      </w:r>
      <w:r w:rsidRPr="00876C33">
        <w:rPr>
          <w:rFonts w:ascii="Times New Roman" w:eastAsia="Times New Roman" w:hAnsi="Times New Roman" w:cs="Times New Roman"/>
          <w:kern w:val="0"/>
          <w14:ligatures w14:val="none"/>
        </w:rPr>
        <w:fldChar w:fldCharType="separate"/>
      </w:r>
      <w:r w:rsidRPr="00876C33">
        <w:rPr>
          <w:rFonts w:ascii="Times New Roman" w:eastAsia="Times New Roman" w:hAnsi="Times New Roman" w:cs="Times New Roman"/>
          <w:noProof/>
          <w:kern w:val="0"/>
          <w14:ligatures w14:val="none"/>
        </w:rPr>
        <w:drawing>
          <wp:inline distT="0" distB="0" distL="0" distR="0" wp14:anchorId="0E456047" wp14:editId="3DB5682A">
            <wp:extent cx="1874520" cy="441960"/>
            <wp:effectExtent l="0" t="0" r="5080" b="2540"/>
            <wp:docPr id="2" name="Picture 2" descr="ORC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V0nlaZHfLNu8hbIP2q3YoAg_76" descr="ORC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74520" cy="441960"/>
                    </a:xfrm>
                    <a:prstGeom prst="rect">
                      <a:avLst/>
                    </a:prstGeom>
                    <a:noFill/>
                    <a:ln>
                      <a:noFill/>
                    </a:ln>
                  </pic:spPr>
                </pic:pic>
              </a:graphicData>
            </a:graphic>
          </wp:inline>
        </w:drawing>
      </w:r>
      <w:r w:rsidRPr="00876C33">
        <w:rPr>
          <w:rFonts w:ascii="Times New Roman" w:eastAsia="Times New Roman" w:hAnsi="Times New Roman" w:cs="Times New Roman"/>
          <w:kern w:val="0"/>
          <w14:ligatures w14:val="none"/>
        </w:rPr>
        <w:fldChar w:fldCharType="end"/>
      </w:r>
    </w:p>
    <w:p w14:paraId="0BD01A96" w14:textId="1F0B0B2F" w:rsidR="00876C33" w:rsidRPr="00876C33" w:rsidRDefault="00876C33" w:rsidP="00A14D79">
      <w:pPr>
        <w:spacing w:after="0" w:line="360" w:lineRule="auto"/>
        <w:rPr>
          <w:rFonts w:ascii="Times New Roman" w:eastAsia="Times New Roman" w:hAnsi="Times New Roman" w:cs="Times New Roman"/>
          <w:kern w:val="0"/>
          <w14:ligatures w14:val="none"/>
        </w:rPr>
      </w:pPr>
    </w:p>
    <w:p w14:paraId="4842B6FD" w14:textId="77777777" w:rsidR="005B0E1A" w:rsidRDefault="005B0E1A" w:rsidP="00A14D79">
      <w:pPr>
        <w:spacing w:line="360" w:lineRule="auto"/>
        <w:jc w:val="center"/>
        <w:rPr>
          <w:lang w:eastAsia="en-GB"/>
        </w:rPr>
      </w:pPr>
    </w:p>
    <w:p w14:paraId="4D84A653" w14:textId="77777777" w:rsidR="005B0E1A" w:rsidRDefault="005B0E1A" w:rsidP="00A14D79">
      <w:pPr>
        <w:spacing w:line="360" w:lineRule="auto"/>
        <w:jc w:val="center"/>
        <w:rPr>
          <w:lang w:eastAsia="en-GB"/>
        </w:rPr>
      </w:pPr>
    </w:p>
    <w:p w14:paraId="5B87CA73" w14:textId="77777777" w:rsidR="005B0E1A" w:rsidRPr="005B0E1A" w:rsidRDefault="005B0E1A" w:rsidP="00A14D79">
      <w:pPr>
        <w:spacing w:line="360" w:lineRule="auto"/>
        <w:jc w:val="center"/>
        <w:rPr>
          <w:b/>
          <w:bCs/>
          <w:lang w:eastAsia="en-GB"/>
        </w:rPr>
      </w:pPr>
    </w:p>
    <w:p w14:paraId="0FFB6BE0" w14:textId="74EDA2B4" w:rsidR="005B0E1A" w:rsidRPr="00681901" w:rsidRDefault="005B0E1A" w:rsidP="00A14D79">
      <w:pPr>
        <w:spacing w:line="360" w:lineRule="auto"/>
        <w:jc w:val="center"/>
        <w:rPr>
          <w:rFonts w:ascii="Arial" w:hAnsi="Arial" w:cs="Arial"/>
          <w:b/>
          <w:bCs/>
          <w:sz w:val="32"/>
          <w:szCs w:val="32"/>
          <w:lang w:eastAsia="en-GB"/>
        </w:rPr>
      </w:pPr>
      <w:r w:rsidRPr="00681901">
        <w:rPr>
          <w:rFonts w:ascii="Arial" w:hAnsi="Arial" w:cs="Arial"/>
          <w:b/>
          <w:bCs/>
          <w:sz w:val="32"/>
          <w:szCs w:val="32"/>
          <w:lang w:eastAsia="en-GB"/>
        </w:rPr>
        <w:t>Health, Wellbeing and Sustainable Development: A Critical Analysis of UK and Welsh Initiatives</w:t>
      </w:r>
    </w:p>
    <w:p w14:paraId="1D680EF1" w14:textId="5001E6DF" w:rsidR="00A14D79" w:rsidRDefault="005B0E1A" w:rsidP="00A14D79">
      <w:pPr>
        <w:spacing w:line="360" w:lineRule="auto"/>
        <w:jc w:val="center"/>
        <w:rPr>
          <w:kern w:val="0"/>
          <w:sz w:val="32"/>
          <w:szCs w:val="32"/>
          <w:bdr w:val="none" w:sz="0" w:space="0" w:color="auto" w:frame="1"/>
          <w:lang w:eastAsia="en-GB"/>
        </w:rPr>
      </w:pPr>
      <w:r w:rsidRPr="00DD50C0">
        <w:rPr>
          <w:kern w:val="0"/>
          <w:sz w:val="32"/>
          <w:szCs w:val="32"/>
          <w:bdr w:val="none" w:sz="0" w:space="0" w:color="auto" w:frame="1"/>
          <w:lang w:eastAsia="en-GB"/>
        </w:rPr>
        <w:t>Student Name:</w:t>
      </w:r>
      <w:r w:rsidR="00DD50C0" w:rsidRPr="00DD50C0">
        <w:rPr>
          <w:kern w:val="0"/>
          <w:sz w:val="32"/>
          <w:szCs w:val="32"/>
          <w:lang w:eastAsia="en-GB"/>
        </w:rPr>
        <w:t xml:space="preserve"> </w:t>
      </w:r>
      <w:proofErr w:type="spellStart"/>
      <w:r w:rsidR="00DD50C0" w:rsidRPr="00DD50C0">
        <w:rPr>
          <w:kern w:val="0"/>
          <w:sz w:val="32"/>
          <w:szCs w:val="32"/>
          <w:lang w:eastAsia="en-GB"/>
        </w:rPr>
        <w:t>Naney</w:t>
      </w:r>
      <w:proofErr w:type="spellEnd"/>
      <w:r w:rsidR="00DD50C0" w:rsidRPr="00DD50C0">
        <w:rPr>
          <w:kern w:val="0"/>
          <w:sz w:val="32"/>
          <w:szCs w:val="32"/>
          <w:lang w:eastAsia="en-GB"/>
        </w:rPr>
        <w:t xml:space="preserve"> </w:t>
      </w:r>
      <w:proofErr w:type="spellStart"/>
      <w:r w:rsidR="00DD50C0" w:rsidRPr="00DD50C0">
        <w:rPr>
          <w:kern w:val="0"/>
          <w:sz w:val="32"/>
          <w:szCs w:val="32"/>
          <w:lang w:eastAsia="en-GB"/>
        </w:rPr>
        <w:t>Hyara</w:t>
      </w:r>
      <w:proofErr w:type="spellEnd"/>
      <w:r w:rsidR="00DD50C0" w:rsidRPr="00DD50C0">
        <w:rPr>
          <w:kern w:val="0"/>
          <w:sz w:val="32"/>
          <w:szCs w:val="32"/>
          <w:lang w:eastAsia="en-GB"/>
        </w:rPr>
        <w:t xml:space="preserve"> Pinto</w:t>
      </w:r>
    </w:p>
    <w:p w14:paraId="3BF15B69" w14:textId="58FA825D" w:rsidR="00A14D79" w:rsidRPr="00DD50C0" w:rsidRDefault="00A14D79" w:rsidP="00A14D79">
      <w:pPr>
        <w:spacing w:line="360" w:lineRule="auto"/>
        <w:jc w:val="center"/>
        <w:rPr>
          <w:kern w:val="0"/>
          <w:sz w:val="32"/>
          <w:szCs w:val="32"/>
          <w:lang w:eastAsia="en-GB"/>
        </w:rPr>
      </w:pPr>
      <w:r w:rsidRPr="00DD50C0">
        <w:rPr>
          <w:kern w:val="0"/>
          <w:sz w:val="32"/>
          <w:szCs w:val="32"/>
          <w:bdr w:val="none" w:sz="0" w:space="0" w:color="auto" w:frame="1"/>
          <w:lang w:eastAsia="en-GB"/>
        </w:rPr>
        <w:t>Student ID:</w:t>
      </w:r>
      <w:r w:rsidRPr="00DD50C0">
        <w:rPr>
          <w:kern w:val="0"/>
          <w:sz w:val="32"/>
          <w:szCs w:val="32"/>
          <w:lang w:eastAsia="en-GB"/>
        </w:rPr>
        <w:t>2132446</w:t>
      </w:r>
    </w:p>
    <w:p w14:paraId="64CD4ABF" w14:textId="6395DCCC" w:rsidR="00F55C86" w:rsidRDefault="00F55C86" w:rsidP="00A14D79">
      <w:pPr>
        <w:spacing w:line="360" w:lineRule="auto"/>
        <w:jc w:val="center"/>
        <w:rPr>
          <w:kern w:val="0"/>
          <w:sz w:val="32"/>
          <w:szCs w:val="32"/>
          <w:lang w:eastAsia="en-GB"/>
        </w:rPr>
      </w:pPr>
      <w:r>
        <w:rPr>
          <w:kern w:val="0"/>
          <w:sz w:val="32"/>
          <w:szCs w:val="32"/>
          <w:lang w:eastAsia="en-GB"/>
        </w:rPr>
        <w:t>Programme: BSc (Hons) Heath and Social Care</w:t>
      </w:r>
    </w:p>
    <w:p w14:paraId="07445900" w14:textId="7402DB17" w:rsidR="00F55C86" w:rsidRDefault="00F55C86" w:rsidP="00A14D79">
      <w:pPr>
        <w:spacing w:line="360" w:lineRule="auto"/>
        <w:jc w:val="center"/>
        <w:rPr>
          <w:kern w:val="0"/>
          <w:sz w:val="32"/>
          <w:szCs w:val="32"/>
          <w:lang w:eastAsia="en-GB"/>
        </w:rPr>
      </w:pPr>
      <w:r>
        <w:rPr>
          <w:kern w:val="0"/>
          <w:sz w:val="32"/>
          <w:szCs w:val="32"/>
          <w:lang w:eastAsia="en-GB"/>
        </w:rPr>
        <w:t>Module: Health, Wellbeing and Sustainable Development</w:t>
      </w:r>
    </w:p>
    <w:p w14:paraId="6121B824" w14:textId="5D9324EC" w:rsidR="00F55C86" w:rsidRPr="00DD50C0" w:rsidRDefault="00F55C86" w:rsidP="00A14D79">
      <w:pPr>
        <w:spacing w:line="360" w:lineRule="auto"/>
        <w:jc w:val="center"/>
        <w:rPr>
          <w:kern w:val="0"/>
          <w:sz w:val="32"/>
          <w:szCs w:val="32"/>
          <w:lang w:eastAsia="en-GB"/>
        </w:rPr>
      </w:pPr>
      <w:r>
        <w:rPr>
          <w:kern w:val="0"/>
          <w:sz w:val="32"/>
          <w:szCs w:val="32"/>
          <w:lang w:eastAsia="en-GB"/>
        </w:rPr>
        <w:t xml:space="preserve">Lecturer: Dr </w:t>
      </w:r>
      <w:proofErr w:type="spellStart"/>
      <w:r>
        <w:rPr>
          <w:kern w:val="0"/>
          <w:sz w:val="32"/>
          <w:szCs w:val="32"/>
          <w:lang w:eastAsia="en-GB"/>
        </w:rPr>
        <w:t>Itse</w:t>
      </w:r>
      <w:proofErr w:type="spellEnd"/>
      <w:r>
        <w:rPr>
          <w:kern w:val="0"/>
          <w:sz w:val="32"/>
          <w:szCs w:val="32"/>
          <w:lang w:eastAsia="en-GB"/>
        </w:rPr>
        <w:t xml:space="preserve"> </w:t>
      </w:r>
      <w:proofErr w:type="spellStart"/>
      <w:r>
        <w:rPr>
          <w:kern w:val="0"/>
          <w:sz w:val="32"/>
          <w:szCs w:val="32"/>
          <w:lang w:eastAsia="en-GB"/>
        </w:rPr>
        <w:t>Olaoye</w:t>
      </w:r>
      <w:proofErr w:type="spellEnd"/>
    </w:p>
    <w:p w14:paraId="687BF9E8" w14:textId="3C11EF45" w:rsidR="005B0E1A" w:rsidRDefault="005B0E1A" w:rsidP="00A14D79">
      <w:pPr>
        <w:spacing w:line="360" w:lineRule="auto"/>
        <w:jc w:val="center"/>
        <w:rPr>
          <w:kern w:val="0"/>
          <w:sz w:val="32"/>
          <w:szCs w:val="32"/>
          <w:lang w:eastAsia="en-GB"/>
        </w:rPr>
      </w:pPr>
      <w:r w:rsidRPr="00DD50C0">
        <w:rPr>
          <w:kern w:val="0"/>
          <w:sz w:val="32"/>
          <w:szCs w:val="32"/>
          <w:bdr w:val="none" w:sz="0" w:space="0" w:color="auto" w:frame="1"/>
          <w:lang w:eastAsia="en-GB"/>
        </w:rPr>
        <w:t>Module Code:</w:t>
      </w:r>
      <w:r w:rsidRPr="00DD50C0">
        <w:rPr>
          <w:kern w:val="0"/>
          <w:sz w:val="32"/>
          <w:szCs w:val="32"/>
          <w:lang w:eastAsia="en-GB"/>
        </w:rPr>
        <w:t xml:space="preserve"> BMHP6030</w:t>
      </w:r>
    </w:p>
    <w:p w14:paraId="1714FAFE" w14:textId="5BAE7D18" w:rsidR="00A14D79" w:rsidRPr="00DD50C0" w:rsidRDefault="00A14D79" w:rsidP="00A14D79">
      <w:pPr>
        <w:spacing w:line="360" w:lineRule="auto"/>
        <w:jc w:val="center"/>
        <w:rPr>
          <w:kern w:val="0"/>
          <w:sz w:val="32"/>
          <w:szCs w:val="32"/>
          <w:lang w:eastAsia="en-GB"/>
        </w:rPr>
      </w:pPr>
      <w:r>
        <w:rPr>
          <w:kern w:val="0"/>
          <w:sz w:val="32"/>
          <w:szCs w:val="32"/>
          <w:lang w:eastAsia="en-GB"/>
        </w:rPr>
        <w:t>Submission deadline: April 2026</w:t>
      </w:r>
    </w:p>
    <w:p w14:paraId="4BAD200C" w14:textId="77777777" w:rsidR="00F51931" w:rsidRDefault="00F51931" w:rsidP="00A14D79">
      <w:pPr>
        <w:spacing w:line="360" w:lineRule="auto"/>
        <w:jc w:val="center"/>
        <w:rPr>
          <w:kern w:val="0"/>
          <w:bdr w:val="none" w:sz="0" w:space="0" w:color="auto" w:frame="1"/>
          <w:lang w:eastAsia="en-GB"/>
        </w:rPr>
      </w:pPr>
    </w:p>
    <w:p w14:paraId="3ADA7EB2" w14:textId="77777777" w:rsidR="00F51931" w:rsidRDefault="00F51931" w:rsidP="00A14D79">
      <w:pPr>
        <w:spacing w:line="360" w:lineRule="auto"/>
        <w:jc w:val="center"/>
        <w:rPr>
          <w:kern w:val="0"/>
          <w:bdr w:val="none" w:sz="0" w:space="0" w:color="auto" w:frame="1"/>
          <w:lang w:eastAsia="en-GB"/>
        </w:rPr>
      </w:pPr>
    </w:p>
    <w:p w14:paraId="5C014D66" w14:textId="77777777" w:rsidR="00F51931" w:rsidRDefault="00F51931" w:rsidP="00A14D79">
      <w:pPr>
        <w:spacing w:line="360" w:lineRule="auto"/>
        <w:jc w:val="center"/>
        <w:rPr>
          <w:kern w:val="0"/>
          <w:bdr w:val="none" w:sz="0" w:space="0" w:color="auto" w:frame="1"/>
          <w:lang w:eastAsia="en-GB"/>
        </w:rPr>
      </w:pPr>
    </w:p>
    <w:p w14:paraId="4768F0D4" w14:textId="77777777" w:rsidR="00F51931" w:rsidRDefault="00F51931" w:rsidP="00A14D79">
      <w:pPr>
        <w:spacing w:line="360" w:lineRule="auto"/>
        <w:jc w:val="center"/>
        <w:rPr>
          <w:kern w:val="0"/>
          <w:bdr w:val="none" w:sz="0" w:space="0" w:color="auto" w:frame="1"/>
          <w:lang w:eastAsia="en-GB"/>
        </w:rPr>
      </w:pPr>
    </w:p>
    <w:p w14:paraId="772F2C4B" w14:textId="39031C7E" w:rsidR="005B0E1A" w:rsidRPr="005B0E1A" w:rsidRDefault="005B0E1A" w:rsidP="00A14D79">
      <w:pPr>
        <w:spacing w:line="360" w:lineRule="auto"/>
        <w:jc w:val="center"/>
        <w:rPr>
          <w:kern w:val="0"/>
          <w:bdr w:val="none" w:sz="0" w:space="0" w:color="auto" w:frame="1"/>
          <w:lang w:eastAsia="en-GB"/>
        </w:rPr>
      </w:pPr>
      <w:r w:rsidRPr="005B0E1A">
        <w:rPr>
          <w:kern w:val="0"/>
          <w:bdr w:val="none" w:sz="0" w:space="0" w:color="auto" w:frame="1"/>
          <w:lang w:eastAsia="en-GB"/>
        </w:rPr>
        <w:br w:type="page"/>
      </w:r>
    </w:p>
    <w:sdt>
      <w:sdtPr>
        <w:rPr>
          <w:rFonts w:ascii="Times New Roman" w:eastAsiaTheme="minorHAnsi" w:hAnsi="Times New Roman" w:cs="Times New Roman"/>
          <w:color w:val="auto"/>
          <w:kern w:val="2"/>
          <w:sz w:val="24"/>
          <w:szCs w:val="24"/>
          <w:lang w:val="en-GB"/>
          <w14:ligatures w14:val="standardContextual"/>
        </w:rPr>
        <w:id w:val="714551823"/>
        <w:docPartObj>
          <w:docPartGallery w:val="Table of Contents"/>
          <w:docPartUnique/>
        </w:docPartObj>
      </w:sdtPr>
      <w:sdtEndPr>
        <w:rPr>
          <w:b/>
          <w:bCs/>
          <w:noProof/>
        </w:rPr>
      </w:sdtEndPr>
      <w:sdtContent>
        <w:p w14:paraId="67C3327A" w14:textId="77777777" w:rsidR="005B0E1A" w:rsidRPr="005B0E1A" w:rsidRDefault="005B0E1A" w:rsidP="00A14D79">
          <w:pPr>
            <w:pStyle w:val="TOCHeading"/>
            <w:spacing w:line="360" w:lineRule="auto"/>
            <w:rPr>
              <w:rFonts w:ascii="Times New Roman" w:hAnsi="Times New Roman" w:cs="Times New Roman"/>
              <w:sz w:val="24"/>
              <w:szCs w:val="24"/>
            </w:rPr>
          </w:pPr>
          <w:r w:rsidRPr="005B0E1A">
            <w:rPr>
              <w:rFonts w:ascii="Times New Roman" w:hAnsi="Times New Roman" w:cs="Times New Roman"/>
              <w:sz w:val="24"/>
              <w:szCs w:val="24"/>
            </w:rPr>
            <w:t>Table of Contents</w:t>
          </w:r>
        </w:p>
        <w:p w14:paraId="02BA4CA5" w14:textId="05B7033B" w:rsidR="005B0E1A" w:rsidRDefault="005B0E1A" w:rsidP="00A14D79">
          <w:pPr>
            <w:pStyle w:val="TOC2"/>
            <w:tabs>
              <w:tab w:val="right" w:leader="dot" w:pos="9016"/>
            </w:tabs>
            <w:spacing w:line="360" w:lineRule="auto"/>
            <w:rPr>
              <w:rFonts w:eastAsiaTheme="minorEastAsia"/>
              <w:noProof/>
              <w:lang w:eastAsia="en-GB"/>
            </w:rPr>
          </w:pPr>
          <w:r w:rsidRPr="005B0E1A">
            <w:rPr>
              <w:rFonts w:ascii="Times New Roman" w:hAnsi="Times New Roman" w:cs="Times New Roman"/>
            </w:rPr>
            <w:fldChar w:fldCharType="begin"/>
          </w:r>
          <w:r w:rsidRPr="005B0E1A">
            <w:rPr>
              <w:rFonts w:ascii="Times New Roman" w:hAnsi="Times New Roman" w:cs="Times New Roman"/>
            </w:rPr>
            <w:instrText xml:space="preserve"> TOC \o "1-3" \h \z \u </w:instrText>
          </w:r>
          <w:r w:rsidRPr="005B0E1A">
            <w:rPr>
              <w:rFonts w:ascii="Times New Roman" w:hAnsi="Times New Roman" w:cs="Times New Roman"/>
            </w:rPr>
            <w:fldChar w:fldCharType="separate"/>
          </w:r>
          <w:hyperlink w:anchor="_Toc227290661" w:history="1">
            <w:r w:rsidRPr="00FC3FA0">
              <w:rPr>
                <w:rStyle w:val="Hyperlink"/>
                <w:rFonts w:ascii="Times New Roman" w:eastAsia="Times New Roman" w:hAnsi="Times New Roman" w:cs="Times New Roman"/>
                <w:b/>
                <w:bCs/>
                <w:noProof/>
                <w:kern w:val="0"/>
                <w:lang w:eastAsia="en-GB"/>
                <w14:ligatures w14:val="none"/>
              </w:rPr>
              <w:t>1. Introduction</w:t>
            </w:r>
            <w:r>
              <w:rPr>
                <w:noProof/>
                <w:webHidden/>
              </w:rPr>
              <w:tab/>
            </w:r>
            <w:r>
              <w:rPr>
                <w:noProof/>
                <w:webHidden/>
              </w:rPr>
              <w:fldChar w:fldCharType="begin"/>
            </w:r>
            <w:r>
              <w:rPr>
                <w:noProof/>
                <w:webHidden/>
              </w:rPr>
              <w:instrText xml:space="preserve"> PAGEREF _Toc227290661 \h </w:instrText>
            </w:r>
            <w:r>
              <w:rPr>
                <w:noProof/>
                <w:webHidden/>
              </w:rPr>
            </w:r>
            <w:r>
              <w:rPr>
                <w:noProof/>
                <w:webHidden/>
              </w:rPr>
              <w:fldChar w:fldCharType="separate"/>
            </w:r>
            <w:r>
              <w:rPr>
                <w:noProof/>
                <w:webHidden/>
              </w:rPr>
              <w:t>3</w:t>
            </w:r>
            <w:r>
              <w:rPr>
                <w:noProof/>
                <w:webHidden/>
              </w:rPr>
              <w:fldChar w:fldCharType="end"/>
            </w:r>
          </w:hyperlink>
        </w:p>
        <w:p w14:paraId="401B17CE" w14:textId="7C41AF7C" w:rsidR="005B0E1A" w:rsidRDefault="004809E2" w:rsidP="00A14D79">
          <w:pPr>
            <w:pStyle w:val="TOC2"/>
            <w:tabs>
              <w:tab w:val="right" w:leader="dot" w:pos="9016"/>
            </w:tabs>
            <w:spacing w:line="360" w:lineRule="auto"/>
            <w:rPr>
              <w:rFonts w:eastAsiaTheme="minorEastAsia"/>
              <w:noProof/>
              <w:lang w:eastAsia="en-GB"/>
            </w:rPr>
          </w:pPr>
          <w:hyperlink w:anchor="_Toc227290662" w:history="1">
            <w:r w:rsidR="005B0E1A" w:rsidRPr="00FC3FA0">
              <w:rPr>
                <w:rStyle w:val="Hyperlink"/>
                <w:rFonts w:ascii="Times New Roman" w:eastAsia="Times New Roman" w:hAnsi="Times New Roman" w:cs="Times New Roman"/>
                <w:b/>
                <w:bCs/>
                <w:noProof/>
                <w:kern w:val="0"/>
                <w:lang w:eastAsia="en-GB"/>
                <w14:ligatures w14:val="none"/>
              </w:rPr>
              <w:t>2. Sustainable Development Goal 3: Good Health and Wellbeing</w:t>
            </w:r>
            <w:r w:rsidR="005B0E1A">
              <w:rPr>
                <w:noProof/>
                <w:webHidden/>
              </w:rPr>
              <w:tab/>
            </w:r>
            <w:r w:rsidR="005B0E1A">
              <w:rPr>
                <w:noProof/>
                <w:webHidden/>
              </w:rPr>
              <w:fldChar w:fldCharType="begin"/>
            </w:r>
            <w:r w:rsidR="005B0E1A">
              <w:rPr>
                <w:noProof/>
                <w:webHidden/>
              </w:rPr>
              <w:instrText xml:space="preserve"> PAGEREF _Toc227290662 \h </w:instrText>
            </w:r>
            <w:r w:rsidR="005B0E1A">
              <w:rPr>
                <w:noProof/>
                <w:webHidden/>
              </w:rPr>
            </w:r>
            <w:r w:rsidR="005B0E1A">
              <w:rPr>
                <w:noProof/>
                <w:webHidden/>
              </w:rPr>
              <w:fldChar w:fldCharType="separate"/>
            </w:r>
            <w:r w:rsidR="005B0E1A">
              <w:rPr>
                <w:noProof/>
                <w:webHidden/>
              </w:rPr>
              <w:t>3</w:t>
            </w:r>
            <w:r w:rsidR="005B0E1A">
              <w:rPr>
                <w:noProof/>
                <w:webHidden/>
              </w:rPr>
              <w:fldChar w:fldCharType="end"/>
            </w:r>
          </w:hyperlink>
        </w:p>
        <w:p w14:paraId="6A6D06B6" w14:textId="43703CA3" w:rsidR="005B0E1A" w:rsidRDefault="004809E2" w:rsidP="00A14D79">
          <w:pPr>
            <w:pStyle w:val="TOC2"/>
            <w:tabs>
              <w:tab w:val="right" w:leader="dot" w:pos="9016"/>
            </w:tabs>
            <w:spacing w:line="360" w:lineRule="auto"/>
            <w:rPr>
              <w:rFonts w:eastAsiaTheme="minorEastAsia"/>
              <w:noProof/>
              <w:lang w:eastAsia="en-GB"/>
            </w:rPr>
          </w:pPr>
          <w:hyperlink w:anchor="_Toc227290663" w:history="1">
            <w:r w:rsidR="005B0E1A" w:rsidRPr="00FC3FA0">
              <w:rPr>
                <w:rStyle w:val="Hyperlink"/>
                <w:rFonts w:ascii="Times New Roman" w:eastAsia="Times New Roman" w:hAnsi="Times New Roman" w:cs="Times New Roman"/>
                <w:b/>
                <w:bCs/>
                <w:noProof/>
                <w:kern w:val="0"/>
                <w:lang w:eastAsia="en-GB"/>
                <w14:ligatures w14:val="none"/>
              </w:rPr>
              <w:t>3. SDG 13: Climate Action</w:t>
            </w:r>
            <w:r w:rsidR="005B0E1A">
              <w:rPr>
                <w:noProof/>
                <w:webHidden/>
              </w:rPr>
              <w:tab/>
            </w:r>
            <w:r w:rsidR="005B0E1A">
              <w:rPr>
                <w:noProof/>
                <w:webHidden/>
              </w:rPr>
              <w:fldChar w:fldCharType="begin"/>
            </w:r>
            <w:r w:rsidR="005B0E1A">
              <w:rPr>
                <w:noProof/>
                <w:webHidden/>
              </w:rPr>
              <w:instrText xml:space="preserve"> PAGEREF _Toc227290663 \h </w:instrText>
            </w:r>
            <w:r w:rsidR="005B0E1A">
              <w:rPr>
                <w:noProof/>
                <w:webHidden/>
              </w:rPr>
            </w:r>
            <w:r w:rsidR="005B0E1A">
              <w:rPr>
                <w:noProof/>
                <w:webHidden/>
              </w:rPr>
              <w:fldChar w:fldCharType="separate"/>
            </w:r>
            <w:r w:rsidR="005B0E1A">
              <w:rPr>
                <w:noProof/>
                <w:webHidden/>
              </w:rPr>
              <w:t>4</w:t>
            </w:r>
            <w:r w:rsidR="005B0E1A">
              <w:rPr>
                <w:noProof/>
                <w:webHidden/>
              </w:rPr>
              <w:fldChar w:fldCharType="end"/>
            </w:r>
          </w:hyperlink>
        </w:p>
        <w:p w14:paraId="73A772E5" w14:textId="12A31C5E" w:rsidR="005B0E1A" w:rsidRDefault="004809E2" w:rsidP="00A14D79">
          <w:pPr>
            <w:pStyle w:val="TOC2"/>
            <w:tabs>
              <w:tab w:val="right" w:leader="dot" w:pos="9016"/>
            </w:tabs>
            <w:spacing w:line="360" w:lineRule="auto"/>
            <w:rPr>
              <w:rFonts w:eastAsiaTheme="minorEastAsia"/>
              <w:noProof/>
              <w:lang w:eastAsia="en-GB"/>
            </w:rPr>
          </w:pPr>
          <w:hyperlink w:anchor="_Toc227290664" w:history="1">
            <w:r w:rsidR="005B0E1A" w:rsidRPr="00FC3FA0">
              <w:rPr>
                <w:rStyle w:val="Hyperlink"/>
                <w:rFonts w:ascii="Times New Roman" w:eastAsia="Times New Roman" w:hAnsi="Times New Roman" w:cs="Times New Roman"/>
                <w:b/>
                <w:bCs/>
                <w:noProof/>
                <w:kern w:val="0"/>
                <w:lang w:eastAsia="en-GB"/>
                <w14:ligatures w14:val="none"/>
              </w:rPr>
              <w:t>4. National Wellbeing Initiatives</w:t>
            </w:r>
            <w:r w:rsidR="005B0E1A">
              <w:rPr>
                <w:noProof/>
                <w:webHidden/>
              </w:rPr>
              <w:tab/>
            </w:r>
            <w:r w:rsidR="005B0E1A">
              <w:rPr>
                <w:noProof/>
                <w:webHidden/>
              </w:rPr>
              <w:fldChar w:fldCharType="begin"/>
            </w:r>
            <w:r w:rsidR="005B0E1A">
              <w:rPr>
                <w:noProof/>
                <w:webHidden/>
              </w:rPr>
              <w:instrText xml:space="preserve"> PAGEREF _Toc227290664 \h </w:instrText>
            </w:r>
            <w:r w:rsidR="005B0E1A">
              <w:rPr>
                <w:noProof/>
                <w:webHidden/>
              </w:rPr>
            </w:r>
            <w:r w:rsidR="005B0E1A">
              <w:rPr>
                <w:noProof/>
                <w:webHidden/>
              </w:rPr>
              <w:fldChar w:fldCharType="separate"/>
            </w:r>
            <w:r w:rsidR="005B0E1A">
              <w:rPr>
                <w:noProof/>
                <w:webHidden/>
              </w:rPr>
              <w:t>4</w:t>
            </w:r>
            <w:r w:rsidR="005B0E1A">
              <w:rPr>
                <w:noProof/>
                <w:webHidden/>
              </w:rPr>
              <w:fldChar w:fldCharType="end"/>
            </w:r>
          </w:hyperlink>
        </w:p>
        <w:p w14:paraId="79EFA1EA" w14:textId="5E47DA3F" w:rsidR="005B0E1A" w:rsidRDefault="004809E2" w:rsidP="00A14D79">
          <w:pPr>
            <w:pStyle w:val="TOC2"/>
            <w:tabs>
              <w:tab w:val="right" w:leader="dot" w:pos="9016"/>
            </w:tabs>
            <w:spacing w:line="360" w:lineRule="auto"/>
            <w:rPr>
              <w:rFonts w:eastAsiaTheme="minorEastAsia"/>
              <w:noProof/>
              <w:lang w:eastAsia="en-GB"/>
            </w:rPr>
          </w:pPr>
          <w:hyperlink w:anchor="_Toc227290665" w:history="1">
            <w:r w:rsidR="005B0E1A" w:rsidRPr="00FC3FA0">
              <w:rPr>
                <w:rStyle w:val="Hyperlink"/>
                <w:rFonts w:ascii="Times New Roman" w:eastAsia="Times New Roman" w:hAnsi="Times New Roman" w:cs="Times New Roman"/>
                <w:b/>
                <w:bCs/>
                <w:noProof/>
                <w:kern w:val="0"/>
                <w:lang w:eastAsia="en-GB"/>
                <w14:ligatures w14:val="none"/>
              </w:rPr>
              <w:t>5. Local Wellbeing Initiatives</w:t>
            </w:r>
            <w:r w:rsidR="005B0E1A">
              <w:rPr>
                <w:noProof/>
                <w:webHidden/>
              </w:rPr>
              <w:tab/>
            </w:r>
            <w:r w:rsidR="005B0E1A">
              <w:rPr>
                <w:noProof/>
                <w:webHidden/>
              </w:rPr>
              <w:fldChar w:fldCharType="begin"/>
            </w:r>
            <w:r w:rsidR="005B0E1A">
              <w:rPr>
                <w:noProof/>
                <w:webHidden/>
              </w:rPr>
              <w:instrText xml:space="preserve"> PAGEREF _Toc227290665 \h </w:instrText>
            </w:r>
            <w:r w:rsidR="005B0E1A">
              <w:rPr>
                <w:noProof/>
                <w:webHidden/>
              </w:rPr>
            </w:r>
            <w:r w:rsidR="005B0E1A">
              <w:rPr>
                <w:noProof/>
                <w:webHidden/>
              </w:rPr>
              <w:fldChar w:fldCharType="separate"/>
            </w:r>
            <w:r w:rsidR="005B0E1A">
              <w:rPr>
                <w:noProof/>
                <w:webHidden/>
              </w:rPr>
              <w:t>5</w:t>
            </w:r>
            <w:r w:rsidR="005B0E1A">
              <w:rPr>
                <w:noProof/>
                <w:webHidden/>
              </w:rPr>
              <w:fldChar w:fldCharType="end"/>
            </w:r>
          </w:hyperlink>
        </w:p>
        <w:p w14:paraId="79238F68" w14:textId="7A8572A2" w:rsidR="005B0E1A" w:rsidRDefault="004809E2" w:rsidP="00A14D79">
          <w:pPr>
            <w:pStyle w:val="TOC2"/>
            <w:tabs>
              <w:tab w:val="right" w:leader="dot" w:pos="9016"/>
            </w:tabs>
            <w:spacing w:line="360" w:lineRule="auto"/>
            <w:rPr>
              <w:rFonts w:eastAsiaTheme="minorEastAsia"/>
              <w:noProof/>
              <w:lang w:eastAsia="en-GB"/>
            </w:rPr>
          </w:pPr>
          <w:hyperlink w:anchor="_Toc227290666" w:history="1">
            <w:r w:rsidR="005B0E1A" w:rsidRPr="00FC3FA0">
              <w:rPr>
                <w:rStyle w:val="Hyperlink"/>
                <w:rFonts w:ascii="Times New Roman" w:eastAsia="Times New Roman" w:hAnsi="Times New Roman" w:cs="Times New Roman"/>
                <w:b/>
                <w:bCs/>
                <w:noProof/>
                <w:kern w:val="0"/>
                <w:lang w:eastAsia="en-GB"/>
                <w14:ligatures w14:val="none"/>
              </w:rPr>
              <w:t>6. Conclusion</w:t>
            </w:r>
            <w:r w:rsidR="005B0E1A">
              <w:rPr>
                <w:noProof/>
                <w:webHidden/>
              </w:rPr>
              <w:tab/>
            </w:r>
            <w:r w:rsidR="005B0E1A">
              <w:rPr>
                <w:noProof/>
                <w:webHidden/>
              </w:rPr>
              <w:fldChar w:fldCharType="begin"/>
            </w:r>
            <w:r w:rsidR="005B0E1A">
              <w:rPr>
                <w:noProof/>
                <w:webHidden/>
              </w:rPr>
              <w:instrText xml:space="preserve"> PAGEREF _Toc227290666 \h </w:instrText>
            </w:r>
            <w:r w:rsidR="005B0E1A">
              <w:rPr>
                <w:noProof/>
                <w:webHidden/>
              </w:rPr>
            </w:r>
            <w:r w:rsidR="005B0E1A">
              <w:rPr>
                <w:noProof/>
                <w:webHidden/>
              </w:rPr>
              <w:fldChar w:fldCharType="separate"/>
            </w:r>
            <w:r w:rsidR="005B0E1A">
              <w:rPr>
                <w:noProof/>
                <w:webHidden/>
              </w:rPr>
              <w:t>6</w:t>
            </w:r>
            <w:r w:rsidR="005B0E1A">
              <w:rPr>
                <w:noProof/>
                <w:webHidden/>
              </w:rPr>
              <w:fldChar w:fldCharType="end"/>
            </w:r>
          </w:hyperlink>
        </w:p>
        <w:p w14:paraId="64417D4B" w14:textId="471CABEF" w:rsidR="005B0E1A" w:rsidRDefault="004809E2" w:rsidP="00A14D79">
          <w:pPr>
            <w:pStyle w:val="TOC2"/>
            <w:tabs>
              <w:tab w:val="right" w:leader="dot" w:pos="9016"/>
            </w:tabs>
            <w:spacing w:line="360" w:lineRule="auto"/>
            <w:rPr>
              <w:rFonts w:eastAsiaTheme="minorEastAsia"/>
              <w:noProof/>
              <w:lang w:eastAsia="en-GB"/>
            </w:rPr>
          </w:pPr>
          <w:hyperlink w:anchor="_Toc227290667" w:history="1">
            <w:r w:rsidR="005B0E1A" w:rsidRPr="00FC3FA0">
              <w:rPr>
                <w:rStyle w:val="Hyperlink"/>
                <w:rFonts w:ascii="Times New Roman" w:eastAsia="Times New Roman" w:hAnsi="Times New Roman" w:cs="Times New Roman"/>
                <w:b/>
                <w:bCs/>
                <w:noProof/>
                <w:kern w:val="0"/>
                <w:lang w:eastAsia="en-GB"/>
                <w14:ligatures w14:val="none"/>
              </w:rPr>
              <w:t>7. References</w:t>
            </w:r>
            <w:r w:rsidR="005B0E1A">
              <w:rPr>
                <w:noProof/>
                <w:webHidden/>
              </w:rPr>
              <w:tab/>
            </w:r>
            <w:r w:rsidR="005B0E1A">
              <w:rPr>
                <w:noProof/>
                <w:webHidden/>
              </w:rPr>
              <w:fldChar w:fldCharType="begin"/>
            </w:r>
            <w:r w:rsidR="005B0E1A">
              <w:rPr>
                <w:noProof/>
                <w:webHidden/>
              </w:rPr>
              <w:instrText xml:space="preserve"> PAGEREF _Toc227290667 \h </w:instrText>
            </w:r>
            <w:r w:rsidR="005B0E1A">
              <w:rPr>
                <w:noProof/>
                <w:webHidden/>
              </w:rPr>
            </w:r>
            <w:r w:rsidR="005B0E1A">
              <w:rPr>
                <w:noProof/>
                <w:webHidden/>
              </w:rPr>
              <w:fldChar w:fldCharType="separate"/>
            </w:r>
            <w:r w:rsidR="005B0E1A">
              <w:rPr>
                <w:noProof/>
                <w:webHidden/>
              </w:rPr>
              <w:t>7</w:t>
            </w:r>
            <w:r w:rsidR="005B0E1A">
              <w:rPr>
                <w:noProof/>
                <w:webHidden/>
              </w:rPr>
              <w:fldChar w:fldCharType="end"/>
            </w:r>
          </w:hyperlink>
        </w:p>
        <w:p w14:paraId="5E057031" w14:textId="3F709178" w:rsidR="005B0E1A" w:rsidRPr="005B0E1A" w:rsidRDefault="005B0E1A" w:rsidP="00A14D79">
          <w:pPr>
            <w:spacing w:line="360" w:lineRule="auto"/>
            <w:rPr>
              <w:rFonts w:ascii="Times New Roman" w:hAnsi="Times New Roman" w:cs="Times New Roman"/>
            </w:rPr>
          </w:pPr>
          <w:r w:rsidRPr="005B0E1A">
            <w:rPr>
              <w:rFonts w:ascii="Times New Roman" w:hAnsi="Times New Roman" w:cs="Times New Roman"/>
              <w:b/>
              <w:bCs/>
              <w:noProof/>
            </w:rPr>
            <w:fldChar w:fldCharType="end"/>
          </w:r>
        </w:p>
      </w:sdtContent>
    </w:sdt>
    <w:p w14:paraId="11ADE76A" w14:textId="77777777" w:rsidR="005B0E1A" w:rsidRPr="005B0E1A" w:rsidRDefault="005B0E1A" w:rsidP="00A14D79">
      <w:pPr>
        <w:spacing w:line="360" w:lineRule="auto"/>
        <w:rPr>
          <w:rFonts w:ascii="Times New Roman" w:eastAsia="Times New Roman" w:hAnsi="Times New Roman" w:cs="Times New Roman"/>
          <w:b/>
          <w:bCs/>
          <w:color w:val="1F1F1F"/>
          <w:kern w:val="0"/>
          <w:lang w:eastAsia="en-GB"/>
          <w14:ligatures w14:val="none"/>
        </w:rPr>
      </w:pPr>
      <w:r w:rsidRPr="005B0E1A">
        <w:rPr>
          <w:rFonts w:ascii="Times New Roman" w:eastAsia="Times New Roman" w:hAnsi="Times New Roman" w:cs="Times New Roman"/>
          <w:b/>
          <w:bCs/>
          <w:color w:val="1F1F1F"/>
          <w:kern w:val="0"/>
          <w:lang w:eastAsia="en-GB"/>
          <w14:ligatures w14:val="none"/>
        </w:rPr>
        <w:br w:type="page"/>
      </w:r>
    </w:p>
    <w:p w14:paraId="352930B2" w14:textId="77777777" w:rsidR="00F51931" w:rsidRDefault="00F51931"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0" w:name="_Toc227290661"/>
    </w:p>
    <w:p w14:paraId="4B910B42" w14:textId="77777777" w:rsidR="00F51931" w:rsidRDefault="00F51931"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p>
    <w:p w14:paraId="5793784A" w14:textId="083DF29C" w:rsidR="005B0E1A" w:rsidRPr="0047429C" w:rsidRDefault="005B0E1A"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r w:rsidRPr="0047429C">
        <w:rPr>
          <w:rFonts w:ascii="Arial" w:eastAsia="Times New Roman" w:hAnsi="Arial" w:cs="Arial"/>
          <w:b/>
          <w:bCs/>
          <w:color w:val="1F1F1F"/>
          <w:kern w:val="0"/>
          <w:sz w:val="28"/>
          <w:szCs w:val="28"/>
          <w:lang w:eastAsia="en-GB"/>
          <w14:ligatures w14:val="none"/>
        </w:rPr>
        <w:t>1. Introduction</w:t>
      </w:r>
      <w:bookmarkEnd w:id="0"/>
    </w:p>
    <w:p w14:paraId="4F7AA438" w14:textId="5B822269" w:rsidR="005B0E1A" w:rsidRPr="00A14D79" w:rsidRDefault="005B0E1A" w:rsidP="00A14D79">
      <w:pPr>
        <w:spacing w:after="0" w:line="360" w:lineRule="auto"/>
        <w:jc w:val="both"/>
        <w:rPr>
          <w:rFonts w:ascii="Arial" w:eastAsia="Times New Roman" w:hAnsi="Arial" w:cs="Arial"/>
          <w:color w:val="1F1F1F"/>
          <w:kern w:val="0"/>
          <w:sz w:val="22"/>
          <w:szCs w:val="22"/>
          <w:bdr w:val="none" w:sz="0" w:space="0" w:color="auto" w:frame="1"/>
          <w:lang w:eastAsia="en-GB"/>
          <w14:ligatures w14:val="none"/>
        </w:rPr>
      </w:pPr>
      <w:r w:rsidRPr="00A14D79">
        <w:rPr>
          <w:rFonts w:ascii="Arial" w:eastAsia="Times New Roman" w:hAnsi="Arial" w:cs="Arial"/>
          <w:color w:val="1F1F1F"/>
          <w:kern w:val="0"/>
          <w:sz w:val="22"/>
          <w:szCs w:val="22"/>
          <w:lang w:eastAsia="en-GB"/>
          <w14:ligatures w14:val="none"/>
        </w:rPr>
        <w:t>This report critically analy</w:t>
      </w:r>
      <w:r w:rsidR="00DD50C0" w:rsidRPr="00A14D79">
        <w:rPr>
          <w:rFonts w:ascii="Arial" w:eastAsia="Times New Roman" w:hAnsi="Arial" w:cs="Arial"/>
          <w:color w:val="1F1F1F"/>
          <w:kern w:val="0"/>
          <w:sz w:val="22"/>
          <w:szCs w:val="22"/>
          <w:lang w:eastAsia="en-GB"/>
          <w14:ligatures w14:val="none"/>
        </w:rPr>
        <w:t>s</w:t>
      </w:r>
      <w:r w:rsidRPr="00A14D79">
        <w:rPr>
          <w:rFonts w:ascii="Arial" w:eastAsia="Times New Roman" w:hAnsi="Arial" w:cs="Arial"/>
          <w:color w:val="1F1F1F"/>
          <w:kern w:val="0"/>
          <w:sz w:val="22"/>
          <w:szCs w:val="22"/>
          <w:lang w:eastAsia="en-GB"/>
          <w14:ligatures w14:val="none"/>
        </w:rPr>
        <w:t xml:space="preserve">es the overlaps of public health, wellbeing and sustainable development in the United Kingdom and Wales. Following a challenging post-pandemic situation, the aspect of embedding worldwide systems like the United Nations Sustainable Development Goals (SDGs) is crucial in managing systemic health-related inequalities and structural differences (Green et al., 2021). According to </w:t>
      </w:r>
      <w:proofErr w:type="spellStart"/>
      <w:r w:rsidRPr="00A14D79">
        <w:rPr>
          <w:rFonts w:ascii="Arial" w:eastAsia="Times New Roman" w:hAnsi="Arial" w:cs="Arial"/>
          <w:color w:val="1F1F1F"/>
          <w:kern w:val="0"/>
          <w:sz w:val="22"/>
          <w:szCs w:val="22"/>
          <w:lang w:eastAsia="en-GB"/>
          <w14:ligatures w14:val="none"/>
        </w:rPr>
        <w:t>Dalingwater</w:t>
      </w:r>
      <w:proofErr w:type="spellEnd"/>
      <w:r w:rsidRPr="00A14D79">
        <w:rPr>
          <w:rFonts w:ascii="Arial" w:eastAsia="Times New Roman" w:hAnsi="Arial" w:cs="Arial"/>
          <w:color w:val="1F1F1F"/>
          <w:kern w:val="0"/>
          <w:sz w:val="22"/>
          <w:szCs w:val="22"/>
          <w:lang w:eastAsia="en-GB"/>
          <w14:ligatures w14:val="none"/>
        </w:rPr>
        <w:t xml:space="preserve"> (2019), connecting health and wellbeing cannot be disregarded in policy-making because it is essential to content developing an effective policy intervention. In this report, a particular focus is put on SDG 3 and SDG 13 along with their constructs and their direct effects on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It also analy</w:t>
      </w:r>
      <w:r w:rsidR="00DD50C0" w:rsidRPr="00A14D79">
        <w:rPr>
          <w:rFonts w:ascii="Arial" w:eastAsia="Times New Roman" w:hAnsi="Arial" w:cs="Arial"/>
          <w:color w:val="1F1F1F"/>
          <w:kern w:val="0"/>
          <w:sz w:val="22"/>
          <w:szCs w:val="22"/>
          <w:lang w:eastAsia="en-GB"/>
          <w14:ligatures w14:val="none"/>
        </w:rPr>
        <w:t>s</w:t>
      </w:r>
      <w:r w:rsidRPr="00A14D79">
        <w:rPr>
          <w:rFonts w:ascii="Arial" w:eastAsia="Times New Roman" w:hAnsi="Arial" w:cs="Arial"/>
          <w:color w:val="1F1F1F"/>
          <w:kern w:val="0"/>
          <w:sz w:val="22"/>
          <w:szCs w:val="22"/>
          <w:lang w:eastAsia="en-GB"/>
          <w14:ligatures w14:val="none"/>
        </w:rPr>
        <w:t>es national policies such as the Well-being of Future Generations (Wales) Act 2015, in conjunction with the local community-based policies, and makes evidence-based recommendations to improve future health outcomes and environmental resilience</w:t>
      </w:r>
      <w:r w:rsidRPr="00A14D79">
        <w:rPr>
          <w:rFonts w:ascii="Arial" w:eastAsia="Times New Roman" w:hAnsi="Arial" w:cs="Arial"/>
          <w:color w:val="1F1F1F"/>
          <w:kern w:val="0"/>
          <w:sz w:val="22"/>
          <w:szCs w:val="22"/>
          <w:bdr w:val="none" w:sz="0" w:space="0" w:color="auto" w:frame="1"/>
          <w:lang w:eastAsia="en-GB"/>
          <w14:ligatures w14:val="none"/>
        </w:rPr>
        <w:t>.</w:t>
      </w:r>
    </w:p>
    <w:p w14:paraId="597B90DF" w14:textId="77777777" w:rsidR="005B0E1A" w:rsidRPr="00A14D79" w:rsidRDefault="005B0E1A" w:rsidP="00A14D79">
      <w:pPr>
        <w:spacing w:after="0" w:line="360" w:lineRule="auto"/>
        <w:jc w:val="both"/>
        <w:rPr>
          <w:rFonts w:ascii="Arial" w:eastAsia="Times New Roman" w:hAnsi="Arial" w:cs="Arial"/>
          <w:color w:val="1F1F1F"/>
          <w:kern w:val="0"/>
          <w:sz w:val="28"/>
          <w:szCs w:val="28"/>
          <w:lang w:eastAsia="en-GB"/>
          <w14:ligatures w14:val="none"/>
        </w:rPr>
      </w:pPr>
    </w:p>
    <w:p w14:paraId="2EFAE36B" w14:textId="77777777" w:rsidR="005B0E1A" w:rsidRPr="00A14D79" w:rsidRDefault="005B0E1A"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1" w:name="_Toc227290662"/>
      <w:r w:rsidRPr="00A14D79">
        <w:rPr>
          <w:rFonts w:ascii="Arial" w:eastAsia="Times New Roman" w:hAnsi="Arial" w:cs="Arial"/>
          <w:b/>
          <w:bCs/>
          <w:color w:val="1F1F1F"/>
          <w:kern w:val="0"/>
          <w:sz w:val="28"/>
          <w:szCs w:val="28"/>
          <w:lang w:eastAsia="en-GB"/>
          <w14:ligatures w14:val="none"/>
        </w:rPr>
        <w:t>2. Sustainable Development Goal 3: Good Health and Wellbeing</w:t>
      </w:r>
      <w:bookmarkEnd w:id="1"/>
    </w:p>
    <w:p w14:paraId="40085E5D" w14:textId="56465642"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The sustainable development goal 3 (SDG 3) is designed in such a way that it embraces healthy lives and well-being to all people of all ages with much more extended implications over conventional biomedical frames to adopt a more holistic perspective on human flourishing (Morse, 2022). The SDG 3 constructs in the UK context involve broad goals such as the decrease in maternal deaths, the elimination of preventable infant deaths and the fight against communicable diseases as well as tackling the ever-increasing non-communicable disease burden in the UK. This agenda is also inherently connected to the idea of Health in all Policies, i.e., the claim that health outcomes are determined by a wide variety of social, economic, and organ</w:t>
      </w:r>
      <w:r w:rsidR="00BA5755" w:rsidRPr="00A14D79">
        <w:rPr>
          <w:rFonts w:ascii="Arial" w:eastAsia="Times New Roman" w:hAnsi="Arial" w:cs="Arial"/>
          <w:color w:val="1F1F1F"/>
          <w:kern w:val="0"/>
          <w:sz w:val="22"/>
          <w:szCs w:val="22"/>
          <w:lang w:eastAsia="en-GB"/>
          <w14:ligatures w14:val="none"/>
        </w:rPr>
        <w:t>isa</w:t>
      </w:r>
      <w:r w:rsidRPr="00A14D79">
        <w:rPr>
          <w:rFonts w:ascii="Arial" w:eastAsia="Times New Roman" w:hAnsi="Arial" w:cs="Arial"/>
          <w:color w:val="1F1F1F"/>
          <w:kern w:val="0"/>
          <w:sz w:val="22"/>
          <w:szCs w:val="22"/>
          <w:lang w:eastAsia="en-GB"/>
          <w14:ligatures w14:val="none"/>
        </w:rPr>
        <w:t>tional issues (Green et al., 2021). The recent academic literature also indicates that even organ</w:t>
      </w:r>
      <w:r w:rsidR="00BA5755" w:rsidRPr="00A14D79">
        <w:rPr>
          <w:rFonts w:ascii="Arial" w:eastAsia="Times New Roman" w:hAnsi="Arial" w:cs="Arial"/>
          <w:color w:val="1F1F1F"/>
          <w:kern w:val="0"/>
          <w:sz w:val="22"/>
          <w:szCs w:val="22"/>
          <w:lang w:eastAsia="en-GB"/>
          <w14:ligatures w14:val="none"/>
        </w:rPr>
        <w:t>isa</w:t>
      </w:r>
      <w:r w:rsidRPr="00A14D79">
        <w:rPr>
          <w:rFonts w:ascii="Arial" w:eastAsia="Times New Roman" w:hAnsi="Arial" w:cs="Arial"/>
          <w:color w:val="1F1F1F"/>
          <w:kern w:val="0"/>
          <w:sz w:val="22"/>
          <w:szCs w:val="22"/>
          <w:lang w:eastAsia="en-GB"/>
          <w14:ligatures w14:val="none"/>
        </w:rPr>
        <w:t>tional and supply chain resilience reveals the indicators of health and wellbeing when sustainable performance in the UK is directly connected with the physical and mental wellbeing of the workforce (Abdelaziz et al., 2024).</w:t>
      </w:r>
    </w:p>
    <w:p w14:paraId="6E2BA533" w14:textId="77777777" w:rsidR="00F51931"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 xml:space="preserve">The SDG 3 implications on the UK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xml:space="preserve"> are profound but marked with very deep and endemic differences. Although some progress in medical technologies is extending life expectancy, the divide in health between the richest and most underprivileged localities has become one of the key problems of attaining sustainable health equity (Marmot, 2020). According to recent statistics prepared by the Office for National Statistics (2025), around 18 </w:t>
      </w:r>
    </w:p>
    <w:p w14:paraId="1C18E510" w14:textId="70640689"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lastRenderedPageBreak/>
        <w:t>percent of the entire adults in Great Britain have rated as moderate to severe cases of depression in the first half of 2025 and the figures have increased to 26 percent in younger populations of 16 to 29 years. This is in line with the dynamic and diverse health demands of the UK population who currently have a phenomenon of chronic disease syndrome, an ageing population, and an increasing epidemic of mental health emergency (McKee et al., 2021). Moreover, Lindgren et al. (2025) report that it is a common finding that sustainability influences health through the quality of social and physical environment, which indicates that SDG 3 may not be achieved in isolation of the underlying structural determinants of health like housing and employment.</w:t>
      </w:r>
    </w:p>
    <w:p w14:paraId="336600C4" w14:textId="52D3DE10" w:rsidR="00BA5755"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A crucial SDG 3 construct is the method of creating and sustaining sustainable health and care workforce. Anderson et al. (2021) insist that the ability to attract fit-for-purpose workforce is the key to a successful universal health coverage in the UK, but the system is heavily burdened because of the lack of recruitment and high burnout rates. This can be seen through the 1.76 million referrals to psychological therapy in late 2024 indicating the incredible demand of wellbeing services that can often keep up with supply (Parliament UK, 2024). These SDG 3 environmental impacts like minim</w:t>
      </w:r>
      <w:r w:rsidR="00BA5755" w:rsidRPr="00A14D79">
        <w:rPr>
          <w:rFonts w:ascii="Arial" w:eastAsia="Times New Roman" w:hAnsi="Arial" w:cs="Arial"/>
          <w:color w:val="1F1F1F"/>
          <w:kern w:val="0"/>
          <w:sz w:val="22"/>
          <w:szCs w:val="22"/>
          <w:lang w:eastAsia="en-GB"/>
          <w14:ligatures w14:val="none"/>
        </w:rPr>
        <w:t>isi</w:t>
      </w:r>
      <w:r w:rsidRPr="00A14D79">
        <w:rPr>
          <w:rFonts w:ascii="Arial" w:eastAsia="Times New Roman" w:hAnsi="Arial" w:cs="Arial"/>
          <w:color w:val="1F1F1F"/>
          <w:kern w:val="0"/>
          <w:sz w:val="22"/>
          <w:szCs w:val="22"/>
          <w:lang w:eastAsia="en-GB"/>
          <w14:ligatures w14:val="none"/>
        </w:rPr>
        <w:t xml:space="preserve">ng chemical pollution and enhancing quality of air will also be needed to reduce respiratory and cardiovascular diseases. </w:t>
      </w:r>
    </w:p>
    <w:p w14:paraId="1C951D28" w14:textId="707EBAF9" w:rsidR="005B0E1A" w:rsidRPr="00A14D79" w:rsidRDefault="005B0E1A" w:rsidP="00A14D79">
      <w:pPr>
        <w:spacing w:after="0" w:line="360" w:lineRule="auto"/>
        <w:jc w:val="both"/>
        <w:rPr>
          <w:rFonts w:ascii="Arial" w:eastAsia="Times New Roman" w:hAnsi="Arial" w:cs="Arial"/>
          <w:color w:val="1F1F1F"/>
          <w:kern w:val="0"/>
          <w:sz w:val="22"/>
          <w:szCs w:val="22"/>
          <w:bdr w:val="none" w:sz="0" w:space="0" w:color="auto" w:frame="1"/>
          <w:lang w:eastAsia="en-GB"/>
          <w14:ligatures w14:val="none"/>
        </w:rPr>
      </w:pPr>
      <w:r w:rsidRPr="00A14D79">
        <w:rPr>
          <w:rFonts w:ascii="Arial" w:eastAsia="Times New Roman" w:hAnsi="Arial" w:cs="Arial"/>
          <w:color w:val="1F1F1F"/>
          <w:kern w:val="0"/>
          <w:sz w:val="22"/>
          <w:szCs w:val="22"/>
          <w:lang w:eastAsia="en-GB"/>
          <w14:ligatures w14:val="none"/>
        </w:rPr>
        <w:t xml:space="preserve">Naylor and Appleby (2013) highlight that the NHS itself has to go environmentally sustainable to defend the long-term health of the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xml:space="preserve"> it serves, a feeling that </w:t>
      </w:r>
      <w:proofErr w:type="spellStart"/>
      <w:r w:rsidRPr="00A14D79">
        <w:rPr>
          <w:rFonts w:ascii="Arial" w:eastAsia="Times New Roman" w:hAnsi="Arial" w:cs="Arial"/>
          <w:color w:val="1F1F1F"/>
          <w:kern w:val="0"/>
          <w:sz w:val="22"/>
          <w:szCs w:val="22"/>
          <w:lang w:eastAsia="en-GB"/>
          <w14:ligatures w14:val="none"/>
        </w:rPr>
        <w:t>Gavurova</w:t>
      </w:r>
      <w:proofErr w:type="spellEnd"/>
      <w:r w:rsidRPr="00A14D79">
        <w:rPr>
          <w:rFonts w:ascii="Arial" w:eastAsia="Times New Roman" w:hAnsi="Arial" w:cs="Arial"/>
          <w:color w:val="1F1F1F"/>
          <w:kern w:val="0"/>
          <w:sz w:val="22"/>
          <w:szCs w:val="22"/>
          <w:lang w:eastAsia="en-GB"/>
          <w14:ligatures w14:val="none"/>
        </w:rPr>
        <w:t xml:space="preserve"> and </w:t>
      </w:r>
      <w:proofErr w:type="spellStart"/>
      <w:r w:rsidRPr="00A14D79">
        <w:rPr>
          <w:rFonts w:ascii="Arial" w:eastAsia="Times New Roman" w:hAnsi="Arial" w:cs="Arial"/>
          <w:color w:val="1F1F1F"/>
          <w:kern w:val="0"/>
          <w:sz w:val="22"/>
          <w:szCs w:val="22"/>
          <w:lang w:eastAsia="en-GB"/>
          <w14:ligatures w14:val="none"/>
        </w:rPr>
        <w:t>Megyesiova</w:t>
      </w:r>
      <w:proofErr w:type="spellEnd"/>
      <w:r w:rsidRPr="00A14D79">
        <w:rPr>
          <w:rFonts w:ascii="Arial" w:eastAsia="Times New Roman" w:hAnsi="Arial" w:cs="Arial"/>
          <w:color w:val="1F1F1F"/>
          <w:kern w:val="0"/>
          <w:sz w:val="22"/>
          <w:szCs w:val="22"/>
          <w:lang w:eastAsia="en-GB"/>
          <w14:ligatures w14:val="none"/>
        </w:rPr>
        <w:t xml:space="preserve"> (2022) reiterate on the larger-scale European health trends that imply that sustainable health necessitates a change towards more preventive and sustainable healthcare paradigms. Finally, SDG 3 has an implication on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xml:space="preserve"> as it offers them a road map towards a society in which health is a communal resource, as opposed to an individual one</w:t>
      </w:r>
      <w:r w:rsidRPr="00A14D79">
        <w:rPr>
          <w:rFonts w:ascii="Arial" w:eastAsia="Times New Roman" w:hAnsi="Arial" w:cs="Arial"/>
          <w:color w:val="1F1F1F"/>
          <w:kern w:val="0"/>
          <w:sz w:val="22"/>
          <w:szCs w:val="22"/>
          <w:bdr w:val="none" w:sz="0" w:space="0" w:color="auto" w:frame="1"/>
          <w:lang w:eastAsia="en-GB"/>
          <w14:ligatures w14:val="none"/>
        </w:rPr>
        <w:t>.</w:t>
      </w:r>
    </w:p>
    <w:p w14:paraId="3682C84C" w14:textId="77777777" w:rsidR="005B0E1A" w:rsidRPr="00A14D79" w:rsidRDefault="005B0E1A" w:rsidP="00A14D79">
      <w:pPr>
        <w:spacing w:after="0" w:line="360" w:lineRule="auto"/>
        <w:jc w:val="both"/>
        <w:rPr>
          <w:rFonts w:ascii="Arial" w:eastAsia="Times New Roman" w:hAnsi="Arial" w:cs="Arial"/>
          <w:color w:val="1F1F1F"/>
          <w:kern w:val="0"/>
          <w:sz w:val="28"/>
          <w:szCs w:val="28"/>
          <w:lang w:eastAsia="en-GB"/>
          <w14:ligatures w14:val="none"/>
        </w:rPr>
      </w:pPr>
    </w:p>
    <w:p w14:paraId="1F8C4EF1" w14:textId="77777777" w:rsidR="005B0E1A" w:rsidRPr="00A14D79" w:rsidRDefault="005B0E1A"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2" w:name="_Toc227290663"/>
      <w:r w:rsidRPr="00A14D79">
        <w:rPr>
          <w:rFonts w:ascii="Arial" w:eastAsia="Times New Roman" w:hAnsi="Arial" w:cs="Arial"/>
          <w:b/>
          <w:bCs/>
          <w:color w:val="1F1F1F"/>
          <w:kern w:val="0"/>
          <w:sz w:val="28"/>
          <w:szCs w:val="28"/>
          <w:lang w:eastAsia="en-GB"/>
          <w14:ligatures w14:val="none"/>
        </w:rPr>
        <w:t>3. SDG 13: Climate Action</w:t>
      </w:r>
      <w:bookmarkEnd w:id="2"/>
    </w:p>
    <w:p w14:paraId="58B2316E" w14:textId="1AB81AD2"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 xml:space="preserve">Sustainable Development Goal 13 puts immediate action to mitigate climate change and its consequences in its spotlight, a goal that is increasingly being developed as a cornerstone public health requirement. Enhancing resilience and adaptation to climate-related hazards, incorporating climate actions in national policies, and enhancing climate-related mitigation education and institutional capacity are the constructs of SDG 13. Climate action is no longer </w:t>
      </w:r>
      <w:bookmarkStart w:id="3" w:name="_GoBack"/>
      <w:bookmarkEnd w:id="3"/>
      <w:r w:rsidRPr="00A14D79">
        <w:rPr>
          <w:rFonts w:ascii="Arial" w:eastAsia="Times New Roman" w:hAnsi="Arial" w:cs="Arial"/>
          <w:color w:val="1F1F1F"/>
          <w:kern w:val="0"/>
          <w:sz w:val="22"/>
          <w:szCs w:val="22"/>
          <w:lang w:eastAsia="en-GB"/>
          <w14:ligatures w14:val="none"/>
        </w:rPr>
        <w:t xml:space="preserve">just an issue of environment to the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xml:space="preserve"> of UK, it is now a requirement to ensure physical safety and sound mind (Public Health Wales, 2023). According to Dobson and Redman (2026), environmental wellbeing is one of the principles, which modern policy should be based on implying that the wellbeing of the planet and the wellbeing of the individual cannot be separated. This is especially so in the UK, where extreme weather events and increasing </w:t>
      </w:r>
      <w:r w:rsidRPr="00A14D79">
        <w:rPr>
          <w:rFonts w:ascii="Arial" w:eastAsia="Times New Roman" w:hAnsi="Arial" w:cs="Arial"/>
          <w:color w:val="1F1F1F"/>
          <w:kern w:val="0"/>
          <w:sz w:val="22"/>
          <w:szCs w:val="22"/>
          <w:lang w:eastAsia="en-GB"/>
          <w14:ligatures w14:val="none"/>
        </w:rPr>
        <w:lastRenderedPageBreak/>
        <w:t>temperatures have already started to influence the mortality rates and the number of people visit the hospital with the associated heat-related illnesses (UN, 2025).</w:t>
      </w:r>
    </w:p>
    <w:p w14:paraId="471F287F" w14:textId="553F0F66"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 xml:space="preserve">The effects of SDG 13 on health tend to be achieved via the so-called co-benefits of climate mitigation measures. Munro, </w:t>
      </w:r>
      <w:r w:rsidR="00BA5755" w:rsidRPr="00A14D79">
        <w:rPr>
          <w:rFonts w:ascii="Arial" w:eastAsia="Times New Roman" w:hAnsi="Arial" w:cs="Arial"/>
          <w:color w:val="1F1F1F"/>
          <w:kern w:val="0"/>
          <w:sz w:val="22"/>
          <w:szCs w:val="22"/>
          <w:lang w:eastAsia="en-GB"/>
          <w14:ligatures w14:val="none"/>
        </w:rPr>
        <w:t>et al.,</w:t>
      </w:r>
      <w:r w:rsidRPr="00A14D79">
        <w:rPr>
          <w:rFonts w:ascii="Arial" w:eastAsia="Times New Roman" w:hAnsi="Arial" w:cs="Arial"/>
          <w:color w:val="1F1F1F"/>
          <w:kern w:val="0"/>
          <w:sz w:val="22"/>
          <w:szCs w:val="22"/>
          <w:lang w:eastAsia="en-GB"/>
          <w14:ligatures w14:val="none"/>
        </w:rPr>
        <w:t xml:space="preserve"> (2020) state that a net-zero UK is a progressive step toward sustainable health equity; it stimulates the change towards active transportation and plant-based diet, which will both decrease carbon emissions and chronic illnesses such as obesity and heart disease. Nonetheless, the change should be a fair and just one; as Kelly (2018) notes, the discourses of coastal policy within the UK demonstrate a symbiotic relationship between the sea and human welfare, whereby changes in climate (erosion) and sea level (rising) pose threats to the mental health and cultural identity of those living along the coastal areas. Likewise, nature-centred solutions are being posed as a priority tool to tackle societal challenges and offer green and blue spaces as a means of ensuring mental renewal, physical exercise to the UK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and alleviating the pressures on a formal healthcare unit (Dick et al., 2020).</w:t>
      </w:r>
    </w:p>
    <w:p w14:paraId="2CE8BA86" w14:textId="1414FEC1" w:rsidR="00BA5755"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The sustainability practices are also expanding to special</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 xml:space="preserve">d areas, which have an indirect effect on human health, such as veterinary medicine, where policies are currently being formulated to decrease SDG 13 environmental footprint of animal care, illustrating a One Health approach to SDG 13 (Higham et al., 2023). Even with these developments, economic shift towards a low-carbon economy is associated with threats of increasing inequalities in case not handled properly. Thomson et al. (2021) note that cultural, community, and natural assets in the UK are frequently unevenly distributed, which implies that the positive effects of climate action, like improved air quality and enhanced parks, are unlikely to be brought to the poorest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xml:space="preserve"> of the UK, unless the government is ready to take measures to reduce the impact of structural barriers. </w:t>
      </w:r>
    </w:p>
    <w:p w14:paraId="29F54894" w14:textId="6D0BA175" w:rsidR="005B0E1A" w:rsidRPr="00A14D79" w:rsidRDefault="005B0E1A" w:rsidP="00A14D79">
      <w:pPr>
        <w:spacing w:after="0" w:line="360" w:lineRule="auto"/>
        <w:jc w:val="both"/>
        <w:rPr>
          <w:rFonts w:ascii="Arial" w:eastAsia="Times New Roman" w:hAnsi="Arial" w:cs="Arial"/>
          <w:color w:val="1F1F1F"/>
          <w:kern w:val="0"/>
          <w:sz w:val="22"/>
          <w:szCs w:val="22"/>
          <w:bdr w:val="none" w:sz="0" w:space="0" w:color="auto" w:frame="1"/>
          <w:lang w:eastAsia="en-GB"/>
          <w14:ligatures w14:val="none"/>
        </w:rPr>
      </w:pPr>
      <w:r w:rsidRPr="00A14D79">
        <w:rPr>
          <w:rFonts w:ascii="Arial" w:eastAsia="Times New Roman" w:hAnsi="Arial" w:cs="Arial"/>
          <w:color w:val="1F1F1F"/>
          <w:kern w:val="0"/>
          <w:sz w:val="22"/>
          <w:szCs w:val="22"/>
          <w:lang w:eastAsia="en-GB"/>
          <w14:ligatures w14:val="none"/>
        </w:rPr>
        <w:t xml:space="preserve">The SDG 13, therefore, influences wellbeing by compelling a paradigm shift in the thought process of urban design and resilience of communities with a greater consideration given to the most vulnerable in society and ensuring that environmental safeguarding is used as a social safeguard (Barton et al., 2015). By achieving the SDG 13 targets, the UK will be able to safeguard its </w:t>
      </w:r>
      <w:proofErr w:type="spellStart"/>
      <w:r w:rsidRPr="00A14D79">
        <w:rPr>
          <w:rFonts w:ascii="Arial" w:eastAsia="Times New Roman" w:hAnsi="Arial" w:cs="Arial"/>
          <w:color w:val="1F1F1F"/>
          <w:kern w:val="0"/>
          <w:sz w:val="22"/>
          <w:szCs w:val="22"/>
          <w:lang w:eastAsia="en-GB"/>
          <w14:ligatures w14:val="none"/>
        </w:rPr>
        <w:t>cit</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ns</w:t>
      </w:r>
      <w:proofErr w:type="spellEnd"/>
      <w:r w:rsidRPr="00A14D79">
        <w:rPr>
          <w:rFonts w:ascii="Arial" w:eastAsia="Times New Roman" w:hAnsi="Arial" w:cs="Arial"/>
          <w:color w:val="1F1F1F"/>
          <w:kern w:val="0"/>
          <w:sz w:val="22"/>
          <w:szCs w:val="22"/>
          <w:lang w:eastAsia="en-GB"/>
          <w14:ligatures w14:val="none"/>
        </w:rPr>
        <w:t xml:space="preserve"> against the worst health consequences of global warming as well as enabling a lifestyle that encourages any long-term morale</w:t>
      </w:r>
      <w:r w:rsidRPr="00A14D79">
        <w:rPr>
          <w:rFonts w:ascii="Arial" w:eastAsia="Times New Roman" w:hAnsi="Arial" w:cs="Arial"/>
          <w:color w:val="1F1F1F"/>
          <w:kern w:val="0"/>
          <w:sz w:val="22"/>
          <w:szCs w:val="22"/>
          <w:bdr w:val="none" w:sz="0" w:space="0" w:color="auto" w:frame="1"/>
          <w:lang w:eastAsia="en-GB"/>
          <w14:ligatures w14:val="none"/>
        </w:rPr>
        <w:t>.</w:t>
      </w:r>
    </w:p>
    <w:p w14:paraId="27A0231B" w14:textId="77777777" w:rsidR="005B0E1A" w:rsidRPr="00A14D79" w:rsidRDefault="005B0E1A" w:rsidP="00A14D79">
      <w:pPr>
        <w:spacing w:after="0" w:line="360" w:lineRule="auto"/>
        <w:jc w:val="both"/>
        <w:rPr>
          <w:rFonts w:ascii="Arial" w:eastAsia="Times New Roman" w:hAnsi="Arial" w:cs="Arial"/>
          <w:color w:val="1F1F1F"/>
          <w:kern w:val="0"/>
          <w:sz w:val="28"/>
          <w:szCs w:val="28"/>
          <w:lang w:eastAsia="en-GB"/>
          <w14:ligatures w14:val="none"/>
        </w:rPr>
      </w:pPr>
    </w:p>
    <w:p w14:paraId="41EE117C" w14:textId="77777777" w:rsidR="005B0E1A" w:rsidRPr="00A14D79" w:rsidRDefault="005B0E1A"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4" w:name="_Toc227290664"/>
      <w:r w:rsidRPr="00A14D79">
        <w:rPr>
          <w:rFonts w:ascii="Arial" w:eastAsia="Times New Roman" w:hAnsi="Arial" w:cs="Arial"/>
          <w:b/>
          <w:bCs/>
          <w:color w:val="1F1F1F"/>
          <w:kern w:val="0"/>
          <w:sz w:val="28"/>
          <w:szCs w:val="28"/>
          <w:lang w:eastAsia="en-GB"/>
          <w14:ligatures w14:val="none"/>
        </w:rPr>
        <w:t>4. National Wellbeing Initiatives</w:t>
      </w:r>
      <w:bookmarkEnd w:id="4"/>
    </w:p>
    <w:p w14:paraId="216BF148" w14:textId="77777777" w:rsidR="00BA5755"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 xml:space="preserve">The initial national initiative is of particular interest: Well-being of Future Generations (Wales) Act 2015, under which social, economic, environmental, and cultural wellbeing are legally compulsory on the part of the public bodies in Wales. This act is very useful in ensuring that </w:t>
      </w:r>
      <w:r w:rsidRPr="00A14D79">
        <w:rPr>
          <w:rFonts w:ascii="Arial" w:eastAsia="Times New Roman" w:hAnsi="Arial" w:cs="Arial"/>
          <w:color w:val="1F1F1F"/>
          <w:kern w:val="0"/>
          <w:sz w:val="22"/>
          <w:szCs w:val="22"/>
          <w:lang w:eastAsia="en-GB"/>
          <w14:ligatures w14:val="none"/>
        </w:rPr>
        <w:lastRenderedPageBreak/>
        <w:t>there is a legal framework to long-term thinking so that present policies do not hamper the livelihood and wellbeing of the future generations (</w:t>
      </w:r>
      <w:proofErr w:type="spellStart"/>
      <w:r w:rsidRPr="00A14D79">
        <w:rPr>
          <w:rFonts w:ascii="Arial" w:eastAsia="Times New Roman" w:hAnsi="Arial" w:cs="Arial"/>
          <w:color w:val="1F1F1F"/>
          <w:kern w:val="0"/>
          <w:sz w:val="22"/>
          <w:szCs w:val="22"/>
          <w:lang w:eastAsia="en-GB"/>
          <w14:ligatures w14:val="none"/>
        </w:rPr>
        <w:t>Gov.Wales</w:t>
      </w:r>
      <w:proofErr w:type="spellEnd"/>
      <w:r w:rsidRPr="00A14D79">
        <w:rPr>
          <w:rFonts w:ascii="Arial" w:eastAsia="Times New Roman" w:hAnsi="Arial" w:cs="Arial"/>
          <w:color w:val="1F1F1F"/>
          <w:kern w:val="0"/>
          <w:sz w:val="22"/>
          <w:szCs w:val="22"/>
          <w:lang w:eastAsia="en-GB"/>
          <w14:ligatures w14:val="none"/>
        </w:rPr>
        <w:t xml:space="preserve">, 2024). </w:t>
      </w:r>
    </w:p>
    <w:p w14:paraId="7B2E8154" w14:textId="273A1257"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It has been able to ensure that sustainability has been at the centre of Welsh government agenda and has impacted all aspects such as transport strategy to education. But the pace of change of culture in large, traditionally reactive institutions tends to pose a challenge to its effectiveness. Whereas with some health markers the report on Wellbeing of Wales 2024 demonstrates some stabil</w:t>
      </w:r>
      <w:r w:rsidR="00BA5755" w:rsidRPr="00A14D79">
        <w:rPr>
          <w:rFonts w:ascii="Arial" w:eastAsia="Times New Roman" w:hAnsi="Arial" w:cs="Arial"/>
          <w:color w:val="1F1F1F"/>
          <w:kern w:val="0"/>
          <w:sz w:val="22"/>
          <w:szCs w:val="22"/>
          <w:lang w:eastAsia="en-GB"/>
          <w14:ligatures w14:val="none"/>
        </w:rPr>
        <w:t>isa</w:t>
      </w:r>
      <w:r w:rsidRPr="00A14D79">
        <w:rPr>
          <w:rFonts w:ascii="Arial" w:eastAsia="Times New Roman" w:hAnsi="Arial" w:cs="Arial"/>
          <w:color w:val="1F1F1F"/>
          <w:kern w:val="0"/>
          <w:sz w:val="22"/>
          <w:szCs w:val="22"/>
          <w:lang w:eastAsia="en-GB"/>
          <w14:ligatures w14:val="none"/>
        </w:rPr>
        <w:t>tion, it also makes it clear that over the past decade the gap in healthy life expectancy between the most and least deprived areas has not been closing significantly, which implies that the implementation of the Act has not yet addressed the deeply rooted health inequalities discussed by Marmot (2020).</w:t>
      </w:r>
    </w:p>
    <w:p w14:paraId="52DA0F45" w14:textId="1CF3C047" w:rsidR="00BA5755"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The second one is the NHS Long Term Plan that seeks to redirect the healthcare system towards proactive care and community-based treatment as opposed to the reactive hospital-based treatment. This has been successful in not only increasing access to mental health services, including that of children and youth, but has also seen more than 330,000 more learners receive support via mental health support teams (NHS, 2025). However, the plan is now affected negatively by the persistent shortage of workers recogn</w:t>
      </w:r>
      <w:r w:rsidR="00BA5755" w:rsidRPr="00A14D79">
        <w:rPr>
          <w:rFonts w:ascii="Arial" w:eastAsia="Times New Roman" w:hAnsi="Arial" w:cs="Arial"/>
          <w:color w:val="1F1F1F"/>
          <w:kern w:val="0"/>
          <w:sz w:val="22"/>
          <w:szCs w:val="22"/>
          <w:lang w:eastAsia="en-GB"/>
          <w14:ligatures w14:val="none"/>
        </w:rPr>
        <w:t>isa</w:t>
      </w:r>
      <w:r w:rsidRPr="00A14D79">
        <w:rPr>
          <w:rFonts w:ascii="Arial" w:eastAsia="Times New Roman" w:hAnsi="Arial" w:cs="Arial"/>
          <w:color w:val="1F1F1F"/>
          <w:kern w:val="0"/>
          <w:sz w:val="22"/>
          <w:szCs w:val="22"/>
          <w:lang w:eastAsia="en-GB"/>
          <w14:ligatures w14:val="none"/>
        </w:rPr>
        <w:t xml:space="preserve">ble by Anderson et al. (2021) and the constantly growing requirements of the aging population (McKee et al., 2021). </w:t>
      </w:r>
    </w:p>
    <w:p w14:paraId="54101487" w14:textId="3B6E202A" w:rsidR="005B0E1A" w:rsidRPr="00A14D79" w:rsidRDefault="005B0E1A" w:rsidP="00A14D79">
      <w:pPr>
        <w:spacing w:after="0" w:line="360" w:lineRule="auto"/>
        <w:jc w:val="both"/>
        <w:rPr>
          <w:rFonts w:ascii="Arial" w:eastAsia="Times New Roman" w:hAnsi="Arial" w:cs="Arial"/>
          <w:color w:val="1F1F1F"/>
          <w:kern w:val="0"/>
          <w:sz w:val="22"/>
          <w:szCs w:val="22"/>
          <w:bdr w:val="none" w:sz="0" w:space="0" w:color="auto" w:frame="1"/>
          <w:lang w:eastAsia="en-GB"/>
          <w14:ligatures w14:val="none"/>
        </w:rPr>
      </w:pPr>
      <w:r w:rsidRPr="00A14D79">
        <w:rPr>
          <w:rFonts w:ascii="Arial" w:eastAsia="Times New Roman" w:hAnsi="Arial" w:cs="Arial"/>
          <w:color w:val="1F1F1F"/>
          <w:kern w:val="0"/>
          <w:sz w:val="22"/>
          <w:szCs w:val="22"/>
          <w:lang w:eastAsia="en-GB"/>
          <w14:ligatures w14:val="none"/>
        </w:rPr>
        <w:t>The financial strains on the Integrated Care Boards imply that lots of preventive and social prescribing services are not funded as much as the acute hospital care which oftentimes consumes most of the funds. In a bid to enhance these national efforts, it is suggested that the government should introduce a compulsory ring-fenced funding of the approach of a Health in all Policies to have a stable outcome in the long run. Moreover, the national workforce wellbeing strategy should be developed to offer psychological care to healthcare personnel to make sure that the system itself will be resilient and coping with future shocks</w:t>
      </w:r>
      <w:r w:rsidRPr="00A14D79">
        <w:rPr>
          <w:rFonts w:ascii="Arial" w:eastAsia="Times New Roman" w:hAnsi="Arial" w:cs="Arial"/>
          <w:color w:val="1F1F1F"/>
          <w:kern w:val="0"/>
          <w:sz w:val="22"/>
          <w:szCs w:val="22"/>
          <w:bdr w:val="none" w:sz="0" w:space="0" w:color="auto" w:frame="1"/>
          <w:lang w:eastAsia="en-GB"/>
          <w14:ligatures w14:val="none"/>
        </w:rPr>
        <w:t>.</w:t>
      </w:r>
    </w:p>
    <w:p w14:paraId="305D5752" w14:textId="77777777" w:rsidR="005B0E1A" w:rsidRPr="00A14D79" w:rsidRDefault="005B0E1A" w:rsidP="00A14D79">
      <w:pPr>
        <w:spacing w:after="0" w:line="360" w:lineRule="auto"/>
        <w:jc w:val="both"/>
        <w:rPr>
          <w:rFonts w:ascii="Arial" w:eastAsia="Times New Roman" w:hAnsi="Arial" w:cs="Arial"/>
          <w:color w:val="1F1F1F"/>
          <w:kern w:val="0"/>
          <w:sz w:val="28"/>
          <w:szCs w:val="28"/>
          <w:lang w:eastAsia="en-GB"/>
          <w14:ligatures w14:val="none"/>
        </w:rPr>
      </w:pPr>
    </w:p>
    <w:p w14:paraId="07F0501E" w14:textId="77777777" w:rsidR="005B0E1A" w:rsidRPr="00A14D79" w:rsidRDefault="005B0E1A"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5" w:name="_Toc227290665"/>
      <w:r w:rsidRPr="00A14D79">
        <w:rPr>
          <w:rFonts w:ascii="Arial" w:eastAsia="Times New Roman" w:hAnsi="Arial" w:cs="Arial"/>
          <w:b/>
          <w:bCs/>
          <w:color w:val="1F1F1F"/>
          <w:kern w:val="0"/>
          <w:sz w:val="28"/>
          <w:szCs w:val="28"/>
          <w:lang w:eastAsia="en-GB"/>
          <w14:ligatures w14:val="none"/>
        </w:rPr>
        <w:t>5. Local Wellbeing Initiatives</w:t>
      </w:r>
      <w:bookmarkEnd w:id="5"/>
    </w:p>
    <w:p w14:paraId="4561B2F9" w14:textId="1FC4711F"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The Welsh Network of Health and Wellbeing Promoting Schools is an extremely critical early health intervention initiative at the local level. The program aims to develop resilience in children at a very young age by integrating health and wellbeing into the school curriculum and the physical environment. Although 2024 Student Health and Wellbeing Survey (SHRN) results indicate that 69</w:t>
      </w:r>
      <w:r w:rsidR="00BA5755" w:rsidRPr="00A14D79">
        <w:rPr>
          <w:rFonts w:ascii="Arial" w:eastAsia="Times New Roman" w:hAnsi="Arial" w:cs="Arial"/>
          <w:color w:val="1F1F1F"/>
          <w:kern w:val="0"/>
          <w:sz w:val="22"/>
          <w:szCs w:val="22"/>
          <w:lang w:eastAsia="en-GB"/>
          <w14:ligatures w14:val="none"/>
        </w:rPr>
        <w:t>%</w:t>
      </w:r>
      <w:r w:rsidRPr="00A14D79">
        <w:rPr>
          <w:rFonts w:ascii="Arial" w:eastAsia="Times New Roman" w:hAnsi="Arial" w:cs="Arial"/>
          <w:color w:val="1F1F1F"/>
          <w:kern w:val="0"/>
          <w:sz w:val="22"/>
          <w:szCs w:val="22"/>
          <w:lang w:eastAsia="en-GB"/>
          <w14:ligatures w14:val="none"/>
        </w:rPr>
        <w:t xml:space="preserve"> of learners in Wales declare their life satisfaction to be high, the impact of the effort is dampened by the observation that almost 30 percent of learners are yet to declare that they have no major emotional or </w:t>
      </w:r>
      <w:r w:rsidR="00681901" w:rsidRPr="00A14D79">
        <w:rPr>
          <w:rFonts w:ascii="Arial" w:eastAsia="Times New Roman" w:hAnsi="Arial" w:cs="Arial"/>
          <w:color w:val="1F1F1F"/>
          <w:kern w:val="0"/>
          <w:sz w:val="22"/>
          <w:szCs w:val="22"/>
          <w:lang w:eastAsia="en-GB"/>
          <w14:ligatures w14:val="none"/>
        </w:rPr>
        <w:t>behavioural</w:t>
      </w:r>
      <w:r w:rsidRPr="00A14D79">
        <w:rPr>
          <w:rFonts w:ascii="Arial" w:eastAsia="Times New Roman" w:hAnsi="Arial" w:cs="Arial"/>
          <w:color w:val="1F1F1F"/>
          <w:kern w:val="0"/>
          <w:sz w:val="22"/>
          <w:szCs w:val="22"/>
          <w:lang w:eastAsia="en-GB"/>
          <w14:ligatures w14:val="none"/>
        </w:rPr>
        <w:t xml:space="preserve"> problems (Governors </w:t>
      </w:r>
      <w:proofErr w:type="spellStart"/>
      <w:r w:rsidRPr="00A14D79">
        <w:rPr>
          <w:rFonts w:ascii="Arial" w:eastAsia="Times New Roman" w:hAnsi="Arial" w:cs="Arial"/>
          <w:color w:val="1F1F1F"/>
          <w:kern w:val="0"/>
          <w:sz w:val="22"/>
          <w:szCs w:val="22"/>
          <w:lang w:eastAsia="en-GB"/>
          <w14:ligatures w14:val="none"/>
        </w:rPr>
        <w:t>Cymru</w:t>
      </w:r>
      <w:proofErr w:type="spellEnd"/>
      <w:r w:rsidRPr="00A14D79">
        <w:rPr>
          <w:rFonts w:ascii="Arial" w:eastAsia="Times New Roman" w:hAnsi="Arial" w:cs="Arial"/>
          <w:color w:val="1F1F1F"/>
          <w:kern w:val="0"/>
          <w:sz w:val="22"/>
          <w:szCs w:val="22"/>
          <w:lang w:eastAsia="en-GB"/>
          <w14:ligatures w14:val="none"/>
        </w:rPr>
        <w:t xml:space="preserve">, 2025). This gap indicates that even though this initiative is prevalent, it might be superficial and fail to offer the kind of inquiry that is necessary to share students in high-mean areas with high stressors. Suggestions to make it better are to incorporate more cultural, community, and </w:t>
      </w:r>
      <w:r w:rsidRPr="00A14D79">
        <w:rPr>
          <w:rFonts w:ascii="Arial" w:eastAsia="Times New Roman" w:hAnsi="Arial" w:cs="Arial"/>
          <w:color w:val="1F1F1F"/>
          <w:kern w:val="0"/>
          <w:sz w:val="22"/>
          <w:szCs w:val="22"/>
          <w:lang w:eastAsia="en-GB"/>
          <w14:ligatures w14:val="none"/>
        </w:rPr>
        <w:lastRenderedPageBreak/>
        <w:t>natural assets into the school day to equip students with other non-clinical mechanisms of coping with their mental health and help make them feel a sense of belonging (Thomson et al., 2021).</w:t>
      </w:r>
    </w:p>
    <w:p w14:paraId="25374A28" w14:textId="7D2D33C0" w:rsidR="00BA5755"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 xml:space="preserve">The other imperative local project includes introduction of </w:t>
      </w:r>
      <w:proofErr w:type="gramStart"/>
      <w:r w:rsidRPr="00A14D79">
        <w:rPr>
          <w:rFonts w:ascii="Arial" w:eastAsia="Times New Roman" w:hAnsi="Arial" w:cs="Arial"/>
          <w:color w:val="1F1F1F"/>
          <w:kern w:val="0"/>
          <w:sz w:val="22"/>
          <w:szCs w:val="22"/>
          <w:lang w:eastAsia="en-GB"/>
          <w14:ligatures w14:val="none"/>
        </w:rPr>
        <w:t>nature</w:t>
      </w:r>
      <w:r w:rsidR="00DD50C0" w:rsidRPr="00A14D79">
        <w:rPr>
          <w:rFonts w:ascii="Arial" w:eastAsia="Times New Roman" w:hAnsi="Arial" w:cs="Arial"/>
          <w:color w:val="1F1F1F"/>
          <w:kern w:val="0"/>
          <w:sz w:val="22"/>
          <w:szCs w:val="22"/>
          <w:lang w:eastAsia="en-GB"/>
          <w14:ligatures w14:val="none"/>
        </w:rPr>
        <w:t xml:space="preserve"> </w:t>
      </w:r>
      <w:r w:rsidRPr="00A14D79">
        <w:rPr>
          <w:rFonts w:ascii="Arial" w:eastAsia="Times New Roman" w:hAnsi="Arial" w:cs="Arial"/>
          <w:color w:val="1F1F1F"/>
          <w:kern w:val="0"/>
          <w:sz w:val="22"/>
          <w:szCs w:val="22"/>
          <w:lang w:eastAsia="en-GB"/>
          <w14:ligatures w14:val="none"/>
        </w:rPr>
        <w:t>based</w:t>
      </w:r>
      <w:proofErr w:type="gramEnd"/>
      <w:r w:rsidRPr="00A14D79">
        <w:rPr>
          <w:rFonts w:ascii="Arial" w:eastAsia="Times New Roman" w:hAnsi="Arial" w:cs="Arial"/>
          <w:color w:val="1F1F1F"/>
          <w:kern w:val="0"/>
          <w:sz w:val="22"/>
          <w:szCs w:val="22"/>
          <w:lang w:eastAsia="en-GB"/>
          <w14:ligatures w14:val="none"/>
        </w:rPr>
        <w:t xml:space="preserve"> solutions and green space planning by local councils in Wales. These undertakings will become better at local air quality, minim</w:t>
      </w:r>
      <w:r w:rsidR="00BA5755" w:rsidRPr="00A14D79">
        <w:rPr>
          <w:rFonts w:ascii="Arial" w:eastAsia="Times New Roman" w:hAnsi="Arial" w:cs="Arial"/>
          <w:color w:val="1F1F1F"/>
          <w:kern w:val="0"/>
          <w:sz w:val="22"/>
          <w:szCs w:val="22"/>
          <w:lang w:eastAsia="en-GB"/>
          <w14:ligatures w14:val="none"/>
        </w:rPr>
        <w:t>isi</w:t>
      </w:r>
      <w:r w:rsidRPr="00A14D79">
        <w:rPr>
          <w:rFonts w:ascii="Arial" w:eastAsia="Times New Roman" w:hAnsi="Arial" w:cs="Arial"/>
          <w:color w:val="1F1F1F"/>
          <w:kern w:val="0"/>
          <w:sz w:val="22"/>
          <w:szCs w:val="22"/>
          <w:lang w:eastAsia="en-GB"/>
          <w14:ligatures w14:val="none"/>
        </w:rPr>
        <w:t>ng urban agglomerations of heat islands, and make locally available physical activity areas that contribute directly to the overall goals of SDG 3 and SDG 13 (Barton et al., 2015). The technical efficiency of these initiatives in cooling cities and reducing floods is good, but the effect of these initiatives on the health of the population is usually local</w:t>
      </w:r>
      <w:r w:rsidR="00BA5755" w:rsidRPr="00A14D79">
        <w:rPr>
          <w:rFonts w:ascii="Arial" w:eastAsia="Times New Roman" w:hAnsi="Arial" w:cs="Arial"/>
          <w:color w:val="1F1F1F"/>
          <w:kern w:val="0"/>
          <w:sz w:val="22"/>
          <w:szCs w:val="22"/>
          <w:lang w:eastAsia="en-GB"/>
          <w14:ligatures w14:val="none"/>
        </w:rPr>
        <w:t>ise</w:t>
      </w:r>
      <w:r w:rsidRPr="00A14D79">
        <w:rPr>
          <w:rFonts w:ascii="Arial" w:eastAsia="Times New Roman" w:hAnsi="Arial" w:cs="Arial"/>
          <w:color w:val="1F1F1F"/>
          <w:kern w:val="0"/>
          <w:sz w:val="22"/>
          <w:szCs w:val="22"/>
          <w:lang w:eastAsia="en-GB"/>
          <w14:ligatures w14:val="none"/>
        </w:rPr>
        <w:t xml:space="preserve">d. Dick et al. (2020) observe that implementation of nature-based solutions frequently leads to identification of a "green deficit" in low-income neighbourhoods with fewer parks or of lower quality. </w:t>
      </w:r>
    </w:p>
    <w:p w14:paraId="5798CB1C" w14:textId="1BA85E53" w:rsidR="005B0E1A" w:rsidRPr="00A14D79" w:rsidRDefault="005B0E1A" w:rsidP="00A14D79">
      <w:pPr>
        <w:spacing w:after="0" w:line="360" w:lineRule="auto"/>
        <w:jc w:val="both"/>
        <w:rPr>
          <w:rFonts w:ascii="Arial" w:eastAsia="Times New Roman" w:hAnsi="Arial" w:cs="Arial"/>
          <w:color w:val="1F1F1F"/>
          <w:kern w:val="0"/>
          <w:sz w:val="22"/>
          <w:szCs w:val="22"/>
          <w:bdr w:val="none" w:sz="0" w:space="0" w:color="auto" w:frame="1"/>
          <w:lang w:eastAsia="en-GB"/>
          <w14:ligatures w14:val="none"/>
        </w:rPr>
      </w:pPr>
      <w:r w:rsidRPr="00A14D79">
        <w:rPr>
          <w:rFonts w:ascii="Arial" w:eastAsia="Times New Roman" w:hAnsi="Arial" w:cs="Arial"/>
          <w:color w:val="1F1F1F"/>
          <w:kern w:val="0"/>
          <w:sz w:val="22"/>
          <w:szCs w:val="22"/>
          <w:lang w:eastAsia="en-GB"/>
          <w14:ligatures w14:val="none"/>
        </w:rPr>
        <w:t>The local authorities ought to use a model known as community co-production to enhance effectiveness and equity where local colleagues in the most underprivileged wards are accorded priority in the design and management of local parks and active routes of travelling. This will make sure local interventions deal with the structural and cultural barriers that exist and hinder the access to the benefits of sustainable development by the most vulnerable. Councils can better close the health divide by creating better levels of environmental assets in their own local areas</w:t>
      </w:r>
      <w:r w:rsidRPr="00A14D79">
        <w:rPr>
          <w:rFonts w:ascii="Arial" w:eastAsia="Times New Roman" w:hAnsi="Arial" w:cs="Arial"/>
          <w:color w:val="1F1F1F"/>
          <w:kern w:val="0"/>
          <w:sz w:val="22"/>
          <w:szCs w:val="22"/>
          <w:bdr w:val="none" w:sz="0" w:space="0" w:color="auto" w:frame="1"/>
          <w:lang w:eastAsia="en-GB"/>
          <w14:ligatures w14:val="none"/>
        </w:rPr>
        <w:t>.</w:t>
      </w:r>
    </w:p>
    <w:p w14:paraId="237228C1" w14:textId="77777777" w:rsidR="005B0E1A" w:rsidRPr="00A14D79" w:rsidRDefault="005B0E1A" w:rsidP="00A14D79">
      <w:pPr>
        <w:spacing w:after="0" w:line="360" w:lineRule="auto"/>
        <w:jc w:val="both"/>
        <w:rPr>
          <w:rFonts w:ascii="Arial" w:eastAsia="Times New Roman" w:hAnsi="Arial" w:cs="Arial"/>
          <w:color w:val="1F1F1F"/>
          <w:kern w:val="0"/>
          <w:sz w:val="28"/>
          <w:szCs w:val="28"/>
          <w:lang w:eastAsia="en-GB"/>
          <w14:ligatures w14:val="none"/>
        </w:rPr>
      </w:pPr>
    </w:p>
    <w:p w14:paraId="1BB4E04B" w14:textId="77777777" w:rsidR="005B0E1A" w:rsidRPr="00A14D79" w:rsidRDefault="005B0E1A" w:rsidP="00A14D79">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6" w:name="_Toc227290666"/>
      <w:r w:rsidRPr="00A14D79">
        <w:rPr>
          <w:rFonts w:ascii="Arial" w:eastAsia="Times New Roman" w:hAnsi="Arial" w:cs="Arial"/>
          <w:b/>
          <w:bCs/>
          <w:color w:val="1F1F1F"/>
          <w:kern w:val="0"/>
          <w:sz w:val="28"/>
          <w:szCs w:val="28"/>
          <w:lang w:eastAsia="en-GB"/>
          <w14:ligatures w14:val="none"/>
        </w:rPr>
        <w:t>6. Conclusion</w:t>
      </w:r>
      <w:bookmarkEnd w:id="6"/>
    </w:p>
    <w:p w14:paraId="050D5F09" w14:textId="4A4660E5" w:rsidR="005B0E1A" w:rsidRPr="00A14D79" w:rsidRDefault="005B0E1A" w:rsidP="00A14D79">
      <w:pPr>
        <w:spacing w:after="0" w:line="360" w:lineRule="auto"/>
        <w:jc w:val="both"/>
        <w:rPr>
          <w:rFonts w:ascii="Arial" w:eastAsia="Times New Roman" w:hAnsi="Arial" w:cs="Arial"/>
          <w:color w:val="1F1F1F"/>
          <w:kern w:val="0"/>
          <w:sz w:val="22"/>
          <w:szCs w:val="22"/>
          <w:lang w:eastAsia="en-GB"/>
          <w14:ligatures w14:val="none"/>
        </w:rPr>
      </w:pPr>
      <w:r w:rsidRPr="00A14D79">
        <w:rPr>
          <w:rFonts w:ascii="Arial" w:eastAsia="Times New Roman" w:hAnsi="Arial" w:cs="Arial"/>
          <w:color w:val="1F1F1F"/>
          <w:kern w:val="0"/>
          <w:sz w:val="22"/>
          <w:szCs w:val="22"/>
          <w:lang w:eastAsia="en-GB"/>
          <w14:ligatures w14:val="none"/>
        </w:rPr>
        <w:t>Finally, adopting SDG 3 and SDG 13 into UK and Welsh policy development is an essential step in the process of a sustainable and healthy future. Although the legal and strategic basis of progress is laid down by national strategies such as the Wales Wellbeing Act and the NHS Long Term Plan, there are serious challenges presented by a healthcare workforce crisis, climate-related health hazards, and ongoing socioeconomic disparities. The UK has the potential to improve responsiveness to the evolving health needs of its people through the implementation of the recommendations of ring-fenced funding, workforce support and community-led local planning. Finally, this effort to attain sustainable wellbeing should be a coordinated one where environmental wellbeing and human wellbeing are a single concern</w:t>
      </w:r>
      <w:r w:rsidRPr="00A14D79">
        <w:rPr>
          <w:rFonts w:ascii="Arial" w:eastAsia="Times New Roman" w:hAnsi="Arial" w:cs="Arial"/>
          <w:color w:val="1F1F1F"/>
          <w:kern w:val="0"/>
          <w:sz w:val="22"/>
          <w:szCs w:val="22"/>
          <w:bdr w:val="none" w:sz="0" w:space="0" w:color="auto" w:frame="1"/>
          <w:lang w:eastAsia="en-GB"/>
          <w14:ligatures w14:val="none"/>
        </w:rPr>
        <w:t>.</w:t>
      </w:r>
    </w:p>
    <w:p w14:paraId="6D03A22D" w14:textId="77777777" w:rsidR="005B0E1A" w:rsidRPr="00A14D79" w:rsidRDefault="005B0E1A" w:rsidP="00BA5755">
      <w:pPr>
        <w:spacing w:line="360" w:lineRule="auto"/>
        <w:rPr>
          <w:rFonts w:ascii="Arial" w:eastAsia="Times New Roman" w:hAnsi="Arial" w:cs="Arial"/>
          <w:b/>
          <w:bCs/>
          <w:color w:val="1F1F1F"/>
          <w:kern w:val="0"/>
          <w:sz w:val="22"/>
          <w:szCs w:val="22"/>
          <w:lang w:eastAsia="en-GB"/>
          <w14:ligatures w14:val="none"/>
        </w:rPr>
      </w:pPr>
      <w:r w:rsidRPr="00A14D79">
        <w:rPr>
          <w:rFonts w:ascii="Arial" w:eastAsia="Times New Roman" w:hAnsi="Arial" w:cs="Arial"/>
          <w:b/>
          <w:bCs/>
          <w:color w:val="1F1F1F"/>
          <w:kern w:val="0"/>
          <w:sz w:val="22"/>
          <w:szCs w:val="22"/>
          <w:lang w:eastAsia="en-GB"/>
          <w14:ligatures w14:val="none"/>
        </w:rPr>
        <w:br w:type="page"/>
      </w:r>
    </w:p>
    <w:p w14:paraId="3F71843F" w14:textId="77777777" w:rsidR="005B0E1A" w:rsidRPr="00876C33" w:rsidRDefault="005B0E1A" w:rsidP="00BA5755">
      <w:pPr>
        <w:spacing w:after="120" w:line="360" w:lineRule="auto"/>
        <w:jc w:val="both"/>
        <w:outlineLvl w:val="1"/>
        <w:rPr>
          <w:rFonts w:ascii="Arial" w:eastAsia="Times New Roman" w:hAnsi="Arial" w:cs="Arial"/>
          <w:b/>
          <w:bCs/>
          <w:color w:val="1F1F1F"/>
          <w:kern w:val="0"/>
          <w:sz w:val="28"/>
          <w:szCs w:val="28"/>
          <w:lang w:eastAsia="en-GB"/>
          <w14:ligatures w14:val="none"/>
        </w:rPr>
      </w:pPr>
      <w:bookmarkStart w:id="7" w:name="_Toc227290667"/>
      <w:r w:rsidRPr="00876C33">
        <w:rPr>
          <w:rFonts w:ascii="Arial" w:eastAsia="Times New Roman" w:hAnsi="Arial" w:cs="Arial"/>
          <w:b/>
          <w:bCs/>
          <w:color w:val="1F1F1F"/>
          <w:kern w:val="0"/>
          <w:sz w:val="28"/>
          <w:szCs w:val="28"/>
          <w:lang w:eastAsia="en-GB"/>
          <w14:ligatures w14:val="none"/>
        </w:rPr>
        <w:lastRenderedPageBreak/>
        <w:t>7. References</w:t>
      </w:r>
      <w:bookmarkEnd w:id="7"/>
    </w:p>
    <w:p w14:paraId="6ED8177F" w14:textId="77777777" w:rsidR="00BA5755" w:rsidRPr="00DD50C0" w:rsidRDefault="00BA5755" w:rsidP="00BA5755">
      <w:pPr>
        <w:spacing w:line="360" w:lineRule="auto"/>
        <w:ind w:left="720" w:hanging="720"/>
        <w:jc w:val="both"/>
        <w:rPr>
          <w:rFonts w:ascii="Arial" w:hAnsi="Arial" w:cs="Arial"/>
          <w:sz w:val="22"/>
          <w:szCs w:val="22"/>
        </w:rPr>
      </w:pPr>
    </w:p>
    <w:p w14:paraId="730A571F" w14:textId="64D4C4FB"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Abdelaziz, F.B., Chen, Y.T. and Dey, P.K., 2024. Supply chain resilience, organisational well-being, and sustainable performance: A comparison between the UK and France. </w:t>
      </w:r>
      <w:r w:rsidRPr="00DD50C0">
        <w:rPr>
          <w:rFonts w:ascii="Arial" w:eastAsia="Times New Roman" w:hAnsi="Arial" w:cs="Arial"/>
          <w:i/>
          <w:iCs/>
          <w:color w:val="1F1F1F"/>
          <w:kern w:val="0"/>
          <w:sz w:val="22"/>
          <w:szCs w:val="22"/>
          <w:bdr w:val="none" w:sz="0" w:space="0" w:color="auto" w:frame="1"/>
          <w:lang w:eastAsia="en-GB"/>
          <w14:ligatures w14:val="none"/>
        </w:rPr>
        <w:t>Journal of Cleaner Production</w:t>
      </w:r>
      <w:r w:rsidRPr="00DD50C0">
        <w:rPr>
          <w:rFonts w:ascii="Arial" w:eastAsia="Times New Roman" w:hAnsi="Arial" w:cs="Arial"/>
          <w:color w:val="1F1F1F"/>
          <w:kern w:val="0"/>
          <w:sz w:val="22"/>
          <w:szCs w:val="22"/>
          <w:lang w:eastAsia="en-GB"/>
          <w14:ligatures w14:val="none"/>
        </w:rPr>
        <w:t>, 444, p.141215.</w:t>
      </w:r>
    </w:p>
    <w:p w14:paraId="6EBD475B"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Anderson, M., O’Neill, C., Clark, J.M., Street, A., Woods, M., Johnston-Webber, C., Charlesworth, A., Whyte, M., Foster, M., Majeed, A. and Pitchforth, E., 2021. Securing a sustainable and fit-for-purpose UK health and care workforce. </w:t>
      </w:r>
      <w:r w:rsidRPr="00DD50C0">
        <w:rPr>
          <w:rFonts w:ascii="Arial" w:eastAsia="Times New Roman" w:hAnsi="Arial" w:cs="Arial"/>
          <w:i/>
          <w:iCs/>
          <w:color w:val="1F1F1F"/>
          <w:kern w:val="0"/>
          <w:sz w:val="22"/>
          <w:szCs w:val="22"/>
          <w:bdr w:val="none" w:sz="0" w:space="0" w:color="auto" w:frame="1"/>
          <w:lang w:eastAsia="en-GB"/>
          <w14:ligatures w14:val="none"/>
        </w:rPr>
        <w:t>The Lancet</w:t>
      </w:r>
      <w:r w:rsidRPr="00DD50C0">
        <w:rPr>
          <w:rFonts w:ascii="Arial" w:eastAsia="Times New Roman" w:hAnsi="Arial" w:cs="Arial"/>
          <w:color w:val="1F1F1F"/>
          <w:kern w:val="0"/>
          <w:sz w:val="22"/>
          <w:szCs w:val="22"/>
          <w:lang w:eastAsia="en-GB"/>
          <w14:ligatures w14:val="none"/>
        </w:rPr>
        <w:t>, 397(10288), pp.1992–2011.</w:t>
      </w:r>
    </w:p>
    <w:p w14:paraId="6E675B14"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Barton, H., Thompson, S., Burgess, S. and Grant, M. (eds.), 2015. </w:t>
      </w:r>
      <w:r w:rsidRPr="00DD50C0">
        <w:rPr>
          <w:rFonts w:ascii="Arial" w:eastAsia="Times New Roman" w:hAnsi="Arial" w:cs="Arial"/>
          <w:i/>
          <w:iCs/>
          <w:color w:val="1F1F1F"/>
          <w:kern w:val="0"/>
          <w:sz w:val="22"/>
          <w:szCs w:val="22"/>
          <w:bdr w:val="none" w:sz="0" w:space="0" w:color="auto" w:frame="1"/>
          <w:lang w:eastAsia="en-GB"/>
          <w14:ligatures w14:val="none"/>
        </w:rPr>
        <w:t>The Routledge handbook of planning for health and well-being: Shaping a sustainable and healthy future</w:t>
      </w:r>
      <w:r w:rsidRPr="00DD50C0">
        <w:rPr>
          <w:rFonts w:ascii="Arial" w:eastAsia="Times New Roman" w:hAnsi="Arial" w:cs="Arial"/>
          <w:color w:val="1F1F1F"/>
          <w:kern w:val="0"/>
          <w:sz w:val="22"/>
          <w:szCs w:val="22"/>
          <w:lang w:eastAsia="en-GB"/>
          <w14:ligatures w14:val="none"/>
        </w:rPr>
        <w:t>. London: Routledge.</w:t>
      </w:r>
    </w:p>
    <w:p w14:paraId="0E1DF333"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proofErr w:type="spellStart"/>
      <w:r w:rsidRPr="00DD50C0">
        <w:rPr>
          <w:rFonts w:ascii="Arial" w:eastAsia="Times New Roman" w:hAnsi="Arial" w:cs="Arial"/>
          <w:color w:val="1F1F1F"/>
          <w:kern w:val="0"/>
          <w:sz w:val="22"/>
          <w:szCs w:val="22"/>
          <w:lang w:eastAsia="en-GB"/>
          <w14:ligatures w14:val="none"/>
        </w:rPr>
        <w:t>Dalingwater</w:t>
      </w:r>
      <w:proofErr w:type="spellEnd"/>
      <w:r w:rsidRPr="00DD50C0">
        <w:rPr>
          <w:rFonts w:ascii="Arial" w:eastAsia="Times New Roman" w:hAnsi="Arial" w:cs="Arial"/>
          <w:color w:val="1F1F1F"/>
          <w:kern w:val="0"/>
          <w:sz w:val="22"/>
          <w:szCs w:val="22"/>
          <w:lang w:eastAsia="en-GB"/>
          <w14:ligatures w14:val="none"/>
        </w:rPr>
        <w:t xml:space="preserve">, L., 2019. Linking health and wellbeing in public discourse and policy: The case of the UK. </w:t>
      </w:r>
      <w:r w:rsidRPr="00DD50C0">
        <w:rPr>
          <w:rFonts w:ascii="Arial" w:eastAsia="Times New Roman" w:hAnsi="Arial" w:cs="Arial"/>
          <w:i/>
          <w:iCs/>
          <w:color w:val="1F1F1F"/>
          <w:kern w:val="0"/>
          <w:sz w:val="22"/>
          <w:szCs w:val="22"/>
          <w:bdr w:val="none" w:sz="0" w:space="0" w:color="auto" w:frame="1"/>
          <w:lang w:eastAsia="en-GB"/>
          <w14:ligatures w14:val="none"/>
        </w:rPr>
        <w:t xml:space="preserve">Revue Interventions </w:t>
      </w:r>
      <w:proofErr w:type="spellStart"/>
      <w:r w:rsidRPr="00DD50C0">
        <w:rPr>
          <w:rFonts w:ascii="Arial" w:eastAsia="Times New Roman" w:hAnsi="Arial" w:cs="Arial"/>
          <w:i/>
          <w:iCs/>
          <w:color w:val="1F1F1F"/>
          <w:kern w:val="0"/>
          <w:sz w:val="22"/>
          <w:szCs w:val="22"/>
          <w:bdr w:val="none" w:sz="0" w:space="0" w:color="auto" w:frame="1"/>
          <w:lang w:eastAsia="en-GB"/>
          <w14:ligatures w14:val="none"/>
        </w:rPr>
        <w:t>économiques</w:t>
      </w:r>
      <w:proofErr w:type="spellEnd"/>
      <w:r w:rsidRPr="00DD50C0">
        <w:rPr>
          <w:rFonts w:ascii="Arial" w:eastAsia="Times New Roman" w:hAnsi="Arial" w:cs="Arial"/>
          <w:color w:val="1F1F1F"/>
          <w:kern w:val="0"/>
          <w:sz w:val="22"/>
          <w:szCs w:val="22"/>
          <w:lang w:eastAsia="en-GB"/>
          <w14:ligatures w14:val="none"/>
        </w:rPr>
        <w:t>, (62).</w:t>
      </w:r>
    </w:p>
    <w:p w14:paraId="2E07926B"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Dick, J., Carruthers-Jones, J., Carver, S., Dobel, A.J. and Miller, J.D., 2020. How are nature-based solutions contributing to priority societal challenges surrounding human well-being in the United Kingdom: A systematic map. </w:t>
      </w:r>
      <w:r w:rsidRPr="00DD50C0">
        <w:rPr>
          <w:rFonts w:ascii="Arial" w:eastAsia="Times New Roman" w:hAnsi="Arial" w:cs="Arial"/>
          <w:i/>
          <w:iCs/>
          <w:color w:val="1F1F1F"/>
          <w:kern w:val="0"/>
          <w:sz w:val="22"/>
          <w:szCs w:val="22"/>
          <w:bdr w:val="none" w:sz="0" w:space="0" w:color="auto" w:frame="1"/>
          <w:lang w:eastAsia="en-GB"/>
          <w14:ligatures w14:val="none"/>
        </w:rPr>
        <w:t>Environmental Evidence</w:t>
      </w:r>
      <w:r w:rsidRPr="00DD50C0">
        <w:rPr>
          <w:rFonts w:ascii="Arial" w:eastAsia="Times New Roman" w:hAnsi="Arial" w:cs="Arial"/>
          <w:color w:val="1F1F1F"/>
          <w:kern w:val="0"/>
          <w:sz w:val="22"/>
          <w:szCs w:val="22"/>
          <w:lang w:eastAsia="en-GB"/>
          <w14:ligatures w14:val="none"/>
        </w:rPr>
        <w:t>, 9(1), p.25.</w:t>
      </w:r>
    </w:p>
    <w:p w14:paraId="7388D0C2"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Dobson, J. and Redman, J., 2026. Environmental wellbeing: A concept and principles for research, policy and action. </w:t>
      </w:r>
      <w:r w:rsidRPr="00DD50C0">
        <w:rPr>
          <w:rFonts w:ascii="Arial" w:eastAsia="Times New Roman" w:hAnsi="Arial" w:cs="Arial"/>
          <w:i/>
          <w:iCs/>
          <w:color w:val="1F1F1F"/>
          <w:kern w:val="0"/>
          <w:sz w:val="22"/>
          <w:szCs w:val="22"/>
          <w:bdr w:val="none" w:sz="0" w:space="0" w:color="auto" w:frame="1"/>
          <w:lang w:eastAsia="en-GB"/>
          <w14:ligatures w14:val="none"/>
        </w:rPr>
        <w:t>Local Environment</w:t>
      </w:r>
      <w:r w:rsidRPr="00DD50C0">
        <w:rPr>
          <w:rFonts w:ascii="Arial" w:eastAsia="Times New Roman" w:hAnsi="Arial" w:cs="Arial"/>
          <w:color w:val="1F1F1F"/>
          <w:kern w:val="0"/>
          <w:sz w:val="22"/>
          <w:szCs w:val="22"/>
          <w:lang w:eastAsia="en-GB"/>
          <w14:ligatures w14:val="none"/>
        </w:rPr>
        <w:t>, 31(3), pp.215–235.</w:t>
      </w:r>
    </w:p>
    <w:p w14:paraId="62BDA407"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Gavurova, B. and </w:t>
      </w:r>
      <w:proofErr w:type="spellStart"/>
      <w:r w:rsidRPr="00DD50C0">
        <w:rPr>
          <w:rFonts w:ascii="Arial" w:eastAsia="Times New Roman" w:hAnsi="Arial" w:cs="Arial"/>
          <w:color w:val="1F1F1F"/>
          <w:kern w:val="0"/>
          <w:sz w:val="22"/>
          <w:szCs w:val="22"/>
          <w:lang w:eastAsia="en-GB"/>
          <w14:ligatures w14:val="none"/>
        </w:rPr>
        <w:t>Megyesiova</w:t>
      </w:r>
      <w:proofErr w:type="spellEnd"/>
      <w:r w:rsidRPr="00DD50C0">
        <w:rPr>
          <w:rFonts w:ascii="Arial" w:eastAsia="Times New Roman" w:hAnsi="Arial" w:cs="Arial"/>
          <w:color w:val="1F1F1F"/>
          <w:kern w:val="0"/>
          <w:sz w:val="22"/>
          <w:szCs w:val="22"/>
          <w:lang w:eastAsia="en-GB"/>
          <w14:ligatures w14:val="none"/>
        </w:rPr>
        <w:t xml:space="preserve">, S., 2022. Sustainable health and wellbeing in the European Union. </w:t>
      </w:r>
      <w:r w:rsidRPr="00DD50C0">
        <w:rPr>
          <w:rFonts w:ascii="Arial" w:eastAsia="Times New Roman" w:hAnsi="Arial" w:cs="Arial"/>
          <w:i/>
          <w:iCs/>
          <w:color w:val="1F1F1F"/>
          <w:kern w:val="0"/>
          <w:sz w:val="22"/>
          <w:szCs w:val="22"/>
          <w:bdr w:val="none" w:sz="0" w:space="0" w:color="auto" w:frame="1"/>
          <w:lang w:eastAsia="en-GB"/>
          <w14:ligatures w14:val="none"/>
        </w:rPr>
        <w:t>Frontiers in Public Health</w:t>
      </w:r>
      <w:r w:rsidRPr="00DD50C0">
        <w:rPr>
          <w:rFonts w:ascii="Arial" w:eastAsia="Times New Roman" w:hAnsi="Arial" w:cs="Arial"/>
          <w:color w:val="1F1F1F"/>
          <w:kern w:val="0"/>
          <w:sz w:val="22"/>
          <w:szCs w:val="22"/>
          <w:lang w:eastAsia="en-GB"/>
          <w14:ligatures w14:val="none"/>
        </w:rPr>
        <w:t>, 10, p.851061.</w:t>
      </w:r>
    </w:p>
    <w:p w14:paraId="204A7CA2"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proofErr w:type="spellStart"/>
      <w:r w:rsidRPr="00681901">
        <w:rPr>
          <w:rFonts w:ascii="Arial" w:eastAsia="Times New Roman" w:hAnsi="Arial" w:cs="Arial"/>
          <w:color w:val="1F1F1F"/>
          <w:kern w:val="0"/>
          <w:sz w:val="22"/>
          <w:szCs w:val="22"/>
          <w:lang w:eastAsia="en-GB"/>
          <w14:ligatures w14:val="none"/>
        </w:rPr>
        <w:t>Gov.Wales</w:t>
      </w:r>
      <w:proofErr w:type="spellEnd"/>
      <w:r w:rsidRPr="00681901">
        <w:rPr>
          <w:rFonts w:ascii="Arial" w:eastAsia="Times New Roman" w:hAnsi="Arial" w:cs="Arial"/>
          <w:color w:val="1F1F1F"/>
          <w:kern w:val="0"/>
          <w:sz w:val="22"/>
          <w:szCs w:val="22"/>
          <w:lang w:eastAsia="en-GB"/>
          <w14:ligatures w14:val="none"/>
        </w:rPr>
        <w:t xml:space="preserve">, 2024. </w:t>
      </w:r>
      <w:r w:rsidRPr="00681901">
        <w:rPr>
          <w:rFonts w:ascii="Arial" w:eastAsia="Times New Roman" w:hAnsi="Arial" w:cs="Arial"/>
          <w:i/>
          <w:iCs/>
          <w:color w:val="1F1F1F"/>
          <w:kern w:val="0"/>
          <w:sz w:val="22"/>
          <w:szCs w:val="22"/>
          <w:bdr w:val="none" w:sz="0" w:space="0" w:color="auto" w:frame="1"/>
          <w:lang w:eastAsia="en-GB"/>
          <w14:ligatures w14:val="none"/>
        </w:rPr>
        <w:t>Well-being of Wales, 2024: a healthier Wales</w:t>
      </w:r>
      <w:r w:rsidRPr="00681901">
        <w:rPr>
          <w:rFonts w:ascii="Arial" w:eastAsia="Times New Roman" w:hAnsi="Arial" w:cs="Arial"/>
          <w:color w:val="1F1F1F"/>
          <w:kern w:val="0"/>
          <w:sz w:val="22"/>
          <w:szCs w:val="22"/>
          <w:lang w:eastAsia="en-GB"/>
          <w14:ligatures w14:val="none"/>
        </w:rPr>
        <w:t xml:space="preserve">. [online] Available at: </w:t>
      </w:r>
      <w:hyperlink r:id="rId9" w:tooltip="null" w:history="1">
        <w:r w:rsidRPr="00681901">
          <w:rPr>
            <w:rFonts w:ascii="Arial" w:eastAsia="Times New Roman" w:hAnsi="Arial" w:cs="Arial"/>
            <w:color w:val="0B57D0"/>
            <w:kern w:val="0"/>
            <w:sz w:val="22"/>
            <w:szCs w:val="22"/>
            <w:u w:val="single"/>
            <w:bdr w:val="none" w:sz="0" w:space="0" w:color="auto" w:frame="1"/>
            <w:lang w:eastAsia="en-GB"/>
            <w14:ligatures w14:val="none"/>
          </w:rPr>
          <w:t>https://www.gov.wales/wellbeing-wales-2024-healthier-wales-html</w:t>
        </w:r>
      </w:hyperlink>
      <w:r w:rsidRPr="00DD50C0">
        <w:rPr>
          <w:rFonts w:ascii="Arial" w:eastAsia="Times New Roman" w:hAnsi="Arial" w:cs="Arial"/>
          <w:color w:val="1F1F1F"/>
          <w:kern w:val="0"/>
          <w:sz w:val="22"/>
          <w:szCs w:val="22"/>
          <w:lang w:eastAsia="en-GB"/>
          <w14:ligatures w14:val="none"/>
        </w:rPr>
        <w:t xml:space="preserve"> [Accessed 17 April 2026].</w:t>
      </w:r>
    </w:p>
    <w:p w14:paraId="649C0F64"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Green, L., Ashton, K., Bellis, M.A., Clemens, T. and Douglas, M., 2021. ‘Health in all policies’—a key driver for health and well-being in a post-COVID-19 pandemic world. </w:t>
      </w:r>
      <w:r w:rsidRPr="00DD50C0">
        <w:rPr>
          <w:rFonts w:ascii="Arial" w:eastAsia="Times New Roman" w:hAnsi="Arial" w:cs="Arial"/>
          <w:i/>
          <w:iCs/>
          <w:color w:val="1F1F1F"/>
          <w:kern w:val="0"/>
          <w:sz w:val="22"/>
          <w:szCs w:val="22"/>
          <w:bdr w:val="none" w:sz="0" w:space="0" w:color="auto" w:frame="1"/>
          <w:lang w:eastAsia="en-GB"/>
          <w14:ligatures w14:val="none"/>
        </w:rPr>
        <w:t>International Journal of Environmental Research and Public Health</w:t>
      </w:r>
      <w:r w:rsidRPr="00DD50C0">
        <w:rPr>
          <w:rFonts w:ascii="Arial" w:eastAsia="Times New Roman" w:hAnsi="Arial" w:cs="Arial"/>
          <w:color w:val="1F1F1F"/>
          <w:kern w:val="0"/>
          <w:sz w:val="22"/>
          <w:szCs w:val="22"/>
          <w:lang w:eastAsia="en-GB"/>
          <w14:ligatures w14:val="none"/>
        </w:rPr>
        <w:t>, 18(18), p.9468.</w:t>
      </w:r>
    </w:p>
    <w:p w14:paraId="5207668A"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Higham, L.E., </w:t>
      </w:r>
      <w:proofErr w:type="spellStart"/>
      <w:r w:rsidRPr="00DD50C0">
        <w:rPr>
          <w:rFonts w:ascii="Arial" w:eastAsia="Times New Roman" w:hAnsi="Arial" w:cs="Arial"/>
          <w:color w:val="1F1F1F"/>
          <w:kern w:val="0"/>
          <w:sz w:val="22"/>
          <w:szCs w:val="22"/>
          <w:lang w:eastAsia="en-GB"/>
          <w14:ligatures w14:val="none"/>
        </w:rPr>
        <w:t>Halfacree</w:t>
      </w:r>
      <w:proofErr w:type="spellEnd"/>
      <w:r w:rsidRPr="00DD50C0">
        <w:rPr>
          <w:rFonts w:ascii="Arial" w:eastAsia="Times New Roman" w:hAnsi="Arial" w:cs="Arial"/>
          <w:color w:val="1F1F1F"/>
          <w:kern w:val="0"/>
          <w:sz w:val="22"/>
          <w:szCs w:val="22"/>
          <w:lang w:eastAsia="en-GB"/>
          <w14:ligatures w14:val="none"/>
        </w:rPr>
        <w:t xml:space="preserve">, Z.J., </w:t>
      </w:r>
      <w:proofErr w:type="spellStart"/>
      <w:r w:rsidRPr="00DD50C0">
        <w:rPr>
          <w:rFonts w:ascii="Arial" w:eastAsia="Times New Roman" w:hAnsi="Arial" w:cs="Arial"/>
          <w:color w:val="1F1F1F"/>
          <w:kern w:val="0"/>
          <w:sz w:val="22"/>
          <w:szCs w:val="22"/>
          <w:lang w:eastAsia="en-GB"/>
          <w14:ligatures w14:val="none"/>
        </w:rPr>
        <w:t>Stonehewer</w:t>
      </w:r>
      <w:proofErr w:type="spellEnd"/>
      <w:r w:rsidRPr="00DD50C0">
        <w:rPr>
          <w:rFonts w:ascii="Arial" w:eastAsia="Times New Roman" w:hAnsi="Arial" w:cs="Arial"/>
          <w:color w:val="1F1F1F"/>
          <w:kern w:val="0"/>
          <w:sz w:val="22"/>
          <w:szCs w:val="22"/>
          <w:lang w:eastAsia="en-GB"/>
          <w14:ligatures w14:val="none"/>
        </w:rPr>
        <w:t xml:space="preserve">, J., Black, D.H., </w:t>
      </w:r>
      <w:proofErr w:type="spellStart"/>
      <w:r w:rsidRPr="00DD50C0">
        <w:rPr>
          <w:rFonts w:ascii="Arial" w:eastAsia="Times New Roman" w:hAnsi="Arial" w:cs="Arial"/>
          <w:color w:val="1F1F1F"/>
          <w:kern w:val="0"/>
          <w:sz w:val="22"/>
          <w:szCs w:val="22"/>
          <w:lang w:eastAsia="en-GB"/>
          <w14:ligatures w14:val="none"/>
        </w:rPr>
        <w:t>Ravetz</w:t>
      </w:r>
      <w:proofErr w:type="spellEnd"/>
      <w:r w:rsidRPr="00DD50C0">
        <w:rPr>
          <w:rFonts w:ascii="Arial" w:eastAsia="Times New Roman" w:hAnsi="Arial" w:cs="Arial"/>
          <w:color w:val="1F1F1F"/>
          <w:kern w:val="0"/>
          <w:sz w:val="22"/>
          <w:szCs w:val="22"/>
          <w:lang w:eastAsia="en-GB"/>
          <w14:ligatures w14:val="none"/>
        </w:rPr>
        <w:t xml:space="preserve">, G., Moran, D., Boden, L. and Oxtoby, C., 2023. Sustainability policies and practices at veterinary centres in the UK and Republic of Ireland. </w:t>
      </w:r>
      <w:r w:rsidRPr="00DD50C0">
        <w:rPr>
          <w:rFonts w:ascii="Arial" w:eastAsia="Times New Roman" w:hAnsi="Arial" w:cs="Arial"/>
          <w:i/>
          <w:iCs/>
          <w:color w:val="1F1F1F"/>
          <w:kern w:val="0"/>
          <w:sz w:val="22"/>
          <w:szCs w:val="22"/>
          <w:bdr w:val="none" w:sz="0" w:space="0" w:color="auto" w:frame="1"/>
          <w:lang w:eastAsia="en-GB"/>
          <w14:ligatures w14:val="none"/>
        </w:rPr>
        <w:t>Veterinary Record</w:t>
      </w:r>
      <w:r w:rsidRPr="00DD50C0">
        <w:rPr>
          <w:rFonts w:ascii="Arial" w:eastAsia="Times New Roman" w:hAnsi="Arial" w:cs="Arial"/>
          <w:color w:val="1F1F1F"/>
          <w:kern w:val="0"/>
          <w:sz w:val="22"/>
          <w:szCs w:val="22"/>
          <w:lang w:eastAsia="en-GB"/>
          <w14:ligatures w14:val="none"/>
        </w:rPr>
        <w:t>, 193(3).</w:t>
      </w:r>
    </w:p>
    <w:p w14:paraId="00F5959A"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Kelly, C., 2018. ‘I need the sea and the sea needs me’: Symbiotic coastal policy narratives for human wellbeing and sustainability in the UK. </w:t>
      </w:r>
      <w:r w:rsidRPr="00DD50C0">
        <w:rPr>
          <w:rFonts w:ascii="Arial" w:eastAsia="Times New Roman" w:hAnsi="Arial" w:cs="Arial"/>
          <w:i/>
          <w:iCs/>
          <w:color w:val="1F1F1F"/>
          <w:kern w:val="0"/>
          <w:sz w:val="22"/>
          <w:szCs w:val="22"/>
          <w:bdr w:val="none" w:sz="0" w:space="0" w:color="auto" w:frame="1"/>
          <w:lang w:eastAsia="en-GB"/>
          <w14:ligatures w14:val="none"/>
        </w:rPr>
        <w:t>Marine Policy</w:t>
      </w:r>
      <w:r w:rsidRPr="00DD50C0">
        <w:rPr>
          <w:rFonts w:ascii="Arial" w:eastAsia="Times New Roman" w:hAnsi="Arial" w:cs="Arial"/>
          <w:color w:val="1F1F1F"/>
          <w:kern w:val="0"/>
          <w:sz w:val="22"/>
          <w:szCs w:val="22"/>
          <w:lang w:eastAsia="en-GB"/>
          <w14:ligatures w14:val="none"/>
        </w:rPr>
        <w:t>, 97, pp.223–231.</w:t>
      </w:r>
    </w:p>
    <w:p w14:paraId="6878E3C6"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Lindgren, E.C., Liveng, A. and Torp, S., 2025. Sustainability and the impact on health and wellbeing. </w:t>
      </w:r>
      <w:r w:rsidRPr="00DD50C0">
        <w:rPr>
          <w:rFonts w:ascii="Arial" w:eastAsia="Times New Roman" w:hAnsi="Arial" w:cs="Arial"/>
          <w:i/>
          <w:iCs/>
          <w:color w:val="1F1F1F"/>
          <w:kern w:val="0"/>
          <w:sz w:val="22"/>
          <w:szCs w:val="22"/>
          <w:bdr w:val="none" w:sz="0" w:space="0" w:color="auto" w:frame="1"/>
          <w:lang w:eastAsia="en-GB"/>
          <w14:ligatures w14:val="none"/>
        </w:rPr>
        <w:t>Scandinavian Journal of Public Health</w:t>
      </w:r>
      <w:r w:rsidRPr="00DD50C0">
        <w:rPr>
          <w:rFonts w:ascii="Arial" w:eastAsia="Times New Roman" w:hAnsi="Arial" w:cs="Arial"/>
          <w:color w:val="1F1F1F"/>
          <w:kern w:val="0"/>
          <w:sz w:val="22"/>
          <w:szCs w:val="22"/>
          <w:lang w:eastAsia="en-GB"/>
          <w14:ligatures w14:val="none"/>
        </w:rPr>
        <w:t>, 53(1_suppl), pp.1–6.</w:t>
      </w:r>
    </w:p>
    <w:p w14:paraId="00C710EE"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Marmot, M., 2020. </w:t>
      </w:r>
      <w:r w:rsidRPr="00DD50C0">
        <w:rPr>
          <w:rFonts w:ascii="Arial" w:eastAsia="Times New Roman" w:hAnsi="Arial" w:cs="Arial"/>
          <w:i/>
          <w:iCs/>
          <w:color w:val="1F1F1F"/>
          <w:kern w:val="0"/>
          <w:sz w:val="22"/>
          <w:szCs w:val="22"/>
          <w:bdr w:val="none" w:sz="0" w:space="0" w:color="auto" w:frame="1"/>
          <w:lang w:eastAsia="en-GB"/>
          <w14:ligatures w14:val="none"/>
        </w:rPr>
        <w:t>Sustainable health equity: Achieving a net-zero UK</w:t>
      </w:r>
      <w:r w:rsidRPr="00DD50C0">
        <w:rPr>
          <w:rFonts w:ascii="Arial" w:eastAsia="Times New Roman" w:hAnsi="Arial" w:cs="Arial"/>
          <w:color w:val="1F1F1F"/>
          <w:kern w:val="0"/>
          <w:sz w:val="22"/>
          <w:szCs w:val="22"/>
          <w:lang w:eastAsia="en-GB"/>
          <w14:ligatures w14:val="none"/>
        </w:rPr>
        <w:t>.</w:t>
      </w:r>
    </w:p>
    <w:p w14:paraId="6FE12BE9"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lastRenderedPageBreak/>
        <w:t xml:space="preserve">McKee, M., Dunnell, K., Anderson, M., </w:t>
      </w:r>
      <w:proofErr w:type="spellStart"/>
      <w:r w:rsidRPr="00DD50C0">
        <w:rPr>
          <w:rFonts w:ascii="Arial" w:eastAsia="Times New Roman" w:hAnsi="Arial" w:cs="Arial"/>
          <w:color w:val="1F1F1F"/>
          <w:kern w:val="0"/>
          <w:sz w:val="22"/>
          <w:szCs w:val="22"/>
          <w:lang w:eastAsia="en-GB"/>
          <w14:ligatures w14:val="none"/>
        </w:rPr>
        <w:t>Brayne</w:t>
      </w:r>
      <w:proofErr w:type="spellEnd"/>
      <w:r w:rsidRPr="00DD50C0">
        <w:rPr>
          <w:rFonts w:ascii="Arial" w:eastAsia="Times New Roman" w:hAnsi="Arial" w:cs="Arial"/>
          <w:color w:val="1F1F1F"/>
          <w:kern w:val="0"/>
          <w:sz w:val="22"/>
          <w:szCs w:val="22"/>
          <w:lang w:eastAsia="en-GB"/>
          <w14:ligatures w14:val="none"/>
        </w:rPr>
        <w:t xml:space="preserve">, C., Charlesworth, A., Johnston-Webber, C., Knapp, M., McGuire, A., Newton, J.N., Taylor, D. and Watt, R.G., 2021. The changing health needs of the UK population. </w:t>
      </w:r>
      <w:r w:rsidRPr="00DD50C0">
        <w:rPr>
          <w:rFonts w:ascii="Arial" w:eastAsia="Times New Roman" w:hAnsi="Arial" w:cs="Arial"/>
          <w:i/>
          <w:iCs/>
          <w:color w:val="1F1F1F"/>
          <w:kern w:val="0"/>
          <w:sz w:val="22"/>
          <w:szCs w:val="22"/>
          <w:bdr w:val="none" w:sz="0" w:space="0" w:color="auto" w:frame="1"/>
          <w:lang w:eastAsia="en-GB"/>
          <w14:ligatures w14:val="none"/>
        </w:rPr>
        <w:t>The Lancet</w:t>
      </w:r>
      <w:r w:rsidRPr="00DD50C0">
        <w:rPr>
          <w:rFonts w:ascii="Arial" w:eastAsia="Times New Roman" w:hAnsi="Arial" w:cs="Arial"/>
          <w:color w:val="1F1F1F"/>
          <w:kern w:val="0"/>
          <w:sz w:val="22"/>
          <w:szCs w:val="22"/>
          <w:lang w:eastAsia="en-GB"/>
          <w14:ligatures w14:val="none"/>
        </w:rPr>
        <w:t>, 397(10288), pp.1979–1991.</w:t>
      </w:r>
    </w:p>
    <w:p w14:paraId="2C5E855B"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Morse, T., 2022. </w:t>
      </w:r>
      <w:r w:rsidRPr="00DD50C0">
        <w:rPr>
          <w:rFonts w:ascii="Arial" w:eastAsia="Times New Roman" w:hAnsi="Arial" w:cs="Arial"/>
          <w:i/>
          <w:iCs/>
          <w:color w:val="1F1F1F"/>
          <w:kern w:val="0"/>
          <w:sz w:val="22"/>
          <w:szCs w:val="22"/>
          <w:bdr w:val="none" w:sz="0" w:space="0" w:color="auto" w:frame="1"/>
          <w:lang w:eastAsia="en-GB"/>
          <w14:ligatures w14:val="none"/>
        </w:rPr>
        <w:t>Good health and well-being</w:t>
      </w:r>
      <w:r w:rsidRPr="00DD50C0">
        <w:rPr>
          <w:rFonts w:ascii="Arial" w:eastAsia="Times New Roman" w:hAnsi="Arial" w:cs="Arial"/>
          <w:color w:val="1F1F1F"/>
          <w:kern w:val="0"/>
          <w:sz w:val="22"/>
          <w:szCs w:val="22"/>
          <w:lang w:eastAsia="en-GB"/>
          <w14:ligatures w14:val="none"/>
        </w:rPr>
        <w:t>.</w:t>
      </w:r>
    </w:p>
    <w:p w14:paraId="412EAEE1"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Munro, A., Boyce, T. and Marmot, M., 2020. Sustainable health equity: Achieving a net-zero UK. </w:t>
      </w:r>
      <w:r w:rsidRPr="00DD50C0">
        <w:rPr>
          <w:rFonts w:ascii="Arial" w:eastAsia="Times New Roman" w:hAnsi="Arial" w:cs="Arial"/>
          <w:i/>
          <w:iCs/>
          <w:color w:val="1F1F1F"/>
          <w:kern w:val="0"/>
          <w:sz w:val="22"/>
          <w:szCs w:val="22"/>
          <w:bdr w:val="none" w:sz="0" w:space="0" w:color="auto" w:frame="1"/>
          <w:lang w:eastAsia="en-GB"/>
          <w14:ligatures w14:val="none"/>
        </w:rPr>
        <w:t>The Lancet Planetary Health</w:t>
      </w:r>
      <w:r w:rsidRPr="00DD50C0">
        <w:rPr>
          <w:rFonts w:ascii="Arial" w:eastAsia="Times New Roman" w:hAnsi="Arial" w:cs="Arial"/>
          <w:color w:val="1F1F1F"/>
          <w:kern w:val="0"/>
          <w:sz w:val="22"/>
          <w:szCs w:val="22"/>
          <w:lang w:eastAsia="en-GB"/>
          <w14:ligatures w14:val="none"/>
        </w:rPr>
        <w:t xml:space="preserve">, 4(12), </w:t>
      </w:r>
      <w:proofErr w:type="gramStart"/>
      <w:r w:rsidRPr="00DD50C0">
        <w:rPr>
          <w:rFonts w:ascii="Arial" w:eastAsia="Times New Roman" w:hAnsi="Arial" w:cs="Arial"/>
          <w:color w:val="1F1F1F"/>
          <w:kern w:val="0"/>
          <w:sz w:val="22"/>
          <w:szCs w:val="22"/>
          <w:lang w:eastAsia="en-GB"/>
          <w14:ligatures w14:val="none"/>
        </w:rPr>
        <w:t>pp.e</w:t>
      </w:r>
      <w:proofErr w:type="gramEnd"/>
      <w:r w:rsidRPr="00DD50C0">
        <w:rPr>
          <w:rFonts w:ascii="Arial" w:eastAsia="Times New Roman" w:hAnsi="Arial" w:cs="Arial"/>
          <w:color w:val="1F1F1F"/>
          <w:kern w:val="0"/>
          <w:sz w:val="22"/>
          <w:szCs w:val="22"/>
          <w:lang w:eastAsia="en-GB"/>
          <w14:ligatures w14:val="none"/>
        </w:rPr>
        <w:t>551–e553.</w:t>
      </w:r>
    </w:p>
    <w:p w14:paraId="36F7B7C5"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Naylor, C. and Appleby, J., 2013. Environmentally sustainable health and social care: Scoping review and implications for the English NHS. </w:t>
      </w:r>
      <w:r w:rsidRPr="00DD50C0">
        <w:rPr>
          <w:rFonts w:ascii="Arial" w:eastAsia="Times New Roman" w:hAnsi="Arial" w:cs="Arial"/>
          <w:i/>
          <w:iCs/>
          <w:color w:val="1F1F1F"/>
          <w:kern w:val="0"/>
          <w:sz w:val="22"/>
          <w:szCs w:val="22"/>
          <w:bdr w:val="none" w:sz="0" w:space="0" w:color="auto" w:frame="1"/>
          <w:lang w:eastAsia="en-GB"/>
          <w14:ligatures w14:val="none"/>
        </w:rPr>
        <w:t>Journal of Health Services Research &amp; Policy</w:t>
      </w:r>
      <w:r w:rsidRPr="00DD50C0">
        <w:rPr>
          <w:rFonts w:ascii="Arial" w:eastAsia="Times New Roman" w:hAnsi="Arial" w:cs="Arial"/>
          <w:color w:val="1F1F1F"/>
          <w:kern w:val="0"/>
          <w:sz w:val="22"/>
          <w:szCs w:val="22"/>
          <w:lang w:eastAsia="en-GB"/>
          <w14:ligatures w14:val="none"/>
        </w:rPr>
        <w:t>, 18(2), pp.114–121.</w:t>
      </w:r>
    </w:p>
    <w:p w14:paraId="5851C5B9"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NHS England, 2025. </w:t>
      </w:r>
      <w:r w:rsidRPr="00DD50C0">
        <w:rPr>
          <w:rFonts w:ascii="Arial" w:eastAsia="Times New Roman" w:hAnsi="Arial" w:cs="Arial"/>
          <w:i/>
          <w:iCs/>
          <w:color w:val="1F1F1F"/>
          <w:kern w:val="0"/>
          <w:sz w:val="22"/>
          <w:szCs w:val="22"/>
          <w:bdr w:val="none" w:sz="0" w:space="0" w:color="auto" w:frame="1"/>
          <w:lang w:eastAsia="en-GB"/>
          <w14:ligatures w14:val="none"/>
        </w:rPr>
        <w:t>Evaluating progress in mental health service ambitions – Quarter 2 2025-26 update</w:t>
      </w:r>
      <w:r w:rsidRPr="00DD50C0">
        <w:rPr>
          <w:rFonts w:ascii="Arial" w:eastAsia="Times New Roman" w:hAnsi="Arial" w:cs="Arial"/>
          <w:color w:val="1F1F1F"/>
          <w:kern w:val="0"/>
          <w:sz w:val="22"/>
          <w:szCs w:val="22"/>
          <w:lang w:eastAsia="en-GB"/>
          <w14:ligatures w14:val="none"/>
        </w:rPr>
        <w:t xml:space="preserve">. [online] Available at: </w:t>
      </w:r>
      <w:hyperlink r:id="rId10" w:tooltip="null" w:history="1">
        <w:r w:rsidRPr="00DD50C0">
          <w:rPr>
            <w:rFonts w:ascii="Arial" w:eastAsia="Times New Roman" w:hAnsi="Arial" w:cs="Arial"/>
            <w:color w:val="0B57D0"/>
            <w:kern w:val="0"/>
            <w:sz w:val="22"/>
            <w:szCs w:val="22"/>
            <w:u w:val="single"/>
            <w:bdr w:val="none" w:sz="0" w:space="0" w:color="auto" w:frame="1"/>
            <w:lang w:eastAsia="en-GB"/>
            <w14:ligatures w14:val="none"/>
          </w:rPr>
          <w:t>https://www.england.nhs.uk/mental-health/taskforce/imp/mh-dashboard/</w:t>
        </w:r>
      </w:hyperlink>
      <w:r w:rsidRPr="00DD50C0">
        <w:rPr>
          <w:rFonts w:ascii="Arial" w:eastAsia="Times New Roman" w:hAnsi="Arial" w:cs="Arial"/>
          <w:color w:val="1F1F1F"/>
          <w:kern w:val="0"/>
          <w:sz w:val="22"/>
          <w:szCs w:val="22"/>
          <w:lang w:eastAsia="en-GB"/>
          <w14:ligatures w14:val="none"/>
        </w:rPr>
        <w:t xml:space="preserve"> </w:t>
      </w:r>
    </w:p>
    <w:p w14:paraId="541B3D25" w14:textId="77777777" w:rsidR="00BA5755" w:rsidRPr="00DD50C0" w:rsidRDefault="00BA5755" w:rsidP="00876C33">
      <w:pPr>
        <w:spacing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Office for National Statistics (ONS), 2025. </w:t>
      </w:r>
      <w:r w:rsidRPr="00DD50C0">
        <w:rPr>
          <w:rFonts w:ascii="Arial" w:eastAsia="Times New Roman" w:hAnsi="Arial" w:cs="Arial"/>
          <w:i/>
          <w:iCs/>
          <w:color w:val="1F1F1F"/>
          <w:kern w:val="0"/>
          <w:sz w:val="22"/>
          <w:szCs w:val="22"/>
          <w:bdr w:val="none" w:sz="0" w:space="0" w:color="auto" w:frame="1"/>
          <w:lang w:eastAsia="en-GB"/>
          <w14:ligatures w14:val="none"/>
        </w:rPr>
        <w:t>Public opinions and social trends, Great Britain: April 2025</w:t>
      </w:r>
      <w:r w:rsidRPr="00DD50C0">
        <w:rPr>
          <w:rFonts w:ascii="Arial" w:eastAsia="Times New Roman" w:hAnsi="Arial" w:cs="Arial"/>
          <w:color w:val="1F1F1F"/>
          <w:kern w:val="0"/>
          <w:sz w:val="22"/>
          <w:szCs w:val="22"/>
          <w:lang w:eastAsia="en-GB"/>
          <w14:ligatures w14:val="none"/>
        </w:rPr>
        <w:t>. Available at: https://www.ons.gov.uk/peoplepopulationandcommunity/wellbeing/bulletins/publicopinionsandsocialtrendsgreatbritain/july2025</w:t>
      </w:r>
    </w:p>
    <w:p w14:paraId="3405A6B5"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Public Health Wales, 2023. </w:t>
      </w:r>
      <w:r w:rsidRPr="00DD50C0">
        <w:rPr>
          <w:rFonts w:ascii="Arial" w:eastAsia="Times New Roman" w:hAnsi="Arial" w:cs="Arial"/>
          <w:i/>
          <w:iCs/>
          <w:color w:val="1F1F1F"/>
          <w:kern w:val="0"/>
          <w:sz w:val="22"/>
          <w:szCs w:val="22"/>
          <w:bdr w:val="none" w:sz="0" w:space="0" w:color="auto" w:frame="1"/>
          <w:lang w:eastAsia="en-GB"/>
          <w14:ligatures w14:val="none"/>
        </w:rPr>
        <w:t>Our Well-being Statement 2023</w:t>
      </w:r>
      <w:r w:rsidRPr="00DD50C0">
        <w:rPr>
          <w:rFonts w:ascii="Arial" w:eastAsia="Times New Roman" w:hAnsi="Arial" w:cs="Arial"/>
          <w:color w:val="1F1F1F"/>
          <w:kern w:val="0"/>
          <w:sz w:val="22"/>
          <w:szCs w:val="22"/>
          <w:lang w:eastAsia="en-GB"/>
          <w14:ligatures w14:val="none"/>
        </w:rPr>
        <w:t xml:space="preserve">. Available at:  https://phw.nhs.wales/about-us/working-together-for-a-healthier-wales/wellbeing-statement/ </w:t>
      </w:r>
    </w:p>
    <w:p w14:paraId="57D947AB"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Thomson, L.J., Gordon-Nesbitt, R., Elsden, E. and Chatterjee, H.J., 2021. The role of cultural, community and natural assets in addressing societal and structural health inequalities in the UK: Future research priorities. </w:t>
      </w:r>
      <w:r w:rsidRPr="00DD50C0">
        <w:rPr>
          <w:rFonts w:ascii="Arial" w:eastAsia="Times New Roman" w:hAnsi="Arial" w:cs="Arial"/>
          <w:i/>
          <w:iCs/>
          <w:color w:val="1F1F1F"/>
          <w:kern w:val="0"/>
          <w:sz w:val="22"/>
          <w:szCs w:val="22"/>
          <w:bdr w:val="none" w:sz="0" w:space="0" w:color="auto" w:frame="1"/>
          <w:lang w:eastAsia="en-GB"/>
          <w14:ligatures w14:val="none"/>
        </w:rPr>
        <w:t>International Journal for Equity in Health</w:t>
      </w:r>
      <w:r w:rsidRPr="00DD50C0">
        <w:rPr>
          <w:rFonts w:ascii="Arial" w:eastAsia="Times New Roman" w:hAnsi="Arial" w:cs="Arial"/>
          <w:color w:val="1F1F1F"/>
          <w:kern w:val="0"/>
          <w:sz w:val="22"/>
          <w:szCs w:val="22"/>
          <w:lang w:eastAsia="en-GB"/>
          <w14:ligatures w14:val="none"/>
        </w:rPr>
        <w:t>, 20(1), p.249.</w:t>
      </w:r>
    </w:p>
    <w:p w14:paraId="459F43C3" w14:textId="77777777" w:rsidR="00BA5755" w:rsidRPr="00DD50C0" w:rsidRDefault="00BA5755" w:rsidP="00876C33">
      <w:pPr>
        <w:spacing w:after="0" w:line="360" w:lineRule="auto"/>
        <w:ind w:left="720" w:hanging="720"/>
        <w:rPr>
          <w:rFonts w:ascii="Arial" w:eastAsia="Times New Roman" w:hAnsi="Arial" w:cs="Arial"/>
          <w:color w:val="1F1F1F"/>
          <w:kern w:val="0"/>
          <w:sz w:val="22"/>
          <w:szCs w:val="22"/>
          <w:lang w:eastAsia="en-GB"/>
          <w14:ligatures w14:val="none"/>
        </w:rPr>
      </w:pPr>
      <w:r w:rsidRPr="00DD50C0">
        <w:rPr>
          <w:rFonts w:ascii="Arial" w:eastAsia="Times New Roman" w:hAnsi="Arial" w:cs="Arial"/>
          <w:color w:val="1F1F1F"/>
          <w:kern w:val="0"/>
          <w:sz w:val="22"/>
          <w:szCs w:val="22"/>
          <w:lang w:eastAsia="en-GB"/>
          <w14:ligatures w14:val="none"/>
        </w:rPr>
        <w:t xml:space="preserve">UNICEF, 2024. </w:t>
      </w:r>
      <w:r w:rsidRPr="00DD50C0">
        <w:rPr>
          <w:rFonts w:ascii="Arial" w:eastAsia="Times New Roman" w:hAnsi="Arial" w:cs="Arial"/>
          <w:i/>
          <w:iCs/>
          <w:color w:val="1F1F1F"/>
          <w:kern w:val="0"/>
          <w:sz w:val="22"/>
          <w:szCs w:val="22"/>
          <w:bdr w:val="none" w:sz="0" w:space="0" w:color="auto" w:frame="1"/>
          <w:lang w:eastAsia="en-GB"/>
          <w14:ligatures w14:val="none"/>
        </w:rPr>
        <w:t>SDG Goal 3: Good Health and Well-being</w:t>
      </w:r>
      <w:r w:rsidRPr="00DD50C0">
        <w:rPr>
          <w:rFonts w:ascii="Arial" w:eastAsia="Times New Roman" w:hAnsi="Arial" w:cs="Arial"/>
          <w:color w:val="1F1F1F"/>
          <w:kern w:val="0"/>
          <w:sz w:val="22"/>
          <w:szCs w:val="22"/>
          <w:lang w:eastAsia="en-GB"/>
          <w14:ligatures w14:val="none"/>
        </w:rPr>
        <w:t>. Available at: https://data.unicef.org/sdgs/goal-3-good-health-wellbeing/</w:t>
      </w:r>
    </w:p>
    <w:p w14:paraId="0C06A846" w14:textId="77777777" w:rsidR="00B12DB1" w:rsidRPr="005B0E1A" w:rsidRDefault="00B12DB1" w:rsidP="00876C33">
      <w:pPr>
        <w:spacing w:line="360" w:lineRule="auto"/>
        <w:rPr>
          <w:rFonts w:ascii="Times New Roman" w:hAnsi="Times New Roman" w:cs="Times New Roman"/>
        </w:rPr>
      </w:pPr>
    </w:p>
    <w:sectPr w:rsidR="00B12DB1" w:rsidRPr="005B0E1A" w:rsidSect="005B0E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7B056B" w14:textId="77777777" w:rsidR="004809E2" w:rsidRDefault="004809E2" w:rsidP="00F51931">
      <w:pPr>
        <w:spacing w:after="0" w:line="240" w:lineRule="auto"/>
      </w:pPr>
      <w:r>
        <w:separator/>
      </w:r>
    </w:p>
  </w:endnote>
  <w:endnote w:type="continuationSeparator" w:id="0">
    <w:p w14:paraId="136FA45F" w14:textId="77777777" w:rsidR="004809E2" w:rsidRDefault="004809E2" w:rsidP="00F51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E67BD" w14:textId="77777777" w:rsidR="004809E2" w:rsidRDefault="004809E2" w:rsidP="00F51931">
      <w:pPr>
        <w:spacing w:after="0" w:line="240" w:lineRule="auto"/>
      </w:pPr>
      <w:r>
        <w:separator/>
      </w:r>
    </w:p>
  </w:footnote>
  <w:footnote w:type="continuationSeparator" w:id="0">
    <w:p w14:paraId="4AFC79CE" w14:textId="77777777" w:rsidR="004809E2" w:rsidRDefault="004809E2" w:rsidP="00F51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4208A"/>
    <w:multiLevelType w:val="multilevel"/>
    <w:tmpl w:val="FFFAA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9161F"/>
    <w:multiLevelType w:val="multilevel"/>
    <w:tmpl w:val="9154B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EB56C7"/>
    <w:multiLevelType w:val="multilevel"/>
    <w:tmpl w:val="98BCD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DB1"/>
    <w:rsid w:val="0047429C"/>
    <w:rsid w:val="004809E2"/>
    <w:rsid w:val="005B0E1A"/>
    <w:rsid w:val="00681901"/>
    <w:rsid w:val="00876C33"/>
    <w:rsid w:val="00A14D79"/>
    <w:rsid w:val="00AC0B0E"/>
    <w:rsid w:val="00B12DB1"/>
    <w:rsid w:val="00BA5755"/>
    <w:rsid w:val="00DD50C0"/>
    <w:rsid w:val="00F51931"/>
    <w:rsid w:val="00F55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66921"/>
  <w15:chartTrackingRefBased/>
  <w15:docId w15:val="{78289959-4A08-4D80-A233-E99673D40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0E1A"/>
  </w:style>
  <w:style w:type="paragraph" w:styleId="Heading1">
    <w:name w:val="heading 1"/>
    <w:basedOn w:val="Normal"/>
    <w:next w:val="Normal"/>
    <w:link w:val="Heading1Char"/>
    <w:uiPriority w:val="9"/>
    <w:qFormat/>
    <w:rsid w:val="00B12D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2D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2D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2D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2D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2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D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2D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2D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2D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2D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2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DB1"/>
    <w:rPr>
      <w:rFonts w:eastAsiaTheme="majorEastAsia" w:cstheme="majorBidi"/>
      <w:color w:val="272727" w:themeColor="text1" w:themeTint="D8"/>
    </w:rPr>
  </w:style>
  <w:style w:type="paragraph" w:styleId="Title">
    <w:name w:val="Title"/>
    <w:basedOn w:val="Normal"/>
    <w:next w:val="Normal"/>
    <w:link w:val="TitleChar"/>
    <w:uiPriority w:val="10"/>
    <w:qFormat/>
    <w:rsid w:val="00B12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DB1"/>
    <w:pPr>
      <w:spacing w:before="160"/>
      <w:jc w:val="center"/>
    </w:pPr>
    <w:rPr>
      <w:i/>
      <w:iCs/>
      <w:color w:val="404040" w:themeColor="text1" w:themeTint="BF"/>
    </w:rPr>
  </w:style>
  <w:style w:type="character" w:customStyle="1" w:styleId="QuoteChar">
    <w:name w:val="Quote Char"/>
    <w:basedOn w:val="DefaultParagraphFont"/>
    <w:link w:val="Quote"/>
    <w:uiPriority w:val="29"/>
    <w:rsid w:val="00B12DB1"/>
    <w:rPr>
      <w:i/>
      <w:iCs/>
      <w:color w:val="404040" w:themeColor="text1" w:themeTint="BF"/>
    </w:rPr>
  </w:style>
  <w:style w:type="paragraph" w:styleId="ListParagraph">
    <w:name w:val="List Paragraph"/>
    <w:basedOn w:val="Normal"/>
    <w:uiPriority w:val="34"/>
    <w:qFormat/>
    <w:rsid w:val="00B12DB1"/>
    <w:pPr>
      <w:ind w:left="720"/>
      <w:contextualSpacing/>
    </w:pPr>
  </w:style>
  <w:style w:type="character" w:styleId="IntenseEmphasis">
    <w:name w:val="Intense Emphasis"/>
    <w:basedOn w:val="DefaultParagraphFont"/>
    <w:uiPriority w:val="21"/>
    <w:qFormat/>
    <w:rsid w:val="00B12DB1"/>
    <w:rPr>
      <w:i/>
      <w:iCs/>
      <w:color w:val="2F5496" w:themeColor="accent1" w:themeShade="BF"/>
    </w:rPr>
  </w:style>
  <w:style w:type="paragraph" w:styleId="IntenseQuote">
    <w:name w:val="Intense Quote"/>
    <w:basedOn w:val="Normal"/>
    <w:next w:val="Normal"/>
    <w:link w:val="IntenseQuoteChar"/>
    <w:uiPriority w:val="30"/>
    <w:qFormat/>
    <w:rsid w:val="00B12D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2DB1"/>
    <w:rPr>
      <w:i/>
      <w:iCs/>
      <w:color w:val="2F5496" w:themeColor="accent1" w:themeShade="BF"/>
    </w:rPr>
  </w:style>
  <w:style w:type="character" w:styleId="IntenseReference">
    <w:name w:val="Intense Reference"/>
    <w:basedOn w:val="DefaultParagraphFont"/>
    <w:uiPriority w:val="32"/>
    <w:qFormat/>
    <w:rsid w:val="00B12DB1"/>
    <w:rPr>
      <w:b/>
      <w:bCs/>
      <w:smallCaps/>
      <w:color w:val="2F5496" w:themeColor="accent1" w:themeShade="BF"/>
      <w:spacing w:val="5"/>
    </w:rPr>
  </w:style>
  <w:style w:type="paragraph" w:styleId="TOCHeading">
    <w:name w:val="TOC Heading"/>
    <w:basedOn w:val="Heading1"/>
    <w:next w:val="Normal"/>
    <w:uiPriority w:val="39"/>
    <w:unhideWhenUsed/>
    <w:qFormat/>
    <w:rsid w:val="00B12DB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12DB1"/>
    <w:pPr>
      <w:spacing w:after="100"/>
    </w:pPr>
  </w:style>
  <w:style w:type="paragraph" w:styleId="TOC2">
    <w:name w:val="toc 2"/>
    <w:basedOn w:val="Normal"/>
    <w:next w:val="Normal"/>
    <w:autoRedefine/>
    <w:uiPriority w:val="39"/>
    <w:unhideWhenUsed/>
    <w:rsid w:val="00B12DB1"/>
    <w:pPr>
      <w:spacing w:after="100"/>
      <w:ind w:left="240"/>
    </w:pPr>
  </w:style>
  <w:style w:type="character" w:styleId="Hyperlink">
    <w:name w:val="Hyperlink"/>
    <w:basedOn w:val="DefaultParagraphFont"/>
    <w:uiPriority w:val="99"/>
    <w:unhideWhenUsed/>
    <w:rsid w:val="00B12DB1"/>
    <w:rPr>
      <w:color w:val="0563C1" w:themeColor="hyperlink"/>
      <w:u w:val="single"/>
    </w:rPr>
  </w:style>
  <w:style w:type="character" w:styleId="UnresolvedMention">
    <w:name w:val="Unresolved Mention"/>
    <w:basedOn w:val="DefaultParagraphFont"/>
    <w:uiPriority w:val="99"/>
    <w:semiHidden/>
    <w:unhideWhenUsed/>
    <w:rsid w:val="00BA5755"/>
    <w:rPr>
      <w:color w:val="605E5C"/>
      <w:shd w:val="clear" w:color="auto" w:fill="E1DFDD"/>
    </w:rPr>
  </w:style>
  <w:style w:type="paragraph" w:styleId="Header">
    <w:name w:val="header"/>
    <w:basedOn w:val="Normal"/>
    <w:link w:val="HeaderChar"/>
    <w:uiPriority w:val="99"/>
    <w:unhideWhenUsed/>
    <w:rsid w:val="00F519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1931"/>
  </w:style>
  <w:style w:type="paragraph" w:styleId="Footer">
    <w:name w:val="footer"/>
    <w:basedOn w:val="Normal"/>
    <w:link w:val="FooterChar"/>
    <w:uiPriority w:val="99"/>
    <w:unhideWhenUsed/>
    <w:rsid w:val="00F519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1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72629">
      <w:bodyDiv w:val="1"/>
      <w:marLeft w:val="0"/>
      <w:marRight w:val="0"/>
      <w:marTop w:val="0"/>
      <w:marBottom w:val="0"/>
      <w:divBdr>
        <w:top w:val="none" w:sz="0" w:space="0" w:color="auto"/>
        <w:left w:val="none" w:sz="0" w:space="0" w:color="auto"/>
        <w:bottom w:val="none" w:sz="0" w:space="0" w:color="auto"/>
        <w:right w:val="none" w:sz="0" w:space="0" w:color="auto"/>
      </w:divBdr>
    </w:div>
    <w:div w:id="198091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ngland.nhs.uk/mental-health/taskforce/imp/mh-dashboard/" TargetMode="External"/><Relationship Id="rId4" Type="http://schemas.openxmlformats.org/officeDocument/2006/relationships/settings" Target="settings.xml"/><Relationship Id="rId9" Type="http://schemas.openxmlformats.org/officeDocument/2006/relationships/hyperlink" Target="https://www.gov.wales/wellbeing-wales-2024-healthier-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12E36-AE80-5946-98AB-B80BCB51B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2888</Words>
  <Characters>16464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Microsoft Office User</cp:lastModifiedBy>
  <cp:revision>2</cp:revision>
  <dcterms:created xsi:type="dcterms:W3CDTF">2026-04-19T22:14:00Z</dcterms:created>
  <dcterms:modified xsi:type="dcterms:W3CDTF">2026-04-19T22:14:00Z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abafda13-9b18-4516-9339-6cef325d3e4d</vt:lpwstr>
  </property>
</Properties>
</file>