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75900" w14:textId="7681F508" w:rsidR="00000000" w:rsidRDefault="00DF2C2E" w:rsidP="00DF2C2E">
      <w:pPr>
        <w:jc w:val="center"/>
        <w:rPr>
          <w:rFonts w:ascii="Georgia" w:hAnsi="Georgia"/>
          <w:sz w:val="32"/>
          <w:szCs w:val="32"/>
          <w:u w:val="single"/>
        </w:rPr>
      </w:pPr>
      <w:r w:rsidRPr="00DF2C2E">
        <w:rPr>
          <w:rFonts w:ascii="Georgia" w:hAnsi="Georgia"/>
          <w:sz w:val="32"/>
          <w:szCs w:val="32"/>
          <w:u w:val="single"/>
        </w:rPr>
        <w:t>Reflective Essay</w:t>
      </w:r>
    </w:p>
    <w:p w14:paraId="2EAE9B32" w14:textId="77777777" w:rsidR="00665820" w:rsidRDefault="00665820" w:rsidP="00DF2C2E">
      <w:pPr>
        <w:jc w:val="center"/>
        <w:rPr>
          <w:rFonts w:ascii="Georgia" w:hAnsi="Georgia"/>
          <w:sz w:val="32"/>
          <w:szCs w:val="32"/>
          <w:u w:val="single"/>
        </w:rPr>
      </w:pPr>
    </w:p>
    <w:p w14:paraId="794CA704" w14:textId="493FB4C7" w:rsidR="00DF2C2E" w:rsidRDefault="00DF2C2E" w:rsidP="00627C69">
      <w:pPr>
        <w:spacing w:line="480" w:lineRule="auto"/>
        <w:ind w:firstLine="720"/>
        <w:jc w:val="both"/>
        <w:rPr>
          <w:rFonts w:ascii="Georgia" w:hAnsi="Georgia"/>
          <w:sz w:val="24"/>
          <w:szCs w:val="24"/>
        </w:rPr>
      </w:pPr>
      <w:r w:rsidRPr="00DF2C2E">
        <w:rPr>
          <w:rFonts w:ascii="Georgia" w:hAnsi="Georgia"/>
          <w:sz w:val="24"/>
          <w:szCs w:val="24"/>
        </w:rPr>
        <w:t xml:space="preserve">In this essay I will discuss </w:t>
      </w:r>
      <w:r w:rsidR="009251E6">
        <w:rPr>
          <w:rFonts w:ascii="Georgia" w:hAnsi="Georgia"/>
          <w:sz w:val="24"/>
          <w:szCs w:val="24"/>
        </w:rPr>
        <w:t>how I used the techniques of narration and POV shifts to enhance my piece: ‘</w:t>
      </w:r>
      <w:r w:rsidR="009251E6" w:rsidRPr="009251E6">
        <w:rPr>
          <w:rFonts w:ascii="Georgia" w:hAnsi="Georgia"/>
          <w:i/>
          <w:iCs/>
          <w:sz w:val="24"/>
          <w:szCs w:val="24"/>
        </w:rPr>
        <w:t>Renegades</w:t>
      </w:r>
      <w:r w:rsidR="009251E6">
        <w:rPr>
          <w:rFonts w:ascii="Georgia" w:hAnsi="Georgia"/>
          <w:sz w:val="24"/>
          <w:szCs w:val="24"/>
        </w:rPr>
        <w:t>’. I will also outline some of the skills I played with while developing my work, and the feedback that helped me to use the best choice of style and technique best suited to my script.</w:t>
      </w:r>
    </w:p>
    <w:p w14:paraId="03FEFD5C" w14:textId="77777777" w:rsidR="00627C69" w:rsidRDefault="007B5EB9" w:rsidP="00627C69">
      <w:pPr>
        <w:spacing w:line="480" w:lineRule="auto"/>
        <w:ind w:firstLine="720"/>
        <w:jc w:val="both"/>
        <w:rPr>
          <w:rFonts w:ascii="Georgia" w:hAnsi="Georgia"/>
          <w:sz w:val="24"/>
          <w:szCs w:val="24"/>
        </w:rPr>
      </w:pPr>
      <w:r>
        <w:rPr>
          <w:rFonts w:ascii="Georgia" w:hAnsi="Georgia"/>
          <w:sz w:val="24"/>
          <w:szCs w:val="24"/>
        </w:rPr>
        <w:t xml:space="preserve">The original inspiration for my piece was a novel I began writing, that upon further consideration, I realised would fit into the style and conventions of a feature film or made for television series. With it’s fight scenes and heavy reliance upon future technology and imagery that might be hard to conjure with words, it was not made to be a novel. While converting my story to this new format, I came across some difficulties with the exposition; being that the world building has rules and background that needed to be elaborated on, without relying on unrealistic, chunky dialogue. </w:t>
      </w:r>
      <w:r w:rsidR="00246099">
        <w:rPr>
          <w:rFonts w:ascii="Georgia" w:hAnsi="Georgia"/>
          <w:sz w:val="24"/>
          <w:szCs w:val="24"/>
        </w:rPr>
        <w:t>In Adam Kay’s, ‘</w:t>
      </w:r>
      <w:r w:rsidR="00246099" w:rsidRPr="00246099">
        <w:rPr>
          <w:rFonts w:ascii="Georgia" w:hAnsi="Georgia"/>
          <w:i/>
          <w:iCs/>
          <w:sz w:val="24"/>
          <w:szCs w:val="24"/>
        </w:rPr>
        <w:t>This is going to hurt’</w:t>
      </w:r>
      <w:r w:rsidR="00246099">
        <w:rPr>
          <w:rFonts w:ascii="Georgia" w:hAnsi="Georgia"/>
          <w:sz w:val="24"/>
          <w:szCs w:val="24"/>
        </w:rPr>
        <w:t>, a medical comedy-drama, he uses character asides to provide explanations that an audience without doctoral knowledge might need to understand the show</w:t>
      </w:r>
      <w:r w:rsidR="00780DAA">
        <w:rPr>
          <w:rStyle w:val="FootnoteReference"/>
          <w:rFonts w:ascii="Georgia" w:hAnsi="Georgia"/>
          <w:sz w:val="24"/>
          <w:szCs w:val="24"/>
        </w:rPr>
        <w:footnoteReference w:id="1"/>
      </w:r>
      <w:r w:rsidR="00246099">
        <w:rPr>
          <w:rFonts w:ascii="Georgia" w:hAnsi="Georgia"/>
          <w:sz w:val="24"/>
          <w:szCs w:val="24"/>
        </w:rPr>
        <w:t xml:space="preserve">. </w:t>
      </w:r>
    </w:p>
    <w:p w14:paraId="7E6FC2BE" w14:textId="14AF4F0A" w:rsidR="009251E6" w:rsidRPr="00627C69" w:rsidRDefault="00246099" w:rsidP="00627C69">
      <w:pPr>
        <w:spacing w:line="480" w:lineRule="auto"/>
        <w:ind w:firstLine="720"/>
        <w:jc w:val="both"/>
        <w:rPr>
          <w:rFonts w:ascii="Georgia" w:hAnsi="Georgia"/>
          <w:sz w:val="24"/>
          <w:szCs w:val="24"/>
        </w:rPr>
      </w:pPr>
      <w:r>
        <w:rPr>
          <w:rFonts w:ascii="Georgia" w:hAnsi="Georgia"/>
          <w:sz w:val="24"/>
          <w:szCs w:val="24"/>
        </w:rPr>
        <w:t xml:space="preserve">I took inspiration from this, attempting to emulate the sometimes dry-comedic way of providing exposition, </w:t>
      </w:r>
      <w:r w:rsidR="00893C8B">
        <w:rPr>
          <w:rFonts w:ascii="Georgia" w:hAnsi="Georgia"/>
          <w:sz w:val="24"/>
          <w:szCs w:val="24"/>
        </w:rPr>
        <w:t>but through narration rather than camera asides. Another example which I used as a jumping off point, was Russell T Davies ‘</w:t>
      </w:r>
      <w:r w:rsidR="00893C8B" w:rsidRPr="00893C8B">
        <w:rPr>
          <w:rFonts w:ascii="Georgia" w:hAnsi="Georgia"/>
          <w:i/>
          <w:iCs/>
          <w:sz w:val="24"/>
          <w:szCs w:val="24"/>
        </w:rPr>
        <w:t>Love and Monsters’</w:t>
      </w:r>
      <w:r w:rsidR="00893C8B">
        <w:rPr>
          <w:rFonts w:ascii="Georgia" w:hAnsi="Georgia"/>
          <w:sz w:val="24"/>
          <w:szCs w:val="24"/>
        </w:rPr>
        <w:t xml:space="preserve"> episode of ‘</w:t>
      </w:r>
      <w:r w:rsidR="00893C8B" w:rsidRPr="00893C8B">
        <w:rPr>
          <w:rFonts w:ascii="Georgia" w:hAnsi="Georgia"/>
          <w:i/>
          <w:iCs/>
          <w:sz w:val="24"/>
          <w:szCs w:val="24"/>
        </w:rPr>
        <w:t>Doctor Who’</w:t>
      </w:r>
      <w:r w:rsidR="00893C8B">
        <w:rPr>
          <w:rFonts w:ascii="Georgia" w:hAnsi="Georgia"/>
          <w:sz w:val="24"/>
          <w:szCs w:val="24"/>
        </w:rPr>
        <w:t>, in which Elton (the episodes protagonist) provides exposition by talking to the camera in the style of a blog recording</w:t>
      </w:r>
      <w:r w:rsidR="003125C6">
        <w:rPr>
          <w:rStyle w:val="FootnoteReference"/>
          <w:rFonts w:ascii="Georgia" w:hAnsi="Georgia"/>
          <w:sz w:val="24"/>
          <w:szCs w:val="24"/>
        </w:rPr>
        <w:footnoteReference w:id="2"/>
      </w:r>
      <w:r w:rsidR="00893C8B">
        <w:rPr>
          <w:rFonts w:ascii="Georgia" w:hAnsi="Georgia"/>
          <w:sz w:val="24"/>
          <w:szCs w:val="24"/>
        </w:rPr>
        <w:t xml:space="preserve">. </w:t>
      </w:r>
      <w:r w:rsidR="003125C6">
        <w:rPr>
          <w:rFonts w:ascii="Georgia" w:hAnsi="Georgia"/>
          <w:sz w:val="24"/>
          <w:szCs w:val="24"/>
        </w:rPr>
        <w:t xml:space="preserve">This progresses throughout the episode, running as a style of narration over scenes, so that he is almost giving a running commentary of his past. I was inspired by this, to have a scene in which my </w:t>
      </w:r>
      <w:r w:rsidR="003125C6">
        <w:rPr>
          <w:rFonts w:ascii="Georgia" w:hAnsi="Georgia"/>
          <w:sz w:val="24"/>
          <w:szCs w:val="24"/>
        </w:rPr>
        <w:lastRenderedPageBreak/>
        <w:t>protagonist narrates a scene with him in, as though he were looking back at footage of that moment.</w:t>
      </w:r>
      <w:r w:rsidR="00627C69">
        <w:rPr>
          <w:rFonts w:ascii="Georgia" w:hAnsi="Georgia"/>
          <w:sz w:val="24"/>
          <w:szCs w:val="24"/>
        </w:rPr>
        <w:t xml:space="preserve"> This ‘</w:t>
      </w:r>
      <w:r w:rsidR="00627C69" w:rsidRPr="00627C69">
        <w:rPr>
          <w:rFonts w:ascii="Georgia" w:hAnsi="Georgia"/>
          <w:i/>
          <w:iCs/>
          <w:sz w:val="24"/>
          <w:szCs w:val="24"/>
        </w:rPr>
        <w:t>inward focalisation’</w:t>
      </w:r>
      <w:r w:rsidR="00627C69">
        <w:rPr>
          <w:rFonts w:ascii="Georgia" w:hAnsi="Georgia"/>
          <w:sz w:val="24"/>
          <w:szCs w:val="24"/>
        </w:rPr>
        <w:t xml:space="preserve"> as described by Ignasi Ribo in his book, ‘</w:t>
      </w:r>
      <w:r w:rsidR="00627C69" w:rsidRPr="00627C69">
        <w:rPr>
          <w:rFonts w:ascii="Georgia" w:hAnsi="Georgia"/>
          <w:i/>
          <w:iCs/>
          <w:sz w:val="24"/>
          <w:szCs w:val="24"/>
        </w:rPr>
        <w:t>Prose Fiction’</w:t>
      </w:r>
      <w:r w:rsidR="00627C69">
        <w:rPr>
          <w:rFonts w:ascii="Georgia" w:hAnsi="Georgia"/>
          <w:i/>
          <w:iCs/>
          <w:sz w:val="24"/>
          <w:szCs w:val="24"/>
        </w:rPr>
        <w:t xml:space="preserve">, </w:t>
      </w:r>
      <w:r w:rsidR="00627C69">
        <w:rPr>
          <w:rFonts w:ascii="Georgia" w:hAnsi="Georgia"/>
          <w:sz w:val="24"/>
          <w:szCs w:val="24"/>
        </w:rPr>
        <w:t>allows not only for exposition for the audience, but also a better understanding of the narrator, in this case the protagonist.</w:t>
      </w:r>
      <w:r w:rsidR="00627C69">
        <w:rPr>
          <w:rStyle w:val="FootnoteReference"/>
          <w:rFonts w:ascii="Georgia" w:hAnsi="Georgia"/>
          <w:sz w:val="24"/>
          <w:szCs w:val="24"/>
        </w:rPr>
        <w:footnoteReference w:id="3"/>
      </w:r>
    </w:p>
    <w:p w14:paraId="05912B53" w14:textId="1E3670D6" w:rsidR="00B641AE" w:rsidRDefault="007D3C83" w:rsidP="00627C69">
      <w:pPr>
        <w:spacing w:line="480" w:lineRule="auto"/>
        <w:ind w:firstLine="720"/>
        <w:jc w:val="both"/>
        <w:rPr>
          <w:rFonts w:ascii="Georgia" w:hAnsi="Georgia"/>
          <w:sz w:val="24"/>
          <w:szCs w:val="24"/>
        </w:rPr>
      </w:pPr>
      <w:r>
        <w:rPr>
          <w:rFonts w:ascii="Georgia" w:hAnsi="Georgia"/>
          <w:sz w:val="24"/>
          <w:szCs w:val="24"/>
        </w:rPr>
        <w:t>A stylistic choice, inspired by Phoebe Waller-Bridge’s ‘</w:t>
      </w:r>
      <w:r w:rsidRPr="007D3C83">
        <w:rPr>
          <w:rFonts w:ascii="Georgia" w:hAnsi="Georgia"/>
          <w:i/>
          <w:iCs/>
          <w:sz w:val="24"/>
          <w:szCs w:val="24"/>
        </w:rPr>
        <w:t>Killing Eve’</w:t>
      </w:r>
      <w:r>
        <w:rPr>
          <w:rFonts w:ascii="Georgia" w:hAnsi="Georgia"/>
          <w:sz w:val="24"/>
          <w:szCs w:val="24"/>
        </w:rPr>
        <w:t xml:space="preserve"> was my use of flashbacks, with large captions to indicate the date change, similarly to Waller-Bridges use of whole screen captions to indicate place.</w:t>
      </w:r>
      <w:r w:rsidR="00FE06AD">
        <w:rPr>
          <w:rFonts w:ascii="Georgia" w:hAnsi="Georgia"/>
          <w:sz w:val="24"/>
          <w:szCs w:val="24"/>
        </w:rPr>
        <w:t xml:space="preserve"> </w:t>
      </w:r>
      <w:r w:rsidR="00F045A2">
        <w:rPr>
          <w:rStyle w:val="FootnoteReference"/>
          <w:rFonts w:ascii="Georgia" w:hAnsi="Georgia"/>
          <w:sz w:val="24"/>
          <w:szCs w:val="24"/>
        </w:rPr>
        <w:footnoteReference w:id="4"/>
      </w:r>
      <w:r w:rsidR="00FE06AD">
        <w:rPr>
          <w:rFonts w:ascii="Georgia" w:hAnsi="Georgia"/>
          <w:sz w:val="24"/>
          <w:szCs w:val="24"/>
        </w:rPr>
        <w:t xml:space="preserve">I made this choice after receiving feedback on my initial script draft; I had indicated a time change, but not specified how this would be shown on screen. After this feedback from my peers, I was also able to develop my sense of setting more effectively, making sure to include anything that might be vital to the later plot or scenes – it was addressed that I had not described the apartment having a window, and then two scenes later </w:t>
      </w:r>
      <w:r w:rsidR="008D28D5">
        <w:rPr>
          <w:rFonts w:ascii="Georgia" w:hAnsi="Georgia"/>
          <w:sz w:val="24"/>
          <w:szCs w:val="24"/>
        </w:rPr>
        <w:t>the protagonist interacts with a window; these discrepancies allowed me to thoroughly examine my scene descriptions, and make them as detailed as was necessary.</w:t>
      </w:r>
    </w:p>
    <w:p w14:paraId="25B9F98B" w14:textId="25261FCB" w:rsidR="009251E6" w:rsidRDefault="008D28D5" w:rsidP="00627C69">
      <w:pPr>
        <w:spacing w:line="480" w:lineRule="auto"/>
        <w:ind w:firstLine="720"/>
        <w:jc w:val="both"/>
        <w:rPr>
          <w:rFonts w:ascii="Georgia" w:hAnsi="Georgia"/>
          <w:sz w:val="24"/>
          <w:szCs w:val="24"/>
        </w:rPr>
      </w:pPr>
      <w:r>
        <w:rPr>
          <w:rFonts w:ascii="Georgia" w:hAnsi="Georgia"/>
          <w:sz w:val="24"/>
          <w:szCs w:val="24"/>
        </w:rPr>
        <w:t>During our exploration of radio scripts</w:t>
      </w:r>
      <w:r w:rsidR="00F045A2">
        <w:rPr>
          <w:rFonts w:ascii="Georgia" w:hAnsi="Georgia"/>
          <w:sz w:val="24"/>
          <w:szCs w:val="24"/>
        </w:rPr>
        <w:t xml:space="preserve"> </w:t>
      </w:r>
      <w:r>
        <w:rPr>
          <w:rFonts w:ascii="Georgia" w:hAnsi="Georgia"/>
          <w:sz w:val="24"/>
          <w:szCs w:val="24"/>
        </w:rPr>
        <w:t xml:space="preserve">in class, I </w:t>
      </w:r>
      <w:r w:rsidR="00F045A2">
        <w:rPr>
          <w:rFonts w:ascii="Georgia" w:hAnsi="Georgia"/>
          <w:sz w:val="24"/>
          <w:szCs w:val="24"/>
        </w:rPr>
        <w:t xml:space="preserve">experimented with use of slashes to indicate interruptions in speech, by having a bully character and a victim, but shifting the dynamic so that the victim became higher status than the bully by the end. </w:t>
      </w:r>
      <w:r w:rsidR="006A3DE7">
        <w:rPr>
          <w:rFonts w:ascii="Georgia" w:hAnsi="Georgia"/>
          <w:sz w:val="24"/>
          <w:szCs w:val="24"/>
        </w:rPr>
        <w:t xml:space="preserve">Through feedback from my peers, I found this to be an effective way of suggesting a power-dynamic shift, from being interrupted, to doing the interrupting yourself. I used this technique in my script in this way, </w:t>
      </w:r>
      <w:r w:rsidR="00F03C69">
        <w:rPr>
          <w:rFonts w:ascii="Georgia" w:hAnsi="Georgia"/>
          <w:sz w:val="24"/>
          <w:szCs w:val="24"/>
        </w:rPr>
        <w:t xml:space="preserve">to indicate Melody’s authority over Anderson, and then to indicate a power shift when they meet Dex, and he becomes the interrupter. </w:t>
      </w:r>
    </w:p>
    <w:p w14:paraId="3D30225D" w14:textId="68F86A6B" w:rsidR="00627C69" w:rsidRDefault="00627C69" w:rsidP="00627C69">
      <w:pPr>
        <w:spacing w:line="480" w:lineRule="auto"/>
        <w:ind w:firstLine="720"/>
        <w:jc w:val="both"/>
        <w:rPr>
          <w:rFonts w:ascii="Georgia" w:hAnsi="Georgia"/>
          <w:sz w:val="24"/>
          <w:szCs w:val="24"/>
        </w:rPr>
      </w:pPr>
      <w:r>
        <w:rPr>
          <w:rFonts w:ascii="Georgia" w:hAnsi="Georgia"/>
          <w:sz w:val="24"/>
          <w:szCs w:val="24"/>
        </w:rPr>
        <w:lastRenderedPageBreak/>
        <w:t>Inspired by my own experience with film and television, and the lacking representation of authentic queer and trans characters, I have attempted to realistically incorporate these characters into my own work. Another series that effectively does this is Taika Waititi and David Jenkins’ ‘</w:t>
      </w:r>
      <w:r w:rsidRPr="00627C69">
        <w:rPr>
          <w:rFonts w:ascii="Georgia" w:hAnsi="Georgia"/>
          <w:i/>
          <w:iCs/>
          <w:sz w:val="24"/>
          <w:szCs w:val="24"/>
        </w:rPr>
        <w:t>Our Flag Means Death’</w:t>
      </w:r>
      <w:r>
        <w:rPr>
          <w:rFonts w:ascii="Georgia" w:hAnsi="Georgia"/>
          <w:sz w:val="24"/>
          <w:szCs w:val="24"/>
        </w:rPr>
        <w:t xml:space="preserve"> which seamlessly introduces a non-binary character in a way that I had never seen in television before</w:t>
      </w:r>
      <w:r w:rsidR="00ED057E">
        <w:rPr>
          <w:rFonts w:ascii="Georgia" w:hAnsi="Georgia"/>
          <w:sz w:val="24"/>
          <w:szCs w:val="24"/>
        </w:rPr>
        <w:t>, and focuses on the romance between two men, without needing to make the focus of the series about the fact they are in a same-sex relationship</w:t>
      </w:r>
      <w:r>
        <w:rPr>
          <w:rFonts w:ascii="Georgia" w:hAnsi="Georgia"/>
          <w:sz w:val="24"/>
          <w:szCs w:val="24"/>
        </w:rPr>
        <w:t>.</w:t>
      </w:r>
      <w:r>
        <w:rPr>
          <w:rStyle w:val="FootnoteReference"/>
          <w:rFonts w:ascii="Georgia" w:hAnsi="Georgia"/>
          <w:sz w:val="24"/>
          <w:szCs w:val="24"/>
        </w:rPr>
        <w:footnoteReference w:id="5"/>
      </w:r>
      <w:r w:rsidR="00ED057E">
        <w:rPr>
          <w:rFonts w:ascii="Georgia" w:hAnsi="Georgia"/>
          <w:sz w:val="24"/>
          <w:szCs w:val="24"/>
        </w:rPr>
        <w:t xml:space="preserve"> I wanted to integrate my own trans characters in a similar way, having them simply exist without a monologue or speech explaining themselves to the audience and characters. The fact that Zac and Dex are both men is not what I intended to have as the focus of the show, but instead their fight against their oppressors, and their growing romance, regardless of their genders.</w:t>
      </w:r>
    </w:p>
    <w:p w14:paraId="128FFBEB" w14:textId="2B8C0D86" w:rsidR="0082189A" w:rsidRPr="0082189A" w:rsidRDefault="00ED057E" w:rsidP="00627C69">
      <w:pPr>
        <w:spacing w:line="480" w:lineRule="auto"/>
        <w:ind w:firstLine="720"/>
        <w:jc w:val="both"/>
        <w:rPr>
          <w:rFonts w:ascii="Georgia" w:hAnsi="Georgia"/>
          <w:sz w:val="24"/>
          <w:szCs w:val="24"/>
        </w:rPr>
      </w:pPr>
      <w:r>
        <w:rPr>
          <w:rFonts w:ascii="Georgia" w:hAnsi="Georgia"/>
          <w:sz w:val="24"/>
          <w:szCs w:val="24"/>
        </w:rPr>
        <w:t>When exploring the theme and genre of my piece, I turned to Christopher booker’s ‘</w:t>
      </w:r>
      <w:r w:rsidRPr="00ED057E">
        <w:rPr>
          <w:rFonts w:ascii="Georgia" w:hAnsi="Georgia"/>
          <w:i/>
          <w:iCs/>
          <w:sz w:val="24"/>
          <w:szCs w:val="24"/>
        </w:rPr>
        <w:t>Seven Basic Plots’</w:t>
      </w:r>
      <w:r>
        <w:rPr>
          <w:rFonts w:ascii="Georgia" w:hAnsi="Georgia"/>
          <w:sz w:val="24"/>
          <w:szCs w:val="24"/>
        </w:rPr>
        <w:t xml:space="preserve"> for some structural guidelines, finding that the ‘rebirth’ structure most closely resembled my work</w:t>
      </w:r>
      <w:r w:rsidR="0082189A">
        <w:rPr>
          <w:rStyle w:val="FootnoteReference"/>
          <w:rFonts w:ascii="Georgia" w:hAnsi="Georgia"/>
          <w:sz w:val="24"/>
          <w:szCs w:val="24"/>
        </w:rPr>
        <w:footnoteReference w:id="6"/>
      </w:r>
      <w:r>
        <w:rPr>
          <w:rFonts w:ascii="Georgia" w:hAnsi="Georgia"/>
          <w:sz w:val="24"/>
          <w:szCs w:val="24"/>
        </w:rPr>
        <w:t xml:space="preserve">. </w:t>
      </w:r>
      <w:r w:rsidR="0082189A">
        <w:rPr>
          <w:rFonts w:ascii="Georgia" w:hAnsi="Georgia"/>
          <w:sz w:val="24"/>
          <w:szCs w:val="24"/>
        </w:rPr>
        <w:t>Prior to this workshopping, I had imagined my piece to be more about rebellion, freeing a put-down class of people and being able to openly be ‘different’, as a metaphor for LQBTQ+ discrimination. This was inspired by BBC’s ‘</w:t>
      </w:r>
      <w:r w:rsidR="0082189A" w:rsidRPr="0082189A">
        <w:rPr>
          <w:rFonts w:ascii="Georgia" w:hAnsi="Georgia"/>
          <w:i/>
          <w:iCs/>
          <w:sz w:val="24"/>
          <w:szCs w:val="24"/>
        </w:rPr>
        <w:t>Merlin</w:t>
      </w:r>
      <w:r w:rsidR="0082189A">
        <w:rPr>
          <w:rFonts w:ascii="Georgia" w:hAnsi="Georgia"/>
          <w:sz w:val="24"/>
          <w:szCs w:val="24"/>
        </w:rPr>
        <w:t>’, and more vitally, Howard Overmans episode ‘</w:t>
      </w:r>
      <w:r w:rsidR="0082189A" w:rsidRPr="0082189A">
        <w:rPr>
          <w:rFonts w:ascii="Georgia" w:hAnsi="Georgia"/>
          <w:i/>
          <w:iCs/>
          <w:sz w:val="24"/>
          <w:szCs w:val="24"/>
        </w:rPr>
        <w:t>The Wicked Day’</w:t>
      </w:r>
      <w:r w:rsidR="0082189A">
        <w:rPr>
          <w:rFonts w:ascii="Georgia" w:hAnsi="Georgia"/>
          <w:i/>
          <w:iCs/>
          <w:sz w:val="24"/>
          <w:szCs w:val="24"/>
        </w:rPr>
        <w:t xml:space="preserve"> </w:t>
      </w:r>
      <w:r w:rsidR="0082189A">
        <w:rPr>
          <w:rFonts w:ascii="Georgia" w:hAnsi="Georgia"/>
          <w:sz w:val="24"/>
          <w:szCs w:val="24"/>
        </w:rPr>
        <w:t xml:space="preserve">during which the dialogue of the characters </w:t>
      </w:r>
      <w:proofErr w:type="gramStart"/>
      <w:r w:rsidR="0082189A">
        <w:rPr>
          <w:rFonts w:ascii="Georgia" w:hAnsi="Georgia"/>
          <w:sz w:val="24"/>
          <w:szCs w:val="24"/>
        </w:rPr>
        <w:t>eludes</w:t>
      </w:r>
      <w:proofErr w:type="gramEnd"/>
      <w:r w:rsidR="0082189A">
        <w:rPr>
          <w:rFonts w:ascii="Georgia" w:hAnsi="Georgia"/>
          <w:sz w:val="24"/>
          <w:szCs w:val="24"/>
        </w:rPr>
        <w:t xml:space="preserve"> to this metaphor</w:t>
      </w:r>
      <w:r w:rsidR="00D56582">
        <w:rPr>
          <w:rFonts w:ascii="Georgia" w:hAnsi="Georgia"/>
          <w:sz w:val="24"/>
          <w:szCs w:val="24"/>
        </w:rPr>
        <w:t xml:space="preserve"> throughout. An example being</w:t>
      </w:r>
      <w:r w:rsidR="0082189A">
        <w:rPr>
          <w:rFonts w:ascii="Georgia" w:hAnsi="Georgia"/>
          <w:sz w:val="24"/>
          <w:szCs w:val="24"/>
        </w:rPr>
        <w:t xml:space="preserve">: </w:t>
      </w:r>
      <w:r w:rsidR="0082189A" w:rsidRPr="00D56582">
        <w:rPr>
          <w:rFonts w:ascii="Georgia" w:hAnsi="Georgia"/>
          <w:sz w:val="24"/>
          <w:szCs w:val="24"/>
        </w:rPr>
        <w:t>“</w:t>
      </w:r>
      <w:r w:rsidR="00D56582" w:rsidRPr="00D56582">
        <w:rPr>
          <w:rFonts w:ascii="Georgia" w:hAnsi="Georgia"/>
          <w:sz w:val="24"/>
          <w:szCs w:val="24"/>
        </w:rPr>
        <w:t>Sometimes I feel our judgement has been clouded by hate, and fear.</w:t>
      </w:r>
      <w:r w:rsidR="00D56582" w:rsidRPr="00D56582">
        <w:rPr>
          <w:rFonts w:ascii="Georgia" w:hAnsi="Georgia"/>
          <w:sz w:val="24"/>
          <w:szCs w:val="24"/>
        </w:rPr>
        <w:t>”</w:t>
      </w:r>
      <w:r w:rsidR="00D56582">
        <w:rPr>
          <w:rStyle w:val="FootnoteReference"/>
          <w:rFonts w:ascii="Georgia" w:hAnsi="Georgia"/>
          <w:sz w:val="24"/>
          <w:szCs w:val="24"/>
        </w:rPr>
        <w:footnoteReference w:id="7"/>
      </w:r>
    </w:p>
    <w:p w14:paraId="7CC5A306" w14:textId="6D2CF070" w:rsidR="0082189A" w:rsidRDefault="00ED057E" w:rsidP="00D56582">
      <w:pPr>
        <w:spacing w:line="480" w:lineRule="auto"/>
        <w:ind w:firstLine="720"/>
        <w:jc w:val="both"/>
        <w:rPr>
          <w:rFonts w:ascii="Georgia" w:hAnsi="Georgia"/>
          <w:sz w:val="24"/>
          <w:szCs w:val="24"/>
        </w:rPr>
      </w:pPr>
      <w:r>
        <w:rPr>
          <w:rFonts w:ascii="Georgia" w:hAnsi="Georgia"/>
          <w:sz w:val="24"/>
          <w:szCs w:val="24"/>
        </w:rPr>
        <w:lastRenderedPageBreak/>
        <w:t>Th</w:t>
      </w:r>
      <w:r w:rsidR="0082189A">
        <w:rPr>
          <w:rFonts w:ascii="Georgia" w:hAnsi="Georgia"/>
          <w:sz w:val="24"/>
          <w:szCs w:val="24"/>
        </w:rPr>
        <w:t xml:space="preserve">e exploration of my piece as a personal journey for Zac, rather than a physical one to save his race, </w:t>
      </w:r>
      <w:r w:rsidR="00D56582">
        <w:rPr>
          <w:rFonts w:ascii="Georgia" w:hAnsi="Georgia"/>
          <w:sz w:val="24"/>
          <w:szCs w:val="24"/>
        </w:rPr>
        <w:t xml:space="preserve">however, </w:t>
      </w:r>
      <w:r w:rsidR="0082189A">
        <w:rPr>
          <w:rFonts w:ascii="Georgia" w:hAnsi="Georgia"/>
          <w:sz w:val="24"/>
          <w:szCs w:val="24"/>
        </w:rPr>
        <w:t xml:space="preserve">led to a re-evaluation of </w:t>
      </w:r>
      <w:r w:rsidR="00D56582">
        <w:rPr>
          <w:rFonts w:ascii="Georgia" w:hAnsi="Georgia"/>
          <w:sz w:val="24"/>
          <w:szCs w:val="24"/>
        </w:rPr>
        <w:t>this concept. S</w:t>
      </w:r>
      <w:r w:rsidR="0082189A">
        <w:rPr>
          <w:rFonts w:ascii="Georgia" w:hAnsi="Georgia"/>
          <w:sz w:val="24"/>
          <w:szCs w:val="24"/>
        </w:rPr>
        <w:t>ome of the plot points I had planned previously</w:t>
      </w:r>
      <w:r w:rsidR="00D56582">
        <w:rPr>
          <w:rFonts w:ascii="Georgia" w:hAnsi="Georgia"/>
          <w:sz w:val="24"/>
          <w:szCs w:val="24"/>
        </w:rPr>
        <w:t xml:space="preserve"> were then ineffectual</w:t>
      </w:r>
      <w:r w:rsidR="0082189A">
        <w:rPr>
          <w:rFonts w:ascii="Georgia" w:hAnsi="Georgia"/>
          <w:sz w:val="24"/>
          <w:szCs w:val="24"/>
        </w:rPr>
        <w:t xml:space="preserve">: now that the focus was on </w:t>
      </w:r>
      <w:r w:rsidR="00D56582">
        <w:rPr>
          <w:rFonts w:ascii="Georgia" w:hAnsi="Georgia"/>
          <w:sz w:val="24"/>
          <w:szCs w:val="24"/>
        </w:rPr>
        <w:t>Zac</w:t>
      </w:r>
      <w:r w:rsidR="0082189A">
        <w:rPr>
          <w:rFonts w:ascii="Georgia" w:hAnsi="Georgia"/>
          <w:sz w:val="24"/>
          <w:szCs w:val="24"/>
        </w:rPr>
        <w:t xml:space="preserve">, not his actions, much of the action in act two became necessary. These changes helped me to instead put Zac’s growth as a character at the forefront of the piece. </w:t>
      </w:r>
    </w:p>
    <w:p w14:paraId="5326B73C" w14:textId="0CB4A509" w:rsidR="00D56582" w:rsidRDefault="00D56582" w:rsidP="00D56582">
      <w:pPr>
        <w:spacing w:line="480" w:lineRule="auto"/>
        <w:ind w:firstLine="720"/>
        <w:jc w:val="both"/>
        <w:rPr>
          <w:rFonts w:ascii="Georgia" w:hAnsi="Georgia"/>
          <w:sz w:val="24"/>
          <w:szCs w:val="24"/>
        </w:rPr>
      </w:pPr>
      <w:r>
        <w:rPr>
          <w:rFonts w:ascii="Georgia" w:hAnsi="Georgia"/>
          <w:sz w:val="24"/>
          <w:szCs w:val="24"/>
        </w:rPr>
        <w:t xml:space="preserve">In conclusion, my aims for the piece were to integrate authentic queer characters, clearly demonstrate power dynamics between the characters - sometimes shifting this as their relationships developed - and to highlight the story’s covert plot:  a journey that leads to Zac’s character growth, alongside the overt plot. From the feedback I have received, I believe I was effective in two of these aims, but if I were to continue this project, it would need to be more directly impactful on Zac, making any changes/growth in his character more exaggerated. </w:t>
      </w:r>
    </w:p>
    <w:p w14:paraId="155C7D8B" w14:textId="41DA95CC" w:rsidR="00ED057E" w:rsidRDefault="0082189A" w:rsidP="00627C69">
      <w:pPr>
        <w:spacing w:line="480" w:lineRule="auto"/>
        <w:ind w:firstLine="720"/>
        <w:jc w:val="both"/>
        <w:rPr>
          <w:rFonts w:ascii="Georgia" w:hAnsi="Georgia"/>
          <w:sz w:val="24"/>
          <w:szCs w:val="24"/>
        </w:rPr>
      </w:pPr>
      <w:r>
        <w:rPr>
          <w:rFonts w:ascii="Georgia" w:hAnsi="Georgia"/>
          <w:sz w:val="24"/>
          <w:szCs w:val="24"/>
        </w:rPr>
        <w:t xml:space="preserve"> </w:t>
      </w:r>
    </w:p>
    <w:p w14:paraId="55C2A17C" w14:textId="77777777" w:rsidR="00F03C69" w:rsidRDefault="00F03C69" w:rsidP="00DF2C2E">
      <w:pPr>
        <w:rPr>
          <w:rFonts w:ascii="Georgia" w:hAnsi="Georgia"/>
          <w:sz w:val="24"/>
          <w:szCs w:val="24"/>
        </w:rPr>
      </w:pPr>
    </w:p>
    <w:p w14:paraId="377C590E" w14:textId="77777777" w:rsidR="00DF2C2E" w:rsidRDefault="00DF2C2E" w:rsidP="00DF2C2E">
      <w:pPr>
        <w:rPr>
          <w:rFonts w:ascii="Georgia" w:hAnsi="Georgia"/>
          <w:sz w:val="24"/>
          <w:szCs w:val="24"/>
        </w:rPr>
      </w:pPr>
    </w:p>
    <w:p w14:paraId="6D14DE70" w14:textId="77777777" w:rsidR="00DF2C2E" w:rsidRDefault="00DF2C2E" w:rsidP="00DF2C2E">
      <w:pPr>
        <w:rPr>
          <w:rFonts w:ascii="Georgia" w:hAnsi="Georgia"/>
          <w:sz w:val="24"/>
          <w:szCs w:val="24"/>
        </w:rPr>
      </w:pPr>
    </w:p>
    <w:p w14:paraId="10496EF5" w14:textId="77777777" w:rsidR="00DF2C2E" w:rsidRDefault="00DF2C2E" w:rsidP="00DF2C2E">
      <w:pPr>
        <w:rPr>
          <w:rFonts w:ascii="Georgia" w:hAnsi="Georgia"/>
          <w:sz w:val="24"/>
          <w:szCs w:val="24"/>
        </w:rPr>
      </w:pPr>
    </w:p>
    <w:p w14:paraId="408A368F" w14:textId="77777777" w:rsidR="00DF2C2E" w:rsidRDefault="00DF2C2E" w:rsidP="00DF2C2E">
      <w:pPr>
        <w:rPr>
          <w:rFonts w:ascii="Georgia" w:hAnsi="Georgia"/>
          <w:sz w:val="24"/>
          <w:szCs w:val="24"/>
        </w:rPr>
      </w:pPr>
    </w:p>
    <w:sdt>
      <w:sdtPr>
        <w:id w:val="2137067086"/>
        <w:docPartObj>
          <w:docPartGallery w:val="Bibliographies"/>
          <w:docPartUnique/>
        </w:docPartObj>
      </w:sdtPr>
      <w:sdtEndPr>
        <w:rPr>
          <w:rFonts w:asciiTheme="minorHAnsi" w:eastAsiaTheme="minorHAnsi" w:hAnsiTheme="minorHAnsi" w:cstheme="minorBidi"/>
          <w:color w:val="auto"/>
          <w:kern w:val="2"/>
          <w:sz w:val="24"/>
          <w:szCs w:val="24"/>
          <w:lang w:val="en-GB"/>
          <w14:ligatures w14:val="standardContextual"/>
        </w:rPr>
      </w:sdtEndPr>
      <w:sdtContent>
        <w:p w14:paraId="1616832B" w14:textId="07F0E5EB" w:rsidR="00780DAA" w:rsidRDefault="00780DAA">
          <w:pPr>
            <w:pStyle w:val="Heading1"/>
          </w:pPr>
          <w:r>
            <w:t>Bibliography</w:t>
          </w:r>
        </w:p>
        <w:sdt>
          <w:sdtPr>
            <w:id w:val="111145805"/>
            <w:bibliography/>
          </w:sdtPr>
          <w:sdtEndPr>
            <w:rPr>
              <w:sz w:val="24"/>
              <w:szCs w:val="24"/>
            </w:rPr>
          </w:sdtEndPr>
          <w:sdtContent>
            <w:p w14:paraId="37443672" w14:textId="4EE97BDE" w:rsidR="00A41AE9" w:rsidRPr="00821317" w:rsidRDefault="00DA13CA">
              <w:pPr>
                <w:rPr>
                  <w:color w:val="000000"/>
                  <w:sz w:val="24"/>
                  <w:szCs w:val="24"/>
                </w:rPr>
              </w:pPr>
              <w:r w:rsidRPr="00821317">
                <w:rPr>
                  <w:color w:val="000000"/>
                  <w:sz w:val="24"/>
                  <w:szCs w:val="24"/>
                </w:rPr>
                <w:t xml:space="preserve">Booker, Christopher, </w:t>
              </w:r>
              <w:r w:rsidRPr="00821317">
                <w:rPr>
                  <w:i/>
                  <w:iCs/>
                  <w:color w:val="000000"/>
                  <w:sz w:val="24"/>
                  <w:szCs w:val="24"/>
                </w:rPr>
                <w:t>The Seven Basic Plots: Why We Tell Stories</w:t>
              </w:r>
              <w:r w:rsidRPr="00821317">
                <w:rPr>
                  <w:color w:val="000000"/>
                  <w:sz w:val="24"/>
                  <w:szCs w:val="24"/>
                </w:rPr>
                <w:t>, (Bloomsbury Continuum, 2019)</w:t>
              </w:r>
            </w:p>
            <w:p w14:paraId="11EA8627" w14:textId="3B26C40A" w:rsidR="00A41AE9" w:rsidRPr="00821317" w:rsidRDefault="00A41AE9">
              <w:pPr>
                <w:rPr>
                  <w:color w:val="000000"/>
                  <w:sz w:val="24"/>
                  <w:szCs w:val="24"/>
                </w:rPr>
              </w:pPr>
              <w:r w:rsidRPr="00821317">
                <w:rPr>
                  <w:color w:val="000000"/>
                  <w:sz w:val="24"/>
                  <w:szCs w:val="24"/>
                </w:rPr>
                <w:t xml:space="preserve">Davies, Russell T., </w:t>
              </w:r>
              <w:r w:rsidRPr="00821317">
                <w:rPr>
                  <w:color w:val="000000"/>
                  <w:sz w:val="24"/>
                  <w:szCs w:val="24"/>
                </w:rPr>
                <w:t xml:space="preserve">Series 2, Episode 10, </w:t>
              </w:r>
              <w:r w:rsidRPr="00821317">
                <w:rPr>
                  <w:i/>
                  <w:iCs/>
                  <w:color w:val="000000"/>
                  <w:sz w:val="24"/>
                  <w:szCs w:val="24"/>
                </w:rPr>
                <w:t>‘Love and Monsters’</w:t>
              </w:r>
              <w:r w:rsidRPr="00821317">
                <w:rPr>
                  <w:color w:val="000000"/>
                  <w:sz w:val="24"/>
                  <w:szCs w:val="24"/>
                </w:rPr>
                <w:t>, Doctor Who (BBC 2006) [accessed 20th October 2023]</w:t>
              </w:r>
            </w:p>
            <w:p w14:paraId="712C7B46" w14:textId="09A8F417" w:rsidR="00A41AE9" w:rsidRPr="00821317" w:rsidRDefault="00DA13CA">
              <w:pPr>
                <w:rPr>
                  <w:color w:val="000000"/>
                  <w:sz w:val="24"/>
                  <w:szCs w:val="24"/>
                </w:rPr>
              </w:pPr>
              <w:r w:rsidRPr="00821317">
                <w:rPr>
                  <w:color w:val="000000"/>
                  <w:sz w:val="24"/>
                  <w:szCs w:val="24"/>
                </w:rPr>
                <w:t xml:space="preserve">Jenkins, David, and Waititi, Taika, Pilot, </w:t>
              </w:r>
              <w:r w:rsidR="00A41AE9" w:rsidRPr="00821317">
                <w:rPr>
                  <w:color w:val="000000"/>
                  <w:sz w:val="24"/>
                  <w:szCs w:val="24"/>
                </w:rPr>
                <w:t>‘</w:t>
              </w:r>
              <w:r w:rsidRPr="00821317">
                <w:rPr>
                  <w:i/>
                  <w:iCs/>
                  <w:color w:val="000000"/>
                  <w:sz w:val="24"/>
                  <w:szCs w:val="24"/>
                </w:rPr>
                <w:t>Our Flag Means Death</w:t>
              </w:r>
              <w:r w:rsidR="00A41AE9" w:rsidRPr="00821317">
                <w:rPr>
                  <w:i/>
                  <w:iCs/>
                  <w:color w:val="000000"/>
                  <w:sz w:val="24"/>
                  <w:szCs w:val="24"/>
                </w:rPr>
                <w:t>’</w:t>
              </w:r>
              <w:r w:rsidRPr="00821317">
                <w:rPr>
                  <w:color w:val="000000"/>
                  <w:sz w:val="24"/>
                  <w:szCs w:val="24"/>
                </w:rPr>
                <w:t>, second draft (15th April 2020) http://tvwriting.co.uk/tv_scripts/2021/Comedy/Our_Flag_Means_Death_1x01_-_Pilot.pdf [accessed 1</w:t>
              </w:r>
              <w:r w:rsidR="00A41AE9" w:rsidRPr="00821317">
                <w:rPr>
                  <w:color w:val="000000"/>
                  <w:sz w:val="24"/>
                  <w:szCs w:val="24"/>
                </w:rPr>
                <w:t>7</w:t>
              </w:r>
              <w:r w:rsidRPr="00821317">
                <w:rPr>
                  <w:color w:val="000000"/>
                  <w:sz w:val="24"/>
                  <w:szCs w:val="24"/>
                </w:rPr>
                <w:t>th October 2023]</w:t>
              </w:r>
            </w:p>
            <w:p w14:paraId="7036D35B" w14:textId="73ED15D2" w:rsidR="00A41AE9" w:rsidRPr="00821317" w:rsidRDefault="00A41AE9">
              <w:pPr>
                <w:rPr>
                  <w:color w:val="000000"/>
                  <w:sz w:val="24"/>
                  <w:szCs w:val="24"/>
                </w:rPr>
              </w:pPr>
              <w:r w:rsidRPr="00821317">
                <w:rPr>
                  <w:color w:val="000000"/>
                  <w:sz w:val="24"/>
                  <w:szCs w:val="24"/>
                </w:rPr>
                <w:t xml:space="preserve">Kay, David, </w:t>
              </w:r>
              <w:r w:rsidRPr="00821317">
                <w:rPr>
                  <w:color w:val="000000"/>
                  <w:sz w:val="24"/>
                  <w:szCs w:val="24"/>
                </w:rPr>
                <w:t xml:space="preserve">Episode 1, </w:t>
              </w:r>
              <w:r w:rsidRPr="00821317">
                <w:rPr>
                  <w:i/>
                  <w:iCs/>
                  <w:color w:val="000000"/>
                  <w:sz w:val="24"/>
                  <w:szCs w:val="24"/>
                </w:rPr>
                <w:t>‘This is going to hurt’</w:t>
              </w:r>
              <w:r w:rsidRPr="00821317">
                <w:rPr>
                  <w:color w:val="000000"/>
                  <w:sz w:val="24"/>
                  <w:szCs w:val="24"/>
                </w:rPr>
                <w:t>, (BBC 2022) [accessed 20th October 2023]</w:t>
              </w:r>
            </w:p>
            <w:p w14:paraId="714E8AD5" w14:textId="2D138A5F" w:rsidR="00A41AE9" w:rsidRPr="00821317" w:rsidRDefault="00A41AE9">
              <w:pPr>
                <w:rPr>
                  <w:color w:val="000000"/>
                  <w:sz w:val="24"/>
                  <w:szCs w:val="24"/>
                </w:rPr>
              </w:pPr>
              <w:r w:rsidRPr="00821317">
                <w:rPr>
                  <w:color w:val="000000"/>
                  <w:sz w:val="24"/>
                  <w:szCs w:val="24"/>
                </w:rPr>
                <w:lastRenderedPageBreak/>
                <w:t>Overman, Howard,</w:t>
              </w:r>
              <w:r w:rsidRPr="00821317">
                <w:rPr>
                  <w:sz w:val="24"/>
                  <w:szCs w:val="24"/>
                </w:rPr>
                <w:t xml:space="preserve"> S</w:t>
              </w:r>
              <w:r w:rsidRPr="00821317">
                <w:rPr>
                  <w:color w:val="000000"/>
                  <w:sz w:val="24"/>
                  <w:szCs w:val="24"/>
                </w:rPr>
                <w:t>eries 4 Episode 3, ‘</w:t>
              </w:r>
              <w:r w:rsidRPr="00821317">
                <w:rPr>
                  <w:i/>
                  <w:iCs/>
                  <w:color w:val="000000"/>
                  <w:sz w:val="24"/>
                  <w:szCs w:val="24"/>
                </w:rPr>
                <w:t>The Wicked Day</w:t>
              </w:r>
              <w:r w:rsidRPr="00821317">
                <w:rPr>
                  <w:i/>
                  <w:iCs/>
                  <w:color w:val="000000"/>
                  <w:sz w:val="24"/>
                  <w:szCs w:val="24"/>
                </w:rPr>
                <w:t>’</w:t>
              </w:r>
              <w:r w:rsidRPr="00821317">
                <w:rPr>
                  <w:color w:val="000000"/>
                  <w:sz w:val="24"/>
                  <w:szCs w:val="24"/>
                </w:rPr>
                <w:t>, Merlin (BBC 2011) [accessed 14th October 2023]</w:t>
              </w:r>
            </w:p>
            <w:p w14:paraId="0B9CCD14" w14:textId="235022C1" w:rsidR="00A41AE9" w:rsidRPr="00821317" w:rsidRDefault="00A41AE9">
              <w:pPr>
                <w:rPr>
                  <w:color w:val="000000"/>
                  <w:sz w:val="24"/>
                  <w:szCs w:val="24"/>
                </w:rPr>
              </w:pPr>
              <w:r w:rsidRPr="00821317">
                <w:rPr>
                  <w:color w:val="000000"/>
                  <w:sz w:val="24"/>
                  <w:szCs w:val="24"/>
                </w:rPr>
                <w:t>Ribo, Ignasi</w:t>
              </w:r>
              <w:r w:rsidRPr="00821317">
                <w:rPr>
                  <w:color w:val="000000"/>
                  <w:sz w:val="24"/>
                  <w:szCs w:val="24"/>
                </w:rPr>
                <w:t>,</w:t>
              </w:r>
              <w:r w:rsidRPr="00821317">
                <w:rPr>
                  <w:color w:val="000000"/>
                  <w:sz w:val="24"/>
                  <w:szCs w:val="24"/>
                </w:rPr>
                <w:t xml:space="preserve"> </w:t>
              </w:r>
              <w:r w:rsidRPr="00821317">
                <w:rPr>
                  <w:i/>
                  <w:iCs/>
                  <w:color w:val="000000"/>
                  <w:sz w:val="24"/>
                  <w:szCs w:val="24"/>
                </w:rPr>
                <w:t>Prose Fiction, An Introduction into the Semiotics of Narrative</w:t>
              </w:r>
              <w:r w:rsidRPr="00821317">
                <w:rPr>
                  <w:color w:val="000000"/>
                  <w:sz w:val="24"/>
                  <w:szCs w:val="24"/>
                </w:rPr>
                <w:t xml:space="preserve"> (Cambridge, </w:t>
              </w:r>
              <w:proofErr w:type="spellStart"/>
              <w:r w:rsidRPr="00821317">
                <w:rPr>
                  <w:color w:val="000000"/>
                  <w:sz w:val="24"/>
                  <w:szCs w:val="24"/>
                </w:rPr>
                <w:t>OpenBook</w:t>
              </w:r>
              <w:proofErr w:type="spellEnd"/>
              <w:r w:rsidRPr="00821317">
                <w:rPr>
                  <w:color w:val="000000"/>
                  <w:sz w:val="24"/>
                  <w:szCs w:val="24"/>
                </w:rPr>
                <w:t xml:space="preserve"> Publishers, 2019)</w:t>
              </w:r>
              <w:r w:rsidRPr="00821317">
                <w:rPr>
                  <w:color w:val="000000"/>
                  <w:sz w:val="24"/>
                  <w:szCs w:val="24"/>
                </w:rPr>
                <w:t xml:space="preserve"> [accessed 19</w:t>
              </w:r>
              <w:r w:rsidRPr="00821317">
                <w:rPr>
                  <w:color w:val="000000"/>
                  <w:sz w:val="24"/>
                  <w:szCs w:val="24"/>
                  <w:vertAlign w:val="superscript"/>
                </w:rPr>
                <w:t>th</w:t>
              </w:r>
              <w:r w:rsidRPr="00821317">
                <w:rPr>
                  <w:color w:val="000000"/>
                  <w:sz w:val="24"/>
                  <w:szCs w:val="24"/>
                </w:rPr>
                <w:t xml:space="preserve"> October 2023]</w:t>
              </w:r>
            </w:p>
            <w:p w14:paraId="78B2B38D" w14:textId="167203CE" w:rsidR="00780DAA" w:rsidRPr="00821317" w:rsidRDefault="00A41AE9">
              <w:pPr>
                <w:rPr>
                  <w:color w:val="000000"/>
                  <w:sz w:val="24"/>
                  <w:szCs w:val="24"/>
                </w:rPr>
              </w:pPr>
              <w:r w:rsidRPr="00821317">
                <w:rPr>
                  <w:color w:val="000000"/>
                  <w:sz w:val="24"/>
                  <w:szCs w:val="24"/>
                </w:rPr>
                <w:t>Waller Bridge, Phoebe, Series 1 Episode 1, ‘</w:t>
              </w:r>
              <w:r w:rsidRPr="00821317">
                <w:rPr>
                  <w:i/>
                  <w:iCs/>
                  <w:color w:val="000000"/>
                  <w:sz w:val="24"/>
                  <w:szCs w:val="24"/>
                </w:rPr>
                <w:t>Killing Eve’</w:t>
              </w:r>
              <w:r w:rsidRPr="00821317">
                <w:rPr>
                  <w:color w:val="000000"/>
                  <w:sz w:val="24"/>
                  <w:szCs w:val="24"/>
                </w:rPr>
                <w:t>, (BBC America 2018) [accessed 13</w:t>
              </w:r>
              <w:r w:rsidRPr="00821317">
                <w:rPr>
                  <w:color w:val="000000"/>
                  <w:sz w:val="24"/>
                  <w:szCs w:val="24"/>
                  <w:vertAlign w:val="superscript"/>
                </w:rPr>
                <w:t>th</w:t>
              </w:r>
              <w:r w:rsidRPr="00821317">
                <w:rPr>
                  <w:color w:val="000000"/>
                  <w:sz w:val="24"/>
                  <w:szCs w:val="24"/>
                </w:rPr>
                <w:t xml:space="preserve"> October 2023]</w:t>
              </w:r>
            </w:p>
          </w:sdtContent>
        </w:sdt>
      </w:sdtContent>
    </w:sdt>
    <w:p w14:paraId="6DF97C4E" w14:textId="228CFEC5" w:rsidR="00DF2C2E" w:rsidRDefault="00DF2C2E"/>
    <w:p w14:paraId="0CED2F2C" w14:textId="77777777" w:rsidR="00DF2C2E" w:rsidRPr="00DF2C2E" w:rsidRDefault="00DF2C2E" w:rsidP="00DF2C2E">
      <w:pPr>
        <w:rPr>
          <w:rFonts w:ascii="Georgia" w:hAnsi="Georgia"/>
          <w:sz w:val="24"/>
          <w:szCs w:val="24"/>
        </w:rPr>
      </w:pPr>
    </w:p>
    <w:sectPr w:rsidR="00DF2C2E" w:rsidRPr="00DF2C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F3C4C" w14:textId="77777777" w:rsidR="002E2DE0" w:rsidRDefault="002E2DE0" w:rsidP="00780DAA">
      <w:pPr>
        <w:spacing w:after="0" w:line="240" w:lineRule="auto"/>
      </w:pPr>
      <w:r>
        <w:separator/>
      </w:r>
    </w:p>
  </w:endnote>
  <w:endnote w:type="continuationSeparator" w:id="0">
    <w:p w14:paraId="3531A21D" w14:textId="77777777" w:rsidR="002E2DE0" w:rsidRDefault="002E2DE0" w:rsidP="00780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81AAE" w14:textId="77777777" w:rsidR="002E2DE0" w:rsidRDefault="002E2DE0" w:rsidP="00780DAA">
      <w:pPr>
        <w:spacing w:after="0" w:line="240" w:lineRule="auto"/>
      </w:pPr>
      <w:r>
        <w:separator/>
      </w:r>
    </w:p>
  </w:footnote>
  <w:footnote w:type="continuationSeparator" w:id="0">
    <w:p w14:paraId="00873078" w14:textId="77777777" w:rsidR="002E2DE0" w:rsidRDefault="002E2DE0" w:rsidP="00780DAA">
      <w:pPr>
        <w:spacing w:after="0" w:line="240" w:lineRule="auto"/>
      </w:pPr>
      <w:r>
        <w:continuationSeparator/>
      </w:r>
    </w:p>
  </w:footnote>
  <w:footnote w:id="1">
    <w:p w14:paraId="0A24D6E8" w14:textId="42208EA7" w:rsidR="00780DAA" w:rsidRDefault="00780DAA" w:rsidP="00780DAA">
      <w:pPr>
        <w:pStyle w:val="FootnoteText"/>
      </w:pPr>
      <w:r>
        <w:rPr>
          <w:rStyle w:val="FootnoteReference"/>
        </w:rPr>
        <w:footnoteRef/>
      </w:r>
      <w:r>
        <w:t xml:space="preserve"> </w:t>
      </w:r>
      <w:r w:rsidR="00703814">
        <w:t>David Kay, Episode 1, ‘</w:t>
      </w:r>
      <w:r w:rsidRPr="00703814">
        <w:rPr>
          <w:i/>
          <w:iCs/>
        </w:rPr>
        <w:t>This is going to hurt</w:t>
      </w:r>
      <w:r w:rsidR="00703814" w:rsidRPr="00703814">
        <w:rPr>
          <w:i/>
          <w:iCs/>
        </w:rPr>
        <w:t>’</w:t>
      </w:r>
      <w:r w:rsidR="00703814">
        <w:t>, (BBC 2022)</w:t>
      </w:r>
      <w:r w:rsidR="00A41AE9">
        <w:t xml:space="preserve"> [accessed 20</w:t>
      </w:r>
      <w:r w:rsidR="00A41AE9" w:rsidRPr="00A41AE9">
        <w:rPr>
          <w:vertAlign w:val="superscript"/>
        </w:rPr>
        <w:t>th</w:t>
      </w:r>
      <w:r w:rsidR="00A41AE9">
        <w:t xml:space="preserve"> October 2023]</w:t>
      </w:r>
    </w:p>
  </w:footnote>
  <w:footnote w:id="2">
    <w:p w14:paraId="231D5955" w14:textId="1F7595CD" w:rsidR="003125C6" w:rsidRDefault="003125C6" w:rsidP="003125C6">
      <w:pPr>
        <w:pStyle w:val="FootnoteText"/>
      </w:pPr>
      <w:r>
        <w:rPr>
          <w:rStyle w:val="FootnoteReference"/>
        </w:rPr>
        <w:footnoteRef/>
      </w:r>
      <w:r>
        <w:t xml:space="preserve"> </w:t>
      </w:r>
      <w:r w:rsidR="00DA13CA">
        <w:t>Russell T Davies, Series 2, Episode 10, ‘</w:t>
      </w:r>
      <w:r w:rsidRPr="00DA13CA">
        <w:rPr>
          <w:i/>
          <w:iCs/>
        </w:rPr>
        <w:t>Love and Monsters</w:t>
      </w:r>
      <w:r w:rsidR="00DA13CA" w:rsidRPr="00DA13CA">
        <w:rPr>
          <w:i/>
          <w:iCs/>
        </w:rPr>
        <w:t>’</w:t>
      </w:r>
      <w:r w:rsidR="00DA13CA">
        <w:t>, Doctor Who (BBC 2006)</w:t>
      </w:r>
      <w:r w:rsidR="00A41AE9">
        <w:t xml:space="preserve"> [accessed 20</w:t>
      </w:r>
      <w:r w:rsidR="00A41AE9" w:rsidRPr="00A41AE9">
        <w:rPr>
          <w:vertAlign w:val="superscript"/>
        </w:rPr>
        <w:t>th</w:t>
      </w:r>
      <w:r w:rsidR="00A41AE9">
        <w:t xml:space="preserve"> October 2023]</w:t>
      </w:r>
    </w:p>
  </w:footnote>
  <w:footnote w:id="3">
    <w:p w14:paraId="2477ECC7" w14:textId="63794305" w:rsidR="00627C69" w:rsidRPr="00703814" w:rsidRDefault="00627C69">
      <w:pPr>
        <w:pStyle w:val="FootnoteText"/>
      </w:pPr>
      <w:r>
        <w:rPr>
          <w:rStyle w:val="FootnoteReference"/>
        </w:rPr>
        <w:footnoteRef/>
      </w:r>
      <w:r w:rsidRPr="00703814">
        <w:t xml:space="preserve"> </w:t>
      </w:r>
      <w:r w:rsidR="00DA13CA" w:rsidRPr="00703814">
        <w:t xml:space="preserve">Ignasi Ribo, </w:t>
      </w:r>
      <w:r w:rsidRPr="00A41AE9">
        <w:rPr>
          <w:i/>
          <w:iCs/>
        </w:rPr>
        <w:t>Prose Fiction</w:t>
      </w:r>
      <w:r w:rsidR="00703814" w:rsidRPr="00A41AE9">
        <w:rPr>
          <w:i/>
          <w:iCs/>
        </w:rPr>
        <w:t>, An Introduction into the Semiotics of Narrative</w:t>
      </w:r>
      <w:r w:rsidR="00703814">
        <w:t xml:space="preserve"> (</w:t>
      </w:r>
      <w:r w:rsidR="00A41AE9">
        <w:t xml:space="preserve">Cambridge, </w:t>
      </w:r>
      <w:proofErr w:type="spellStart"/>
      <w:r w:rsidR="00703814">
        <w:t>OpenBook</w:t>
      </w:r>
      <w:proofErr w:type="spellEnd"/>
      <w:r w:rsidR="00703814">
        <w:t xml:space="preserve"> Publishers, 2019)</w:t>
      </w:r>
      <w:r w:rsidR="00A41AE9">
        <w:t xml:space="preserve"> [accessed 19</w:t>
      </w:r>
      <w:r w:rsidR="00A41AE9" w:rsidRPr="00A41AE9">
        <w:rPr>
          <w:vertAlign w:val="superscript"/>
        </w:rPr>
        <w:t>th</w:t>
      </w:r>
      <w:r w:rsidR="00A41AE9">
        <w:t xml:space="preserve"> October 2023]</w:t>
      </w:r>
    </w:p>
  </w:footnote>
  <w:footnote w:id="4">
    <w:p w14:paraId="299386D4" w14:textId="4C1AC52F" w:rsidR="00F045A2" w:rsidRDefault="00F045A2">
      <w:pPr>
        <w:pStyle w:val="FootnoteText"/>
      </w:pPr>
      <w:r>
        <w:rPr>
          <w:rStyle w:val="FootnoteReference"/>
        </w:rPr>
        <w:footnoteRef/>
      </w:r>
      <w:r>
        <w:t xml:space="preserve"> </w:t>
      </w:r>
      <w:r w:rsidR="00DA13CA">
        <w:t>Phoebe</w:t>
      </w:r>
      <w:r w:rsidR="00DA13CA">
        <w:t xml:space="preserve"> Waller-Bridge, Series 1</w:t>
      </w:r>
      <w:r w:rsidR="00A41AE9">
        <w:t xml:space="preserve"> </w:t>
      </w:r>
      <w:r w:rsidR="00DA13CA">
        <w:t xml:space="preserve">Episode 1, </w:t>
      </w:r>
      <w:r w:rsidR="00821317">
        <w:t>‘</w:t>
      </w:r>
      <w:r w:rsidR="00DA13CA" w:rsidRPr="00A41AE9">
        <w:rPr>
          <w:i/>
          <w:iCs/>
        </w:rPr>
        <w:t>Killing Eve</w:t>
      </w:r>
      <w:r w:rsidR="00821317">
        <w:rPr>
          <w:i/>
          <w:iCs/>
        </w:rPr>
        <w:t>’</w:t>
      </w:r>
      <w:r w:rsidR="00DA13CA">
        <w:t xml:space="preserve"> (BBC America 2018)</w:t>
      </w:r>
      <w:r w:rsidR="00A41AE9">
        <w:t xml:space="preserve"> </w:t>
      </w:r>
      <w:r w:rsidR="00A41AE9" w:rsidRPr="00A41AE9">
        <w:t>[accessed 13th October 2023]</w:t>
      </w:r>
    </w:p>
  </w:footnote>
  <w:footnote w:id="5">
    <w:p w14:paraId="0B5B4835" w14:textId="5EA7BBA0" w:rsidR="00627C69" w:rsidRPr="00703814" w:rsidRDefault="00627C69">
      <w:pPr>
        <w:pStyle w:val="FootnoteText"/>
        <w:rPr>
          <w:rFonts w:cstheme="minorHAnsi"/>
        </w:rPr>
      </w:pPr>
      <w:r>
        <w:rPr>
          <w:rStyle w:val="FootnoteReference"/>
        </w:rPr>
        <w:footnoteRef/>
      </w:r>
      <w:r w:rsidR="00665820" w:rsidRPr="00665820">
        <w:rPr>
          <w:color w:val="000000"/>
        </w:rPr>
        <w:t xml:space="preserve"> </w:t>
      </w:r>
      <w:r w:rsidR="00665820" w:rsidRPr="00703814">
        <w:rPr>
          <w:rFonts w:cstheme="minorHAnsi"/>
          <w:color w:val="000000"/>
        </w:rPr>
        <w:t xml:space="preserve">David Jenkins and Taika Waititi, Pilot, </w:t>
      </w:r>
      <w:r w:rsidR="00821317">
        <w:rPr>
          <w:rFonts w:cstheme="minorHAnsi"/>
          <w:color w:val="000000"/>
        </w:rPr>
        <w:t>‘</w:t>
      </w:r>
      <w:r w:rsidR="00665820" w:rsidRPr="00A41AE9">
        <w:rPr>
          <w:rFonts w:cstheme="minorHAnsi"/>
          <w:i/>
          <w:iCs/>
          <w:color w:val="000000"/>
        </w:rPr>
        <w:t>Our Flag Means Death</w:t>
      </w:r>
      <w:r w:rsidR="00821317">
        <w:rPr>
          <w:rFonts w:cstheme="minorHAnsi"/>
          <w:i/>
          <w:iCs/>
          <w:color w:val="000000"/>
        </w:rPr>
        <w:t>’</w:t>
      </w:r>
      <w:r w:rsidR="00665820" w:rsidRPr="00703814">
        <w:rPr>
          <w:rFonts w:cstheme="minorHAnsi"/>
          <w:color w:val="000000"/>
        </w:rPr>
        <w:t xml:space="preserve">, second draft, 15th April 2020, </w:t>
      </w:r>
      <w:hyperlink r:id="rId1" w:history="1">
        <w:r w:rsidR="00A41AE9" w:rsidRPr="003F17D7">
          <w:rPr>
            <w:rStyle w:val="Hyperlink"/>
            <w:rFonts w:cstheme="minorHAnsi"/>
          </w:rPr>
          <w:t>http://tvwriting.co.uk/tv_scripts/2021/Comedy/Our_Flag_Means_Death_1x01_-_Pilot.pdf</w:t>
        </w:r>
      </w:hyperlink>
      <w:r w:rsidR="00A41AE9">
        <w:rPr>
          <w:rFonts w:cstheme="minorHAnsi"/>
          <w:color w:val="000000"/>
        </w:rPr>
        <w:t xml:space="preserve"> </w:t>
      </w:r>
      <w:r w:rsidR="00665820" w:rsidRPr="00703814">
        <w:rPr>
          <w:rFonts w:cstheme="minorHAnsi"/>
          <w:color w:val="000000"/>
        </w:rPr>
        <w:t xml:space="preserve">[accessed </w:t>
      </w:r>
      <w:r w:rsidR="00A41AE9">
        <w:rPr>
          <w:rFonts w:cstheme="minorHAnsi"/>
          <w:color w:val="000000"/>
        </w:rPr>
        <w:t>17</w:t>
      </w:r>
      <w:r w:rsidR="00665820" w:rsidRPr="00703814">
        <w:rPr>
          <w:rFonts w:cstheme="minorHAnsi"/>
          <w:color w:val="000000"/>
        </w:rPr>
        <w:t>th October 2023]</w:t>
      </w:r>
    </w:p>
  </w:footnote>
  <w:footnote w:id="6">
    <w:p w14:paraId="7E52A498" w14:textId="16C219AE" w:rsidR="0082189A" w:rsidRPr="00703814" w:rsidRDefault="0082189A" w:rsidP="0082189A">
      <w:pPr>
        <w:pStyle w:val="FootnoteText"/>
        <w:rPr>
          <w:rFonts w:cstheme="minorHAnsi"/>
        </w:rPr>
      </w:pPr>
      <w:r w:rsidRPr="00703814">
        <w:rPr>
          <w:rStyle w:val="FootnoteReference"/>
          <w:rFonts w:cstheme="minorHAnsi"/>
        </w:rPr>
        <w:footnoteRef/>
      </w:r>
      <w:r w:rsidR="00665820" w:rsidRPr="00703814">
        <w:rPr>
          <w:rFonts w:cstheme="minorHAnsi"/>
          <w:color w:val="000000"/>
        </w:rPr>
        <w:t xml:space="preserve">Christopher Booker, </w:t>
      </w:r>
      <w:r w:rsidR="00665820" w:rsidRPr="00A41AE9">
        <w:rPr>
          <w:rFonts w:cstheme="minorHAnsi"/>
          <w:i/>
          <w:iCs/>
          <w:color w:val="000000"/>
        </w:rPr>
        <w:t>The Seven Basic Plots, Why We Tell Stories</w:t>
      </w:r>
      <w:r w:rsidR="00665820" w:rsidRPr="00703814">
        <w:rPr>
          <w:rFonts w:cstheme="minorHAnsi"/>
          <w:color w:val="000000"/>
        </w:rPr>
        <w:t>, (Bloomsbury Continuum, 2019)</w:t>
      </w:r>
    </w:p>
  </w:footnote>
  <w:footnote w:id="7">
    <w:p w14:paraId="67B01C5B" w14:textId="266797F0" w:rsidR="00D56582" w:rsidRPr="00DA13CA" w:rsidRDefault="00D56582">
      <w:pPr>
        <w:pStyle w:val="FootnoteText"/>
      </w:pPr>
      <w:r w:rsidRPr="00703814">
        <w:rPr>
          <w:rStyle w:val="FootnoteReference"/>
          <w:rFonts w:cstheme="minorHAnsi"/>
        </w:rPr>
        <w:footnoteRef/>
      </w:r>
      <w:r w:rsidRPr="00703814">
        <w:rPr>
          <w:rFonts w:cstheme="minorHAnsi"/>
        </w:rPr>
        <w:t xml:space="preserve"> </w:t>
      </w:r>
      <w:r w:rsidR="00DA13CA" w:rsidRPr="00703814">
        <w:rPr>
          <w:rFonts w:cstheme="minorHAnsi"/>
        </w:rPr>
        <w:t xml:space="preserve">Howard </w:t>
      </w:r>
      <w:r w:rsidR="00DA13CA" w:rsidRPr="00703814">
        <w:rPr>
          <w:rFonts w:cstheme="minorHAnsi"/>
        </w:rPr>
        <w:t>Overman</w:t>
      </w:r>
      <w:r w:rsidR="00DA13CA" w:rsidRPr="00703814">
        <w:rPr>
          <w:rFonts w:cstheme="minorHAnsi"/>
        </w:rPr>
        <w:t xml:space="preserve">, Series 4, Episode 3, </w:t>
      </w:r>
      <w:r w:rsidR="00DA13CA" w:rsidRPr="00703814">
        <w:rPr>
          <w:rFonts w:cstheme="minorHAnsi"/>
          <w:i/>
          <w:iCs/>
        </w:rPr>
        <w:t>‘The Wi</w:t>
      </w:r>
      <w:r w:rsidR="00703814">
        <w:rPr>
          <w:rFonts w:cstheme="minorHAnsi"/>
          <w:i/>
          <w:iCs/>
        </w:rPr>
        <w:t>c</w:t>
      </w:r>
      <w:r w:rsidR="00DA13CA" w:rsidRPr="00703814">
        <w:rPr>
          <w:rFonts w:cstheme="minorHAnsi"/>
          <w:i/>
          <w:iCs/>
        </w:rPr>
        <w:t>ked Day</w:t>
      </w:r>
      <w:r w:rsidR="00821317">
        <w:rPr>
          <w:rFonts w:cstheme="minorHAnsi"/>
          <w:i/>
          <w:iCs/>
        </w:rPr>
        <w:t>’</w:t>
      </w:r>
      <w:r w:rsidR="00DA13CA" w:rsidRPr="00703814">
        <w:rPr>
          <w:rFonts w:cstheme="minorHAnsi"/>
          <w:i/>
          <w:iCs/>
        </w:rPr>
        <w:t xml:space="preserve">, </w:t>
      </w:r>
      <w:r w:rsidR="00DA13CA" w:rsidRPr="00703814">
        <w:rPr>
          <w:rFonts w:cstheme="minorHAnsi"/>
        </w:rPr>
        <w:t>Merlin (BBC 2011)</w:t>
      </w:r>
      <w:r w:rsidR="00A41AE9">
        <w:rPr>
          <w:rFonts w:cstheme="minorHAnsi"/>
        </w:rPr>
        <w:t xml:space="preserve"> [accessed 14</w:t>
      </w:r>
      <w:r w:rsidR="00A41AE9" w:rsidRPr="00A41AE9">
        <w:rPr>
          <w:rFonts w:cstheme="minorHAnsi"/>
          <w:vertAlign w:val="superscript"/>
        </w:rPr>
        <w:t>th</w:t>
      </w:r>
      <w:r w:rsidR="00A41AE9">
        <w:rPr>
          <w:rFonts w:cstheme="minorHAnsi"/>
        </w:rPr>
        <w:t xml:space="preserve"> October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1B5"/>
    <w:rsid w:val="001B6D04"/>
    <w:rsid w:val="00246099"/>
    <w:rsid w:val="002E2DE0"/>
    <w:rsid w:val="003125C6"/>
    <w:rsid w:val="004C5E71"/>
    <w:rsid w:val="005817F2"/>
    <w:rsid w:val="00627C69"/>
    <w:rsid w:val="00665820"/>
    <w:rsid w:val="006A3DE7"/>
    <w:rsid w:val="00703814"/>
    <w:rsid w:val="00780DAA"/>
    <w:rsid w:val="007B5EB9"/>
    <w:rsid w:val="007D3C83"/>
    <w:rsid w:val="00821317"/>
    <w:rsid w:val="0082189A"/>
    <w:rsid w:val="00893C8B"/>
    <w:rsid w:val="008D28D5"/>
    <w:rsid w:val="008D61B5"/>
    <w:rsid w:val="009251E6"/>
    <w:rsid w:val="00A41AE9"/>
    <w:rsid w:val="00AC59C5"/>
    <w:rsid w:val="00B641AE"/>
    <w:rsid w:val="00D56582"/>
    <w:rsid w:val="00DA13CA"/>
    <w:rsid w:val="00DF2C2E"/>
    <w:rsid w:val="00EC0BBE"/>
    <w:rsid w:val="00ED057E"/>
    <w:rsid w:val="00F03C69"/>
    <w:rsid w:val="00F045A2"/>
    <w:rsid w:val="00FE0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93806"/>
  <w15:chartTrackingRefBased/>
  <w15:docId w15:val="{F0884D64-3AA0-43A2-8A55-C5059CF1D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C2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C2E"/>
    <w:rPr>
      <w:rFonts w:asciiTheme="majorHAnsi" w:eastAsiaTheme="majorEastAsia" w:hAnsiTheme="majorHAnsi" w:cstheme="majorBidi"/>
      <w:color w:val="2F5496" w:themeColor="accent1" w:themeShade="BF"/>
      <w:kern w:val="0"/>
      <w:sz w:val="32"/>
      <w:szCs w:val="32"/>
      <w:lang w:val="en-US"/>
      <w14:ligatures w14:val="none"/>
    </w:rPr>
  </w:style>
  <w:style w:type="paragraph" w:styleId="FootnoteText">
    <w:name w:val="footnote text"/>
    <w:basedOn w:val="Normal"/>
    <w:link w:val="FootnoteTextChar"/>
    <w:uiPriority w:val="99"/>
    <w:semiHidden/>
    <w:unhideWhenUsed/>
    <w:rsid w:val="00780D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0DAA"/>
    <w:rPr>
      <w:sz w:val="20"/>
      <w:szCs w:val="20"/>
    </w:rPr>
  </w:style>
  <w:style w:type="character" w:styleId="FootnoteReference">
    <w:name w:val="footnote reference"/>
    <w:basedOn w:val="DefaultParagraphFont"/>
    <w:uiPriority w:val="99"/>
    <w:semiHidden/>
    <w:unhideWhenUsed/>
    <w:rsid w:val="00780DAA"/>
    <w:rPr>
      <w:vertAlign w:val="superscript"/>
    </w:rPr>
  </w:style>
  <w:style w:type="character" w:styleId="Hyperlink">
    <w:name w:val="Hyperlink"/>
    <w:basedOn w:val="DefaultParagraphFont"/>
    <w:uiPriority w:val="99"/>
    <w:unhideWhenUsed/>
    <w:rsid w:val="00A41AE9"/>
    <w:rPr>
      <w:color w:val="0563C1" w:themeColor="hyperlink"/>
      <w:u w:val="single"/>
    </w:rPr>
  </w:style>
  <w:style w:type="character" w:styleId="UnresolvedMention">
    <w:name w:val="Unresolved Mention"/>
    <w:basedOn w:val="DefaultParagraphFont"/>
    <w:uiPriority w:val="99"/>
    <w:semiHidden/>
    <w:unhideWhenUsed/>
    <w:rsid w:val="00A41A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tvwriting.co.uk/tv_scripts/2021/Comedy/Our_Flag_Means_Death_1x01_-_Pilo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89DDB-CA37-4A42-BC1B-3341D7BDD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5</Pages>
  <Words>1165</Words>
  <Characters>5726</Characters>
  <Application>Microsoft Office Word</Application>
  <DocSecurity>0</DocSecurity>
  <Lines>100</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Emery Futer</dc:creator>
  <cp:keywords/>
  <dc:description/>
  <cp:lastModifiedBy>Emery Futer</cp:lastModifiedBy>
  <cp:revision>23</cp:revision>
  <dcterms:created xsi:type="dcterms:W3CDTF">2023-10-21T17:50:00Z</dcterms:created>
  <dcterms:modified xsi:type="dcterms:W3CDTF">2023-10-22T19:24:00Z</dcterms:modified>
</cp:coreProperties>
</file>