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084B1E" w14:textId="77777777" w:rsidR="00894251" w:rsidRDefault="00003D46">
      <w:pPr>
        <w:spacing w:before="1800"/>
        <w:jc w:val="center"/>
      </w:pPr>
      <w:r>
        <w:rPr>
          <w:b/>
          <w:sz w:val="40"/>
        </w:rPr>
        <w:t>Strategic Change Management Plan for Jaguar Land Rover</w:t>
      </w:r>
    </w:p>
    <w:p w14:paraId="13367B58" w14:textId="77777777" w:rsidR="00894251" w:rsidRDefault="00003D46">
      <w:pPr>
        <w:jc w:val="center"/>
      </w:pPr>
      <w:r>
        <w:rPr>
          <w:b/>
        </w:rPr>
        <w:t xml:space="preserve">Student Name: </w:t>
      </w:r>
      <w:r>
        <w:t>Kanval Yousif</w:t>
      </w:r>
    </w:p>
    <w:p w14:paraId="2C26905A" w14:textId="77777777" w:rsidR="00894251" w:rsidRDefault="00003D46">
      <w:pPr>
        <w:jc w:val="center"/>
      </w:pPr>
      <w:r>
        <w:rPr>
          <w:b/>
        </w:rPr>
        <w:t xml:space="preserve">Student Number: </w:t>
      </w:r>
      <w:r>
        <w:t>2318913</w:t>
      </w:r>
    </w:p>
    <w:p w14:paraId="5E7C8BB5" w14:textId="77777777" w:rsidR="00894251" w:rsidRDefault="00003D46">
      <w:pPr>
        <w:jc w:val="center"/>
      </w:pPr>
      <w:r>
        <w:rPr>
          <w:b/>
        </w:rPr>
        <w:t xml:space="preserve">Module Code and Title: </w:t>
      </w:r>
      <w:r>
        <w:t>LCLM6003 - Leading and Implementing Change</w:t>
      </w:r>
    </w:p>
    <w:p w14:paraId="6B0895BD" w14:textId="77777777" w:rsidR="00894251" w:rsidRDefault="00003D46">
      <w:pPr>
        <w:jc w:val="center"/>
      </w:pPr>
      <w:r>
        <w:rPr>
          <w:b/>
        </w:rPr>
        <w:t xml:space="preserve">Lecturer: </w:t>
      </w:r>
      <w:r>
        <w:t>Dr Eric Osei</w:t>
      </w:r>
    </w:p>
    <w:p w14:paraId="43655E95" w14:textId="77777777" w:rsidR="00894251" w:rsidRDefault="00003D46">
      <w:pPr>
        <w:jc w:val="center"/>
      </w:pPr>
      <w:r>
        <w:rPr>
          <w:b/>
        </w:rPr>
        <w:t xml:space="preserve">Chosen Organisation: </w:t>
      </w:r>
      <w:r>
        <w:t>Jaguar Land Rover Automotive plc</w:t>
      </w:r>
    </w:p>
    <w:p w14:paraId="13CF1552" w14:textId="77777777" w:rsidR="00894251" w:rsidRDefault="00003D46">
      <w:r>
        <w:br w:type="page"/>
      </w:r>
    </w:p>
    <w:p w14:paraId="0A71973A" w14:textId="77777777" w:rsidR="00894251" w:rsidRDefault="00003D46">
      <w:pPr>
        <w:pStyle w:val="Heading1"/>
      </w:pPr>
      <w:r>
        <w:lastRenderedPageBreak/>
        <w:t>Contents</w:t>
      </w:r>
    </w:p>
    <w:p w14:paraId="42C33488" w14:textId="77777777" w:rsidR="00894251" w:rsidRDefault="00003D46">
      <w:r>
        <w:t>Executive Summary</w:t>
      </w:r>
    </w:p>
    <w:p w14:paraId="55C3228B" w14:textId="77777777" w:rsidR="00894251" w:rsidRDefault="00003D46">
      <w:r>
        <w:t>1. Introduction to Jaguar Land Rover</w:t>
      </w:r>
    </w:p>
    <w:p w14:paraId="3A10FFDE" w14:textId="77777777" w:rsidR="00894251" w:rsidRDefault="00003D46">
      <w:r>
        <w:t>2. Recent History and Strategic Context</w:t>
      </w:r>
    </w:p>
    <w:p w14:paraId="3934CB87" w14:textId="77777777" w:rsidR="00894251" w:rsidRDefault="00003D46">
      <w:r>
        <w:t>3. Diagnostic Analysis: Triggers for Change</w:t>
      </w:r>
    </w:p>
    <w:p w14:paraId="3970D8C1" w14:textId="77777777" w:rsidR="00894251" w:rsidRDefault="00003D46">
      <w:r>
        <w:t>3.1 External analysis - PESTLE</w:t>
      </w:r>
    </w:p>
    <w:p w14:paraId="39382E5E" w14:textId="77777777" w:rsidR="00894251" w:rsidRDefault="00003D46">
      <w:r>
        <w:t>3.2 Competitive analysis - Porter’s Five Forces</w:t>
      </w:r>
    </w:p>
    <w:p w14:paraId="3B57A636" w14:textId="77777777" w:rsidR="00894251" w:rsidRDefault="00003D46">
      <w:r>
        <w:t>3.3 Internal analysis - McKinsey 7S</w:t>
      </w:r>
    </w:p>
    <w:p w14:paraId="2C904C32" w14:textId="77777777" w:rsidR="00894251" w:rsidRDefault="00003D46">
      <w:r>
        <w:t>3.4 Diagnostic synthesis</w:t>
      </w:r>
    </w:p>
    <w:p w14:paraId="36C7E731" w14:textId="77777777" w:rsidR="00894251" w:rsidRDefault="00003D46">
      <w:r>
        <w:t>4. Digital Disruption, AI and Environmental Change</w:t>
      </w:r>
    </w:p>
    <w:p w14:paraId="2DFD1227" w14:textId="77777777" w:rsidR="00894251" w:rsidRDefault="00003D46">
      <w:r>
        <w:t>5. Critical Evaluation of Change Management Models</w:t>
      </w:r>
    </w:p>
    <w:p w14:paraId="60AE235B" w14:textId="77777777" w:rsidR="00894251" w:rsidRDefault="00003D46">
      <w:r>
        <w:t>5.1 Lewin’s Three-Stage Model</w:t>
      </w:r>
    </w:p>
    <w:p w14:paraId="138F34F3" w14:textId="77777777" w:rsidR="00894251" w:rsidRDefault="00003D46">
      <w:r>
        <w:t>5.2 Kotter’s Eight-Step Model</w:t>
      </w:r>
    </w:p>
    <w:p w14:paraId="77EF0E6A" w14:textId="77777777" w:rsidR="00894251" w:rsidRDefault="00003D46">
      <w:r>
        <w:t>5.3 McKinsey 7S as an alignment framework</w:t>
      </w:r>
    </w:p>
    <w:p w14:paraId="2908E4EE" w14:textId="77777777" w:rsidR="00894251" w:rsidRDefault="00003D46">
      <w:r>
        <w:t>5.4 Recommended integrated approach</w:t>
      </w:r>
    </w:p>
    <w:p w14:paraId="55435201" w14:textId="77777777" w:rsidR="00894251" w:rsidRDefault="00003D46">
      <w:r>
        <w:t>6. Evaluation of How Change Has Been Managed at JLR</w:t>
      </w:r>
    </w:p>
    <w:p w14:paraId="12ADDE83" w14:textId="77777777" w:rsidR="00894251" w:rsidRDefault="00003D46">
      <w:r>
        <w:t>7. Leadership and Stakeholder Management</w:t>
      </w:r>
    </w:p>
    <w:p w14:paraId="333DFB84" w14:textId="77777777" w:rsidR="00894251" w:rsidRDefault="00003D46">
      <w:r>
        <w:t>8. Organisational Culture and Resistance to Change</w:t>
      </w:r>
    </w:p>
    <w:p w14:paraId="6BE6CC12" w14:textId="77777777" w:rsidR="00894251" w:rsidRDefault="00003D46">
      <w:r>
        <w:t>9. Proposed Strategic Change Plan</w:t>
      </w:r>
    </w:p>
    <w:p w14:paraId="102FB592" w14:textId="77777777" w:rsidR="00894251" w:rsidRDefault="00003D46">
      <w:r>
        <w:t>9.1 Strategic change and objectives</w:t>
      </w:r>
    </w:p>
    <w:p w14:paraId="11554C3A" w14:textId="77777777" w:rsidR="00894251" w:rsidRDefault="00003D46">
      <w:r>
        <w:t>9.2 Governance and implementation</w:t>
      </w:r>
    </w:p>
    <w:p w14:paraId="105A0AAA" w14:textId="77777777" w:rsidR="00894251" w:rsidRDefault="00003D46">
      <w:r>
        <w:t>9.3 Financial priorities</w:t>
      </w:r>
    </w:p>
    <w:p w14:paraId="6957DB12" w14:textId="77777777" w:rsidR="00894251" w:rsidRDefault="00003D46">
      <w:r>
        <w:t>9.4 Communication and engagement</w:t>
      </w:r>
    </w:p>
    <w:p w14:paraId="6A7C2E08" w14:textId="77777777" w:rsidR="00894251" w:rsidRDefault="00003D46">
      <w:r>
        <w:t>9.5 Implementation timeline</w:t>
      </w:r>
    </w:p>
    <w:p w14:paraId="38FEE9B5" w14:textId="77777777" w:rsidR="00894251" w:rsidRDefault="00003D46">
      <w:r>
        <w:t>9.6 Evaluation and control</w:t>
      </w:r>
    </w:p>
    <w:p w14:paraId="2658A7D0" w14:textId="77777777" w:rsidR="00894251" w:rsidRDefault="00003D46">
      <w:r>
        <w:t>10. Risks and Mitigation</w:t>
      </w:r>
    </w:p>
    <w:p w14:paraId="322A8EFC" w14:textId="77777777" w:rsidR="00894251" w:rsidRDefault="00003D46">
      <w:r>
        <w:t>11. Conclusion</w:t>
      </w:r>
    </w:p>
    <w:p w14:paraId="25BC2AC5" w14:textId="77777777" w:rsidR="00894251" w:rsidRDefault="00003D46">
      <w:r>
        <w:lastRenderedPageBreak/>
        <w:t>Reference List</w:t>
      </w:r>
    </w:p>
    <w:p w14:paraId="3EC19D82" w14:textId="77777777" w:rsidR="00894251" w:rsidRDefault="00003D46">
      <w:r>
        <w:br w:type="page"/>
      </w:r>
    </w:p>
    <w:p w14:paraId="24C46B2E" w14:textId="77777777" w:rsidR="00894251" w:rsidRDefault="00003D46">
      <w:pPr>
        <w:pStyle w:val="Heading1"/>
      </w:pPr>
      <w:r>
        <w:lastRenderedPageBreak/>
        <w:t>Executive Summary</w:t>
      </w:r>
    </w:p>
    <w:p w14:paraId="1E508D38" w14:textId="77777777" w:rsidR="00894251" w:rsidRDefault="00003D46">
      <w:pPr>
        <w:jc w:val="both"/>
      </w:pPr>
      <w:r>
        <w:t>This report critically evaluates the need for strategic change at Jaguar Land Rover Automotive plc (JLR) and proposes an evidence-led implementation plan. The analysis retains the original focus on electrification, artificial intelligence (AI), digital resilience, workforce capability, supply-chain agility and modern luxury, but strengthens the diagnosis by integrating external and internal analytical frameworks with academic literature. JLR’s FY2025/26 performance demonstrates why change is not optional: r</w:t>
      </w:r>
      <w:r>
        <w:t>evenue fell to £22.9 billion and adjusted EBIT to 0.7%, while the business was affected by US trade tariffs, deteriorating conditions in China and a cyber incident that paused production for five weeks (JLR, 2026a). These pressures sit alongside the longer-term transition towards electrified and software-defined vehicles and the UK policy pathway towards zero-emission new vehicle sales.</w:t>
      </w:r>
    </w:p>
    <w:p w14:paraId="13465817" w14:textId="77777777" w:rsidR="00894251" w:rsidRDefault="00003D46">
      <w:pPr>
        <w:jc w:val="both"/>
      </w:pPr>
      <w:r>
        <w:t>A PESTLE analysis identifies regulatory, technological, economic, social and geopolitical forces that create both urgency and uncertainty. Porter’s Five Forces further indicates that JLR faces stronger rivalry from established premium manufacturers and rapidly developing Chinese electric-vehicle producers, while supplier power is amplified by dependence on batteries, semiconductors, software and critical materials. Internally, a McKinsey 7S diagnosis suggests that JLR’s Reimagine strategy is directionally a</w:t>
      </w:r>
      <w:r>
        <w:t>ligned with electrification and modern luxury, but successful execution depends on stronger alignment between systems, skills, staff, leadership style and shared values.</w:t>
      </w:r>
    </w:p>
    <w:p w14:paraId="0CAE2D6B" w14:textId="77777777" w:rsidR="00894251" w:rsidRDefault="00003D46">
      <w:pPr>
        <w:jc w:val="both"/>
      </w:pPr>
      <w:r>
        <w:t>Three approaches to change are evaluated. Lewin’s model provides a useful explanation of readiness and behavioural institutionalisation but is too episodic for an environment characterised by continuous technological and regulatory change. Kotter’s eight-step model offers stronger mobilisation, communication and implementation discipline, although its sequential and leadership-led nature can understate emergent change and employee agency. McKinsey 7S is therefore used alongside Kotter as a diagnostic and al</w:t>
      </w:r>
      <w:r>
        <w:t>ignment mechanism rather than as a stand-alone implementation process. The report proposes a three-year Digital Resilience and Electrified Luxury Transformation Programme, governed through a cross-functional transformation board, with measurable outcomes covering product delivery, cyber resilience, AI adoption, workforce capability, financial performance and stakeholder confidence. The central argument is that JLR should not treat electrification, AI and cyber resilience as separate projects; they should be</w:t>
      </w:r>
      <w:r>
        <w:t xml:space="preserve"> managed as an integrated socio-technical transformation in which technology, people, culture and governance change together.</w:t>
      </w:r>
    </w:p>
    <w:p w14:paraId="11112B27" w14:textId="77777777" w:rsidR="00894251" w:rsidRDefault="00003D46">
      <w:pPr>
        <w:pStyle w:val="Heading1"/>
      </w:pPr>
      <w:r>
        <w:lastRenderedPageBreak/>
        <w:t>1. Introduction to Jaguar Land Rover</w:t>
      </w:r>
    </w:p>
    <w:p w14:paraId="5AB1435E" w14:textId="77777777" w:rsidR="00894251" w:rsidRDefault="00003D46">
      <w:pPr>
        <w:jc w:val="both"/>
      </w:pPr>
      <w:r>
        <w:t>Jaguar Land Rover Automotive plc is a UK-headquartered luxury automotive manufacturer owned by Tata Motors. Its House of Brands comprises Range Rover, Defender, Discovery and Jaguar. JLR’s competitive position has historically been built on British design, engineering capability, luxury positioning, brand heritage and the high margins generated by premium sport utility vehicles. However, the basis of competition in the automotive sector is changing. Electrification, connected vehicles, software, AI, cyberse</w:t>
      </w:r>
      <w:r>
        <w:t>curity, sustainability regulation and digital customer journeys increasingly influence value creation alongside traditional mechanical engineering (Tidd and Bessant, 2020).</w:t>
      </w:r>
    </w:p>
    <w:p w14:paraId="5D7262EF" w14:textId="77777777" w:rsidR="00894251" w:rsidRDefault="00003D46">
      <w:pPr>
        <w:jc w:val="both"/>
      </w:pPr>
      <w:r>
        <w:t>JLR’s strategic response is Reimagine, launched in 2021 and subsequently developed into an electric-first, modern-luxury strategy. JLR announced £15 billion of investment over five years in 2023 across its industrial footprint, vehicle programmes, autonomous technologies, AI, digital technologies and people skills (JLR, 2023). By FY2025/26 the company described a more flexible propulsion approach, retaining ICE and hybrid options while rolling out battery-electric vehicles at different speeds across markets</w:t>
      </w:r>
      <w:r>
        <w:t xml:space="preserve"> (JLR, 2026a). This adjustment is strategically important because it demonstrates that transformation is not a fixed route from one stable state to another; it requires adaptation as customer demand, regulation and geopolitics evolve.</w:t>
      </w:r>
    </w:p>
    <w:p w14:paraId="084A5959" w14:textId="77777777" w:rsidR="00894251" w:rsidRDefault="00003D46">
      <w:pPr>
        <w:jc w:val="both"/>
      </w:pPr>
      <w:r>
        <w:t>The purpose of this report is therefore to diagnose the forces triggering change, critically evaluate relevant change and leadership theories, assess JLR’s recent management of transformation, and propose a practical strategic change plan. The analysis moves beyond description by connecting evidence to theory and by considering the limitations and trade-offs of alternative approaches. This is important because strategic change is not achieved merely by announcing a vision: it requires alignment between stra</w:t>
      </w:r>
      <w:r>
        <w:t>tegy, structures, systems, people, skills, leadership and culture (Hayes, 2022; Burnes, 2017).</w:t>
      </w:r>
    </w:p>
    <w:p w14:paraId="27525BBD" w14:textId="77777777" w:rsidR="00894251" w:rsidRDefault="00003D46">
      <w:pPr>
        <w:pStyle w:val="Heading1"/>
      </w:pPr>
      <w:r>
        <w:t>2. Recent History and Strategic Context</w:t>
      </w:r>
    </w:p>
    <w:p w14:paraId="1D96222D" w14:textId="77777777" w:rsidR="00894251" w:rsidRDefault="00003D46">
      <w:pPr>
        <w:jc w:val="both"/>
      </w:pPr>
      <w:r>
        <w:t>Tata Motors acquired JLR from Ford in 2008. During the following period JLR invested in new products and expanded the Range Rover and Jaguar portfolios. The company also experienced repeated environmental shocks, including Brexit uncertainty, semiconductor shortages, supply-chain disruption, emissions regulation and changing demand. The 2018 Jaguar I-PACE demonstrated early battery-electric capability, yet JLR did not convert that lead into a broad EV portfolio at the speed later seen from Tesla and Chinese</w:t>
      </w:r>
      <w:r>
        <w:t xml:space="preserve"> manufacturers. This created a strategic tension: profitable ICE and hybrid luxury SUVs generated cash, while the industry simultaneously required large investment in new electric architectures, software and batteries.</w:t>
      </w:r>
    </w:p>
    <w:p w14:paraId="23A9DAE3" w14:textId="77777777" w:rsidR="00894251" w:rsidRDefault="00003D46">
      <w:pPr>
        <w:jc w:val="both"/>
      </w:pPr>
      <w:r>
        <w:lastRenderedPageBreak/>
        <w:t>Reimagine sought to resolve this tension by repositioning the business around modern luxury, sustainability and electrification. JLR’s 2021 plan envisaged Jaguar becoming an all-electric luxury brand and set a net-zero value-chain ambition for 2039 (JLR, 2021). In 2023, JLR accelerated industrial conversion, including the transformation of Halewood towards electric production and investment in people and digital capability (JLR, 2023). The strategy produced strong FY2024/25 financial results: revenue was £2</w:t>
      </w:r>
      <w:r>
        <w:t>9.0 billion and adjusted EBIT margin 8.5%, with £3.8 billion invested during the year (JLR, 2025).</w:t>
      </w:r>
    </w:p>
    <w:p w14:paraId="463EF554" w14:textId="77777777" w:rsidR="00894251" w:rsidRDefault="00003D46">
      <w:pPr>
        <w:jc w:val="both"/>
      </w:pPr>
      <w:r>
        <w:t>However, FY2025/26 exposed execution and resilience risks. JLR reported £22.9 billion revenue and 0.7% adjusted EBIT for the full year. It faced incremental US tariffs, deteriorating market conditions in China and a cyber incident that required a precautionary systems shutdown; production restarted on 8 October and returned to normal levels in mid-November (JLR, 2026a). These events do not prove that Reimagine is strategically wrong. Rather, they show that the implementation environment is more volatile tha</w:t>
      </w:r>
      <w:r>
        <w:t>n a linear transformation plan assumes. The strategic problem is therefore twofold: JLR must continue investing in future competitiveness while increasing the resilience and adaptability of the organisation delivering that investment.</w:t>
      </w:r>
    </w:p>
    <w:p w14:paraId="78568090" w14:textId="77777777" w:rsidR="00894251" w:rsidRDefault="00003D46">
      <w:pPr>
        <w:pStyle w:val="Heading1"/>
      </w:pPr>
      <w:r>
        <w:t>3. Diagnostic Analysis: Triggers for Change</w:t>
      </w:r>
    </w:p>
    <w:p w14:paraId="298F077B" w14:textId="77777777" w:rsidR="00894251" w:rsidRDefault="00003D46">
      <w:pPr>
        <w:jc w:val="both"/>
      </w:pPr>
      <w:r>
        <w:t>A major weakness in a change plan is to identify pressures without systematically diagnosing them. Johnson et al. (2020) argue that strategic analysis should connect the macro-environment, industry structure and organisational resources. Accordingly, this section applies PESTLE and Porter’s Five Forces externally and McKinsey 7S internally. The frameworks are not treated as mechanical checklists; their value lies in identifying interactions between pressures and the implications for JLR’s change priorities.</w:t>
      </w:r>
    </w:p>
    <w:p w14:paraId="6F1EB433" w14:textId="77777777" w:rsidR="00894251" w:rsidRDefault="00003D46">
      <w:pPr>
        <w:pStyle w:val="Heading2"/>
      </w:pPr>
      <w:r>
        <w:t>3.1 External analysis - PESTLE</w:t>
      </w:r>
    </w:p>
    <w:tbl>
      <w:tblPr>
        <w:tblStyle w:val="TableGrid"/>
        <w:tblW w:w="0" w:type="auto"/>
        <w:jc w:val="center"/>
        <w:tblLook w:val="04A0" w:firstRow="1" w:lastRow="0" w:firstColumn="1" w:lastColumn="0" w:noHBand="0" w:noVBand="1"/>
      </w:tblPr>
      <w:tblGrid>
        <w:gridCol w:w="3212"/>
        <w:gridCol w:w="3213"/>
        <w:gridCol w:w="3213"/>
      </w:tblGrid>
      <w:tr w:rsidR="00894251" w14:paraId="30BA40DB" w14:textId="77777777">
        <w:trPr>
          <w:jc w:val="center"/>
        </w:trPr>
        <w:tc>
          <w:tcPr>
            <w:tcW w:w="3216" w:type="dxa"/>
            <w:shd w:val="clear" w:color="auto" w:fill="D9EAF7"/>
            <w:vAlign w:val="center"/>
          </w:tcPr>
          <w:p w14:paraId="07F4036A" w14:textId="77777777" w:rsidR="00894251" w:rsidRDefault="00003D46">
            <w:pPr>
              <w:spacing w:after="0"/>
            </w:pPr>
            <w:r>
              <w:rPr>
                <w:b/>
                <w:sz w:val="19"/>
              </w:rPr>
              <w:t>Factor</w:t>
            </w:r>
          </w:p>
        </w:tc>
        <w:tc>
          <w:tcPr>
            <w:tcW w:w="3216" w:type="dxa"/>
            <w:shd w:val="clear" w:color="auto" w:fill="D9EAF7"/>
            <w:vAlign w:val="center"/>
          </w:tcPr>
          <w:p w14:paraId="3733A8CA" w14:textId="77777777" w:rsidR="00894251" w:rsidRDefault="00003D46">
            <w:pPr>
              <w:spacing w:after="0"/>
            </w:pPr>
            <w:r>
              <w:rPr>
                <w:b/>
                <w:sz w:val="19"/>
              </w:rPr>
              <w:t>Evidence / pressure</w:t>
            </w:r>
          </w:p>
        </w:tc>
        <w:tc>
          <w:tcPr>
            <w:tcW w:w="3216" w:type="dxa"/>
            <w:shd w:val="clear" w:color="auto" w:fill="D9EAF7"/>
            <w:vAlign w:val="center"/>
          </w:tcPr>
          <w:p w14:paraId="53DF1876" w14:textId="77777777" w:rsidR="00894251" w:rsidRDefault="00003D46">
            <w:pPr>
              <w:spacing w:after="0"/>
            </w:pPr>
            <w:r>
              <w:rPr>
                <w:b/>
                <w:sz w:val="19"/>
              </w:rPr>
              <w:t>Strategic implication for change</w:t>
            </w:r>
          </w:p>
        </w:tc>
      </w:tr>
      <w:tr w:rsidR="00894251" w14:paraId="4ED08413" w14:textId="77777777">
        <w:trPr>
          <w:jc w:val="center"/>
        </w:trPr>
        <w:tc>
          <w:tcPr>
            <w:tcW w:w="3216" w:type="dxa"/>
            <w:vAlign w:val="center"/>
          </w:tcPr>
          <w:p w14:paraId="7456F12A" w14:textId="77777777" w:rsidR="00894251" w:rsidRDefault="00003D46">
            <w:pPr>
              <w:spacing w:after="0"/>
            </w:pPr>
            <w:r>
              <w:rPr>
                <w:sz w:val="19"/>
              </w:rPr>
              <w:t>Political / geopolitical</w:t>
            </w:r>
          </w:p>
        </w:tc>
        <w:tc>
          <w:tcPr>
            <w:tcW w:w="3216" w:type="dxa"/>
            <w:vAlign w:val="center"/>
          </w:tcPr>
          <w:p w14:paraId="466ECFC5" w14:textId="77777777" w:rsidR="00894251" w:rsidRDefault="00003D46">
            <w:pPr>
              <w:spacing w:after="0"/>
            </w:pPr>
            <w:r>
              <w:rPr>
                <w:sz w:val="19"/>
              </w:rPr>
              <w:t>Trade policy and protectionism increased JLR’s costs. FY2025/26 initially saw incremental US tariffs of 27.5% on UK/EU exports before negotiated rates changed; JLR still reports ongoing tariff costs (JLR, 2026a).</w:t>
            </w:r>
          </w:p>
        </w:tc>
        <w:tc>
          <w:tcPr>
            <w:tcW w:w="3216" w:type="dxa"/>
            <w:vAlign w:val="center"/>
          </w:tcPr>
          <w:p w14:paraId="2425879E" w14:textId="77777777" w:rsidR="00894251" w:rsidRDefault="00003D46">
            <w:pPr>
              <w:spacing w:after="0"/>
            </w:pPr>
            <w:r>
              <w:rPr>
                <w:sz w:val="19"/>
              </w:rPr>
              <w:t>Build market and supply-chain flexibility into transformation rather than optimise around one stable global trade regime.</w:t>
            </w:r>
          </w:p>
        </w:tc>
      </w:tr>
      <w:tr w:rsidR="00894251" w14:paraId="1CD33CC3" w14:textId="77777777">
        <w:trPr>
          <w:jc w:val="center"/>
        </w:trPr>
        <w:tc>
          <w:tcPr>
            <w:tcW w:w="3216" w:type="dxa"/>
            <w:vAlign w:val="center"/>
          </w:tcPr>
          <w:p w14:paraId="3067B847" w14:textId="77777777" w:rsidR="00894251" w:rsidRDefault="00003D46">
            <w:pPr>
              <w:spacing w:after="0"/>
            </w:pPr>
            <w:r>
              <w:rPr>
                <w:sz w:val="19"/>
              </w:rPr>
              <w:t>Economic</w:t>
            </w:r>
          </w:p>
        </w:tc>
        <w:tc>
          <w:tcPr>
            <w:tcW w:w="3216" w:type="dxa"/>
            <w:vAlign w:val="center"/>
          </w:tcPr>
          <w:p w14:paraId="16153A70" w14:textId="77777777" w:rsidR="00894251" w:rsidRDefault="00003D46">
            <w:pPr>
              <w:spacing w:after="0"/>
            </w:pPr>
            <w:r>
              <w:rPr>
                <w:sz w:val="19"/>
              </w:rPr>
              <w:t xml:space="preserve">Luxury demand is exposed to inflation, financing costs, exchange rates and weaker conditions in </w:t>
            </w:r>
            <w:r>
              <w:rPr>
                <w:sz w:val="19"/>
              </w:rPr>
              <w:lastRenderedPageBreak/>
              <w:t>China. JLR’s FY2025/26 revenue and EBIT decline illustrates the financial consequence of external shocks (JLR, 2026a).</w:t>
            </w:r>
          </w:p>
        </w:tc>
        <w:tc>
          <w:tcPr>
            <w:tcW w:w="3216" w:type="dxa"/>
            <w:vAlign w:val="center"/>
          </w:tcPr>
          <w:p w14:paraId="476F8878" w14:textId="77777777" w:rsidR="00894251" w:rsidRDefault="00003D46">
            <w:pPr>
              <w:spacing w:after="0"/>
            </w:pPr>
            <w:r>
              <w:rPr>
                <w:sz w:val="19"/>
              </w:rPr>
              <w:lastRenderedPageBreak/>
              <w:t xml:space="preserve">Stage investment, protect cash generation and prioritise transformation initiatives with </w:t>
            </w:r>
            <w:r>
              <w:rPr>
                <w:sz w:val="19"/>
              </w:rPr>
              <w:lastRenderedPageBreak/>
              <w:t>measurable value.</w:t>
            </w:r>
          </w:p>
        </w:tc>
      </w:tr>
      <w:tr w:rsidR="00894251" w14:paraId="38398D00" w14:textId="77777777">
        <w:trPr>
          <w:jc w:val="center"/>
        </w:trPr>
        <w:tc>
          <w:tcPr>
            <w:tcW w:w="3216" w:type="dxa"/>
            <w:vAlign w:val="center"/>
          </w:tcPr>
          <w:p w14:paraId="6ECEBE28" w14:textId="77777777" w:rsidR="00894251" w:rsidRDefault="00003D46">
            <w:pPr>
              <w:spacing w:after="0"/>
            </w:pPr>
            <w:r>
              <w:rPr>
                <w:sz w:val="19"/>
              </w:rPr>
              <w:lastRenderedPageBreak/>
              <w:t>Social</w:t>
            </w:r>
          </w:p>
        </w:tc>
        <w:tc>
          <w:tcPr>
            <w:tcW w:w="3216" w:type="dxa"/>
            <w:vAlign w:val="center"/>
          </w:tcPr>
          <w:p w14:paraId="0C620304" w14:textId="77777777" w:rsidR="00894251" w:rsidRDefault="00003D46">
            <w:pPr>
              <w:spacing w:after="0"/>
            </w:pPr>
            <w:r>
              <w:rPr>
                <w:sz w:val="19"/>
              </w:rPr>
              <w:t>Luxury customers increasingly expect seamless digital experiences and sustainability, while EV adoption varies by market and customer use case.</w:t>
            </w:r>
          </w:p>
        </w:tc>
        <w:tc>
          <w:tcPr>
            <w:tcW w:w="3216" w:type="dxa"/>
            <w:vAlign w:val="center"/>
          </w:tcPr>
          <w:p w14:paraId="271A54F2" w14:textId="77777777" w:rsidR="00894251" w:rsidRDefault="00003D46">
            <w:pPr>
              <w:spacing w:after="0"/>
            </w:pPr>
            <w:r>
              <w:rPr>
                <w:sz w:val="19"/>
              </w:rPr>
              <w:t>Avoid a one-size-fits-all EV transition; combine electrification with customer experience and propulsion flexibility.</w:t>
            </w:r>
          </w:p>
        </w:tc>
      </w:tr>
      <w:tr w:rsidR="00894251" w14:paraId="3C0CFB0E" w14:textId="77777777">
        <w:trPr>
          <w:jc w:val="center"/>
        </w:trPr>
        <w:tc>
          <w:tcPr>
            <w:tcW w:w="3216" w:type="dxa"/>
            <w:vAlign w:val="center"/>
          </w:tcPr>
          <w:p w14:paraId="12E2FE9D" w14:textId="77777777" w:rsidR="00894251" w:rsidRDefault="00003D46">
            <w:pPr>
              <w:spacing w:after="0"/>
            </w:pPr>
            <w:r>
              <w:rPr>
                <w:sz w:val="19"/>
              </w:rPr>
              <w:t>Technological</w:t>
            </w:r>
          </w:p>
        </w:tc>
        <w:tc>
          <w:tcPr>
            <w:tcW w:w="3216" w:type="dxa"/>
            <w:vAlign w:val="center"/>
          </w:tcPr>
          <w:p w14:paraId="294E76B2" w14:textId="77777777" w:rsidR="00894251" w:rsidRDefault="00003D46">
            <w:pPr>
              <w:spacing w:after="0"/>
            </w:pPr>
            <w:r>
              <w:rPr>
                <w:sz w:val="19"/>
              </w:rPr>
              <w:t>Software-defined vehicles, AI, connected services and advanced manufacturing shorten innovation cycles. Cyber dependency simultaneously increases operational exposure.</w:t>
            </w:r>
          </w:p>
        </w:tc>
        <w:tc>
          <w:tcPr>
            <w:tcW w:w="3216" w:type="dxa"/>
            <w:vAlign w:val="center"/>
          </w:tcPr>
          <w:p w14:paraId="422C6434" w14:textId="77777777" w:rsidR="00894251" w:rsidRDefault="00003D46">
            <w:pPr>
              <w:spacing w:after="0"/>
            </w:pPr>
            <w:r>
              <w:rPr>
                <w:sz w:val="19"/>
              </w:rPr>
              <w:t>Treat digital capability and cyber resilience as core strategic capabilities, not supporting IT projects.</w:t>
            </w:r>
          </w:p>
        </w:tc>
      </w:tr>
      <w:tr w:rsidR="00894251" w14:paraId="2958B0CE" w14:textId="77777777">
        <w:trPr>
          <w:jc w:val="center"/>
        </w:trPr>
        <w:tc>
          <w:tcPr>
            <w:tcW w:w="3216" w:type="dxa"/>
            <w:vAlign w:val="center"/>
          </w:tcPr>
          <w:p w14:paraId="59080B98" w14:textId="77777777" w:rsidR="00894251" w:rsidRDefault="00003D46">
            <w:pPr>
              <w:spacing w:after="0"/>
            </w:pPr>
            <w:r>
              <w:rPr>
                <w:sz w:val="19"/>
              </w:rPr>
              <w:t>Legal / regulatory</w:t>
            </w:r>
          </w:p>
        </w:tc>
        <w:tc>
          <w:tcPr>
            <w:tcW w:w="3216" w:type="dxa"/>
            <w:vAlign w:val="center"/>
          </w:tcPr>
          <w:p w14:paraId="24B1B950" w14:textId="77777777" w:rsidR="00894251" w:rsidRDefault="00003D46">
            <w:pPr>
              <w:spacing w:after="0"/>
            </w:pPr>
            <w:r>
              <w:rPr>
                <w:sz w:val="19"/>
              </w:rPr>
              <w:t>The UK continues a pathway towards ending new petrol/diesel car sales in 2030 and 100% zero-emission new car and van sales by 2035, while the ZEV mandate is under review in 2026 (DfT, 2026).</w:t>
            </w:r>
          </w:p>
        </w:tc>
        <w:tc>
          <w:tcPr>
            <w:tcW w:w="3216" w:type="dxa"/>
            <w:vAlign w:val="center"/>
          </w:tcPr>
          <w:p w14:paraId="511EE58A" w14:textId="77777777" w:rsidR="00894251" w:rsidRDefault="00003D46">
            <w:pPr>
              <w:spacing w:after="0"/>
            </w:pPr>
            <w:r>
              <w:rPr>
                <w:sz w:val="19"/>
              </w:rPr>
              <w:t>Maintain compliance capability while designing flexible product architectures that can respond to policy adjustment.</w:t>
            </w:r>
          </w:p>
        </w:tc>
      </w:tr>
      <w:tr w:rsidR="00894251" w14:paraId="3553CDC3" w14:textId="77777777">
        <w:trPr>
          <w:jc w:val="center"/>
        </w:trPr>
        <w:tc>
          <w:tcPr>
            <w:tcW w:w="3216" w:type="dxa"/>
            <w:vAlign w:val="center"/>
          </w:tcPr>
          <w:p w14:paraId="4A83A83A" w14:textId="77777777" w:rsidR="00894251" w:rsidRDefault="00003D46">
            <w:pPr>
              <w:spacing w:after="0"/>
            </w:pPr>
            <w:r>
              <w:rPr>
                <w:sz w:val="19"/>
              </w:rPr>
              <w:t>Environmental</w:t>
            </w:r>
          </w:p>
        </w:tc>
        <w:tc>
          <w:tcPr>
            <w:tcW w:w="3216" w:type="dxa"/>
            <w:vAlign w:val="center"/>
          </w:tcPr>
          <w:p w14:paraId="37D9874C" w14:textId="77777777" w:rsidR="00894251" w:rsidRDefault="00003D46">
            <w:pPr>
              <w:spacing w:after="0"/>
            </w:pPr>
            <w:r>
              <w:rPr>
                <w:sz w:val="19"/>
              </w:rPr>
              <w:t>JLR has a net-zero value-chain ambition for 2039 and faces pressure to reduce product, manufacturing and supply-chain emissions (JLR, 2021).</w:t>
            </w:r>
          </w:p>
        </w:tc>
        <w:tc>
          <w:tcPr>
            <w:tcW w:w="3216" w:type="dxa"/>
            <w:vAlign w:val="center"/>
          </w:tcPr>
          <w:p w14:paraId="2F283A5D" w14:textId="77777777" w:rsidR="00894251" w:rsidRDefault="00003D46">
            <w:pPr>
              <w:spacing w:after="0"/>
            </w:pPr>
            <w:r>
              <w:rPr>
                <w:sz w:val="19"/>
              </w:rPr>
              <w:t>Integrate decarbonisation into product design, energy, sourcing, circularity and supplier governance.</w:t>
            </w:r>
          </w:p>
        </w:tc>
      </w:tr>
    </w:tbl>
    <w:p w14:paraId="6B0992B8" w14:textId="77777777" w:rsidR="00894251" w:rsidRDefault="00003D46">
      <w:pPr>
        <w:jc w:val="both"/>
      </w:pPr>
      <w:r>
        <w:t>The PESTLE analysis shows that the triggers are interdependent. For example, electrification is simultaneously a technological, regulatory, environmental and economic issue. Faster EV investment may support compliance and long-term competitiveness, but excessive commitment to a single powertrain trajectory can increase risk when demand and incentives differ across markets. JLR’s move towards flexible architectures is therefore consistent with contingency thinking: strategy should fit the external environmen</w:t>
      </w:r>
      <w:r>
        <w:t>t rather than assume environmental stability (Johnson et al., 2020).</w:t>
      </w:r>
    </w:p>
    <w:p w14:paraId="694E97B9" w14:textId="77777777" w:rsidR="00894251" w:rsidRDefault="00003D46">
      <w:pPr>
        <w:pStyle w:val="Heading2"/>
      </w:pPr>
      <w:r>
        <w:t>3.2 Competitive analysis - Porter’s Five Forces</w:t>
      </w:r>
    </w:p>
    <w:p w14:paraId="071F9038" w14:textId="77777777" w:rsidR="00894251" w:rsidRDefault="00003D46">
      <w:pPr>
        <w:jc w:val="both"/>
      </w:pPr>
      <w:r>
        <w:t xml:space="preserve">Industry rivalry is high. JLR competes with established premium manufacturers such as BMW and Mercedes-Benz, technology-led firms such as Tesla, and Chinese manufacturers with strong battery supply chains and rapid product cycles. Porter (1985) suggests that intense rivalry compresses returns and increases the importance of differentiation. For JLR, competing primarily </w:t>
      </w:r>
      <w:r>
        <w:lastRenderedPageBreak/>
        <w:t>on price would undermine luxury positioning; the stronger response is differentiation through design, brand, customer experience, software and product capability while reducing structural cost and development time.</w:t>
      </w:r>
    </w:p>
    <w:p w14:paraId="60EC590F" w14:textId="77777777" w:rsidR="00894251" w:rsidRDefault="00003D46">
      <w:pPr>
        <w:jc w:val="both"/>
      </w:pPr>
      <w:r>
        <w:t>The threat of new or expanding entrants has increased because electrification changes some traditional barriers to entry. Automotive manufacturing remains capital intensive, but Chinese EV firms have scaled rapidly and digital capabilities allow new forms of customer engagement. Supplier power is also strategically significant. Batteries, semiconductors, software platforms and critical minerals can create dependency on specialised suppliers, while geopolitical concentration can amplify disruption. JLR’s app</w:t>
      </w:r>
      <w:r>
        <w:t>ointment of additional supply-chain specialists in FY2025/26 indicates recognition of this exposure (JLR, 2026a).</w:t>
      </w:r>
    </w:p>
    <w:p w14:paraId="66216E70" w14:textId="77777777" w:rsidR="00894251" w:rsidRDefault="00003D46">
      <w:pPr>
        <w:jc w:val="both"/>
      </w:pPr>
      <w:r>
        <w:t>Buyer power is moderated by JLR’s luxury brand equity, but premium customers have substantial choice and high expectations. Substitution is broader than switching between vehicle brands: mobility services, urban transport and changing ownership patterns can influence demand over time. The Five Forces analysis therefore reinforces a key conclusion: JLR’s strategic change must protect differentiation while improving speed, resilience and digital capability. Cost reduction alone would not address the competiti</w:t>
      </w:r>
      <w:r>
        <w:t>ve problem.</w:t>
      </w:r>
    </w:p>
    <w:p w14:paraId="2B969E4C" w14:textId="77777777" w:rsidR="00894251" w:rsidRDefault="00003D46">
      <w:pPr>
        <w:pStyle w:val="Heading2"/>
      </w:pPr>
      <w:r>
        <w:t>3.3 Internal analysis - McKinsey 7S</w:t>
      </w:r>
    </w:p>
    <w:tbl>
      <w:tblPr>
        <w:tblStyle w:val="TableGrid"/>
        <w:tblW w:w="0" w:type="auto"/>
        <w:jc w:val="center"/>
        <w:tblLook w:val="04A0" w:firstRow="1" w:lastRow="0" w:firstColumn="1" w:lastColumn="0" w:noHBand="0" w:noVBand="1"/>
      </w:tblPr>
      <w:tblGrid>
        <w:gridCol w:w="3212"/>
        <w:gridCol w:w="3213"/>
        <w:gridCol w:w="3213"/>
      </w:tblGrid>
      <w:tr w:rsidR="00894251" w14:paraId="4865ED53" w14:textId="77777777">
        <w:trPr>
          <w:jc w:val="center"/>
        </w:trPr>
        <w:tc>
          <w:tcPr>
            <w:tcW w:w="3216" w:type="dxa"/>
            <w:shd w:val="clear" w:color="auto" w:fill="D9EAF7"/>
            <w:vAlign w:val="center"/>
          </w:tcPr>
          <w:p w14:paraId="4C439AC2" w14:textId="77777777" w:rsidR="00894251" w:rsidRDefault="00003D46">
            <w:pPr>
              <w:spacing w:after="0"/>
            </w:pPr>
            <w:r>
              <w:rPr>
                <w:b/>
                <w:sz w:val="19"/>
              </w:rPr>
              <w:t>7S element</w:t>
            </w:r>
          </w:p>
        </w:tc>
        <w:tc>
          <w:tcPr>
            <w:tcW w:w="3216" w:type="dxa"/>
            <w:shd w:val="clear" w:color="auto" w:fill="D9EAF7"/>
            <w:vAlign w:val="center"/>
          </w:tcPr>
          <w:p w14:paraId="5894D373" w14:textId="77777777" w:rsidR="00894251" w:rsidRDefault="00003D46">
            <w:pPr>
              <w:spacing w:after="0"/>
            </w:pPr>
            <w:r>
              <w:rPr>
                <w:b/>
                <w:sz w:val="19"/>
              </w:rPr>
              <w:t>Current position / issue</w:t>
            </w:r>
          </w:p>
        </w:tc>
        <w:tc>
          <w:tcPr>
            <w:tcW w:w="3216" w:type="dxa"/>
            <w:shd w:val="clear" w:color="auto" w:fill="D9EAF7"/>
            <w:vAlign w:val="center"/>
          </w:tcPr>
          <w:p w14:paraId="6080CDD9" w14:textId="77777777" w:rsidR="00894251" w:rsidRDefault="00003D46">
            <w:pPr>
              <w:spacing w:after="0"/>
            </w:pPr>
            <w:r>
              <w:rPr>
                <w:b/>
                <w:sz w:val="19"/>
              </w:rPr>
              <w:t>Change requirement</w:t>
            </w:r>
          </w:p>
        </w:tc>
      </w:tr>
      <w:tr w:rsidR="00894251" w14:paraId="1C52B7C3" w14:textId="77777777">
        <w:trPr>
          <w:jc w:val="center"/>
        </w:trPr>
        <w:tc>
          <w:tcPr>
            <w:tcW w:w="3216" w:type="dxa"/>
            <w:vAlign w:val="center"/>
          </w:tcPr>
          <w:p w14:paraId="094E6DC9" w14:textId="77777777" w:rsidR="00894251" w:rsidRDefault="00003D46">
            <w:pPr>
              <w:spacing w:after="0"/>
            </w:pPr>
            <w:r>
              <w:rPr>
                <w:sz w:val="19"/>
              </w:rPr>
              <w:t>Strategy</w:t>
            </w:r>
          </w:p>
        </w:tc>
        <w:tc>
          <w:tcPr>
            <w:tcW w:w="3216" w:type="dxa"/>
            <w:vAlign w:val="center"/>
          </w:tcPr>
          <w:p w14:paraId="20D66953" w14:textId="77777777" w:rsidR="00894251" w:rsidRDefault="00003D46">
            <w:pPr>
              <w:spacing w:after="0"/>
            </w:pPr>
            <w:r>
              <w:rPr>
                <w:sz w:val="19"/>
              </w:rPr>
              <w:t>Reimagine provides direction around modern luxury, electrification, sustainability and brand-led growth.</w:t>
            </w:r>
          </w:p>
        </w:tc>
        <w:tc>
          <w:tcPr>
            <w:tcW w:w="3216" w:type="dxa"/>
            <w:vAlign w:val="center"/>
          </w:tcPr>
          <w:p w14:paraId="5C935C8F" w14:textId="77777777" w:rsidR="00894251" w:rsidRDefault="00003D46">
            <w:pPr>
              <w:spacing w:after="0"/>
            </w:pPr>
            <w:r>
              <w:rPr>
                <w:sz w:val="19"/>
              </w:rPr>
              <w:t>Translate broad strategy into prioritised, measurable transformation outcomes.</w:t>
            </w:r>
          </w:p>
        </w:tc>
      </w:tr>
      <w:tr w:rsidR="00894251" w14:paraId="33BBF32B" w14:textId="77777777">
        <w:trPr>
          <w:jc w:val="center"/>
        </w:trPr>
        <w:tc>
          <w:tcPr>
            <w:tcW w:w="3216" w:type="dxa"/>
            <w:vAlign w:val="center"/>
          </w:tcPr>
          <w:p w14:paraId="2C607734" w14:textId="77777777" w:rsidR="00894251" w:rsidRDefault="00003D46">
            <w:pPr>
              <w:spacing w:after="0"/>
            </w:pPr>
            <w:r>
              <w:rPr>
                <w:sz w:val="19"/>
              </w:rPr>
              <w:t>Structure</w:t>
            </w:r>
          </w:p>
        </w:tc>
        <w:tc>
          <w:tcPr>
            <w:tcW w:w="3216" w:type="dxa"/>
            <w:vAlign w:val="center"/>
          </w:tcPr>
          <w:p w14:paraId="0BC9C4AF" w14:textId="77777777" w:rsidR="00894251" w:rsidRDefault="00003D46">
            <w:pPr>
              <w:spacing w:after="0"/>
            </w:pPr>
            <w:r>
              <w:rPr>
                <w:sz w:val="19"/>
              </w:rPr>
              <w:t>House of Brands and cross-functional industrial operations create specialist strength but can generate silos.</w:t>
            </w:r>
          </w:p>
        </w:tc>
        <w:tc>
          <w:tcPr>
            <w:tcW w:w="3216" w:type="dxa"/>
            <w:vAlign w:val="center"/>
          </w:tcPr>
          <w:p w14:paraId="568B294B" w14:textId="77777777" w:rsidR="00894251" w:rsidRDefault="00003D46">
            <w:pPr>
              <w:spacing w:after="0"/>
            </w:pPr>
            <w:r>
              <w:rPr>
                <w:sz w:val="19"/>
              </w:rPr>
              <w:t>Strengthen cross-functional governance linking brands, engineering, manufacturing, IT, procurement, HR and finance.</w:t>
            </w:r>
          </w:p>
        </w:tc>
      </w:tr>
      <w:tr w:rsidR="00894251" w14:paraId="0835D9D4" w14:textId="77777777">
        <w:trPr>
          <w:jc w:val="center"/>
        </w:trPr>
        <w:tc>
          <w:tcPr>
            <w:tcW w:w="3216" w:type="dxa"/>
            <w:vAlign w:val="center"/>
          </w:tcPr>
          <w:p w14:paraId="4C6C990E" w14:textId="77777777" w:rsidR="00894251" w:rsidRDefault="00003D46">
            <w:pPr>
              <w:spacing w:after="0"/>
            </w:pPr>
            <w:r>
              <w:rPr>
                <w:sz w:val="19"/>
              </w:rPr>
              <w:t>Systems</w:t>
            </w:r>
          </w:p>
        </w:tc>
        <w:tc>
          <w:tcPr>
            <w:tcW w:w="3216" w:type="dxa"/>
            <w:vAlign w:val="center"/>
          </w:tcPr>
          <w:p w14:paraId="7D387F28" w14:textId="77777777" w:rsidR="00894251" w:rsidRDefault="00003D46">
            <w:pPr>
              <w:spacing w:after="0"/>
            </w:pPr>
            <w:r>
              <w:rPr>
                <w:sz w:val="19"/>
              </w:rPr>
              <w:t>Factories, supply chains and retail operations are increasingly digitally interconnected; the 2025 cyber incident exposed resilience risk.</w:t>
            </w:r>
          </w:p>
        </w:tc>
        <w:tc>
          <w:tcPr>
            <w:tcW w:w="3216" w:type="dxa"/>
            <w:vAlign w:val="center"/>
          </w:tcPr>
          <w:p w14:paraId="7B730FE6" w14:textId="77777777" w:rsidR="00894251" w:rsidRDefault="00003D46">
            <w:pPr>
              <w:spacing w:after="0"/>
            </w:pPr>
            <w:r>
              <w:rPr>
                <w:sz w:val="19"/>
              </w:rPr>
              <w:t>Embed cyber-by-design, business continuity, data governance and system redundancy.</w:t>
            </w:r>
          </w:p>
        </w:tc>
      </w:tr>
      <w:tr w:rsidR="00894251" w14:paraId="185B33E5" w14:textId="77777777">
        <w:trPr>
          <w:jc w:val="center"/>
        </w:trPr>
        <w:tc>
          <w:tcPr>
            <w:tcW w:w="3216" w:type="dxa"/>
            <w:vAlign w:val="center"/>
          </w:tcPr>
          <w:p w14:paraId="14F24374" w14:textId="77777777" w:rsidR="00894251" w:rsidRDefault="00003D46">
            <w:pPr>
              <w:spacing w:after="0"/>
            </w:pPr>
            <w:r>
              <w:rPr>
                <w:sz w:val="19"/>
              </w:rPr>
              <w:t>Shared values</w:t>
            </w:r>
          </w:p>
        </w:tc>
        <w:tc>
          <w:tcPr>
            <w:tcW w:w="3216" w:type="dxa"/>
            <w:vAlign w:val="center"/>
          </w:tcPr>
          <w:p w14:paraId="2D127DC7" w14:textId="77777777" w:rsidR="00894251" w:rsidRDefault="00003D46">
            <w:pPr>
              <w:spacing w:after="0"/>
            </w:pPr>
            <w:r>
              <w:rPr>
                <w:sz w:val="19"/>
              </w:rPr>
              <w:t>Heritage, engineering quality, craftsmanship and luxury are strong cultural assets.</w:t>
            </w:r>
          </w:p>
        </w:tc>
        <w:tc>
          <w:tcPr>
            <w:tcW w:w="3216" w:type="dxa"/>
            <w:vAlign w:val="center"/>
          </w:tcPr>
          <w:p w14:paraId="396FFD75" w14:textId="77777777" w:rsidR="00894251" w:rsidRDefault="00003D46">
            <w:pPr>
              <w:spacing w:after="0"/>
            </w:pPr>
            <w:r>
              <w:rPr>
                <w:sz w:val="19"/>
              </w:rPr>
              <w:t>Reframe heritage as compatible with experimentation, software, sustainability and learning.</w:t>
            </w:r>
          </w:p>
        </w:tc>
      </w:tr>
      <w:tr w:rsidR="00894251" w14:paraId="7A85E71E" w14:textId="77777777">
        <w:trPr>
          <w:jc w:val="center"/>
        </w:trPr>
        <w:tc>
          <w:tcPr>
            <w:tcW w:w="3216" w:type="dxa"/>
            <w:vAlign w:val="center"/>
          </w:tcPr>
          <w:p w14:paraId="7DE2891E" w14:textId="77777777" w:rsidR="00894251" w:rsidRDefault="00003D46">
            <w:pPr>
              <w:spacing w:after="0"/>
            </w:pPr>
            <w:r>
              <w:rPr>
                <w:sz w:val="19"/>
              </w:rPr>
              <w:t>Skills</w:t>
            </w:r>
          </w:p>
        </w:tc>
        <w:tc>
          <w:tcPr>
            <w:tcW w:w="3216" w:type="dxa"/>
            <w:vAlign w:val="center"/>
          </w:tcPr>
          <w:p w14:paraId="76B33530" w14:textId="77777777" w:rsidR="00894251" w:rsidRDefault="00003D46">
            <w:pPr>
              <w:spacing w:after="0"/>
            </w:pPr>
            <w:r>
              <w:rPr>
                <w:sz w:val="19"/>
              </w:rPr>
              <w:t xml:space="preserve">Strong engineering capability exists, but transformation requires more battery, software, AI, cyber </w:t>
            </w:r>
            <w:r>
              <w:rPr>
                <w:sz w:val="19"/>
              </w:rPr>
              <w:lastRenderedPageBreak/>
              <w:t>and agile skills.</w:t>
            </w:r>
          </w:p>
        </w:tc>
        <w:tc>
          <w:tcPr>
            <w:tcW w:w="3216" w:type="dxa"/>
            <w:vAlign w:val="center"/>
          </w:tcPr>
          <w:p w14:paraId="540C64DA" w14:textId="77777777" w:rsidR="00894251" w:rsidRDefault="00003D46">
            <w:pPr>
              <w:spacing w:after="0"/>
            </w:pPr>
            <w:r>
              <w:rPr>
                <w:sz w:val="19"/>
              </w:rPr>
              <w:lastRenderedPageBreak/>
              <w:t>Reskill at scale and build mixed technical/change leadership capability.</w:t>
            </w:r>
          </w:p>
        </w:tc>
      </w:tr>
      <w:tr w:rsidR="00894251" w14:paraId="3A3AFB25" w14:textId="77777777">
        <w:trPr>
          <w:jc w:val="center"/>
        </w:trPr>
        <w:tc>
          <w:tcPr>
            <w:tcW w:w="3216" w:type="dxa"/>
            <w:vAlign w:val="center"/>
          </w:tcPr>
          <w:p w14:paraId="7E0067A0" w14:textId="77777777" w:rsidR="00894251" w:rsidRDefault="00003D46">
            <w:pPr>
              <w:spacing w:after="0"/>
            </w:pPr>
            <w:r>
              <w:rPr>
                <w:sz w:val="19"/>
              </w:rPr>
              <w:t>Style</w:t>
            </w:r>
          </w:p>
        </w:tc>
        <w:tc>
          <w:tcPr>
            <w:tcW w:w="3216" w:type="dxa"/>
            <w:vAlign w:val="center"/>
          </w:tcPr>
          <w:p w14:paraId="70945D88" w14:textId="77777777" w:rsidR="00894251" w:rsidRDefault="00003D46">
            <w:pPr>
              <w:spacing w:after="0"/>
            </w:pPr>
            <w:r>
              <w:rPr>
                <w:sz w:val="19"/>
              </w:rPr>
              <w:t>Transformation requires vision and empowerment, while crises require decisive coordination.</w:t>
            </w:r>
          </w:p>
        </w:tc>
        <w:tc>
          <w:tcPr>
            <w:tcW w:w="3216" w:type="dxa"/>
            <w:vAlign w:val="center"/>
          </w:tcPr>
          <w:p w14:paraId="06D526B7" w14:textId="77777777" w:rsidR="00894251" w:rsidRDefault="00003D46">
            <w:pPr>
              <w:spacing w:after="0"/>
            </w:pPr>
            <w:r>
              <w:rPr>
                <w:sz w:val="19"/>
              </w:rPr>
              <w:t>Use transformational leadership with situational adaptation rather than one universal style.</w:t>
            </w:r>
          </w:p>
        </w:tc>
      </w:tr>
      <w:tr w:rsidR="00894251" w14:paraId="1FE237AA" w14:textId="77777777">
        <w:trPr>
          <w:jc w:val="center"/>
        </w:trPr>
        <w:tc>
          <w:tcPr>
            <w:tcW w:w="3216" w:type="dxa"/>
            <w:vAlign w:val="center"/>
          </w:tcPr>
          <w:p w14:paraId="03C18AEB" w14:textId="77777777" w:rsidR="00894251" w:rsidRDefault="00003D46">
            <w:pPr>
              <w:spacing w:after="0"/>
            </w:pPr>
            <w:r>
              <w:rPr>
                <w:sz w:val="19"/>
              </w:rPr>
              <w:t>Staff</w:t>
            </w:r>
          </w:p>
        </w:tc>
        <w:tc>
          <w:tcPr>
            <w:tcW w:w="3216" w:type="dxa"/>
            <w:vAlign w:val="center"/>
          </w:tcPr>
          <w:p w14:paraId="32FB0FFF" w14:textId="77777777" w:rsidR="00894251" w:rsidRDefault="00003D46">
            <w:pPr>
              <w:spacing w:after="0"/>
            </w:pPr>
            <w:r>
              <w:rPr>
                <w:sz w:val="19"/>
              </w:rPr>
              <w:t>Employees hold valuable tacit manufacturing and engineering knowledge but may perceive automation and EV change as threats.</w:t>
            </w:r>
          </w:p>
        </w:tc>
        <w:tc>
          <w:tcPr>
            <w:tcW w:w="3216" w:type="dxa"/>
            <w:vAlign w:val="center"/>
          </w:tcPr>
          <w:p w14:paraId="64A16D12" w14:textId="77777777" w:rsidR="00894251" w:rsidRDefault="00003D46">
            <w:pPr>
              <w:spacing w:after="0"/>
            </w:pPr>
            <w:r>
              <w:rPr>
                <w:sz w:val="19"/>
              </w:rPr>
              <w:t>Use participation, retraining, redeployment and employee voice to reduce resistance and retain knowledge.</w:t>
            </w:r>
          </w:p>
        </w:tc>
      </w:tr>
    </w:tbl>
    <w:p w14:paraId="447E2C5B" w14:textId="77777777" w:rsidR="00894251" w:rsidRDefault="00003D46">
      <w:pPr>
        <w:jc w:val="both"/>
      </w:pPr>
      <w:r>
        <w:t>The 7S analysis identifies a central internal issue: strategic intent can move faster than organisational alignment. A company may announce electrification and AI investment, yet benefits will be limited if systems remain fragmented, skills are scarce, incentives reward old behaviours or employees distrust the change. This supports Hayes’ (2022) argument that change should be understood as an interconnected organisational process rather than a single technical intervention.</w:t>
      </w:r>
    </w:p>
    <w:p w14:paraId="3778705B" w14:textId="77777777" w:rsidR="00894251" w:rsidRDefault="00003D46">
      <w:pPr>
        <w:pStyle w:val="Heading2"/>
      </w:pPr>
      <w:r>
        <w:t>3.4 Diagnostic synthesis</w:t>
      </w:r>
    </w:p>
    <w:p w14:paraId="227B2FF9" w14:textId="77777777" w:rsidR="00894251" w:rsidRDefault="00003D46">
      <w:pPr>
        <w:jc w:val="both"/>
      </w:pPr>
      <w:r>
        <w:t>The external and internal analyses indicate four priorities. First, JLR requires propulsion and market flexibility because regulation and EV adoption are not uniform. Second, digital resilience must become an enterprise capability because cyber failure can interrupt physical production. Third, AI should be deployed selectively against defined operational problems rather than treated as a fashionable technology programme. Fourth, workforce transition must be designed into implementation because new technolog</w:t>
      </w:r>
      <w:r>
        <w:t>y changes roles, skills and identities. These priorities justify an integrated change programme rather than separate projects owned by isolated functions.</w:t>
      </w:r>
    </w:p>
    <w:p w14:paraId="6AEC1FEC" w14:textId="77777777" w:rsidR="00894251" w:rsidRDefault="00003D46">
      <w:pPr>
        <w:pStyle w:val="Heading1"/>
      </w:pPr>
      <w:r>
        <w:t>4. Digital Disruption, AI and Environmental Change</w:t>
      </w:r>
    </w:p>
    <w:p w14:paraId="7F9190F9" w14:textId="77777777" w:rsidR="00894251" w:rsidRDefault="00003D46">
      <w:pPr>
        <w:jc w:val="both"/>
      </w:pPr>
      <w:r>
        <w:t>Digital disruption changes both JLR’s products and its operating model. Competitive advantage increasingly depends on software, data, connected services and the speed at which firms can learn from customers and operations. Tidd and Bessant (2020) emphasise that innovation depends not only on invention but on organisational routines that allow ideas to be selected, implemented and scaled. For JLR, this means AI has value only when embedded into processes such as quality inspection, engineering simulation, pr</w:t>
      </w:r>
      <w:r>
        <w:t>edictive maintenance, demand forecasting and warranty analysis.</w:t>
      </w:r>
    </w:p>
    <w:p w14:paraId="0E73A48F" w14:textId="77777777" w:rsidR="00894251" w:rsidRDefault="00003D46">
      <w:pPr>
        <w:jc w:val="both"/>
      </w:pPr>
      <w:r>
        <w:t xml:space="preserve">JLR already reports an ‘AI-first mindset’ and applications including plant quality checking, accelerated engineering test cycles and anticipation of repair and maintenance needs (JLR, 2026a). The strategic opportunity is therefore credible, but adoption should be governed by measurable use cases. A weak approach would measure the number of AI pilots; a stronger </w:t>
      </w:r>
      <w:r>
        <w:lastRenderedPageBreak/>
        <w:t>approach would measure reductions in defects, downtime, engineering cycle time or warranty cost. This distinction matters because digital transformation can otherwise become technology expenditure without organisational value.</w:t>
      </w:r>
    </w:p>
    <w:p w14:paraId="057CBE6C" w14:textId="77777777" w:rsidR="00894251" w:rsidRDefault="00003D46">
      <w:pPr>
        <w:jc w:val="both"/>
      </w:pPr>
      <w:r>
        <w:t>The 2025 cyber incident demonstrates the downside of digital dependency. JLR stated that retail and production activities were severely disrupted and later reported a five-week production pause (JLR, 2025b; JLR, 2026a). As operations become more connected, resilience is part of productivity rather than an additional compliance cost. Cybersecurity, supplier access controls, incident response and business continuity should therefore be incorporated into transformation governance and capital decisions.</w:t>
      </w:r>
    </w:p>
    <w:p w14:paraId="1DA1D8C1" w14:textId="77777777" w:rsidR="00894251" w:rsidRDefault="00003D46">
      <w:pPr>
        <w:jc w:val="both"/>
      </w:pPr>
      <w:r>
        <w:t>Environmental change creates a similar need for integration. Electrification reduces tailpipe emissions but shifts attention towards battery materials, manufacturing energy and supply-chain emissions. JLR’s 2039 net-zero ambition therefore requires changes beyond vehicle propulsion. The practical implication is that sustainability KPIs should include energy use, circularity, waste and supplier compliance, not merely EV sales. This also creates potential synergy: digital traceability and analytics can suppor</w:t>
      </w:r>
      <w:r>
        <w:t>t both operational efficiency and environmental reporting.</w:t>
      </w:r>
    </w:p>
    <w:p w14:paraId="65051B55" w14:textId="77777777" w:rsidR="00894251" w:rsidRDefault="00003D46">
      <w:pPr>
        <w:pStyle w:val="Heading1"/>
      </w:pPr>
      <w:r>
        <w:t>5. Critical Evaluation of Change Management Models</w:t>
      </w:r>
    </w:p>
    <w:p w14:paraId="0FF68710" w14:textId="77777777" w:rsidR="00894251" w:rsidRDefault="00003D46">
      <w:pPr>
        <w:pStyle w:val="Heading2"/>
      </w:pPr>
      <w:r>
        <w:t>5.1 Lewin’s Three-Stage Model</w:t>
      </w:r>
    </w:p>
    <w:p w14:paraId="7FA83BF6" w14:textId="77777777" w:rsidR="00894251" w:rsidRDefault="00003D46">
      <w:pPr>
        <w:jc w:val="both"/>
      </w:pPr>
      <w:r>
        <w:t>Lewin’s (1951) model conceptualises planned change through unfreezing, movement and refreezing. Its strength is behavioural clarity. Before employees adopt new practices, the organisation must challenge assumptions that sustain the status quo; new behaviours then require reinforcement. Applied to JLR, ‘unfreezing’ would involve communicating evidence about cyber exposure, competitive pressure, regulatory change and skill requirements. Movement would include new systems, training and redesigned processes, wh</w:t>
      </w:r>
      <w:r>
        <w:t>ile refreezing would institutionalise successful practices through metrics, role definitions and routines.</w:t>
      </w:r>
    </w:p>
    <w:p w14:paraId="741153AF" w14:textId="77777777" w:rsidR="00894251" w:rsidRDefault="00003D46">
      <w:pPr>
        <w:jc w:val="both"/>
      </w:pPr>
      <w:r>
        <w:t>However, Burnes (2017) cautions against simplistic interpretations of Lewin as a rigid three-step recipe. Even so, the idea of a final refreeze is difficult to apply literally to JLR because technology, policy and customer expectations continue to evolve. The model is therefore useful at the level of specific behavioural changes - for example embedding a new cyber incident protocol - but less convincing as the sole framework for a multi-year digital and electrification transformation. JLR needs institutiona</w:t>
      </w:r>
      <w:r>
        <w:t>lisation without organisational rigidity.</w:t>
      </w:r>
    </w:p>
    <w:p w14:paraId="57C46293" w14:textId="77777777" w:rsidR="00894251" w:rsidRDefault="00003D46">
      <w:pPr>
        <w:pStyle w:val="Heading2"/>
      </w:pPr>
      <w:r>
        <w:lastRenderedPageBreak/>
        <w:t>5.2 Kotter’s Eight-Step Model</w:t>
      </w:r>
    </w:p>
    <w:p w14:paraId="240680F0" w14:textId="77777777" w:rsidR="00894251" w:rsidRDefault="00003D46">
      <w:pPr>
        <w:jc w:val="both"/>
      </w:pPr>
      <w:r>
        <w:t>Kotter (1996) proposes eight stages: establish urgency, build a guiding coalition, form a vision, communicate it, remove barriers, create short-term wins, sustain acceleration and anchor change in culture. The model fits JLR more closely because the transformation crosses organisational boundaries and requires visible leadership, repeated communication and staged delivery. Urgency can be grounded in evidence rather than rhetoric: FY2025/26 performance, cyber disruption, tariff exposure and the pace of techn</w:t>
      </w:r>
      <w:r>
        <w:t>ological competition provide a factual case for change.</w:t>
      </w:r>
    </w:p>
    <w:p w14:paraId="288D415E" w14:textId="77777777" w:rsidR="00894251" w:rsidRDefault="00003D46">
      <w:pPr>
        <w:jc w:val="both"/>
      </w:pPr>
      <w:r>
        <w:t>The guiding coalition should not consist only of senior executives. It should include manufacturing, engineering, cyber, data, HR, finance, procurement, brand leadership and employee representation. This addresses one limitation of a purely top-down reading of Kotter. Cameron and Green (2020) note that change is experienced differently across stakeholder groups; therefore, participation and feedback are necessary to translate a corporate vision into workable local practices. At JLR, a production employee co</w:t>
      </w:r>
      <w:r>
        <w:t>ncerned about automation requires a different conversation from an investor concerned about return on capital.</w:t>
      </w:r>
    </w:p>
    <w:p w14:paraId="4E11863E" w14:textId="77777777" w:rsidR="00894251" w:rsidRDefault="00003D46">
      <w:pPr>
        <w:jc w:val="both"/>
      </w:pPr>
      <w:r>
        <w:t>Kotter’s emphasis on short-term wins is particularly useful because JLR’s transformation requires large investment over several years. Early wins - such as improved system recovery time, reduced defects from AI-assisted quality control, completion of priority reskilling or successful EV launch milestones - can demonstrate credibility. Nevertheless, the model can appear sequential and managerial, while real strategic change is iterative. New tariffs, technology failures or demand shifts may require earlier a</w:t>
      </w:r>
      <w:r>
        <w:t>ssumptions to be revisited. Kotter should therefore provide mobilisation discipline rather than a fixed sequence that prevents adaptation.</w:t>
      </w:r>
    </w:p>
    <w:p w14:paraId="1157E339" w14:textId="77777777" w:rsidR="00894251" w:rsidRDefault="00003D46">
      <w:pPr>
        <w:pStyle w:val="Heading2"/>
      </w:pPr>
      <w:r>
        <w:t>5.3 McKinsey 7S as an alignment framework</w:t>
      </w:r>
    </w:p>
    <w:p w14:paraId="73B4CE5B" w14:textId="77777777" w:rsidR="00894251" w:rsidRDefault="00003D46">
      <w:pPr>
        <w:jc w:val="both"/>
      </w:pPr>
      <w:r>
        <w:t>McKinsey 7S differs from Lewin and Kotter because it is primarily diagnostic rather than processual. Its contribution is to prevent a narrow technology-led transformation. If JLR changes strategy and systems without changing skills, staff practices, leadership style and shared values, implementation gaps are likely. The framework is especially relevant to AI and electrification because these technologies require new capabilities and cross-functional coordination.</w:t>
      </w:r>
    </w:p>
    <w:p w14:paraId="7A5D724A" w14:textId="77777777" w:rsidR="00894251" w:rsidRDefault="00003D46">
      <w:pPr>
        <w:jc w:val="both"/>
      </w:pPr>
      <w:r>
        <w:t>Its limitation is that 7S does not specify how to create urgency, manage resistance or sequence implementation. It can also encourage an overly internal focus if used without external analysis. For JLR, its best use is therefore periodic alignment: an initial baseline, six-month reviews and post-implementation checks to identify where one organisational element is constraining another.</w:t>
      </w:r>
    </w:p>
    <w:p w14:paraId="6DF67D30" w14:textId="77777777" w:rsidR="00894251" w:rsidRDefault="00003D46">
      <w:pPr>
        <w:pStyle w:val="Heading2"/>
      </w:pPr>
      <w:r>
        <w:lastRenderedPageBreak/>
        <w:t>5.4 Recommended integrated approach</w:t>
      </w:r>
    </w:p>
    <w:p w14:paraId="242D8177" w14:textId="77777777" w:rsidR="00894251" w:rsidRDefault="00003D46">
      <w:pPr>
        <w:jc w:val="both"/>
      </w:pPr>
      <w:r>
        <w:t>Kotter should be the primary mobilisation and implementation framework, supplemented by 7S diagnosis and Lewin’s insight into behavioural institutionalisation. This combination avoids claiming that one model is universally ‘best’. Kotter addresses the social and leadership process of mobilisation; 7S tests organisational alignment; and Lewin helps explain why new routines must be stabilised long enough to become normal practice. The integrated approach is also compatible with contingency thinking: the progr</w:t>
      </w:r>
      <w:r>
        <w:t>amme can preserve clear governance while adapting individual workstreams as evidence changes.</w:t>
      </w:r>
    </w:p>
    <w:p w14:paraId="00CC82C8" w14:textId="77777777" w:rsidR="00894251" w:rsidRDefault="00003D46">
      <w:pPr>
        <w:pStyle w:val="Heading1"/>
      </w:pPr>
      <w:r>
        <w:t>6. Evaluation of How Change Has Been Managed at JLR</w:t>
      </w:r>
    </w:p>
    <w:p w14:paraId="40C1F03F" w14:textId="77777777" w:rsidR="00894251" w:rsidRDefault="00003D46">
      <w:pPr>
        <w:jc w:val="both"/>
      </w:pPr>
      <w:r>
        <w:t>JLR’s recent change record contains both strategic progress and execution vulnerability. Positively, Reimagine established a clear direction and the company committed substantial capital to facilities, electrification, digital technology and skills. FY2024/25 showed that the business could combine investment with strong profitability, recording an 8.5% adjusted EBIT margin (JLR, 2025). Facility transformation continued in FY2025/26, including production readiness for Range Rover Electric and further work at</w:t>
      </w:r>
      <w:r>
        <w:t xml:space="preserve"> Halewood and Wolverhampton (JLR, 2026a). These developments indicate that change has moved beyond corporate communication into physical assets and capabilities.</w:t>
      </w:r>
    </w:p>
    <w:p w14:paraId="6B2A8690" w14:textId="77777777" w:rsidR="00894251" w:rsidRDefault="00003D46">
      <w:pPr>
        <w:jc w:val="both"/>
      </w:pPr>
      <w:r>
        <w:t>However, the transformation has also required strategic revision. The original ambition for a rapid electric shift has been moderated by slower and uneven BEV adoption across markets. JLR now emphasises propulsion flexibility, retaining ICE and hybrid options alongside BEVs (JLR, 2026a). This should not automatically be interpreted as failure. From a contingency perspective, adapting the implementation path to changed market conditions can be evidence of strategic learning. The critical issue is whether fle</w:t>
      </w:r>
      <w:r>
        <w:t>xibility delays essential capability development or allows JLR to fund and sequence it more effectively.</w:t>
      </w:r>
    </w:p>
    <w:p w14:paraId="59793A45" w14:textId="77777777" w:rsidR="00894251" w:rsidRDefault="00003D46">
      <w:pPr>
        <w:jc w:val="both"/>
      </w:pPr>
      <w:r>
        <w:t>The cyber incident is a clearer execution weakness because it exposed the operational consequences of digital dependency. Although JLR’s controlled shutdown may have limited further damage, the five-week production pause shows that resilience had strategic financial significance. The lesson is not simply ‘invest more in cybersecurity’; it is to integrate cyber risk into operating model design, supplier governance, business continuity and transformation assurance. Overall, JLR has demonstrated strong strateg</w:t>
      </w:r>
      <w:r>
        <w:t>ic ambition but uneven resilience. The next phase requires tighter integration between innovation, risk, people and execution metrics.</w:t>
      </w:r>
    </w:p>
    <w:p w14:paraId="1ABD61EE" w14:textId="77777777" w:rsidR="00894251" w:rsidRDefault="00003D46">
      <w:pPr>
        <w:pStyle w:val="Heading1"/>
      </w:pPr>
      <w:r>
        <w:lastRenderedPageBreak/>
        <w:t>7. Leadership and Stakeholder Management</w:t>
      </w:r>
    </w:p>
    <w:p w14:paraId="6E629A69" w14:textId="77777777" w:rsidR="00894251" w:rsidRDefault="00003D46">
      <w:pPr>
        <w:jc w:val="both"/>
      </w:pPr>
      <w:r>
        <w:t>Transformational leadership is relevant because JLR’s change requires employees to reinterpret what a luxury automotive company is. Transformational leaders articulate purpose, stimulate new thinking and encourage commitment beyond compliance (Yukl and Gardner, 2020). At JLR, leadership should connect electrification, AI and cyber resilience to a coherent narrative: protecting the desirability and long-term viability of the brands rather than presenting transformation as a collection of cost-cutting project</w:t>
      </w:r>
      <w:r>
        <w:t>s.</w:t>
      </w:r>
    </w:p>
    <w:p w14:paraId="57CA9BC3" w14:textId="77777777" w:rsidR="00894251" w:rsidRDefault="00003D46">
      <w:pPr>
        <w:jc w:val="both"/>
      </w:pPr>
      <w:r>
        <w:t>However, transformational leadership should not be treated as universally sufficient. Goleman (2000) argues that effective leaders vary style according to circumstances. A cyber incident may require directive coordination and rapid decisions; workforce reskilling benefits from coaching; innovation teams may require empowerment and psychological safety. A situational combination is therefore more appropriate than a single leadership label.</w:t>
      </w:r>
    </w:p>
    <w:p w14:paraId="12C67E28" w14:textId="77777777" w:rsidR="00894251" w:rsidRDefault="00003D46">
      <w:pPr>
        <w:jc w:val="both"/>
      </w:pPr>
      <w:r>
        <w:t xml:space="preserve">Stakeholder management must also be designed into the programme. Employees and trade unions may be concerned about automation, deskilling and job security. Suppliers face new technical and cyber requirements. Dealers must explain new products and digital services. Customers require confidence in quality, range, charging and data security. Investors require evidence that investment is generating returns. Regulators require compliance. The transformation board should therefore maintain a stakeholder map that </w:t>
      </w:r>
      <w:r>
        <w:t>records influence, concerns, engagement methods and evidence of response. Employee consultation should occur before major role redesign, not after decisions are effectively irreversible.</w:t>
      </w:r>
    </w:p>
    <w:p w14:paraId="63E270BD" w14:textId="77777777" w:rsidR="00894251" w:rsidRDefault="00003D46">
      <w:pPr>
        <w:pStyle w:val="Heading1"/>
      </w:pPr>
      <w:r>
        <w:t>8. Organisational Culture and Resistance to Change</w:t>
      </w:r>
    </w:p>
    <w:p w14:paraId="010BE2F2" w14:textId="77777777" w:rsidR="00894251" w:rsidRDefault="00003D46">
      <w:pPr>
        <w:jc w:val="both"/>
      </w:pPr>
      <w:r>
        <w:t>Schein and Schein (2017) describe organisational culture as shared assumptions learned through collective experience. JLR’s heritage of engineering, craftsmanship, product quality and British luxury can support change because it provides identity and pride. Yet the same assumptions may create resistance if software, data and experimentation are perceived as secondary to traditional engineering. Culture should therefore not be framed as an obstacle to be replaced; the aim should be to reinterpret valued trad</w:t>
      </w:r>
      <w:r>
        <w:t>itions in a way that supports the future strategy.</w:t>
      </w:r>
    </w:p>
    <w:p w14:paraId="400E210D" w14:textId="77777777" w:rsidR="00894251" w:rsidRDefault="00003D46">
      <w:pPr>
        <w:jc w:val="both"/>
      </w:pPr>
      <w:r>
        <w:t xml:space="preserve">Resistance is also not necessarily irrational. Employees may have legitimate concerns about whether AI will reduce roles, whether new systems are reliable, or whether repeated strategic initiatives will be sustained. Hayes (2022) suggests that understanding the interests and interpretations of those affected is central to implementation. JLR should therefore use resistance as diagnostic information. Structured listening sessions, union consultation, pulse surveys and </w:t>
      </w:r>
      <w:r>
        <w:lastRenderedPageBreak/>
        <w:t>change-champion networks can reveal practical implementation barriers that senior leadership may not see.</w:t>
      </w:r>
    </w:p>
    <w:p w14:paraId="7916BFF8" w14:textId="77777777" w:rsidR="00894251" w:rsidRDefault="00003D46">
      <w:pPr>
        <w:jc w:val="both"/>
      </w:pPr>
      <w:r>
        <w:t>Cultural change should be reinforced through systems. If managers communicate collaboration but reward only local functional targets, silos will persist. If cyber awareness is promoted but production pressure encourages workarounds, risk will remain. Performance measures and recognition should therefore include cross-functional problem solving, learning, cyber compliance, quality, sustainability and customer outcomes. This creates consistency between stated values and organisational routines.</w:t>
      </w:r>
    </w:p>
    <w:p w14:paraId="78CF8700" w14:textId="77777777" w:rsidR="00894251" w:rsidRDefault="00003D46">
      <w:pPr>
        <w:pStyle w:val="Heading1"/>
      </w:pPr>
      <w:r>
        <w:t>9. Proposed Strategic Change Plan</w:t>
      </w:r>
    </w:p>
    <w:p w14:paraId="4C7AF938" w14:textId="77777777" w:rsidR="00894251" w:rsidRDefault="00003D46">
      <w:pPr>
        <w:pStyle w:val="Heading2"/>
      </w:pPr>
      <w:r>
        <w:t>9.1 Strategic change and objectives</w:t>
      </w:r>
    </w:p>
    <w:p w14:paraId="24B7BAAD" w14:textId="77777777" w:rsidR="00894251" w:rsidRDefault="00003D46">
      <w:pPr>
        <w:jc w:val="both"/>
      </w:pPr>
      <w:r>
        <w:t>The proposed change is a three-year JLR Digital Resilience and Electrified Luxury Transformation Programme. It retains the original five pillars - electrified luxury product acceleration, AI-enabled operations, cyber resilience, workforce reskilling and cultural transformation, and supply-chain agility/sustainability - but treats them as interdependent workstreams under one governance structure.</w:t>
      </w:r>
    </w:p>
    <w:tbl>
      <w:tblPr>
        <w:tblStyle w:val="TableGrid"/>
        <w:tblW w:w="0" w:type="auto"/>
        <w:jc w:val="center"/>
        <w:tblLook w:val="04A0" w:firstRow="1" w:lastRow="0" w:firstColumn="1" w:lastColumn="0" w:noHBand="0" w:noVBand="1"/>
      </w:tblPr>
      <w:tblGrid>
        <w:gridCol w:w="2409"/>
        <w:gridCol w:w="2411"/>
        <w:gridCol w:w="2409"/>
        <w:gridCol w:w="2409"/>
      </w:tblGrid>
      <w:tr w:rsidR="00894251" w14:paraId="43E77E29" w14:textId="77777777">
        <w:trPr>
          <w:jc w:val="center"/>
        </w:trPr>
        <w:tc>
          <w:tcPr>
            <w:tcW w:w="2412" w:type="dxa"/>
            <w:shd w:val="clear" w:color="auto" w:fill="D9EAF7"/>
            <w:vAlign w:val="center"/>
          </w:tcPr>
          <w:p w14:paraId="378156D0" w14:textId="77777777" w:rsidR="00894251" w:rsidRDefault="00003D46">
            <w:pPr>
              <w:spacing w:after="0"/>
            </w:pPr>
            <w:r>
              <w:rPr>
                <w:b/>
                <w:sz w:val="19"/>
              </w:rPr>
              <w:t>Objective</w:t>
            </w:r>
          </w:p>
        </w:tc>
        <w:tc>
          <w:tcPr>
            <w:tcW w:w="2412" w:type="dxa"/>
            <w:shd w:val="clear" w:color="auto" w:fill="D9EAF7"/>
            <w:vAlign w:val="center"/>
          </w:tcPr>
          <w:p w14:paraId="77EC4CD7" w14:textId="77777777" w:rsidR="00894251" w:rsidRDefault="00003D46">
            <w:pPr>
              <w:spacing w:after="0"/>
            </w:pPr>
            <w:r>
              <w:rPr>
                <w:b/>
                <w:sz w:val="19"/>
              </w:rPr>
              <w:t>Measure</w:t>
            </w:r>
          </w:p>
        </w:tc>
        <w:tc>
          <w:tcPr>
            <w:tcW w:w="2412" w:type="dxa"/>
            <w:shd w:val="clear" w:color="auto" w:fill="D9EAF7"/>
            <w:vAlign w:val="center"/>
          </w:tcPr>
          <w:p w14:paraId="3F4CC7CC" w14:textId="77777777" w:rsidR="00894251" w:rsidRDefault="00003D46">
            <w:pPr>
              <w:spacing w:after="0"/>
            </w:pPr>
            <w:r>
              <w:rPr>
                <w:b/>
                <w:sz w:val="19"/>
              </w:rPr>
              <w:t>Three-year direction</w:t>
            </w:r>
          </w:p>
        </w:tc>
        <w:tc>
          <w:tcPr>
            <w:tcW w:w="2412" w:type="dxa"/>
            <w:shd w:val="clear" w:color="auto" w:fill="D9EAF7"/>
            <w:vAlign w:val="center"/>
          </w:tcPr>
          <w:p w14:paraId="7F99A1F7" w14:textId="77777777" w:rsidR="00894251" w:rsidRDefault="00003D46">
            <w:pPr>
              <w:spacing w:after="0"/>
            </w:pPr>
            <w:r>
              <w:rPr>
                <w:b/>
                <w:sz w:val="19"/>
              </w:rPr>
              <w:t>Rationale</w:t>
            </w:r>
          </w:p>
        </w:tc>
      </w:tr>
      <w:tr w:rsidR="00894251" w14:paraId="254CB957" w14:textId="77777777">
        <w:trPr>
          <w:jc w:val="center"/>
        </w:trPr>
        <w:tc>
          <w:tcPr>
            <w:tcW w:w="2412" w:type="dxa"/>
            <w:vAlign w:val="center"/>
          </w:tcPr>
          <w:p w14:paraId="22DFC76F" w14:textId="77777777" w:rsidR="00894251" w:rsidRDefault="00003D46">
            <w:pPr>
              <w:spacing w:after="0"/>
            </w:pPr>
            <w:r>
              <w:rPr>
                <w:sz w:val="19"/>
              </w:rPr>
              <w:t>Deliver electrified luxury products reliably</w:t>
            </w:r>
          </w:p>
        </w:tc>
        <w:tc>
          <w:tcPr>
            <w:tcW w:w="2412" w:type="dxa"/>
            <w:vAlign w:val="center"/>
          </w:tcPr>
          <w:p w14:paraId="7DF2AD4F" w14:textId="77777777" w:rsidR="00894251" w:rsidRDefault="00003D46">
            <w:pPr>
              <w:spacing w:after="0"/>
            </w:pPr>
            <w:r>
              <w:rPr>
                <w:sz w:val="19"/>
              </w:rPr>
              <w:t>Launch readiness, quality gates, order conversion</w:t>
            </w:r>
          </w:p>
        </w:tc>
        <w:tc>
          <w:tcPr>
            <w:tcW w:w="2412" w:type="dxa"/>
            <w:vAlign w:val="center"/>
          </w:tcPr>
          <w:p w14:paraId="61EFB48C" w14:textId="77777777" w:rsidR="00894251" w:rsidRDefault="00003D46">
            <w:pPr>
              <w:spacing w:after="0"/>
            </w:pPr>
            <w:r>
              <w:rPr>
                <w:sz w:val="19"/>
              </w:rPr>
              <w:t>Meet approved launch milestones without compromising quality</w:t>
            </w:r>
          </w:p>
        </w:tc>
        <w:tc>
          <w:tcPr>
            <w:tcW w:w="2412" w:type="dxa"/>
            <w:vAlign w:val="center"/>
          </w:tcPr>
          <w:p w14:paraId="43EE3AA6" w14:textId="77777777" w:rsidR="00894251" w:rsidRDefault="00003D46">
            <w:pPr>
              <w:spacing w:after="0"/>
            </w:pPr>
            <w:r>
              <w:rPr>
                <w:sz w:val="19"/>
              </w:rPr>
              <w:t>Links strategic electrification to execution rather than announcement.</w:t>
            </w:r>
          </w:p>
        </w:tc>
      </w:tr>
      <w:tr w:rsidR="00894251" w14:paraId="754285BD" w14:textId="77777777">
        <w:trPr>
          <w:jc w:val="center"/>
        </w:trPr>
        <w:tc>
          <w:tcPr>
            <w:tcW w:w="2412" w:type="dxa"/>
            <w:vAlign w:val="center"/>
          </w:tcPr>
          <w:p w14:paraId="0B6EF994" w14:textId="77777777" w:rsidR="00894251" w:rsidRDefault="00003D46">
            <w:pPr>
              <w:spacing w:after="0"/>
            </w:pPr>
            <w:r>
              <w:rPr>
                <w:sz w:val="19"/>
              </w:rPr>
              <w:t>Improve operational performance using AI</w:t>
            </w:r>
          </w:p>
        </w:tc>
        <w:tc>
          <w:tcPr>
            <w:tcW w:w="2412" w:type="dxa"/>
            <w:vAlign w:val="center"/>
          </w:tcPr>
          <w:p w14:paraId="3B69545E" w14:textId="77777777" w:rsidR="00894251" w:rsidRDefault="00003D46">
            <w:pPr>
              <w:spacing w:after="0"/>
            </w:pPr>
            <w:r>
              <w:rPr>
                <w:sz w:val="19"/>
              </w:rPr>
              <w:t>Defect rate, downtime, forecast accuracy, engineering cycle time</w:t>
            </w:r>
          </w:p>
        </w:tc>
        <w:tc>
          <w:tcPr>
            <w:tcW w:w="2412" w:type="dxa"/>
            <w:vAlign w:val="center"/>
          </w:tcPr>
          <w:p w14:paraId="52D67D6D" w14:textId="77777777" w:rsidR="00894251" w:rsidRDefault="00003D46">
            <w:pPr>
              <w:spacing w:after="0"/>
            </w:pPr>
            <w:r>
              <w:rPr>
                <w:sz w:val="19"/>
              </w:rPr>
              <w:t>Scale only use cases that demonstrate measurable operational value</w:t>
            </w:r>
          </w:p>
        </w:tc>
        <w:tc>
          <w:tcPr>
            <w:tcW w:w="2412" w:type="dxa"/>
            <w:vAlign w:val="center"/>
          </w:tcPr>
          <w:p w14:paraId="0996B24A" w14:textId="77777777" w:rsidR="00894251" w:rsidRDefault="00003D46">
            <w:pPr>
              <w:spacing w:after="0"/>
            </w:pPr>
            <w:r>
              <w:rPr>
                <w:sz w:val="19"/>
              </w:rPr>
              <w:t>Prevents ‘pilot theatre’ and focuses investment on outcomes.</w:t>
            </w:r>
          </w:p>
        </w:tc>
      </w:tr>
      <w:tr w:rsidR="00894251" w14:paraId="4F2280E0" w14:textId="77777777">
        <w:trPr>
          <w:jc w:val="center"/>
        </w:trPr>
        <w:tc>
          <w:tcPr>
            <w:tcW w:w="2412" w:type="dxa"/>
            <w:vAlign w:val="center"/>
          </w:tcPr>
          <w:p w14:paraId="1411A118" w14:textId="77777777" w:rsidR="00894251" w:rsidRDefault="00003D46">
            <w:pPr>
              <w:spacing w:after="0"/>
            </w:pPr>
            <w:r>
              <w:rPr>
                <w:sz w:val="19"/>
              </w:rPr>
              <w:t>Strengthen digital resilience</w:t>
            </w:r>
          </w:p>
        </w:tc>
        <w:tc>
          <w:tcPr>
            <w:tcW w:w="2412" w:type="dxa"/>
            <w:vAlign w:val="center"/>
          </w:tcPr>
          <w:p w14:paraId="035DCBE5" w14:textId="77777777" w:rsidR="00894251" w:rsidRDefault="00003D46">
            <w:pPr>
              <w:spacing w:after="0"/>
            </w:pPr>
            <w:r>
              <w:rPr>
                <w:sz w:val="19"/>
              </w:rPr>
              <w:t>System availability, recovery time, critical supplier compliance, audit findings</w:t>
            </w:r>
          </w:p>
        </w:tc>
        <w:tc>
          <w:tcPr>
            <w:tcW w:w="2412" w:type="dxa"/>
            <w:vAlign w:val="center"/>
          </w:tcPr>
          <w:p w14:paraId="4063D02E" w14:textId="77777777" w:rsidR="00894251" w:rsidRDefault="00003D46">
            <w:pPr>
              <w:spacing w:after="0"/>
            </w:pPr>
            <w:r>
              <w:rPr>
                <w:sz w:val="19"/>
              </w:rPr>
              <w:t>Reduce operational exposure and improve tested recovery capability</w:t>
            </w:r>
          </w:p>
        </w:tc>
        <w:tc>
          <w:tcPr>
            <w:tcW w:w="2412" w:type="dxa"/>
            <w:vAlign w:val="center"/>
          </w:tcPr>
          <w:p w14:paraId="50365332" w14:textId="77777777" w:rsidR="00894251" w:rsidRDefault="00003D46">
            <w:pPr>
              <w:spacing w:after="0"/>
            </w:pPr>
            <w:r>
              <w:rPr>
                <w:sz w:val="19"/>
              </w:rPr>
              <w:t>Direct response to lessons from the 2025 cyber incident.</w:t>
            </w:r>
          </w:p>
        </w:tc>
      </w:tr>
      <w:tr w:rsidR="00894251" w14:paraId="77CA813E" w14:textId="77777777">
        <w:trPr>
          <w:jc w:val="center"/>
        </w:trPr>
        <w:tc>
          <w:tcPr>
            <w:tcW w:w="2412" w:type="dxa"/>
            <w:vAlign w:val="center"/>
          </w:tcPr>
          <w:p w14:paraId="79B6F7CC" w14:textId="77777777" w:rsidR="00894251" w:rsidRDefault="00003D46">
            <w:pPr>
              <w:spacing w:after="0"/>
            </w:pPr>
            <w:r>
              <w:rPr>
                <w:sz w:val="19"/>
              </w:rPr>
              <w:t>Build workforce capability</w:t>
            </w:r>
          </w:p>
        </w:tc>
        <w:tc>
          <w:tcPr>
            <w:tcW w:w="2412" w:type="dxa"/>
            <w:vAlign w:val="center"/>
          </w:tcPr>
          <w:p w14:paraId="7B4D58EC" w14:textId="77777777" w:rsidR="00894251" w:rsidRDefault="00003D46">
            <w:pPr>
              <w:spacing w:after="0"/>
            </w:pPr>
            <w:r>
              <w:rPr>
                <w:sz w:val="19"/>
              </w:rPr>
              <w:t>Priority skill coverage, training completion, internal mobility, engagement</w:t>
            </w:r>
          </w:p>
        </w:tc>
        <w:tc>
          <w:tcPr>
            <w:tcW w:w="2412" w:type="dxa"/>
            <w:vAlign w:val="center"/>
          </w:tcPr>
          <w:p w14:paraId="615953D6" w14:textId="77777777" w:rsidR="00894251" w:rsidRDefault="00003D46">
            <w:pPr>
              <w:spacing w:after="0"/>
            </w:pPr>
            <w:r>
              <w:rPr>
                <w:sz w:val="19"/>
              </w:rPr>
              <w:t>Create a workforce capable of supporting EV, software, data and cyber operations</w:t>
            </w:r>
          </w:p>
        </w:tc>
        <w:tc>
          <w:tcPr>
            <w:tcW w:w="2412" w:type="dxa"/>
            <w:vAlign w:val="center"/>
          </w:tcPr>
          <w:p w14:paraId="3AF22D8E" w14:textId="77777777" w:rsidR="00894251" w:rsidRDefault="00003D46">
            <w:pPr>
              <w:spacing w:after="0"/>
            </w:pPr>
            <w:r>
              <w:rPr>
                <w:sz w:val="19"/>
              </w:rPr>
              <w:t>Addresses the people dependency of technology transformation.</w:t>
            </w:r>
          </w:p>
        </w:tc>
      </w:tr>
      <w:tr w:rsidR="00894251" w14:paraId="1873709B" w14:textId="77777777">
        <w:trPr>
          <w:jc w:val="center"/>
        </w:trPr>
        <w:tc>
          <w:tcPr>
            <w:tcW w:w="2412" w:type="dxa"/>
            <w:vAlign w:val="center"/>
          </w:tcPr>
          <w:p w14:paraId="2ECD0D81" w14:textId="77777777" w:rsidR="00894251" w:rsidRDefault="00003D46">
            <w:pPr>
              <w:spacing w:after="0"/>
            </w:pPr>
            <w:r>
              <w:rPr>
                <w:sz w:val="19"/>
              </w:rPr>
              <w:t>Increase supply-chain resilience and sustainability</w:t>
            </w:r>
          </w:p>
        </w:tc>
        <w:tc>
          <w:tcPr>
            <w:tcW w:w="2412" w:type="dxa"/>
            <w:vAlign w:val="center"/>
          </w:tcPr>
          <w:p w14:paraId="0B8BC996" w14:textId="77777777" w:rsidR="00894251" w:rsidRDefault="00003D46">
            <w:pPr>
              <w:spacing w:after="0"/>
            </w:pPr>
            <w:r>
              <w:rPr>
                <w:sz w:val="19"/>
              </w:rPr>
              <w:t xml:space="preserve">Critical supplier risk coverage, disruption rate, traceability, emissions/circularity </w:t>
            </w:r>
            <w:r>
              <w:rPr>
                <w:sz w:val="19"/>
              </w:rPr>
              <w:lastRenderedPageBreak/>
              <w:t>measures</w:t>
            </w:r>
          </w:p>
        </w:tc>
        <w:tc>
          <w:tcPr>
            <w:tcW w:w="2412" w:type="dxa"/>
            <w:vAlign w:val="center"/>
          </w:tcPr>
          <w:p w14:paraId="0CC12A0E" w14:textId="77777777" w:rsidR="00894251" w:rsidRDefault="00003D46">
            <w:pPr>
              <w:spacing w:after="0"/>
            </w:pPr>
            <w:r>
              <w:rPr>
                <w:sz w:val="19"/>
              </w:rPr>
              <w:lastRenderedPageBreak/>
              <w:t>Reduce single points of failure and improve environmental performance</w:t>
            </w:r>
          </w:p>
        </w:tc>
        <w:tc>
          <w:tcPr>
            <w:tcW w:w="2412" w:type="dxa"/>
            <w:vAlign w:val="center"/>
          </w:tcPr>
          <w:p w14:paraId="69771527" w14:textId="77777777" w:rsidR="00894251" w:rsidRDefault="00003D46">
            <w:pPr>
              <w:spacing w:after="0"/>
            </w:pPr>
            <w:r>
              <w:rPr>
                <w:sz w:val="19"/>
              </w:rPr>
              <w:t>Connects geopolitical, operational and net-zero pressures.</w:t>
            </w:r>
          </w:p>
        </w:tc>
      </w:tr>
    </w:tbl>
    <w:p w14:paraId="1FB3B251" w14:textId="77777777" w:rsidR="00894251" w:rsidRDefault="00003D46">
      <w:pPr>
        <w:pStyle w:val="Heading2"/>
      </w:pPr>
      <w:r>
        <w:t>9.2 Governance and implementation</w:t>
      </w:r>
    </w:p>
    <w:p w14:paraId="4BCC9641" w14:textId="77777777" w:rsidR="00894251" w:rsidRDefault="00003D46">
      <w:pPr>
        <w:jc w:val="both"/>
      </w:pPr>
      <w:r>
        <w:t>A Transformation Board chaired by an executive sponsor should own the programme. Membership should include brand leadership, engineering, manufacturing, IT/cyber, data/AI, procurement, HR, finance and employee representation. Each pillar should have an accountable executive owner and a delivery lead. A small transformation office should maintain dependencies, risks, benefits and decisions, but responsibility for outcomes should remain within operating functions to avoid creating a parallel bureaucracy.</w:t>
      </w:r>
    </w:p>
    <w:p w14:paraId="02AD2ABC" w14:textId="77777777" w:rsidR="00894251" w:rsidRDefault="00003D46">
      <w:pPr>
        <w:jc w:val="both"/>
      </w:pPr>
      <w:r>
        <w:t>Kotter’s stages can be translated into governance. Months 1-3 establish urgency using evidence, confirm the coalition and complete a 7S baseline. Months 4-6 define the shared vision, workstream benefits, skills plan and stakeholder commitments. Months 7-12 remove barriers and deliver early wins. Year 2 scales successful interventions and adjusts weak ones. Year 3 embeds proven practices into standard operating procedures, budgets, performance management and leadership routines. Every six months the 7S asses</w:t>
      </w:r>
      <w:r>
        <w:t>sment should be repeated to identify misalignment.</w:t>
      </w:r>
    </w:p>
    <w:p w14:paraId="484D3015" w14:textId="77777777" w:rsidR="00894251" w:rsidRDefault="00003D46">
      <w:pPr>
        <w:pStyle w:val="Heading2"/>
      </w:pPr>
      <w:r>
        <w:t>9.3 Financial priorities</w:t>
      </w:r>
    </w:p>
    <w:p w14:paraId="543A81E7" w14:textId="77777777" w:rsidR="00894251" w:rsidRDefault="00003D46">
      <w:pPr>
        <w:jc w:val="both"/>
      </w:pPr>
      <w:r>
        <w:t>The original percentage budget is retained as a planning allocation rather than presented as a claim about JLR’s actual budget. This distinction is important. JLR’s real investment decisions are commercially sensitive and should not be invented. The proposed programme allocation is therefore a management scenario: 45% electrified product development, 20% digital infrastructure and cyber resilience, 15% AI-enabled operations, 10% workforce reskilling and 10% supply-chain sustainability/resilience. Each works</w:t>
      </w:r>
      <w:r>
        <w:t>tream should pass stage-gate reviews based on strategic fit, risk reduction, measurable benefit and affordability.</w:t>
      </w:r>
    </w:p>
    <w:p w14:paraId="63965774" w14:textId="77777777" w:rsidR="00894251" w:rsidRDefault="00003D46">
      <w:pPr>
        <w:jc w:val="both"/>
      </w:pPr>
      <w:r>
        <w:t xml:space="preserve">Financial control should avoid indiscriminate cost cutting. In FY2025/26 JLR’s margin was already under pressure from tariffs and disruption (JLR, 2026a). Cutting capability-building expenditure simply to protect short-term margin could weaken long-term competitiveness. Conversely, transformation spending without benefits discipline could destroy value. The board should therefore track both investment and realised benefits, including avoided downtime, warranty savings, productivity improvements and revenue </w:t>
      </w:r>
      <w:r>
        <w:t>contribution from new products.</w:t>
      </w:r>
    </w:p>
    <w:p w14:paraId="19A5E37F" w14:textId="77777777" w:rsidR="00894251" w:rsidRDefault="00003D46">
      <w:pPr>
        <w:pStyle w:val="Heading2"/>
      </w:pPr>
      <w:r>
        <w:t>9.4 Communication and engagement</w:t>
      </w:r>
    </w:p>
    <w:tbl>
      <w:tblPr>
        <w:tblStyle w:val="TableGrid"/>
        <w:tblW w:w="0" w:type="auto"/>
        <w:jc w:val="center"/>
        <w:tblLook w:val="04A0" w:firstRow="1" w:lastRow="0" w:firstColumn="1" w:lastColumn="0" w:noHBand="0" w:noVBand="1"/>
      </w:tblPr>
      <w:tblGrid>
        <w:gridCol w:w="2410"/>
        <w:gridCol w:w="2409"/>
        <w:gridCol w:w="2410"/>
        <w:gridCol w:w="2409"/>
      </w:tblGrid>
      <w:tr w:rsidR="00894251" w14:paraId="7A13F4C0" w14:textId="77777777">
        <w:trPr>
          <w:jc w:val="center"/>
        </w:trPr>
        <w:tc>
          <w:tcPr>
            <w:tcW w:w="2412" w:type="dxa"/>
            <w:shd w:val="clear" w:color="auto" w:fill="D9EAF7"/>
            <w:vAlign w:val="center"/>
          </w:tcPr>
          <w:p w14:paraId="0C153743" w14:textId="77777777" w:rsidR="00894251" w:rsidRDefault="00003D46">
            <w:pPr>
              <w:spacing w:after="0"/>
            </w:pPr>
            <w:r>
              <w:rPr>
                <w:b/>
                <w:sz w:val="19"/>
              </w:rPr>
              <w:t>Stakeholder</w:t>
            </w:r>
          </w:p>
        </w:tc>
        <w:tc>
          <w:tcPr>
            <w:tcW w:w="2412" w:type="dxa"/>
            <w:shd w:val="clear" w:color="auto" w:fill="D9EAF7"/>
            <w:vAlign w:val="center"/>
          </w:tcPr>
          <w:p w14:paraId="24F5BAB1" w14:textId="77777777" w:rsidR="00894251" w:rsidRDefault="00003D46">
            <w:pPr>
              <w:spacing w:after="0"/>
            </w:pPr>
            <w:r>
              <w:rPr>
                <w:b/>
                <w:sz w:val="19"/>
              </w:rPr>
              <w:t>Core concern</w:t>
            </w:r>
          </w:p>
        </w:tc>
        <w:tc>
          <w:tcPr>
            <w:tcW w:w="2412" w:type="dxa"/>
            <w:shd w:val="clear" w:color="auto" w:fill="D9EAF7"/>
            <w:vAlign w:val="center"/>
          </w:tcPr>
          <w:p w14:paraId="0207D85E" w14:textId="77777777" w:rsidR="00894251" w:rsidRDefault="00003D46">
            <w:pPr>
              <w:spacing w:after="0"/>
            </w:pPr>
            <w:r>
              <w:rPr>
                <w:b/>
                <w:sz w:val="19"/>
              </w:rPr>
              <w:t>Engagement method</w:t>
            </w:r>
          </w:p>
        </w:tc>
        <w:tc>
          <w:tcPr>
            <w:tcW w:w="2412" w:type="dxa"/>
            <w:shd w:val="clear" w:color="auto" w:fill="D9EAF7"/>
            <w:vAlign w:val="center"/>
          </w:tcPr>
          <w:p w14:paraId="02044D3E" w14:textId="77777777" w:rsidR="00894251" w:rsidRDefault="00003D46">
            <w:pPr>
              <w:spacing w:after="0"/>
            </w:pPr>
            <w:r>
              <w:rPr>
                <w:b/>
                <w:sz w:val="19"/>
              </w:rPr>
              <w:t>Evidence of effectiveness</w:t>
            </w:r>
          </w:p>
        </w:tc>
      </w:tr>
      <w:tr w:rsidR="00894251" w14:paraId="7E6602CB" w14:textId="77777777">
        <w:trPr>
          <w:jc w:val="center"/>
        </w:trPr>
        <w:tc>
          <w:tcPr>
            <w:tcW w:w="2412" w:type="dxa"/>
            <w:vAlign w:val="center"/>
          </w:tcPr>
          <w:p w14:paraId="6AA1678C" w14:textId="77777777" w:rsidR="00894251" w:rsidRDefault="00003D46">
            <w:pPr>
              <w:spacing w:after="0"/>
            </w:pPr>
            <w:r>
              <w:rPr>
                <w:sz w:val="19"/>
              </w:rPr>
              <w:t>Employees / unions</w:t>
            </w:r>
          </w:p>
        </w:tc>
        <w:tc>
          <w:tcPr>
            <w:tcW w:w="2412" w:type="dxa"/>
            <w:vAlign w:val="center"/>
          </w:tcPr>
          <w:p w14:paraId="4D0E5D85" w14:textId="77777777" w:rsidR="00894251" w:rsidRDefault="00003D46">
            <w:pPr>
              <w:spacing w:after="0"/>
            </w:pPr>
            <w:r>
              <w:rPr>
                <w:sz w:val="19"/>
              </w:rPr>
              <w:t>Jobs, skills, workload, trust</w:t>
            </w:r>
          </w:p>
        </w:tc>
        <w:tc>
          <w:tcPr>
            <w:tcW w:w="2412" w:type="dxa"/>
            <w:vAlign w:val="center"/>
          </w:tcPr>
          <w:p w14:paraId="3B26943A" w14:textId="77777777" w:rsidR="00894251" w:rsidRDefault="00003D46">
            <w:pPr>
              <w:spacing w:after="0"/>
            </w:pPr>
            <w:r>
              <w:rPr>
                <w:sz w:val="19"/>
              </w:rPr>
              <w:t xml:space="preserve">Monthly team briefings, consultation, skills clinics, </w:t>
            </w:r>
            <w:r>
              <w:rPr>
                <w:sz w:val="19"/>
              </w:rPr>
              <w:lastRenderedPageBreak/>
              <w:t>change champions</w:t>
            </w:r>
          </w:p>
        </w:tc>
        <w:tc>
          <w:tcPr>
            <w:tcW w:w="2412" w:type="dxa"/>
            <w:vAlign w:val="center"/>
          </w:tcPr>
          <w:p w14:paraId="521157E6" w14:textId="77777777" w:rsidR="00894251" w:rsidRDefault="00003D46">
            <w:pPr>
              <w:spacing w:after="0"/>
            </w:pPr>
            <w:r>
              <w:rPr>
                <w:sz w:val="19"/>
              </w:rPr>
              <w:lastRenderedPageBreak/>
              <w:t xml:space="preserve">Pulse survey, participation, </w:t>
            </w:r>
            <w:r>
              <w:rPr>
                <w:sz w:val="19"/>
              </w:rPr>
              <w:lastRenderedPageBreak/>
              <w:t>redeployment and training uptake</w:t>
            </w:r>
          </w:p>
        </w:tc>
      </w:tr>
      <w:tr w:rsidR="00894251" w14:paraId="1FB46FBD" w14:textId="77777777">
        <w:trPr>
          <w:jc w:val="center"/>
        </w:trPr>
        <w:tc>
          <w:tcPr>
            <w:tcW w:w="2412" w:type="dxa"/>
            <w:vAlign w:val="center"/>
          </w:tcPr>
          <w:p w14:paraId="2A8629B2" w14:textId="77777777" w:rsidR="00894251" w:rsidRDefault="00003D46">
            <w:pPr>
              <w:spacing w:after="0"/>
            </w:pPr>
            <w:r>
              <w:rPr>
                <w:sz w:val="19"/>
              </w:rPr>
              <w:lastRenderedPageBreak/>
              <w:t>Managers</w:t>
            </w:r>
          </w:p>
        </w:tc>
        <w:tc>
          <w:tcPr>
            <w:tcW w:w="2412" w:type="dxa"/>
            <w:vAlign w:val="center"/>
          </w:tcPr>
          <w:p w14:paraId="77FA668E" w14:textId="77777777" w:rsidR="00894251" w:rsidRDefault="00003D46">
            <w:pPr>
              <w:spacing w:after="0"/>
            </w:pPr>
            <w:r>
              <w:rPr>
                <w:sz w:val="19"/>
              </w:rPr>
              <w:t>Conflicting priorities and accountability</w:t>
            </w:r>
          </w:p>
        </w:tc>
        <w:tc>
          <w:tcPr>
            <w:tcW w:w="2412" w:type="dxa"/>
            <w:vAlign w:val="center"/>
          </w:tcPr>
          <w:p w14:paraId="5C3D4E12" w14:textId="77777777" w:rsidR="00894251" w:rsidRDefault="00003D46">
            <w:pPr>
              <w:spacing w:after="0"/>
            </w:pPr>
            <w:r>
              <w:rPr>
                <w:sz w:val="19"/>
              </w:rPr>
              <w:t>Manager toolkits, dashboards, fortnightly delivery reviews</w:t>
            </w:r>
          </w:p>
        </w:tc>
        <w:tc>
          <w:tcPr>
            <w:tcW w:w="2412" w:type="dxa"/>
            <w:vAlign w:val="center"/>
          </w:tcPr>
          <w:p w14:paraId="36E8E560" w14:textId="77777777" w:rsidR="00894251" w:rsidRDefault="00003D46">
            <w:pPr>
              <w:spacing w:after="0"/>
            </w:pPr>
            <w:r>
              <w:rPr>
                <w:sz w:val="19"/>
              </w:rPr>
              <w:t>Decision speed, issue closure, milestone delivery</w:t>
            </w:r>
          </w:p>
        </w:tc>
      </w:tr>
      <w:tr w:rsidR="00894251" w14:paraId="6425D9C4" w14:textId="77777777">
        <w:trPr>
          <w:jc w:val="center"/>
        </w:trPr>
        <w:tc>
          <w:tcPr>
            <w:tcW w:w="2412" w:type="dxa"/>
            <w:vAlign w:val="center"/>
          </w:tcPr>
          <w:p w14:paraId="682F73A9" w14:textId="77777777" w:rsidR="00894251" w:rsidRDefault="00003D46">
            <w:pPr>
              <w:spacing w:after="0"/>
            </w:pPr>
            <w:r>
              <w:rPr>
                <w:sz w:val="19"/>
              </w:rPr>
              <w:t>Suppliers</w:t>
            </w:r>
          </w:p>
        </w:tc>
        <w:tc>
          <w:tcPr>
            <w:tcW w:w="2412" w:type="dxa"/>
            <w:vAlign w:val="center"/>
          </w:tcPr>
          <w:p w14:paraId="7F74F79A" w14:textId="77777777" w:rsidR="00894251" w:rsidRDefault="00003D46">
            <w:pPr>
              <w:spacing w:after="0"/>
            </w:pPr>
            <w:r>
              <w:rPr>
                <w:sz w:val="19"/>
              </w:rPr>
              <w:t>Standards, forecasts, cyber and sustainability requirements</w:t>
            </w:r>
          </w:p>
        </w:tc>
        <w:tc>
          <w:tcPr>
            <w:tcW w:w="2412" w:type="dxa"/>
            <w:vAlign w:val="center"/>
          </w:tcPr>
          <w:p w14:paraId="454BCDA6" w14:textId="77777777" w:rsidR="00894251" w:rsidRDefault="00003D46">
            <w:pPr>
              <w:spacing w:after="0"/>
            </w:pPr>
            <w:r>
              <w:rPr>
                <w:sz w:val="19"/>
              </w:rPr>
              <w:t>Supplier forums, risk reviews, shared standards</w:t>
            </w:r>
          </w:p>
        </w:tc>
        <w:tc>
          <w:tcPr>
            <w:tcW w:w="2412" w:type="dxa"/>
            <w:vAlign w:val="center"/>
          </w:tcPr>
          <w:p w14:paraId="081D3924" w14:textId="77777777" w:rsidR="00894251" w:rsidRDefault="00003D46">
            <w:pPr>
              <w:spacing w:after="0"/>
            </w:pPr>
            <w:r>
              <w:rPr>
                <w:sz w:val="19"/>
              </w:rPr>
              <w:t>Critical supplier compliance and disruption rate</w:t>
            </w:r>
          </w:p>
        </w:tc>
      </w:tr>
      <w:tr w:rsidR="00894251" w14:paraId="34F02338" w14:textId="77777777">
        <w:trPr>
          <w:jc w:val="center"/>
        </w:trPr>
        <w:tc>
          <w:tcPr>
            <w:tcW w:w="2412" w:type="dxa"/>
            <w:vAlign w:val="center"/>
          </w:tcPr>
          <w:p w14:paraId="1B201D2E" w14:textId="77777777" w:rsidR="00894251" w:rsidRDefault="00003D46">
            <w:pPr>
              <w:spacing w:after="0"/>
            </w:pPr>
            <w:r>
              <w:rPr>
                <w:sz w:val="19"/>
              </w:rPr>
              <w:t>Customers / dealers</w:t>
            </w:r>
          </w:p>
        </w:tc>
        <w:tc>
          <w:tcPr>
            <w:tcW w:w="2412" w:type="dxa"/>
            <w:vAlign w:val="center"/>
          </w:tcPr>
          <w:p w14:paraId="3A0C338B" w14:textId="77777777" w:rsidR="00894251" w:rsidRDefault="00003D46">
            <w:pPr>
              <w:spacing w:after="0"/>
            </w:pPr>
            <w:r>
              <w:rPr>
                <w:sz w:val="19"/>
              </w:rPr>
              <w:t>Product confidence, quality, charging, digital security</w:t>
            </w:r>
          </w:p>
        </w:tc>
        <w:tc>
          <w:tcPr>
            <w:tcW w:w="2412" w:type="dxa"/>
            <w:vAlign w:val="center"/>
          </w:tcPr>
          <w:p w14:paraId="0122406E" w14:textId="77777777" w:rsidR="00894251" w:rsidRDefault="00003D46">
            <w:pPr>
              <w:spacing w:after="0"/>
            </w:pPr>
            <w:r>
              <w:rPr>
                <w:sz w:val="19"/>
              </w:rPr>
              <w:t>Dealer training, product communications, feedback loops</w:t>
            </w:r>
          </w:p>
        </w:tc>
        <w:tc>
          <w:tcPr>
            <w:tcW w:w="2412" w:type="dxa"/>
            <w:vAlign w:val="center"/>
          </w:tcPr>
          <w:p w14:paraId="1A0E62C7" w14:textId="77777777" w:rsidR="00894251" w:rsidRDefault="00003D46">
            <w:pPr>
              <w:spacing w:after="0"/>
            </w:pPr>
            <w:r>
              <w:rPr>
                <w:sz w:val="19"/>
              </w:rPr>
              <w:t>Customer satisfaction, order conversion, service metrics</w:t>
            </w:r>
          </w:p>
        </w:tc>
      </w:tr>
      <w:tr w:rsidR="00894251" w14:paraId="751ED20E" w14:textId="77777777">
        <w:trPr>
          <w:jc w:val="center"/>
        </w:trPr>
        <w:tc>
          <w:tcPr>
            <w:tcW w:w="2412" w:type="dxa"/>
            <w:vAlign w:val="center"/>
          </w:tcPr>
          <w:p w14:paraId="7B83DFCA" w14:textId="77777777" w:rsidR="00894251" w:rsidRDefault="00003D46">
            <w:pPr>
              <w:spacing w:after="0"/>
            </w:pPr>
            <w:r>
              <w:rPr>
                <w:sz w:val="19"/>
              </w:rPr>
              <w:t>Investors</w:t>
            </w:r>
          </w:p>
        </w:tc>
        <w:tc>
          <w:tcPr>
            <w:tcW w:w="2412" w:type="dxa"/>
            <w:vAlign w:val="center"/>
          </w:tcPr>
          <w:p w14:paraId="0D2D32AC" w14:textId="77777777" w:rsidR="00894251" w:rsidRDefault="00003D46">
            <w:pPr>
              <w:spacing w:after="0"/>
            </w:pPr>
            <w:r>
              <w:rPr>
                <w:sz w:val="19"/>
              </w:rPr>
              <w:t>Return, cash, execution risk</w:t>
            </w:r>
          </w:p>
        </w:tc>
        <w:tc>
          <w:tcPr>
            <w:tcW w:w="2412" w:type="dxa"/>
            <w:vAlign w:val="center"/>
          </w:tcPr>
          <w:p w14:paraId="19FDAA1B" w14:textId="77777777" w:rsidR="00894251" w:rsidRDefault="00003D46">
            <w:pPr>
              <w:spacing w:after="0"/>
            </w:pPr>
            <w:r>
              <w:rPr>
                <w:sz w:val="19"/>
              </w:rPr>
              <w:t>Quarterly progress against benefits and milestones</w:t>
            </w:r>
          </w:p>
        </w:tc>
        <w:tc>
          <w:tcPr>
            <w:tcW w:w="2412" w:type="dxa"/>
            <w:vAlign w:val="center"/>
          </w:tcPr>
          <w:p w14:paraId="33739B6F" w14:textId="77777777" w:rsidR="00894251" w:rsidRDefault="00003D46">
            <w:pPr>
              <w:spacing w:after="0"/>
            </w:pPr>
            <w:r>
              <w:rPr>
                <w:sz w:val="19"/>
              </w:rPr>
              <w:t>Delivery against approved financial and operational KPIs</w:t>
            </w:r>
          </w:p>
        </w:tc>
      </w:tr>
    </w:tbl>
    <w:p w14:paraId="3A6D5008" w14:textId="77777777" w:rsidR="00894251" w:rsidRDefault="00003D46">
      <w:pPr>
        <w:jc w:val="both"/>
      </w:pPr>
      <w:r>
        <w:t>Communication should be two-way. Kotter (1996) emphasises repeated communication of the vision, but repetition alone is insufficient if employees cannot influence implementation. The programme should publish ‘you said - we changed’ summaries where consultation produces action. This demonstrates responsiveness and helps distinguish engagement from one-way corporate messaging.</w:t>
      </w:r>
    </w:p>
    <w:p w14:paraId="0EA420F2" w14:textId="77777777" w:rsidR="00894251" w:rsidRDefault="00003D46">
      <w:pPr>
        <w:pStyle w:val="Heading2"/>
      </w:pPr>
      <w:r>
        <w:t>9.5 Implementation timeline</w:t>
      </w:r>
    </w:p>
    <w:tbl>
      <w:tblPr>
        <w:tblStyle w:val="TableGrid"/>
        <w:tblW w:w="0" w:type="auto"/>
        <w:jc w:val="center"/>
        <w:tblLook w:val="04A0" w:firstRow="1" w:lastRow="0" w:firstColumn="1" w:lastColumn="0" w:noHBand="0" w:noVBand="1"/>
      </w:tblPr>
      <w:tblGrid>
        <w:gridCol w:w="2409"/>
        <w:gridCol w:w="2409"/>
        <w:gridCol w:w="2410"/>
        <w:gridCol w:w="2410"/>
      </w:tblGrid>
      <w:tr w:rsidR="00894251" w14:paraId="4F977897" w14:textId="77777777">
        <w:trPr>
          <w:jc w:val="center"/>
        </w:trPr>
        <w:tc>
          <w:tcPr>
            <w:tcW w:w="2412" w:type="dxa"/>
            <w:shd w:val="clear" w:color="auto" w:fill="D9EAF7"/>
            <w:vAlign w:val="center"/>
          </w:tcPr>
          <w:p w14:paraId="499095D1" w14:textId="77777777" w:rsidR="00894251" w:rsidRDefault="00003D46">
            <w:pPr>
              <w:spacing w:after="0"/>
            </w:pPr>
            <w:r>
              <w:rPr>
                <w:b/>
                <w:sz w:val="19"/>
              </w:rPr>
              <w:t>Phase</w:t>
            </w:r>
          </w:p>
        </w:tc>
        <w:tc>
          <w:tcPr>
            <w:tcW w:w="2412" w:type="dxa"/>
            <w:shd w:val="clear" w:color="auto" w:fill="D9EAF7"/>
            <w:vAlign w:val="center"/>
          </w:tcPr>
          <w:p w14:paraId="4AD04BB7" w14:textId="77777777" w:rsidR="00894251" w:rsidRDefault="00003D46">
            <w:pPr>
              <w:spacing w:after="0"/>
            </w:pPr>
            <w:r>
              <w:rPr>
                <w:b/>
                <w:sz w:val="19"/>
              </w:rPr>
              <w:t>Timeframe</w:t>
            </w:r>
          </w:p>
        </w:tc>
        <w:tc>
          <w:tcPr>
            <w:tcW w:w="2412" w:type="dxa"/>
            <w:shd w:val="clear" w:color="auto" w:fill="D9EAF7"/>
            <w:vAlign w:val="center"/>
          </w:tcPr>
          <w:p w14:paraId="33F58EB0" w14:textId="77777777" w:rsidR="00894251" w:rsidRDefault="00003D46">
            <w:pPr>
              <w:spacing w:after="0"/>
            </w:pPr>
            <w:r>
              <w:rPr>
                <w:b/>
                <w:sz w:val="19"/>
              </w:rPr>
              <w:t>Key actions</w:t>
            </w:r>
          </w:p>
        </w:tc>
        <w:tc>
          <w:tcPr>
            <w:tcW w:w="2412" w:type="dxa"/>
            <w:shd w:val="clear" w:color="auto" w:fill="D9EAF7"/>
            <w:vAlign w:val="center"/>
          </w:tcPr>
          <w:p w14:paraId="6E6FBC4B" w14:textId="77777777" w:rsidR="00894251" w:rsidRDefault="00003D46">
            <w:pPr>
              <w:spacing w:after="0"/>
            </w:pPr>
            <w:r>
              <w:rPr>
                <w:b/>
                <w:sz w:val="19"/>
              </w:rPr>
              <w:t>Key outputs</w:t>
            </w:r>
          </w:p>
        </w:tc>
      </w:tr>
      <w:tr w:rsidR="00894251" w14:paraId="61DAC571" w14:textId="77777777">
        <w:trPr>
          <w:jc w:val="center"/>
        </w:trPr>
        <w:tc>
          <w:tcPr>
            <w:tcW w:w="2412" w:type="dxa"/>
            <w:vAlign w:val="center"/>
          </w:tcPr>
          <w:p w14:paraId="00FA0FB4" w14:textId="77777777" w:rsidR="00894251" w:rsidRDefault="00003D46">
            <w:pPr>
              <w:spacing w:after="0"/>
            </w:pPr>
            <w:r>
              <w:rPr>
                <w:sz w:val="19"/>
              </w:rPr>
              <w:t>1. Diagnose and mobilise</w:t>
            </w:r>
          </w:p>
        </w:tc>
        <w:tc>
          <w:tcPr>
            <w:tcW w:w="2412" w:type="dxa"/>
            <w:vAlign w:val="center"/>
          </w:tcPr>
          <w:p w14:paraId="14390D83" w14:textId="77777777" w:rsidR="00894251" w:rsidRDefault="00003D46">
            <w:pPr>
              <w:spacing w:after="0"/>
            </w:pPr>
            <w:r>
              <w:rPr>
                <w:sz w:val="19"/>
              </w:rPr>
              <w:t>Months 1-3</w:t>
            </w:r>
          </w:p>
        </w:tc>
        <w:tc>
          <w:tcPr>
            <w:tcW w:w="2412" w:type="dxa"/>
            <w:vAlign w:val="center"/>
          </w:tcPr>
          <w:p w14:paraId="6BC81901" w14:textId="77777777" w:rsidR="00894251" w:rsidRDefault="00003D46">
            <w:pPr>
              <w:spacing w:after="0"/>
            </w:pPr>
            <w:r>
              <w:rPr>
                <w:sz w:val="19"/>
              </w:rPr>
              <w:t>Transformation Board; PESTLE/7S baseline; cyber and supplier risk review; skills mapping; benefits baseline</w:t>
            </w:r>
          </w:p>
        </w:tc>
        <w:tc>
          <w:tcPr>
            <w:tcW w:w="2412" w:type="dxa"/>
            <w:vAlign w:val="center"/>
          </w:tcPr>
          <w:p w14:paraId="76742C77" w14:textId="77777777" w:rsidR="00894251" w:rsidRDefault="00003D46">
            <w:pPr>
              <w:spacing w:after="0"/>
            </w:pPr>
            <w:r>
              <w:rPr>
                <w:sz w:val="19"/>
              </w:rPr>
              <w:t>Approved case for change, owners, baseline metrics, risk register</w:t>
            </w:r>
          </w:p>
        </w:tc>
      </w:tr>
      <w:tr w:rsidR="00894251" w14:paraId="75E6631A" w14:textId="77777777">
        <w:trPr>
          <w:jc w:val="center"/>
        </w:trPr>
        <w:tc>
          <w:tcPr>
            <w:tcW w:w="2412" w:type="dxa"/>
            <w:vAlign w:val="center"/>
          </w:tcPr>
          <w:p w14:paraId="20D575C4" w14:textId="77777777" w:rsidR="00894251" w:rsidRDefault="00003D46">
            <w:pPr>
              <w:spacing w:after="0"/>
            </w:pPr>
            <w:r>
              <w:rPr>
                <w:sz w:val="19"/>
              </w:rPr>
              <w:t>2. Design and engage</w:t>
            </w:r>
          </w:p>
        </w:tc>
        <w:tc>
          <w:tcPr>
            <w:tcW w:w="2412" w:type="dxa"/>
            <w:vAlign w:val="center"/>
          </w:tcPr>
          <w:p w14:paraId="3813A164" w14:textId="77777777" w:rsidR="00894251" w:rsidRDefault="00003D46">
            <w:pPr>
              <w:spacing w:after="0"/>
            </w:pPr>
            <w:r>
              <w:rPr>
                <w:sz w:val="19"/>
              </w:rPr>
              <w:t>Months 4-6</w:t>
            </w:r>
          </w:p>
        </w:tc>
        <w:tc>
          <w:tcPr>
            <w:tcW w:w="2412" w:type="dxa"/>
            <w:vAlign w:val="center"/>
          </w:tcPr>
          <w:p w14:paraId="64235437" w14:textId="77777777" w:rsidR="00894251" w:rsidRDefault="00003D46">
            <w:pPr>
              <w:spacing w:after="0"/>
            </w:pPr>
            <w:r>
              <w:rPr>
                <w:sz w:val="19"/>
              </w:rPr>
              <w:t>Prioritise AI use cases; confirm training pathways; communication and consultation; stage-gate investment plan</w:t>
            </w:r>
          </w:p>
        </w:tc>
        <w:tc>
          <w:tcPr>
            <w:tcW w:w="2412" w:type="dxa"/>
            <w:vAlign w:val="center"/>
          </w:tcPr>
          <w:p w14:paraId="3A62A87C" w14:textId="77777777" w:rsidR="00894251" w:rsidRDefault="00003D46">
            <w:pPr>
              <w:spacing w:after="0"/>
            </w:pPr>
            <w:r>
              <w:rPr>
                <w:sz w:val="19"/>
              </w:rPr>
              <w:t>Workstream charters, stakeholder plan, investment gates</w:t>
            </w:r>
          </w:p>
        </w:tc>
      </w:tr>
      <w:tr w:rsidR="00894251" w14:paraId="117A1A15" w14:textId="77777777">
        <w:trPr>
          <w:jc w:val="center"/>
        </w:trPr>
        <w:tc>
          <w:tcPr>
            <w:tcW w:w="2412" w:type="dxa"/>
            <w:vAlign w:val="center"/>
          </w:tcPr>
          <w:p w14:paraId="2274D648" w14:textId="77777777" w:rsidR="00894251" w:rsidRDefault="00003D46">
            <w:pPr>
              <w:spacing w:after="0"/>
            </w:pPr>
            <w:r>
              <w:rPr>
                <w:sz w:val="19"/>
              </w:rPr>
              <w:t>3. Early delivery</w:t>
            </w:r>
          </w:p>
        </w:tc>
        <w:tc>
          <w:tcPr>
            <w:tcW w:w="2412" w:type="dxa"/>
            <w:vAlign w:val="center"/>
          </w:tcPr>
          <w:p w14:paraId="774D491E" w14:textId="77777777" w:rsidR="00894251" w:rsidRDefault="00003D46">
            <w:pPr>
              <w:spacing w:after="0"/>
            </w:pPr>
            <w:r>
              <w:rPr>
                <w:sz w:val="19"/>
              </w:rPr>
              <w:t>Months 7-12</w:t>
            </w:r>
          </w:p>
        </w:tc>
        <w:tc>
          <w:tcPr>
            <w:tcW w:w="2412" w:type="dxa"/>
            <w:vAlign w:val="center"/>
          </w:tcPr>
          <w:p w14:paraId="6AFAF03E" w14:textId="77777777" w:rsidR="00894251" w:rsidRDefault="00003D46">
            <w:pPr>
              <w:spacing w:after="0"/>
            </w:pPr>
            <w:r>
              <w:rPr>
                <w:sz w:val="19"/>
              </w:rPr>
              <w:t>Cyber controls; supplier pilots; reskilling cohorts; AI pilots tied to measurable problems; EV launch readiness reviews</w:t>
            </w:r>
          </w:p>
        </w:tc>
        <w:tc>
          <w:tcPr>
            <w:tcW w:w="2412" w:type="dxa"/>
            <w:vAlign w:val="center"/>
          </w:tcPr>
          <w:p w14:paraId="37DF6D8A" w14:textId="77777777" w:rsidR="00894251" w:rsidRDefault="00003D46">
            <w:pPr>
              <w:spacing w:after="0"/>
            </w:pPr>
            <w:r>
              <w:rPr>
                <w:sz w:val="19"/>
              </w:rPr>
              <w:t>Short-term wins and evidence on what should scale</w:t>
            </w:r>
          </w:p>
        </w:tc>
      </w:tr>
      <w:tr w:rsidR="00894251" w14:paraId="59214C21" w14:textId="77777777">
        <w:trPr>
          <w:jc w:val="center"/>
        </w:trPr>
        <w:tc>
          <w:tcPr>
            <w:tcW w:w="2412" w:type="dxa"/>
            <w:vAlign w:val="center"/>
          </w:tcPr>
          <w:p w14:paraId="14474E08" w14:textId="77777777" w:rsidR="00894251" w:rsidRDefault="00003D46">
            <w:pPr>
              <w:spacing w:after="0"/>
            </w:pPr>
            <w:r>
              <w:rPr>
                <w:sz w:val="19"/>
              </w:rPr>
              <w:t>4. Scale and adapt</w:t>
            </w:r>
          </w:p>
        </w:tc>
        <w:tc>
          <w:tcPr>
            <w:tcW w:w="2412" w:type="dxa"/>
            <w:vAlign w:val="center"/>
          </w:tcPr>
          <w:p w14:paraId="0E893771" w14:textId="77777777" w:rsidR="00894251" w:rsidRDefault="00003D46">
            <w:pPr>
              <w:spacing w:after="0"/>
            </w:pPr>
            <w:r>
              <w:rPr>
                <w:sz w:val="19"/>
              </w:rPr>
              <w:t>Year 2</w:t>
            </w:r>
          </w:p>
        </w:tc>
        <w:tc>
          <w:tcPr>
            <w:tcW w:w="2412" w:type="dxa"/>
            <w:vAlign w:val="center"/>
          </w:tcPr>
          <w:p w14:paraId="412095CF" w14:textId="77777777" w:rsidR="00894251" w:rsidRDefault="00003D46">
            <w:pPr>
              <w:spacing w:after="0"/>
            </w:pPr>
            <w:r>
              <w:rPr>
                <w:sz w:val="19"/>
              </w:rPr>
              <w:t xml:space="preserve">Scale proven interventions; adjust weak initiatives; integrate data; </w:t>
            </w:r>
            <w:r>
              <w:rPr>
                <w:sz w:val="19"/>
              </w:rPr>
              <w:lastRenderedPageBreak/>
              <w:t>strengthen cross-functional routines</w:t>
            </w:r>
          </w:p>
        </w:tc>
        <w:tc>
          <w:tcPr>
            <w:tcW w:w="2412" w:type="dxa"/>
            <w:vAlign w:val="center"/>
          </w:tcPr>
          <w:p w14:paraId="1A20030A" w14:textId="77777777" w:rsidR="00894251" w:rsidRDefault="00003D46">
            <w:pPr>
              <w:spacing w:after="0"/>
            </w:pPr>
            <w:r>
              <w:rPr>
                <w:sz w:val="19"/>
              </w:rPr>
              <w:lastRenderedPageBreak/>
              <w:t>Improved operational, people and resilience KPIs</w:t>
            </w:r>
          </w:p>
        </w:tc>
      </w:tr>
      <w:tr w:rsidR="00894251" w14:paraId="716B2F66" w14:textId="77777777">
        <w:trPr>
          <w:jc w:val="center"/>
        </w:trPr>
        <w:tc>
          <w:tcPr>
            <w:tcW w:w="2412" w:type="dxa"/>
            <w:vAlign w:val="center"/>
          </w:tcPr>
          <w:p w14:paraId="6D728259" w14:textId="77777777" w:rsidR="00894251" w:rsidRDefault="00003D46">
            <w:pPr>
              <w:spacing w:after="0"/>
            </w:pPr>
            <w:r>
              <w:rPr>
                <w:sz w:val="19"/>
              </w:rPr>
              <w:t>5. Embed and renew</w:t>
            </w:r>
          </w:p>
        </w:tc>
        <w:tc>
          <w:tcPr>
            <w:tcW w:w="2412" w:type="dxa"/>
            <w:vAlign w:val="center"/>
          </w:tcPr>
          <w:p w14:paraId="5CFF93E8" w14:textId="77777777" w:rsidR="00894251" w:rsidRDefault="00003D46">
            <w:pPr>
              <w:spacing w:after="0"/>
            </w:pPr>
            <w:r>
              <w:rPr>
                <w:sz w:val="19"/>
              </w:rPr>
              <w:t>Year 3</w:t>
            </w:r>
          </w:p>
        </w:tc>
        <w:tc>
          <w:tcPr>
            <w:tcW w:w="2412" w:type="dxa"/>
            <w:vAlign w:val="center"/>
          </w:tcPr>
          <w:p w14:paraId="53DA039F" w14:textId="77777777" w:rsidR="00894251" w:rsidRDefault="00003D46">
            <w:pPr>
              <w:spacing w:after="0"/>
            </w:pPr>
            <w:r>
              <w:rPr>
                <w:sz w:val="19"/>
              </w:rPr>
              <w:t>Institutionalise successful practices; repeat 7S; transfer ownership to BAU; refresh strategy for next cycle</w:t>
            </w:r>
          </w:p>
        </w:tc>
        <w:tc>
          <w:tcPr>
            <w:tcW w:w="2412" w:type="dxa"/>
            <w:vAlign w:val="center"/>
          </w:tcPr>
          <w:p w14:paraId="6DC9CA85" w14:textId="77777777" w:rsidR="00894251" w:rsidRDefault="00003D46">
            <w:pPr>
              <w:spacing w:after="0"/>
            </w:pPr>
            <w:r>
              <w:rPr>
                <w:sz w:val="19"/>
              </w:rPr>
              <w:t>Sustained capabilities and next transformation roadmap</w:t>
            </w:r>
          </w:p>
        </w:tc>
      </w:tr>
    </w:tbl>
    <w:p w14:paraId="3806493A" w14:textId="77777777" w:rsidR="00894251" w:rsidRDefault="00003D46">
      <w:pPr>
        <w:pStyle w:val="Heading2"/>
      </w:pPr>
      <w:r>
        <w:t>9.6 Evaluation and control</w:t>
      </w:r>
    </w:p>
    <w:p w14:paraId="64340292" w14:textId="77777777" w:rsidR="00894251" w:rsidRDefault="00003D46">
      <w:pPr>
        <w:jc w:val="both"/>
      </w:pPr>
      <w:r>
        <w:t>Evaluation should use a balanced set of leading and lagging indicators. Financial outcomes include revenue, EBIT margin, free cash flow and realised benefits. Operational outcomes include uptime, quality, warranty cost, launch readiness and disruption. Digital measures include recovery time, critical vulnerabilities, data quality and value delivered by scaled AI use cases. People measures include priority skill coverage, engagement, training application and internal mobility. Customer measures include satis</w:t>
      </w:r>
      <w:r>
        <w:t>faction, order conversion and service performance. Sustainability measures include EV mix, energy, waste, circularity and supplier compliance.</w:t>
      </w:r>
    </w:p>
    <w:p w14:paraId="3A538656" w14:textId="77777777" w:rsidR="00894251" w:rsidRDefault="00003D46">
      <w:pPr>
        <w:jc w:val="both"/>
      </w:pPr>
      <w:r>
        <w:t>Quarterly reviews should examine variance against baseline, benefits, stakeholder feedback and emerging risk. Importantly, evaluation should allow projects to stop. A transformation portfolio becomes stronger when weak initiatives are terminated and resources reallocated. This learning orientation is more appropriate for a volatile environment than assuming that every initiative designed at the beginning must be completed.</w:t>
      </w:r>
    </w:p>
    <w:p w14:paraId="31556F47" w14:textId="77777777" w:rsidR="00894251" w:rsidRDefault="00003D46">
      <w:pPr>
        <w:pStyle w:val="Heading1"/>
      </w:pPr>
      <w:r>
        <w:t>10. Risks and Mitigation</w:t>
      </w:r>
    </w:p>
    <w:tbl>
      <w:tblPr>
        <w:tblStyle w:val="TableGrid"/>
        <w:tblW w:w="0" w:type="auto"/>
        <w:jc w:val="center"/>
        <w:tblLook w:val="04A0" w:firstRow="1" w:lastRow="0" w:firstColumn="1" w:lastColumn="0" w:noHBand="0" w:noVBand="1"/>
      </w:tblPr>
      <w:tblGrid>
        <w:gridCol w:w="2410"/>
        <w:gridCol w:w="2410"/>
        <w:gridCol w:w="2409"/>
        <w:gridCol w:w="2409"/>
      </w:tblGrid>
      <w:tr w:rsidR="00894251" w14:paraId="37B82648" w14:textId="77777777">
        <w:trPr>
          <w:jc w:val="center"/>
        </w:trPr>
        <w:tc>
          <w:tcPr>
            <w:tcW w:w="2412" w:type="dxa"/>
            <w:shd w:val="clear" w:color="auto" w:fill="D9EAF7"/>
            <w:vAlign w:val="center"/>
          </w:tcPr>
          <w:p w14:paraId="359ACF0F" w14:textId="77777777" w:rsidR="00894251" w:rsidRDefault="00003D46">
            <w:pPr>
              <w:spacing w:after="0"/>
            </w:pPr>
            <w:r>
              <w:rPr>
                <w:b/>
                <w:sz w:val="19"/>
              </w:rPr>
              <w:t>Risk</w:t>
            </w:r>
          </w:p>
        </w:tc>
        <w:tc>
          <w:tcPr>
            <w:tcW w:w="2412" w:type="dxa"/>
            <w:shd w:val="clear" w:color="auto" w:fill="D9EAF7"/>
            <w:vAlign w:val="center"/>
          </w:tcPr>
          <w:p w14:paraId="0F064B3E" w14:textId="77777777" w:rsidR="00894251" w:rsidRDefault="00003D46">
            <w:pPr>
              <w:spacing w:after="0"/>
            </w:pPr>
            <w:r>
              <w:rPr>
                <w:b/>
                <w:sz w:val="19"/>
              </w:rPr>
              <w:t>Why it matters</w:t>
            </w:r>
          </w:p>
        </w:tc>
        <w:tc>
          <w:tcPr>
            <w:tcW w:w="2412" w:type="dxa"/>
            <w:shd w:val="clear" w:color="auto" w:fill="D9EAF7"/>
            <w:vAlign w:val="center"/>
          </w:tcPr>
          <w:p w14:paraId="7F81465D" w14:textId="77777777" w:rsidR="00894251" w:rsidRDefault="00003D46">
            <w:pPr>
              <w:spacing w:after="0"/>
            </w:pPr>
            <w:r>
              <w:rPr>
                <w:b/>
                <w:sz w:val="19"/>
              </w:rPr>
              <w:t>Mitigation</w:t>
            </w:r>
          </w:p>
        </w:tc>
        <w:tc>
          <w:tcPr>
            <w:tcW w:w="2412" w:type="dxa"/>
            <w:shd w:val="clear" w:color="auto" w:fill="D9EAF7"/>
            <w:vAlign w:val="center"/>
          </w:tcPr>
          <w:p w14:paraId="1D754A82" w14:textId="77777777" w:rsidR="00894251" w:rsidRDefault="00003D46">
            <w:pPr>
              <w:spacing w:after="0"/>
            </w:pPr>
            <w:r>
              <w:rPr>
                <w:b/>
                <w:sz w:val="19"/>
              </w:rPr>
              <w:t>Early warning indicator</w:t>
            </w:r>
          </w:p>
        </w:tc>
      </w:tr>
      <w:tr w:rsidR="00894251" w14:paraId="206AF7B5" w14:textId="77777777">
        <w:trPr>
          <w:jc w:val="center"/>
        </w:trPr>
        <w:tc>
          <w:tcPr>
            <w:tcW w:w="2412" w:type="dxa"/>
            <w:vAlign w:val="center"/>
          </w:tcPr>
          <w:p w14:paraId="2EA175D1" w14:textId="77777777" w:rsidR="00894251" w:rsidRDefault="00003D46">
            <w:pPr>
              <w:spacing w:after="0"/>
            </w:pPr>
            <w:r>
              <w:rPr>
                <w:sz w:val="19"/>
              </w:rPr>
              <w:t>Financial pressure</w:t>
            </w:r>
          </w:p>
        </w:tc>
        <w:tc>
          <w:tcPr>
            <w:tcW w:w="2412" w:type="dxa"/>
            <w:vAlign w:val="center"/>
          </w:tcPr>
          <w:p w14:paraId="0331AEB8" w14:textId="77777777" w:rsidR="00894251" w:rsidRDefault="00003D46">
            <w:pPr>
              <w:spacing w:after="0"/>
            </w:pPr>
            <w:r>
              <w:rPr>
                <w:sz w:val="19"/>
              </w:rPr>
              <w:t>High investment coincides with volatile margins and tariffs.</w:t>
            </w:r>
          </w:p>
        </w:tc>
        <w:tc>
          <w:tcPr>
            <w:tcW w:w="2412" w:type="dxa"/>
            <w:vAlign w:val="center"/>
          </w:tcPr>
          <w:p w14:paraId="24086984" w14:textId="77777777" w:rsidR="00894251" w:rsidRDefault="00003D46">
            <w:pPr>
              <w:spacing w:after="0"/>
            </w:pPr>
            <w:r>
              <w:rPr>
                <w:sz w:val="19"/>
              </w:rPr>
              <w:t>Stage-gate funding, benefits tracking, partnerships, protect critical capability investment.</w:t>
            </w:r>
          </w:p>
        </w:tc>
        <w:tc>
          <w:tcPr>
            <w:tcW w:w="2412" w:type="dxa"/>
            <w:vAlign w:val="center"/>
          </w:tcPr>
          <w:p w14:paraId="71C4A7EC" w14:textId="77777777" w:rsidR="00894251" w:rsidRDefault="00003D46">
            <w:pPr>
              <w:spacing w:after="0"/>
            </w:pPr>
            <w:r>
              <w:rPr>
                <w:sz w:val="19"/>
              </w:rPr>
              <w:t>Cash/EBIT variance, benefits slippage</w:t>
            </w:r>
          </w:p>
        </w:tc>
      </w:tr>
      <w:tr w:rsidR="00894251" w14:paraId="78E43614" w14:textId="77777777">
        <w:trPr>
          <w:jc w:val="center"/>
        </w:trPr>
        <w:tc>
          <w:tcPr>
            <w:tcW w:w="2412" w:type="dxa"/>
            <w:vAlign w:val="center"/>
          </w:tcPr>
          <w:p w14:paraId="42AD8EAE" w14:textId="77777777" w:rsidR="00894251" w:rsidRDefault="00003D46">
            <w:pPr>
              <w:spacing w:after="0"/>
            </w:pPr>
            <w:r>
              <w:rPr>
                <w:sz w:val="19"/>
              </w:rPr>
              <w:t>Employee resistance / skill gaps</w:t>
            </w:r>
          </w:p>
        </w:tc>
        <w:tc>
          <w:tcPr>
            <w:tcW w:w="2412" w:type="dxa"/>
            <w:vAlign w:val="center"/>
          </w:tcPr>
          <w:p w14:paraId="17477E55" w14:textId="77777777" w:rsidR="00894251" w:rsidRDefault="00003D46">
            <w:pPr>
              <w:spacing w:after="0"/>
            </w:pPr>
            <w:r>
              <w:rPr>
                <w:sz w:val="19"/>
              </w:rPr>
              <w:t>Technology change can threaten identity, roles and confidence.</w:t>
            </w:r>
          </w:p>
        </w:tc>
        <w:tc>
          <w:tcPr>
            <w:tcW w:w="2412" w:type="dxa"/>
            <w:vAlign w:val="center"/>
          </w:tcPr>
          <w:p w14:paraId="2CC6438B" w14:textId="77777777" w:rsidR="00894251" w:rsidRDefault="00003D46">
            <w:pPr>
              <w:spacing w:after="0"/>
            </w:pPr>
            <w:r>
              <w:rPr>
                <w:sz w:val="19"/>
              </w:rPr>
              <w:t>Early consultation, reskilling, redeployment, union involvement, manager coaching.</w:t>
            </w:r>
          </w:p>
        </w:tc>
        <w:tc>
          <w:tcPr>
            <w:tcW w:w="2412" w:type="dxa"/>
            <w:vAlign w:val="center"/>
          </w:tcPr>
          <w:p w14:paraId="4D19FBF8" w14:textId="77777777" w:rsidR="00894251" w:rsidRDefault="00003D46">
            <w:pPr>
              <w:spacing w:after="0"/>
            </w:pPr>
            <w:r>
              <w:rPr>
                <w:sz w:val="19"/>
              </w:rPr>
              <w:t>Engagement decline, attrition, low training application</w:t>
            </w:r>
          </w:p>
        </w:tc>
      </w:tr>
      <w:tr w:rsidR="00894251" w14:paraId="0C455A15" w14:textId="77777777">
        <w:trPr>
          <w:jc w:val="center"/>
        </w:trPr>
        <w:tc>
          <w:tcPr>
            <w:tcW w:w="2412" w:type="dxa"/>
            <w:vAlign w:val="center"/>
          </w:tcPr>
          <w:p w14:paraId="65FB8710" w14:textId="77777777" w:rsidR="00894251" w:rsidRDefault="00003D46">
            <w:pPr>
              <w:spacing w:after="0"/>
            </w:pPr>
            <w:r>
              <w:rPr>
                <w:sz w:val="19"/>
              </w:rPr>
              <w:t>Implementation delay</w:t>
            </w:r>
          </w:p>
        </w:tc>
        <w:tc>
          <w:tcPr>
            <w:tcW w:w="2412" w:type="dxa"/>
            <w:vAlign w:val="center"/>
          </w:tcPr>
          <w:p w14:paraId="7D795CEE" w14:textId="77777777" w:rsidR="00894251" w:rsidRDefault="00003D46">
            <w:pPr>
              <w:spacing w:after="0"/>
            </w:pPr>
            <w:r>
              <w:rPr>
                <w:sz w:val="19"/>
              </w:rPr>
              <w:t>Vehicle, software and infrastructure programmes are complex and interdependent.</w:t>
            </w:r>
          </w:p>
        </w:tc>
        <w:tc>
          <w:tcPr>
            <w:tcW w:w="2412" w:type="dxa"/>
            <w:vAlign w:val="center"/>
          </w:tcPr>
          <w:p w14:paraId="33EF1AC9" w14:textId="77777777" w:rsidR="00894251" w:rsidRDefault="00003D46">
            <w:pPr>
              <w:spacing w:after="0"/>
            </w:pPr>
            <w:r>
              <w:rPr>
                <w:sz w:val="19"/>
              </w:rPr>
              <w:t>Dependency mapping, milestone governance, escalation routes, realistic buffers.</w:t>
            </w:r>
          </w:p>
        </w:tc>
        <w:tc>
          <w:tcPr>
            <w:tcW w:w="2412" w:type="dxa"/>
            <w:vAlign w:val="center"/>
          </w:tcPr>
          <w:p w14:paraId="76E36277" w14:textId="77777777" w:rsidR="00894251" w:rsidRDefault="00003D46">
            <w:pPr>
              <w:spacing w:after="0"/>
            </w:pPr>
            <w:r>
              <w:rPr>
                <w:sz w:val="19"/>
              </w:rPr>
              <w:t>Repeated milestone misses, unresolved dependencies</w:t>
            </w:r>
          </w:p>
        </w:tc>
      </w:tr>
      <w:tr w:rsidR="00894251" w14:paraId="1754D52C" w14:textId="77777777">
        <w:trPr>
          <w:jc w:val="center"/>
        </w:trPr>
        <w:tc>
          <w:tcPr>
            <w:tcW w:w="2412" w:type="dxa"/>
            <w:vAlign w:val="center"/>
          </w:tcPr>
          <w:p w14:paraId="5B9D8C01" w14:textId="77777777" w:rsidR="00894251" w:rsidRDefault="00003D46">
            <w:pPr>
              <w:spacing w:after="0"/>
            </w:pPr>
            <w:r>
              <w:rPr>
                <w:sz w:val="19"/>
              </w:rPr>
              <w:lastRenderedPageBreak/>
              <w:t>Cyber / digital failure</w:t>
            </w:r>
          </w:p>
        </w:tc>
        <w:tc>
          <w:tcPr>
            <w:tcW w:w="2412" w:type="dxa"/>
            <w:vAlign w:val="center"/>
          </w:tcPr>
          <w:p w14:paraId="4610DAEE" w14:textId="77777777" w:rsidR="00894251" w:rsidRDefault="00003D46">
            <w:pPr>
              <w:spacing w:after="0"/>
            </w:pPr>
            <w:r>
              <w:rPr>
                <w:sz w:val="19"/>
              </w:rPr>
              <w:t>Greater connectivity increases operational exposure.</w:t>
            </w:r>
          </w:p>
        </w:tc>
        <w:tc>
          <w:tcPr>
            <w:tcW w:w="2412" w:type="dxa"/>
            <w:vAlign w:val="center"/>
          </w:tcPr>
          <w:p w14:paraId="0FABAAC4" w14:textId="77777777" w:rsidR="00894251" w:rsidRDefault="00003D46">
            <w:pPr>
              <w:spacing w:after="0"/>
            </w:pPr>
            <w:r>
              <w:rPr>
                <w:sz w:val="19"/>
              </w:rPr>
              <w:t>Cyber-by-design, segmentation, supplier controls, tested recovery and continuity plans.</w:t>
            </w:r>
          </w:p>
        </w:tc>
        <w:tc>
          <w:tcPr>
            <w:tcW w:w="2412" w:type="dxa"/>
            <w:vAlign w:val="center"/>
          </w:tcPr>
          <w:p w14:paraId="47C2CD8F" w14:textId="77777777" w:rsidR="00894251" w:rsidRDefault="00003D46">
            <w:pPr>
              <w:spacing w:after="0"/>
            </w:pPr>
            <w:r>
              <w:rPr>
                <w:sz w:val="19"/>
              </w:rPr>
              <w:t>Critical vulnerabilities, failed recovery tests</w:t>
            </w:r>
          </w:p>
        </w:tc>
      </w:tr>
      <w:tr w:rsidR="00894251" w14:paraId="7459DE90" w14:textId="77777777">
        <w:trPr>
          <w:jc w:val="center"/>
        </w:trPr>
        <w:tc>
          <w:tcPr>
            <w:tcW w:w="2412" w:type="dxa"/>
            <w:vAlign w:val="center"/>
          </w:tcPr>
          <w:p w14:paraId="2C82B3E1" w14:textId="77777777" w:rsidR="00894251" w:rsidRDefault="00003D46">
            <w:pPr>
              <w:spacing w:after="0"/>
            </w:pPr>
            <w:r>
              <w:rPr>
                <w:sz w:val="19"/>
              </w:rPr>
              <w:t>Supplier disruption</w:t>
            </w:r>
          </w:p>
        </w:tc>
        <w:tc>
          <w:tcPr>
            <w:tcW w:w="2412" w:type="dxa"/>
            <w:vAlign w:val="center"/>
          </w:tcPr>
          <w:p w14:paraId="2D3B8FBD" w14:textId="77777777" w:rsidR="00894251" w:rsidRDefault="00003D46">
            <w:pPr>
              <w:spacing w:after="0"/>
            </w:pPr>
            <w:r>
              <w:rPr>
                <w:sz w:val="19"/>
              </w:rPr>
              <w:t>Battery, semiconductor and software dependencies can halt production.</w:t>
            </w:r>
          </w:p>
        </w:tc>
        <w:tc>
          <w:tcPr>
            <w:tcW w:w="2412" w:type="dxa"/>
            <w:vAlign w:val="center"/>
          </w:tcPr>
          <w:p w14:paraId="610606B2" w14:textId="77777777" w:rsidR="00894251" w:rsidRDefault="00003D46">
            <w:pPr>
              <w:spacing w:after="0"/>
            </w:pPr>
            <w:r>
              <w:rPr>
                <w:sz w:val="19"/>
              </w:rPr>
              <w:t>Dual sourcing where feasible, critical supplier mapping, inventory strategy, joint resilience reviews.</w:t>
            </w:r>
          </w:p>
        </w:tc>
        <w:tc>
          <w:tcPr>
            <w:tcW w:w="2412" w:type="dxa"/>
            <w:vAlign w:val="center"/>
          </w:tcPr>
          <w:p w14:paraId="3F3BCDFB" w14:textId="77777777" w:rsidR="00894251" w:rsidRDefault="00003D46">
            <w:pPr>
              <w:spacing w:after="0"/>
            </w:pPr>
            <w:r>
              <w:rPr>
                <w:sz w:val="19"/>
              </w:rPr>
              <w:t>Supplier financial/cyber alerts, lead-time volatility</w:t>
            </w:r>
          </w:p>
        </w:tc>
      </w:tr>
      <w:tr w:rsidR="00894251" w14:paraId="6930FDA2" w14:textId="77777777">
        <w:trPr>
          <w:jc w:val="center"/>
        </w:trPr>
        <w:tc>
          <w:tcPr>
            <w:tcW w:w="2412" w:type="dxa"/>
            <w:vAlign w:val="center"/>
          </w:tcPr>
          <w:p w14:paraId="36BC25FC" w14:textId="77777777" w:rsidR="00894251" w:rsidRDefault="00003D46">
            <w:pPr>
              <w:spacing w:after="0"/>
            </w:pPr>
            <w:r>
              <w:rPr>
                <w:sz w:val="19"/>
              </w:rPr>
              <w:t>Brand dilution</w:t>
            </w:r>
          </w:p>
        </w:tc>
        <w:tc>
          <w:tcPr>
            <w:tcW w:w="2412" w:type="dxa"/>
            <w:vAlign w:val="center"/>
          </w:tcPr>
          <w:p w14:paraId="6B0A0F22" w14:textId="77777777" w:rsidR="00894251" w:rsidRDefault="00003D46">
            <w:pPr>
              <w:spacing w:after="0"/>
            </w:pPr>
            <w:r>
              <w:rPr>
                <w:sz w:val="19"/>
              </w:rPr>
              <w:t>Rapid technology change may weaken luxury differentiation if treated as functional rather than experiential.</w:t>
            </w:r>
          </w:p>
        </w:tc>
        <w:tc>
          <w:tcPr>
            <w:tcW w:w="2412" w:type="dxa"/>
            <w:vAlign w:val="center"/>
          </w:tcPr>
          <w:p w14:paraId="7BF37C57" w14:textId="77777777" w:rsidR="00894251" w:rsidRDefault="00003D46">
            <w:pPr>
              <w:spacing w:after="0"/>
            </w:pPr>
            <w:r>
              <w:rPr>
                <w:sz w:val="19"/>
              </w:rPr>
              <w:t>Brand-specific design principles, quality gates, customer research and dealer readiness.</w:t>
            </w:r>
          </w:p>
        </w:tc>
        <w:tc>
          <w:tcPr>
            <w:tcW w:w="2412" w:type="dxa"/>
            <w:vAlign w:val="center"/>
          </w:tcPr>
          <w:p w14:paraId="46F61283" w14:textId="77777777" w:rsidR="00894251" w:rsidRDefault="00003D46">
            <w:pPr>
              <w:spacing w:after="0"/>
            </w:pPr>
            <w:r>
              <w:rPr>
                <w:sz w:val="19"/>
              </w:rPr>
              <w:t>Brand perception or order-conversion deterioration</w:t>
            </w:r>
          </w:p>
        </w:tc>
      </w:tr>
    </w:tbl>
    <w:p w14:paraId="177F2C16" w14:textId="77777777" w:rsidR="00894251" w:rsidRDefault="00003D46">
      <w:pPr>
        <w:pStyle w:val="Heading1"/>
      </w:pPr>
      <w:r>
        <w:t>11. Conclusion</w:t>
      </w:r>
    </w:p>
    <w:p w14:paraId="04CB019E" w14:textId="77777777" w:rsidR="00894251" w:rsidRDefault="00003D46">
      <w:pPr>
        <w:jc w:val="both"/>
      </w:pPr>
      <w:r>
        <w:t>JLR’s need for strategic change is supported by both long-term industry transformation and recent operational evidence. Electrification, software, AI, regulation and sustainability are altering the basis of automotive competition, while FY2025/26 demonstrated the financial and operational consequences of tariffs, cyber disruption and market weakness. The external PESTLE and Five Forces analyses show that JLR cannot rely on a stable environment; the internal 7S analysis shows that strategic intent must be ma</w:t>
      </w:r>
      <w:r>
        <w:t>tched by systems, skills, staff, leadership and cultural alignment.</w:t>
      </w:r>
    </w:p>
    <w:p w14:paraId="7B09B1A8" w14:textId="77777777" w:rsidR="00894251" w:rsidRDefault="00003D46">
      <w:pPr>
        <w:jc w:val="both"/>
      </w:pPr>
      <w:r>
        <w:t>The evaluation of change theory indicates that no single model is sufficient. Lewin contributes insight into readiness and institutionalisation, Kotter provides mobilisation and implementation discipline, and McKinsey 7S provides an alignment diagnostic. For JLR, Kotter should therefore guide the overall process while 7S is used to identify organisational misalignment and Lewin’s principles are applied to embed specific new behaviours. Transformational leadership should provide purpose, but leaders must ada</w:t>
      </w:r>
      <w:r>
        <w:t>pt their style to crises, learning and innovation contexts.</w:t>
      </w:r>
    </w:p>
    <w:p w14:paraId="3DF18121" w14:textId="77777777" w:rsidR="00894251" w:rsidRDefault="00003D46">
      <w:pPr>
        <w:jc w:val="both"/>
      </w:pPr>
      <w:r>
        <w:t>The proposed Digital Resilience and Electrified Luxury Transformation Programme converts this analysis into a practical three-year plan. Its key principle is integration: electrification cannot succeed without skills and supply-chain resilience; AI cannot create value without data, process redesign and employee adoption; digitalisation cannot scale safely without cyber resilience. JLR’s heritage should not be discarded during this transformation. Instead, engineering quality, craftsmanship and brand desirab</w:t>
      </w:r>
      <w:r>
        <w:t>ility should become the foundation on which a more digital, resilient and sustainable modern-luxury organisation is built.</w:t>
      </w:r>
    </w:p>
    <w:p w14:paraId="74F395A5" w14:textId="77777777" w:rsidR="00894251" w:rsidRDefault="00003D46">
      <w:pPr>
        <w:pStyle w:val="Heading1"/>
      </w:pPr>
      <w:r>
        <w:lastRenderedPageBreak/>
        <w:t>Reference List</w:t>
      </w:r>
    </w:p>
    <w:p w14:paraId="3FC0BFCC" w14:textId="77777777" w:rsidR="00894251" w:rsidRDefault="00003D46">
      <w:pPr>
        <w:spacing w:after="80" w:line="276" w:lineRule="auto"/>
        <w:ind w:left="432" w:hanging="432"/>
      </w:pPr>
      <w:r>
        <w:t>Burnes, B. (2017) Managing Change. 7th edn. Harlow: Pearson.</w:t>
      </w:r>
    </w:p>
    <w:p w14:paraId="608ABB77" w14:textId="77777777" w:rsidR="00894251" w:rsidRDefault="00003D46">
      <w:pPr>
        <w:spacing w:after="80" w:line="276" w:lineRule="auto"/>
        <w:ind w:left="432" w:hanging="432"/>
      </w:pPr>
      <w:r>
        <w:t>Cameron, E. and Green, M. (2020) Making Sense of Change Management. 5th edn. London: Kogan Page.</w:t>
      </w:r>
    </w:p>
    <w:p w14:paraId="4546B393" w14:textId="77777777" w:rsidR="00894251" w:rsidRDefault="00003D46">
      <w:pPr>
        <w:spacing w:after="80" w:line="276" w:lineRule="auto"/>
        <w:ind w:left="432" w:hanging="432"/>
      </w:pPr>
      <w:r>
        <w:t>Department for Transport (DfT) (2026) Review launched to shape pathway to reach zero emission driving by 2035. London: UK Government, 14 August.</w:t>
      </w:r>
    </w:p>
    <w:p w14:paraId="4463E518" w14:textId="77777777" w:rsidR="00894251" w:rsidRDefault="00003D46">
      <w:pPr>
        <w:spacing w:after="80" w:line="276" w:lineRule="auto"/>
        <w:ind w:left="432" w:hanging="432"/>
      </w:pPr>
      <w:r>
        <w:t>Goleman, D. (2000) ‘Leadership that gets results’, Harvard Business Review, 78(2), pp. 78–90.</w:t>
      </w:r>
    </w:p>
    <w:p w14:paraId="4758A9A0" w14:textId="77777777" w:rsidR="00894251" w:rsidRDefault="00003D46">
      <w:pPr>
        <w:spacing w:after="80" w:line="276" w:lineRule="auto"/>
        <w:ind w:left="432" w:hanging="432"/>
      </w:pPr>
      <w:r>
        <w:t>Hayes, J. (2022) The Theory and Practice of Change Management. 6th edn. London: Palgrave Macmillan.</w:t>
      </w:r>
    </w:p>
    <w:p w14:paraId="2F704C26" w14:textId="77777777" w:rsidR="00894251" w:rsidRDefault="00003D46">
      <w:pPr>
        <w:spacing w:after="80" w:line="276" w:lineRule="auto"/>
        <w:ind w:left="432" w:hanging="432"/>
      </w:pPr>
      <w:r>
        <w:t>Jaguar Land Rover (JLR) (2021) Jaguar Land Rover reimagines the future of modern luxury by design. Gaydon: JLR, 15 February.</w:t>
      </w:r>
    </w:p>
    <w:p w14:paraId="02260C4D" w14:textId="77777777" w:rsidR="00894251" w:rsidRDefault="00003D46">
      <w:pPr>
        <w:spacing w:after="80" w:line="276" w:lineRule="auto"/>
        <w:ind w:left="432" w:hanging="432"/>
      </w:pPr>
      <w:r>
        <w:t>Jaguar Land Rover (JLR) (2023) JLR to invest £15 billion over next five years as its modern luxury electric-first future accelerates. Gaydon: JLR, 19 April.</w:t>
      </w:r>
    </w:p>
    <w:p w14:paraId="08B285D2" w14:textId="77777777" w:rsidR="00894251" w:rsidRDefault="00003D46">
      <w:pPr>
        <w:spacing w:after="80" w:line="276" w:lineRule="auto"/>
        <w:ind w:left="432" w:hanging="432"/>
      </w:pPr>
      <w:r>
        <w:t>Jaguar Land Rover (JLR) (2025a) Annual Report 2025. Gaydon: Jaguar Land Rover Automotive plc.</w:t>
      </w:r>
    </w:p>
    <w:p w14:paraId="43C48456" w14:textId="77777777" w:rsidR="00894251" w:rsidRDefault="00003D46">
      <w:pPr>
        <w:spacing w:after="80" w:line="276" w:lineRule="auto"/>
        <w:ind w:left="432" w:hanging="432"/>
      </w:pPr>
      <w:r>
        <w:t>Jaguar Land Rover (JLR) (2025b) Statement on Cyber Incident. Gaydon: JLR, 2 September.</w:t>
      </w:r>
    </w:p>
    <w:p w14:paraId="6515A6CE" w14:textId="77777777" w:rsidR="00894251" w:rsidRDefault="00003D46">
      <w:pPr>
        <w:spacing w:after="80" w:line="276" w:lineRule="auto"/>
        <w:ind w:left="432" w:hanging="432"/>
      </w:pPr>
      <w:r>
        <w:t>Jaguar Land Rover (JLR) (2026a) Annual Report 2026. Gaydon: Jaguar Land Rover Automotive plc.</w:t>
      </w:r>
    </w:p>
    <w:p w14:paraId="0AAD1A03" w14:textId="77777777" w:rsidR="00894251" w:rsidRDefault="00003D46">
      <w:pPr>
        <w:spacing w:after="80" w:line="276" w:lineRule="auto"/>
        <w:ind w:left="432" w:hanging="432"/>
      </w:pPr>
      <w:r>
        <w:t>Johnson, G., Whittington, R., Regnér, P., Scholes, K. and Angwin, D. (2020) Exploring Strategy. 12th edn. Harlow: Pearson.</w:t>
      </w:r>
    </w:p>
    <w:p w14:paraId="2DCB8B28" w14:textId="77777777" w:rsidR="00894251" w:rsidRDefault="00003D46">
      <w:pPr>
        <w:spacing w:after="80" w:line="276" w:lineRule="auto"/>
        <w:ind w:left="432" w:hanging="432"/>
      </w:pPr>
      <w:r>
        <w:t>Kotter, J.P. (1996) Leading Change. Boston, MA: Harvard Business School Press.</w:t>
      </w:r>
    </w:p>
    <w:p w14:paraId="74A63B7E" w14:textId="77777777" w:rsidR="00894251" w:rsidRDefault="00003D46">
      <w:pPr>
        <w:spacing w:after="80" w:line="276" w:lineRule="auto"/>
        <w:ind w:left="432" w:hanging="432"/>
      </w:pPr>
      <w:r>
        <w:t>Lewin, K. (1951) Field Theory in Social Science. New York: Harper &amp; Row.</w:t>
      </w:r>
    </w:p>
    <w:p w14:paraId="2845594B" w14:textId="77777777" w:rsidR="00894251" w:rsidRDefault="00003D46">
      <w:pPr>
        <w:spacing w:after="80" w:line="276" w:lineRule="auto"/>
        <w:ind w:left="432" w:hanging="432"/>
      </w:pPr>
      <w:r>
        <w:t>Porter, M.E. (1985) Competitive Advantage: Creating and Sustaining Superior Performance. New York: Free Press.</w:t>
      </w:r>
    </w:p>
    <w:p w14:paraId="077F6A4A" w14:textId="77777777" w:rsidR="00894251" w:rsidRDefault="00003D46">
      <w:pPr>
        <w:spacing w:after="80" w:line="276" w:lineRule="auto"/>
        <w:ind w:left="432" w:hanging="432"/>
      </w:pPr>
      <w:r>
        <w:t>Schein, E.H. and Schein, P.A. (2017) Organizational Culture and Leadership. 5th edn. Hoboken, NJ: Wiley.</w:t>
      </w:r>
    </w:p>
    <w:p w14:paraId="3E1D5CC5" w14:textId="77777777" w:rsidR="00894251" w:rsidRDefault="00003D46">
      <w:pPr>
        <w:spacing w:after="80" w:line="276" w:lineRule="auto"/>
        <w:ind w:left="432" w:hanging="432"/>
      </w:pPr>
      <w:r>
        <w:t>Tidd, J. and Bessant, J. (2020) Managing Innovation: Integrating Technological, Market and Organizational Change. 7th edn. Chichester: Wiley.</w:t>
      </w:r>
    </w:p>
    <w:p w14:paraId="077CBAC6" w14:textId="77777777" w:rsidR="00894251" w:rsidRDefault="00003D46">
      <w:pPr>
        <w:spacing w:after="80" w:line="276" w:lineRule="auto"/>
        <w:ind w:left="432" w:hanging="432"/>
      </w:pPr>
      <w:r>
        <w:t>Yukl, G. and Gardner, W.L. (2020) Leadership in Organizations. 9th edn. Harlow: Pearson.</w:t>
      </w:r>
    </w:p>
    <w:sectPr w:rsidR="00894251" w:rsidSect="00034616">
      <w:footerReference w:type="default" r:id="rId8"/>
      <w:pgSz w:w="12240" w:h="15840"/>
      <w:pgMar w:top="1152" w:right="1296" w:bottom="1152"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9B017A" w14:textId="77777777" w:rsidR="00003D46" w:rsidRDefault="00003D46">
      <w:pPr>
        <w:spacing w:after="0" w:line="240" w:lineRule="auto"/>
      </w:pPr>
      <w:r>
        <w:separator/>
      </w:r>
    </w:p>
  </w:endnote>
  <w:endnote w:type="continuationSeparator" w:id="0">
    <w:p w14:paraId="1EAE3BC4" w14:textId="77777777" w:rsidR="00003D46" w:rsidRDefault="00003D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C17D68" w14:textId="77777777" w:rsidR="00894251" w:rsidRDefault="00003D46">
    <w:pPr>
      <w:pStyle w:val="Footer"/>
      <w:jc w:val="center"/>
    </w:pPr>
    <w:r>
      <w:t xml:space="preserve">Page </w:t>
    </w:r>
    <w:r>
      <w:fldChar w:fldCharType="begin"/>
    </w:r>
    <w:r>
      <w:instrText>PAGE</w:instrText>
    </w:r>
    <w:r>
      <w:fldChar w:fldCharType="separate"/>
    </w:r>
    <w:r w:rsidR="00D3237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9954CB" w14:textId="77777777" w:rsidR="00003D46" w:rsidRDefault="00003D46">
      <w:pPr>
        <w:spacing w:after="0" w:line="240" w:lineRule="auto"/>
      </w:pPr>
      <w:r>
        <w:separator/>
      </w:r>
    </w:p>
  </w:footnote>
  <w:footnote w:type="continuationSeparator" w:id="0">
    <w:p w14:paraId="20995687" w14:textId="77777777" w:rsidR="00003D46" w:rsidRDefault="00003D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357700396">
    <w:abstractNumId w:val="8"/>
  </w:num>
  <w:num w:numId="2" w16cid:durableId="205678668">
    <w:abstractNumId w:val="6"/>
  </w:num>
  <w:num w:numId="3" w16cid:durableId="394548215">
    <w:abstractNumId w:val="5"/>
  </w:num>
  <w:num w:numId="4" w16cid:durableId="635067535">
    <w:abstractNumId w:val="4"/>
  </w:num>
  <w:num w:numId="5" w16cid:durableId="804543956">
    <w:abstractNumId w:val="7"/>
  </w:num>
  <w:num w:numId="6" w16cid:durableId="1342928460">
    <w:abstractNumId w:val="3"/>
  </w:num>
  <w:num w:numId="7" w16cid:durableId="1579748712">
    <w:abstractNumId w:val="2"/>
  </w:num>
  <w:num w:numId="8" w16cid:durableId="685057696">
    <w:abstractNumId w:val="1"/>
  </w:num>
  <w:num w:numId="9" w16cid:durableId="12809151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3D46"/>
    <w:rsid w:val="00034616"/>
    <w:rsid w:val="0006063C"/>
    <w:rsid w:val="0015074B"/>
    <w:rsid w:val="0029639D"/>
    <w:rsid w:val="00326F90"/>
    <w:rsid w:val="00894251"/>
    <w:rsid w:val="00AA1D8D"/>
    <w:rsid w:val="00B47730"/>
    <w:rsid w:val="00C93A33"/>
    <w:rsid w:val="00CB0664"/>
    <w:rsid w:val="00D3237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0285587"/>
  <w14:defaultImageDpi w14:val="300"/>
  <w15:docId w15:val="{A06D6629-CAA3-4C63-87E5-746D3205CC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30"/>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sz w:val="23"/>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6076</Words>
  <Characters>34634</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40629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kanval yousif</cp:lastModifiedBy>
  <cp:revision>2</cp:revision>
  <dcterms:created xsi:type="dcterms:W3CDTF">2026-10-03T09:44:00Z</dcterms:created>
  <dcterms:modified xsi:type="dcterms:W3CDTF">2026-10-03T09:44:00Z</dcterms:modified>
  <cp:category/>
</cp:coreProperties>
</file>