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6F69A7" w14:textId="77777777" w:rsidR="00E035B5" w:rsidRPr="005A14AB" w:rsidRDefault="00E035B5" w:rsidP="00E035B5">
      <w:pPr>
        <w:jc w:val="center"/>
        <w:rPr>
          <w:rFonts w:ascii="Arial" w:hAnsi="Arial" w:cs="Arial"/>
          <w:sz w:val="24"/>
          <w:szCs w:val="24"/>
        </w:rPr>
      </w:pPr>
      <w:r w:rsidRPr="005A14AB">
        <w:rPr>
          <w:rFonts w:ascii="Arial" w:hAnsi="Arial" w:cs="Arial"/>
          <w:sz w:val="24"/>
          <w:szCs w:val="24"/>
        </w:rPr>
        <w:t>AI Cover Sheet</w:t>
      </w:r>
    </w:p>
    <w:p w14:paraId="53350941" w14:textId="77777777" w:rsidR="00E035B5" w:rsidRPr="005A14AB" w:rsidRDefault="00E035B5" w:rsidP="00E035B5">
      <w:pPr>
        <w:jc w:val="center"/>
        <w:rPr>
          <w:rFonts w:ascii="Arial" w:hAnsi="Arial" w:cs="Arial"/>
          <w:sz w:val="24"/>
          <w:szCs w:val="24"/>
        </w:rPr>
      </w:pPr>
    </w:p>
    <w:p w14:paraId="34B0D76F" w14:textId="77777777" w:rsidR="00E035B5" w:rsidRDefault="00E035B5" w:rsidP="00E035B5">
      <w:pPr>
        <w:spacing w:line="360" w:lineRule="auto"/>
        <w:rPr>
          <w:rFonts w:ascii="Arial" w:hAnsi="Arial" w:cs="Arial"/>
          <w:sz w:val="24"/>
          <w:szCs w:val="24"/>
        </w:rPr>
      </w:pPr>
      <w:r w:rsidRPr="005A14AB">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F04A096" w14:textId="77777777" w:rsidR="00E035B5" w:rsidRDefault="00E035B5" w:rsidP="00E035B5">
      <w:pPr>
        <w:spacing w:line="360" w:lineRule="auto"/>
        <w:rPr>
          <w:rFonts w:ascii="Arial" w:hAnsi="Arial" w:cs="Arial"/>
          <w:sz w:val="24"/>
          <w:szCs w:val="24"/>
        </w:rPr>
      </w:pPr>
    </w:p>
    <w:p w14:paraId="413021AB" w14:textId="77777777" w:rsidR="00E035B5" w:rsidRDefault="00E035B5" w:rsidP="00E035B5">
      <w:pPr>
        <w:spacing w:line="360" w:lineRule="auto"/>
        <w:rPr>
          <w:rFonts w:ascii="Arial" w:hAnsi="Arial" w:cs="Arial"/>
          <w:sz w:val="24"/>
          <w:szCs w:val="24"/>
        </w:rPr>
      </w:pPr>
    </w:p>
    <w:p w14:paraId="03DB51F5" w14:textId="77777777" w:rsidR="00E035B5" w:rsidRDefault="00E035B5" w:rsidP="00E035B5">
      <w:pPr>
        <w:spacing w:line="360" w:lineRule="auto"/>
        <w:rPr>
          <w:rFonts w:ascii="Arial" w:hAnsi="Arial" w:cs="Arial"/>
          <w:sz w:val="24"/>
          <w:szCs w:val="24"/>
        </w:rPr>
      </w:pPr>
    </w:p>
    <w:p w14:paraId="3335D6B3" w14:textId="77777777" w:rsidR="00E035B5" w:rsidRDefault="00E035B5" w:rsidP="00E035B5">
      <w:pPr>
        <w:spacing w:line="360" w:lineRule="auto"/>
        <w:rPr>
          <w:rFonts w:ascii="Arial" w:hAnsi="Arial" w:cs="Arial"/>
          <w:sz w:val="24"/>
          <w:szCs w:val="24"/>
        </w:rPr>
      </w:pPr>
    </w:p>
    <w:p w14:paraId="7B14D04C" w14:textId="77777777" w:rsidR="00E035B5" w:rsidRDefault="00E035B5" w:rsidP="00E035B5">
      <w:pPr>
        <w:spacing w:line="360" w:lineRule="auto"/>
        <w:rPr>
          <w:rFonts w:ascii="Arial" w:hAnsi="Arial" w:cs="Arial"/>
          <w:sz w:val="24"/>
          <w:szCs w:val="24"/>
        </w:rPr>
      </w:pPr>
    </w:p>
    <w:p w14:paraId="44842E95" w14:textId="77777777" w:rsidR="00E035B5" w:rsidRDefault="00E035B5" w:rsidP="00E035B5">
      <w:pPr>
        <w:spacing w:line="360" w:lineRule="auto"/>
        <w:rPr>
          <w:rFonts w:ascii="Arial" w:hAnsi="Arial" w:cs="Arial"/>
          <w:sz w:val="24"/>
          <w:szCs w:val="24"/>
        </w:rPr>
      </w:pPr>
    </w:p>
    <w:p w14:paraId="641A8A9E" w14:textId="77777777" w:rsidR="00E035B5" w:rsidRDefault="00E035B5" w:rsidP="00E035B5">
      <w:pPr>
        <w:spacing w:line="360" w:lineRule="auto"/>
        <w:rPr>
          <w:rFonts w:ascii="Arial" w:hAnsi="Arial" w:cs="Arial"/>
          <w:sz w:val="24"/>
          <w:szCs w:val="24"/>
        </w:rPr>
      </w:pPr>
    </w:p>
    <w:p w14:paraId="0B622C39" w14:textId="77777777" w:rsidR="00E035B5" w:rsidRDefault="00E035B5" w:rsidP="00E035B5">
      <w:pPr>
        <w:spacing w:line="360" w:lineRule="auto"/>
        <w:rPr>
          <w:rFonts w:ascii="Arial" w:hAnsi="Arial" w:cs="Arial"/>
          <w:sz w:val="24"/>
          <w:szCs w:val="24"/>
        </w:rPr>
      </w:pPr>
    </w:p>
    <w:p w14:paraId="56B298B4" w14:textId="77777777" w:rsidR="00E035B5" w:rsidRDefault="00E035B5" w:rsidP="00E035B5">
      <w:pPr>
        <w:spacing w:line="360" w:lineRule="auto"/>
        <w:rPr>
          <w:rFonts w:ascii="Arial" w:hAnsi="Arial" w:cs="Arial"/>
          <w:sz w:val="24"/>
          <w:szCs w:val="24"/>
        </w:rPr>
      </w:pPr>
    </w:p>
    <w:p w14:paraId="37CEF6E8" w14:textId="77777777" w:rsidR="00E035B5" w:rsidRDefault="00E035B5" w:rsidP="00E035B5">
      <w:pPr>
        <w:spacing w:line="360" w:lineRule="auto"/>
        <w:rPr>
          <w:rFonts w:ascii="Arial" w:hAnsi="Arial" w:cs="Arial"/>
          <w:sz w:val="24"/>
          <w:szCs w:val="24"/>
        </w:rPr>
      </w:pPr>
    </w:p>
    <w:p w14:paraId="323736B9" w14:textId="77777777" w:rsidR="00E035B5" w:rsidRDefault="00E035B5" w:rsidP="00E035B5">
      <w:pPr>
        <w:spacing w:line="360" w:lineRule="auto"/>
        <w:rPr>
          <w:rFonts w:ascii="Arial" w:hAnsi="Arial" w:cs="Arial"/>
          <w:sz w:val="24"/>
          <w:szCs w:val="24"/>
        </w:rPr>
      </w:pPr>
    </w:p>
    <w:p w14:paraId="7585712E" w14:textId="77777777" w:rsidR="00E035B5" w:rsidRDefault="00E035B5" w:rsidP="00E035B5">
      <w:pPr>
        <w:spacing w:line="360" w:lineRule="auto"/>
        <w:rPr>
          <w:rFonts w:ascii="Arial" w:hAnsi="Arial" w:cs="Arial"/>
          <w:sz w:val="24"/>
          <w:szCs w:val="24"/>
        </w:rPr>
      </w:pPr>
    </w:p>
    <w:p w14:paraId="7C9A252A" w14:textId="77777777" w:rsidR="00E035B5" w:rsidRDefault="00E035B5" w:rsidP="00E035B5">
      <w:pPr>
        <w:spacing w:line="360" w:lineRule="auto"/>
        <w:rPr>
          <w:rFonts w:ascii="Arial" w:hAnsi="Arial" w:cs="Arial"/>
          <w:sz w:val="24"/>
          <w:szCs w:val="24"/>
        </w:rPr>
      </w:pPr>
    </w:p>
    <w:p w14:paraId="0C0AE7A6" w14:textId="77777777" w:rsidR="00E035B5" w:rsidRDefault="00E035B5" w:rsidP="00E035B5">
      <w:pPr>
        <w:spacing w:line="360" w:lineRule="auto"/>
        <w:rPr>
          <w:rFonts w:ascii="Arial" w:hAnsi="Arial" w:cs="Arial"/>
          <w:sz w:val="24"/>
          <w:szCs w:val="24"/>
        </w:rPr>
      </w:pPr>
    </w:p>
    <w:p w14:paraId="66AC2598" w14:textId="77777777" w:rsidR="00E035B5" w:rsidRDefault="00E035B5" w:rsidP="00E035B5">
      <w:pPr>
        <w:spacing w:line="360" w:lineRule="auto"/>
        <w:rPr>
          <w:rFonts w:ascii="Arial" w:hAnsi="Arial" w:cs="Arial"/>
          <w:sz w:val="24"/>
          <w:szCs w:val="24"/>
        </w:rPr>
      </w:pPr>
    </w:p>
    <w:p w14:paraId="10CAF657" w14:textId="77777777" w:rsidR="00E035B5" w:rsidRDefault="00E035B5" w:rsidP="00E035B5">
      <w:pPr>
        <w:spacing w:line="360" w:lineRule="auto"/>
        <w:rPr>
          <w:rFonts w:ascii="Arial" w:hAnsi="Arial" w:cs="Arial"/>
          <w:sz w:val="24"/>
          <w:szCs w:val="24"/>
        </w:rPr>
      </w:pPr>
    </w:p>
    <w:p w14:paraId="5687C544" w14:textId="77777777" w:rsidR="00E035B5" w:rsidRDefault="00E035B5" w:rsidP="00E035B5">
      <w:pPr>
        <w:spacing w:line="360" w:lineRule="auto"/>
        <w:rPr>
          <w:rFonts w:ascii="Arial" w:hAnsi="Arial" w:cs="Arial"/>
          <w:sz w:val="24"/>
          <w:szCs w:val="24"/>
        </w:rPr>
      </w:pPr>
    </w:p>
    <w:p w14:paraId="06C4ACA3" w14:textId="77777777" w:rsidR="00E035B5" w:rsidRDefault="00E035B5" w:rsidP="00E035B5">
      <w:pPr>
        <w:spacing w:line="360" w:lineRule="auto"/>
        <w:rPr>
          <w:rFonts w:ascii="Arial" w:hAnsi="Arial" w:cs="Arial"/>
          <w:sz w:val="24"/>
          <w:szCs w:val="24"/>
        </w:rPr>
      </w:pPr>
    </w:p>
    <w:p w14:paraId="51358AB2" w14:textId="77777777" w:rsidR="00E035B5" w:rsidRDefault="00E035B5" w:rsidP="00E035B5">
      <w:pPr>
        <w:spacing w:line="360" w:lineRule="auto"/>
        <w:rPr>
          <w:rFonts w:ascii="Arial" w:hAnsi="Arial" w:cs="Arial"/>
          <w:sz w:val="24"/>
          <w:szCs w:val="24"/>
        </w:rPr>
      </w:pPr>
    </w:p>
    <w:p w14:paraId="7A339DEA" w14:textId="77777777" w:rsidR="00E035B5" w:rsidRDefault="00E035B5" w:rsidP="00E035B5">
      <w:pPr>
        <w:spacing w:line="360" w:lineRule="auto"/>
        <w:rPr>
          <w:rFonts w:ascii="Arial" w:hAnsi="Arial" w:cs="Arial"/>
          <w:sz w:val="24"/>
          <w:szCs w:val="24"/>
        </w:rPr>
      </w:pPr>
    </w:p>
    <w:p w14:paraId="3F4B44C9" w14:textId="77777777" w:rsidR="00E035B5" w:rsidRDefault="00E035B5" w:rsidP="00E035B5">
      <w:pPr>
        <w:spacing w:line="360" w:lineRule="auto"/>
        <w:jc w:val="center"/>
        <w:rPr>
          <w:rFonts w:ascii="Arial" w:hAnsi="Arial" w:cs="Arial"/>
          <w:sz w:val="24"/>
          <w:szCs w:val="24"/>
        </w:rPr>
      </w:pPr>
      <w:r>
        <w:rPr>
          <w:rFonts w:ascii="Arial" w:hAnsi="Arial" w:cs="Arial"/>
          <w:sz w:val="24"/>
          <w:szCs w:val="24"/>
        </w:rPr>
        <w:lastRenderedPageBreak/>
        <w:t>Cover Sheet</w:t>
      </w:r>
    </w:p>
    <w:p w14:paraId="3DB36387" w14:textId="1E5AA53B" w:rsidR="00E035B5" w:rsidRPr="00AC15A4" w:rsidRDefault="00E035B5" w:rsidP="00AC15A4">
      <w:pPr>
        <w:spacing w:line="360" w:lineRule="auto"/>
        <w:rPr>
          <w:rFonts w:ascii="Arial" w:hAnsi="Arial" w:cs="Arial"/>
          <w:sz w:val="24"/>
          <w:szCs w:val="24"/>
        </w:rPr>
      </w:pPr>
      <w:r>
        <w:rPr>
          <w:rFonts w:ascii="Arial" w:hAnsi="Arial" w:cs="Arial"/>
          <w:sz w:val="24"/>
          <w:szCs w:val="24"/>
        </w:rPr>
        <w:t>Infographic</w:t>
      </w:r>
      <w:r w:rsidR="00D36FEF">
        <w:rPr>
          <w:rFonts w:ascii="Arial" w:hAnsi="Arial" w:cs="Arial"/>
          <w:sz w:val="24"/>
          <w:szCs w:val="24"/>
        </w:rPr>
        <w:t xml:space="preserve">   </w:t>
      </w:r>
      <w:r w:rsidR="00AC15A4">
        <w:rPr>
          <w:rFonts w:ascii="Arial" w:hAnsi="Arial" w:cs="Arial"/>
          <w:sz w:val="24"/>
          <w:szCs w:val="24"/>
        </w:rPr>
        <w:t>P</w:t>
      </w:r>
      <w:r w:rsidR="001D2331">
        <w:rPr>
          <w:rFonts w:ascii="Arial" w:hAnsi="Arial" w:cs="Arial"/>
          <w:sz w:val="24"/>
          <w:szCs w:val="24"/>
        </w:rPr>
        <w:t>a</w:t>
      </w:r>
      <w:r w:rsidR="00AC15A4">
        <w:rPr>
          <w:rFonts w:ascii="Arial" w:hAnsi="Arial" w:cs="Arial"/>
          <w:sz w:val="24"/>
          <w:szCs w:val="24"/>
        </w:rPr>
        <w:t>g</w:t>
      </w:r>
      <w:r w:rsidR="001D2331">
        <w:rPr>
          <w:rFonts w:ascii="Arial" w:hAnsi="Arial" w:cs="Arial"/>
          <w:sz w:val="24"/>
          <w:szCs w:val="24"/>
        </w:rPr>
        <w:t>e</w:t>
      </w:r>
      <w:r w:rsidR="00AC15A4">
        <w:rPr>
          <w:rFonts w:ascii="Arial" w:hAnsi="Arial" w:cs="Arial"/>
          <w:sz w:val="24"/>
          <w:szCs w:val="24"/>
        </w:rPr>
        <w:t xml:space="preserve"> </w:t>
      </w:r>
      <w:r w:rsidR="00AA3B6F">
        <w:rPr>
          <w:rFonts w:ascii="Arial" w:hAnsi="Arial" w:cs="Arial"/>
          <w:sz w:val="24"/>
          <w:szCs w:val="24"/>
        </w:rPr>
        <w:t>3</w:t>
      </w:r>
    </w:p>
    <w:p w14:paraId="4E5EFC6B" w14:textId="07943B28" w:rsidR="00E035B5" w:rsidRDefault="00AC15A4" w:rsidP="00E035B5">
      <w:pPr>
        <w:spacing w:line="360" w:lineRule="auto"/>
        <w:rPr>
          <w:rFonts w:ascii="Arial" w:hAnsi="Arial" w:cs="Arial"/>
          <w:sz w:val="24"/>
          <w:szCs w:val="24"/>
        </w:rPr>
      </w:pPr>
      <w:r w:rsidRPr="00555ADD">
        <w:rPr>
          <w:rFonts w:ascii="Arial" w:hAnsi="Arial" w:cs="Arial"/>
          <w:sz w:val="24"/>
          <w:szCs w:val="24"/>
        </w:rPr>
        <w:t>The Concept of Holistic Child Development</w:t>
      </w:r>
      <w:r w:rsidR="003C3251">
        <w:rPr>
          <w:rFonts w:ascii="Arial" w:hAnsi="Arial" w:cs="Arial"/>
          <w:sz w:val="24"/>
          <w:szCs w:val="24"/>
        </w:rPr>
        <w:t>.</w:t>
      </w:r>
      <w:r>
        <w:rPr>
          <w:rFonts w:ascii="Arial" w:hAnsi="Arial" w:cs="Arial"/>
          <w:sz w:val="24"/>
          <w:szCs w:val="24"/>
        </w:rPr>
        <w:t xml:space="preserve">  P</w:t>
      </w:r>
      <w:r w:rsidR="001D2331">
        <w:rPr>
          <w:rFonts w:ascii="Arial" w:hAnsi="Arial" w:cs="Arial"/>
          <w:sz w:val="24"/>
          <w:szCs w:val="24"/>
        </w:rPr>
        <w:t>a</w:t>
      </w:r>
      <w:r>
        <w:rPr>
          <w:rFonts w:ascii="Arial" w:hAnsi="Arial" w:cs="Arial"/>
          <w:sz w:val="24"/>
          <w:szCs w:val="24"/>
        </w:rPr>
        <w:t>g</w:t>
      </w:r>
      <w:r w:rsidR="001D2331">
        <w:rPr>
          <w:rFonts w:ascii="Arial" w:hAnsi="Arial" w:cs="Arial"/>
          <w:sz w:val="24"/>
          <w:szCs w:val="24"/>
        </w:rPr>
        <w:t>e</w:t>
      </w:r>
      <w:r>
        <w:rPr>
          <w:rFonts w:ascii="Arial" w:hAnsi="Arial" w:cs="Arial"/>
          <w:sz w:val="24"/>
          <w:szCs w:val="24"/>
        </w:rPr>
        <w:t xml:space="preserve"> </w:t>
      </w:r>
      <w:r w:rsidR="00AA3B6F">
        <w:rPr>
          <w:rFonts w:ascii="Arial" w:hAnsi="Arial" w:cs="Arial"/>
          <w:sz w:val="24"/>
          <w:szCs w:val="24"/>
        </w:rPr>
        <w:t>4-7</w:t>
      </w:r>
    </w:p>
    <w:p w14:paraId="3815AE6F" w14:textId="015BA13C" w:rsidR="00E035B5" w:rsidRDefault="003C3251" w:rsidP="00E035B5">
      <w:pPr>
        <w:spacing w:line="360" w:lineRule="auto"/>
        <w:rPr>
          <w:rFonts w:ascii="Arial" w:hAnsi="Arial" w:cs="Arial"/>
          <w:sz w:val="24"/>
          <w:szCs w:val="24"/>
        </w:rPr>
      </w:pPr>
      <w:r w:rsidRPr="003C3251">
        <w:rPr>
          <w:rFonts w:ascii="Arial" w:hAnsi="Arial" w:cs="Arial"/>
          <w:sz w:val="24"/>
          <w:szCs w:val="24"/>
        </w:rPr>
        <w:t>Maslow’s significance in understanding child development</w:t>
      </w:r>
      <w:r>
        <w:rPr>
          <w:rFonts w:ascii="Arial" w:hAnsi="Arial" w:cs="Arial"/>
          <w:sz w:val="24"/>
          <w:szCs w:val="24"/>
        </w:rPr>
        <w:t>. P</w:t>
      </w:r>
      <w:r w:rsidR="001D2331">
        <w:rPr>
          <w:rFonts w:ascii="Arial" w:hAnsi="Arial" w:cs="Arial"/>
          <w:sz w:val="24"/>
          <w:szCs w:val="24"/>
        </w:rPr>
        <w:t>a</w:t>
      </w:r>
      <w:r>
        <w:rPr>
          <w:rFonts w:ascii="Arial" w:hAnsi="Arial" w:cs="Arial"/>
          <w:sz w:val="24"/>
          <w:szCs w:val="24"/>
        </w:rPr>
        <w:t>g</w:t>
      </w:r>
      <w:r w:rsidR="001D2331">
        <w:rPr>
          <w:rFonts w:ascii="Arial" w:hAnsi="Arial" w:cs="Arial"/>
          <w:sz w:val="24"/>
          <w:szCs w:val="24"/>
        </w:rPr>
        <w:t>e</w:t>
      </w:r>
      <w:r>
        <w:rPr>
          <w:rFonts w:ascii="Arial" w:hAnsi="Arial" w:cs="Arial"/>
          <w:sz w:val="24"/>
          <w:szCs w:val="24"/>
        </w:rPr>
        <w:t xml:space="preserve"> </w:t>
      </w:r>
      <w:r w:rsidR="006722C9">
        <w:rPr>
          <w:rFonts w:ascii="Arial" w:hAnsi="Arial" w:cs="Arial"/>
          <w:sz w:val="24"/>
          <w:szCs w:val="24"/>
        </w:rPr>
        <w:t>8-10</w:t>
      </w:r>
    </w:p>
    <w:p w14:paraId="7F76586C" w14:textId="2BBEA47C" w:rsidR="003D32CC" w:rsidRDefault="003D32CC" w:rsidP="00E035B5">
      <w:pPr>
        <w:spacing w:line="360" w:lineRule="auto"/>
        <w:rPr>
          <w:rFonts w:ascii="Arial" w:hAnsi="Arial" w:cs="Arial"/>
          <w:sz w:val="24"/>
          <w:szCs w:val="24"/>
        </w:rPr>
      </w:pPr>
      <w:r>
        <w:rPr>
          <w:rFonts w:ascii="Arial" w:hAnsi="Arial" w:cs="Arial"/>
          <w:sz w:val="24"/>
          <w:szCs w:val="24"/>
        </w:rPr>
        <w:t>Reference list</w:t>
      </w:r>
      <w:r w:rsidR="001D2331">
        <w:rPr>
          <w:rFonts w:ascii="Arial" w:hAnsi="Arial" w:cs="Arial"/>
          <w:sz w:val="24"/>
          <w:szCs w:val="24"/>
        </w:rPr>
        <w:t>.</w:t>
      </w:r>
      <w:r>
        <w:rPr>
          <w:rFonts w:ascii="Arial" w:hAnsi="Arial" w:cs="Arial"/>
          <w:sz w:val="24"/>
          <w:szCs w:val="24"/>
        </w:rPr>
        <w:t xml:space="preserve">  </w:t>
      </w:r>
      <w:r w:rsidR="001D2331">
        <w:rPr>
          <w:rFonts w:ascii="Arial" w:hAnsi="Arial" w:cs="Arial"/>
          <w:sz w:val="24"/>
          <w:szCs w:val="24"/>
        </w:rPr>
        <w:t xml:space="preserve">Page </w:t>
      </w:r>
      <w:r>
        <w:rPr>
          <w:rFonts w:ascii="Arial" w:hAnsi="Arial" w:cs="Arial"/>
          <w:sz w:val="24"/>
          <w:szCs w:val="24"/>
        </w:rPr>
        <w:t>11-15</w:t>
      </w:r>
    </w:p>
    <w:p w14:paraId="4DF381C6" w14:textId="77777777" w:rsidR="00E035B5" w:rsidRDefault="00E035B5" w:rsidP="00E035B5">
      <w:pPr>
        <w:spacing w:line="360" w:lineRule="auto"/>
        <w:rPr>
          <w:rFonts w:ascii="Arial" w:hAnsi="Arial" w:cs="Arial"/>
          <w:sz w:val="24"/>
          <w:szCs w:val="24"/>
        </w:rPr>
      </w:pPr>
    </w:p>
    <w:p w14:paraId="3C8D9938" w14:textId="77777777" w:rsidR="004C486B" w:rsidRDefault="004C486B"/>
    <w:p w14:paraId="5FEAD735" w14:textId="77777777" w:rsidR="00E035B5" w:rsidRDefault="00E035B5"/>
    <w:p w14:paraId="22BE02CC" w14:textId="77777777" w:rsidR="00E035B5" w:rsidRDefault="00E035B5"/>
    <w:p w14:paraId="730ACBEE" w14:textId="77777777" w:rsidR="00E035B5" w:rsidRDefault="00E035B5"/>
    <w:p w14:paraId="71691E8B" w14:textId="77777777" w:rsidR="00E035B5" w:rsidRDefault="00E035B5"/>
    <w:p w14:paraId="01370C04" w14:textId="77777777" w:rsidR="00E035B5" w:rsidRDefault="00E035B5"/>
    <w:p w14:paraId="7583D712" w14:textId="77777777" w:rsidR="00E035B5" w:rsidRDefault="00E035B5"/>
    <w:p w14:paraId="444BE904" w14:textId="77777777" w:rsidR="00E035B5" w:rsidRDefault="00E035B5"/>
    <w:p w14:paraId="7049DFCD" w14:textId="77777777" w:rsidR="00E035B5" w:rsidRDefault="00E035B5"/>
    <w:p w14:paraId="0C718838" w14:textId="77777777" w:rsidR="00E035B5" w:rsidRDefault="00E035B5"/>
    <w:p w14:paraId="2526E64B" w14:textId="77777777" w:rsidR="00E035B5" w:rsidRDefault="00E035B5"/>
    <w:p w14:paraId="02D55734" w14:textId="77777777" w:rsidR="00E035B5" w:rsidRDefault="00E035B5"/>
    <w:p w14:paraId="206FF7A7" w14:textId="77777777" w:rsidR="00E035B5" w:rsidRDefault="00E035B5"/>
    <w:p w14:paraId="7D532AD7" w14:textId="77777777" w:rsidR="00E035B5" w:rsidRDefault="00E035B5"/>
    <w:p w14:paraId="530A329D" w14:textId="77777777" w:rsidR="00E035B5" w:rsidRDefault="00E035B5"/>
    <w:p w14:paraId="6500CB83" w14:textId="77777777" w:rsidR="00E035B5" w:rsidRDefault="00E035B5"/>
    <w:p w14:paraId="22BB47D7" w14:textId="77777777" w:rsidR="00E035B5" w:rsidRDefault="00E035B5"/>
    <w:p w14:paraId="2813F50F" w14:textId="77777777" w:rsidR="00E035B5" w:rsidRDefault="00E035B5"/>
    <w:p w14:paraId="2A5AEBA1" w14:textId="77777777" w:rsidR="00E035B5" w:rsidRDefault="00E035B5"/>
    <w:p w14:paraId="25BD3448" w14:textId="77777777" w:rsidR="00E035B5" w:rsidRDefault="00E035B5"/>
    <w:p w14:paraId="107D23DE" w14:textId="77777777" w:rsidR="00E035B5" w:rsidRDefault="00E035B5"/>
    <w:p w14:paraId="3E2B01A0" w14:textId="77777777" w:rsidR="00E035B5" w:rsidRDefault="00E035B5"/>
    <w:p w14:paraId="3F98AC0E" w14:textId="77777777" w:rsidR="00E035B5" w:rsidRDefault="00E035B5"/>
    <w:p w14:paraId="2103902B" w14:textId="77777777" w:rsidR="00E035B5" w:rsidRDefault="00E035B5"/>
    <w:p w14:paraId="494DE756" w14:textId="77777777" w:rsidR="00E035B5" w:rsidRDefault="00E035B5"/>
    <w:p w14:paraId="2EC2CF99" w14:textId="4687814F" w:rsidR="00E035B5" w:rsidRDefault="00E035B5">
      <w:r>
        <w:rPr>
          <w:noProof/>
        </w:rPr>
        <w:drawing>
          <wp:inline distT="0" distB="0" distL="0" distR="0" wp14:anchorId="577897F4" wp14:editId="6D3AA9C1">
            <wp:extent cx="5731510" cy="4298950"/>
            <wp:effectExtent l="0" t="0" r="2540" b="6350"/>
            <wp:docPr id="3550928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92882"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4298950"/>
                    </a:xfrm>
                    <a:prstGeom prst="rect">
                      <a:avLst/>
                    </a:prstGeom>
                  </pic:spPr>
                </pic:pic>
              </a:graphicData>
            </a:graphic>
          </wp:inline>
        </w:drawing>
      </w:r>
    </w:p>
    <w:p w14:paraId="5B044409" w14:textId="77777777" w:rsidR="00E035B5" w:rsidRDefault="00E035B5"/>
    <w:p w14:paraId="66CE4702" w14:textId="77777777" w:rsidR="00E035B5" w:rsidRDefault="00E035B5"/>
    <w:p w14:paraId="631E1D99" w14:textId="77777777" w:rsidR="00E035B5" w:rsidRDefault="00E035B5"/>
    <w:p w14:paraId="79C4F91B" w14:textId="77777777" w:rsidR="00E035B5" w:rsidRDefault="00E035B5"/>
    <w:p w14:paraId="47CAD318" w14:textId="77777777" w:rsidR="00E035B5" w:rsidRDefault="00E035B5"/>
    <w:p w14:paraId="699E39AA" w14:textId="77777777" w:rsidR="00E035B5" w:rsidRDefault="00E035B5"/>
    <w:p w14:paraId="6DB73B7C" w14:textId="77777777" w:rsidR="00E035B5" w:rsidRDefault="00E035B5"/>
    <w:p w14:paraId="119650FD" w14:textId="77777777" w:rsidR="00E035B5" w:rsidRDefault="00E035B5"/>
    <w:p w14:paraId="79E9C93A" w14:textId="77777777" w:rsidR="00E035B5" w:rsidRDefault="00E035B5"/>
    <w:p w14:paraId="7094AB62" w14:textId="77777777" w:rsidR="00E035B5" w:rsidRDefault="00E035B5"/>
    <w:p w14:paraId="489E4FA7" w14:textId="77777777" w:rsidR="00E035B5" w:rsidRDefault="00E035B5"/>
    <w:p w14:paraId="6F14B920" w14:textId="77777777" w:rsidR="00E035B5" w:rsidRDefault="00E035B5"/>
    <w:p w14:paraId="1E35670F" w14:textId="77777777" w:rsidR="00E035B5" w:rsidRDefault="00E035B5"/>
    <w:p w14:paraId="7658BFA3" w14:textId="77777777" w:rsidR="00E035B5" w:rsidRDefault="00E035B5"/>
    <w:p w14:paraId="77D96783" w14:textId="77777777" w:rsidR="00E035B5" w:rsidRDefault="00E035B5"/>
    <w:p w14:paraId="1E883E36" w14:textId="77777777" w:rsidR="000F16AF" w:rsidRPr="00555ADD" w:rsidRDefault="000F16AF" w:rsidP="000F16AF">
      <w:pPr>
        <w:spacing w:line="360" w:lineRule="auto"/>
        <w:jc w:val="center"/>
        <w:rPr>
          <w:rFonts w:ascii="Arial" w:hAnsi="Arial" w:cs="Arial"/>
          <w:sz w:val="24"/>
          <w:szCs w:val="24"/>
          <w:u w:val="single"/>
        </w:rPr>
      </w:pPr>
      <w:r w:rsidRPr="00555ADD">
        <w:rPr>
          <w:rFonts w:ascii="Arial" w:hAnsi="Arial" w:cs="Arial"/>
          <w:sz w:val="24"/>
          <w:szCs w:val="24"/>
          <w:u w:val="single"/>
        </w:rPr>
        <w:t>The Concept of Holistic Child Development</w:t>
      </w:r>
    </w:p>
    <w:p w14:paraId="6BC76ED6"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Introduction</w:t>
      </w:r>
      <w:r w:rsidRPr="00555ADD">
        <w:rPr>
          <w:rFonts w:ascii="Arial" w:hAnsi="Arial" w:cs="Arial"/>
          <w:sz w:val="24"/>
          <w:szCs w:val="24"/>
        </w:rPr>
        <w:br/>
        <w:t xml:space="preserve">This essay will define the concept of holistic child development and explore three key areas: relationships, safety, and play, and how they contribute to the child’s overall growth, linking them to Maslow’s Hierarchy of Needs. The word 'concept' is defined as </w:t>
      </w:r>
      <w:r w:rsidRPr="00555ADD">
        <w:rPr>
          <w:rFonts w:ascii="Arial" w:hAnsi="Arial" w:cs="Arial"/>
          <w:b/>
          <w:bCs/>
          <w:sz w:val="24"/>
          <w:szCs w:val="24"/>
        </w:rPr>
        <w:t>“an idea, theory, etc. about a particular subject” (Cambridge Dictionary, 2019).</w:t>
      </w:r>
      <w:r w:rsidRPr="00555ADD">
        <w:rPr>
          <w:rFonts w:ascii="Arial" w:hAnsi="Arial" w:cs="Arial"/>
          <w:sz w:val="24"/>
          <w:szCs w:val="24"/>
        </w:rPr>
        <w:t xml:space="preserve"> The concept of holistic development must be understood in the context of early years education and care. According to Lindon and Brodie (2016), children naturally use all areas of development together. For example, when children explore a forest school, they engage in a variety of skills that support their overall development. Physically, they move and explore the environment; socially, they interact with others; emotionally, they build confidence; and cognitively, they solve problems. This combination of skills aids their overall holistic development. David </w:t>
      </w:r>
      <w:r w:rsidRPr="00555ADD">
        <w:rPr>
          <w:rFonts w:ascii="Arial" w:hAnsi="Arial" w:cs="Arial"/>
          <w:i/>
          <w:iCs/>
          <w:sz w:val="24"/>
          <w:szCs w:val="24"/>
        </w:rPr>
        <w:t>et al</w:t>
      </w:r>
      <w:r w:rsidRPr="00555ADD">
        <w:rPr>
          <w:rFonts w:ascii="Arial" w:hAnsi="Arial" w:cs="Arial"/>
          <w:sz w:val="24"/>
          <w:szCs w:val="24"/>
        </w:rPr>
        <w:t>. (2003), cited in Brodie (2018), agree that children’s development is interconnected across all areas, and they develop and learn holistically.</w:t>
      </w:r>
    </w:p>
    <w:p w14:paraId="184C2763"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Relationships</w:t>
      </w:r>
      <w:r w:rsidRPr="00555ADD">
        <w:rPr>
          <w:rFonts w:ascii="Arial" w:hAnsi="Arial" w:cs="Arial"/>
          <w:sz w:val="24"/>
          <w:szCs w:val="24"/>
        </w:rPr>
        <w:br/>
        <w:t>In the concept of holistic development, consideration must be given to how relationships play a key role in a child’s overall growth. According to Bowlby’s (1969) attachment theory, children who receive support and care from their parents by building trust and confidence are better equipped to explore their environment. Bowlby (1969) adds that these early positive relationship experiences develop children’s confidence and resilience, which improves their ability to handle challenges.</w:t>
      </w:r>
    </w:p>
    <w:p w14:paraId="2B3859B8" w14:textId="77777777" w:rsidR="000F16AF" w:rsidRDefault="000F16AF" w:rsidP="000F16AF">
      <w:pPr>
        <w:spacing w:line="360" w:lineRule="auto"/>
        <w:rPr>
          <w:rFonts w:ascii="Arial" w:hAnsi="Arial" w:cs="Arial"/>
          <w:sz w:val="24"/>
          <w:szCs w:val="24"/>
        </w:rPr>
      </w:pPr>
      <w:r w:rsidRPr="00555ADD">
        <w:rPr>
          <w:rFonts w:ascii="Arial" w:hAnsi="Arial" w:cs="Arial"/>
          <w:sz w:val="24"/>
          <w:szCs w:val="24"/>
        </w:rPr>
        <w:t xml:space="preserve">In practice, children are given opportunities to interact through circle time discussions, small group tasks, and access to the role-play area, all of which build on their physical, social, emotional, and cognitive development. Practitioners encourage children to build on their social interaction during playtime, modelling positive interaction such as sharing and encouraging each other through praise, as well as showing empathy when a child is upset and supporting them. Trust and </w:t>
      </w:r>
      <w:r w:rsidRPr="00555ADD">
        <w:rPr>
          <w:rFonts w:ascii="Arial" w:hAnsi="Arial" w:cs="Arial"/>
          <w:sz w:val="24"/>
          <w:szCs w:val="24"/>
        </w:rPr>
        <w:lastRenderedPageBreak/>
        <w:t>confidence are developed through consistent support and positive reinforcement, allowing children to feel confident and secure as they learn.</w:t>
      </w:r>
    </w:p>
    <w:p w14:paraId="746292AC" w14:textId="3E8263B8"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This approach links to Maslow’s Hierarchy of Needs, as safety, belonging, and esteem provide the foundation for social, emotional, and cognitive development, supporting their holistic development to reach self-actualisation—the ability to problem-solve and reach their potential. In contrast, practitioners must understand that negative or inconsistent interaction can negatively impact relationships. According to Weinberg (2012), when an adult does not understand a child’s needs, it disrupts their desire for connection. Undesirable behaviours, such as attention-seeking, may occur when a child is trying to gain attention. This links to Maslow’s Hierarchy of Needs third layer for connection and belonging. Children who do not form positive relationships can become stuck at this stage, as their need for connection is unmet, which can negatively impact their holistic development.</w:t>
      </w:r>
    </w:p>
    <w:p w14:paraId="4B744847"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Safety</w:t>
      </w:r>
      <w:r w:rsidRPr="00555ADD">
        <w:rPr>
          <w:rFonts w:ascii="Arial" w:hAnsi="Arial" w:cs="Arial"/>
          <w:sz w:val="24"/>
          <w:szCs w:val="24"/>
        </w:rPr>
        <w:br/>
        <w:t>In addition to relationships, emphasis must be given to safety within holistic development. According to McMahon and Dyer (2018), practitioners have a duty to safeguard children, and this should be central to their approach. Vain (2023) points out that a safe environment is important for children’s brain development as it supports their social and cognitive skills and keeps them physically and emotionally safe.</w:t>
      </w:r>
    </w:p>
    <w:p w14:paraId="4705A9C1"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In practice, to keep children safe, the environment is secured with gates and lock systems to protect against outside threats. Risk assessments are conducted to identify and reduce potential hazards. Additionally, adult supervision ensures safe interactions amongst children, while safeguarding procedures are in place to identify and report any concerns. Furthermore, predictable routines help a child feel secure, reducing anxiety and promoting positive behaviour.</w:t>
      </w:r>
    </w:p>
    <w:p w14:paraId="3F4E2269"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In contrast, while a secure environment supports a child’s holistic development, the situation may be different in an unsafe environment. According to Weinberg (2012), when a child’s life is unstable due to family issues like conflict or violence, the focus is solely on feeling safe, impacting their holistic development. Rankins (2019) states that Bowlby called this an ‘insecure base,’ which can affect how the brain develops and disrupt new connections in the brain from being formed.</w:t>
      </w:r>
    </w:p>
    <w:p w14:paraId="338AF30F"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lastRenderedPageBreak/>
        <w:t>In practice, supporting the child using a trauma-informed approach means creating a secure base to help build relationships. The Office for Health Improvement and Disparities (2022) states trauma-informed approaches help to reduce the negative effects of traumatic experiences and support both mental and physical health. In Maslow’s first layer of hierarchy, health is a key part of a basic need. By applying the trauma-informed approach, well-being is supported, building a foundation to grow and move forward in other areas that contribute to their holistic development.</w:t>
      </w:r>
    </w:p>
    <w:p w14:paraId="0362FB41"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Play</w:t>
      </w:r>
      <w:r w:rsidRPr="00555ADD">
        <w:rPr>
          <w:rFonts w:ascii="Arial" w:hAnsi="Arial" w:cs="Arial"/>
          <w:sz w:val="24"/>
          <w:szCs w:val="24"/>
        </w:rPr>
        <w:br/>
        <w:t xml:space="preserve">Finally, according to Nijhof </w:t>
      </w:r>
      <w:r w:rsidRPr="00555ADD">
        <w:rPr>
          <w:rFonts w:ascii="Arial" w:hAnsi="Arial" w:cs="Arial"/>
          <w:i/>
          <w:iCs/>
          <w:sz w:val="24"/>
          <w:szCs w:val="24"/>
        </w:rPr>
        <w:t>et al</w:t>
      </w:r>
      <w:r w:rsidRPr="00555ADD">
        <w:rPr>
          <w:rFonts w:ascii="Arial" w:hAnsi="Arial" w:cs="Arial"/>
          <w:sz w:val="24"/>
          <w:szCs w:val="24"/>
        </w:rPr>
        <w:t>. (2018), play is an important part of supporting children’s holistic development and is crucial for their overall healthy growth. “Froebel described play as the highest expression of human development in childhood, for it alone is the free expression of what is in the child’s soul” (Stella and Powell, 2020, p.3). The Welsh Government (2022) adds that play experiences should be engaging, incorporate children’s preferences and interests, and support their holistic development.</w:t>
      </w:r>
    </w:p>
    <w:p w14:paraId="074DA3FD"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In practice, a variety of choices are provided through continuous provision, and children’s play is observed to identify their interests and level of play or play schemas. Play schemas are repetitive actions seen in children’s play, and these actions help support children’s cognitive development (Louis, 2016). Adult observation can aid future planning by identifying gaps to enhance continuous provision to scaffold learning and support holistic development.</w:t>
      </w:r>
    </w:p>
    <w:p w14:paraId="4898DD4D" w14:textId="77777777" w:rsidR="000F16AF" w:rsidRPr="00555ADD" w:rsidRDefault="000F16AF" w:rsidP="000F16AF">
      <w:pPr>
        <w:spacing w:line="360" w:lineRule="auto"/>
        <w:rPr>
          <w:rFonts w:ascii="Arial" w:hAnsi="Arial" w:cs="Arial"/>
          <w:sz w:val="24"/>
          <w:szCs w:val="24"/>
        </w:rPr>
      </w:pPr>
      <w:r w:rsidRPr="00555ADD">
        <w:rPr>
          <w:rFonts w:ascii="Arial" w:hAnsi="Arial" w:cs="Arial"/>
          <w:sz w:val="24"/>
          <w:szCs w:val="24"/>
        </w:rPr>
        <w:t>According to Alghamdi (2024), Vygotsky’s Zone of Proximal Development focuses on helping children build on previous learning, while gradually moving from guided to independent learning. In early years specialist settings, this involvesoffering enough help, such as demonstrations, to bridge a gap and gradually reducing support as children gain confidence and can complete tasks independently. However, while prompting children and bridging gaps can support their holistic development, it is important to consider that not all children will be ready to engage in new ideas.</w:t>
      </w:r>
    </w:p>
    <w:p w14:paraId="62BF3B0C" w14:textId="77777777" w:rsidR="000F16AF" w:rsidRDefault="000F16AF" w:rsidP="000F16AF">
      <w:pPr>
        <w:spacing w:line="360" w:lineRule="auto"/>
        <w:rPr>
          <w:rFonts w:ascii="Arial" w:hAnsi="Arial" w:cs="Arial"/>
          <w:sz w:val="24"/>
          <w:szCs w:val="24"/>
        </w:rPr>
      </w:pPr>
      <w:r w:rsidRPr="00555ADD">
        <w:rPr>
          <w:rFonts w:ascii="Arial" w:hAnsi="Arial" w:cs="Arial"/>
          <w:sz w:val="24"/>
          <w:szCs w:val="24"/>
        </w:rPr>
        <w:t xml:space="preserve">In this context, Maslow’s Hierarchy of Needs must be considered. According to Capes (2024), for children to thrive in their learning, their fundamental needs must be met. In practice, to support children’s holistic development, practitioners ensure children’s basic needs are met, such as providing food, safety, showing empathy, </w:t>
      </w:r>
      <w:r w:rsidRPr="00555ADD">
        <w:rPr>
          <w:rFonts w:ascii="Arial" w:hAnsi="Arial" w:cs="Arial"/>
          <w:sz w:val="24"/>
          <w:szCs w:val="24"/>
        </w:rPr>
        <w:lastRenderedPageBreak/>
        <w:t>praising effort, and creating a nurturing environment where children feel safe and ready to learn, working toward Maslow’s self-actualisation.</w:t>
      </w:r>
    </w:p>
    <w:p w14:paraId="612901A9" w14:textId="66AF00D1" w:rsidR="000F16AF" w:rsidRDefault="000F16AF" w:rsidP="000F16AF">
      <w:pPr>
        <w:spacing w:line="360" w:lineRule="auto"/>
        <w:rPr>
          <w:rFonts w:ascii="Arial" w:hAnsi="Arial" w:cs="Arial"/>
          <w:sz w:val="24"/>
          <w:szCs w:val="24"/>
        </w:rPr>
      </w:pPr>
      <w:r w:rsidRPr="00555ADD">
        <w:rPr>
          <w:rFonts w:ascii="Arial" w:hAnsi="Arial" w:cs="Arial"/>
          <w:sz w:val="24"/>
          <w:szCs w:val="24"/>
        </w:rPr>
        <w:t>Conclusion</w:t>
      </w:r>
      <w:r w:rsidRPr="00555ADD">
        <w:rPr>
          <w:rFonts w:ascii="Arial" w:hAnsi="Arial" w:cs="Arial"/>
          <w:sz w:val="24"/>
          <w:szCs w:val="24"/>
        </w:rPr>
        <w:br/>
        <w:t>To conclude, holistic development requires positive relationships, safety, and play, which are all essential for overall growth. By linking them to Maslow’s Hierarchy of Needs, meeting basic needs gives children the foundation to grow and reach their potential.</w:t>
      </w:r>
    </w:p>
    <w:p w14:paraId="0A5748FD" w14:textId="77777777" w:rsidR="00AE612F" w:rsidRDefault="00AE612F" w:rsidP="000F16AF">
      <w:pPr>
        <w:spacing w:line="360" w:lineRule="auto"/>
        <w:rPr>
          <w:rFonts w:ascii="Arial" w:hAnsi="Arial" w:cs="Arial"/>
          <w:sz w:val="24"/>
          <w:szCs w:val="24"/>
        </w:rPr>
      </w:pPr>
    </w:p>
    <w:p w14:paraId="446B506F" w14:textId="77777777" w:rsidR="00AE612F" w:rsidRDefault="00AE612F" w:rsidP="000F16AF">
      <w:pPr>
        <w:spacing w:line="360" w:lineRule="auto"/>
        <w:rPr>
          <w:rFonts w:ascii="Arial" w:hAnsi="Arial" w:cs="Arial"/>
          <w:sz w:val="24"/>
          <w:szCs w:val="24"/>
        </w:rPr>
      </w:pPr>
    </w:p>
    <w:p w14:paraId="7618C939" w14:textId="77777777" w:rsidR="00AE612F" w:rsidRDefault="00AE612F" w:rsidP="000F16AF">
      <w:pPr>
        <w:spacing w:line="360" w:lineRule="auto"/>
        <w:rPr>
          <w:rFonts w:ascii="Arial" w:hAnsi="Arial" w:cs="Arial"/>
          <w:sz w:val="24"/>
          <w:szCs w:val="24"/>
        </w:rPr>
      </w:pPr>
    </w:p>
    <w:p w14:paraId="1E9C4EF3" w14:textId="77777777" w:rsidR="00AE612F" w:rsidRDefault="00AE612F" w:rsidP="000F16AF">
      <w:pPr>
        <w:spacing w:line="360" w:lineRule="auto"/>
        <w:rPr>
          <w:rFonts w:ascii="Arial" w:hAnsi="Arial" w:cs="Arial"/>
          <w:sz w:val="24"/>
          <w:szCs w:val="24"/>
        </w:rPr>
      </w:pPr>
    </w:p>
    <w:p w14:paraId="68CF0B90" w14:textId="77777777" w:rsidR="00AE612F" w:rsidRDefault="00AE612F" w:rsidP="000F16AF">
      <w:pPr>
        <w:spacing w:line="360" w:lineRule="auto"/>
        <w:rPr>
          <w:rFonts w:ascii="Arial" w:hAnsi="Arial" w:cs="Arial"/>
          <w:sz w:val="24"/>
          <w:szCs w:val="24"/>
        </w:rPr>
      </w:pPr>
    </w:p>
    <w:p w14:paraId="73963DC7" w14:textId="77777777" w:rsidR="00AE612F" w:rsidRDefault="00AE612F" w:rsidP="000F16AF">
      <w:pPr>
        <w:spacing w:line="360" w:lineRule="auto"/>
        <w:rPr>
          <w:rFonts w:ascii="Arial" w:hAnsi="Arial" w:cs="Arial"/>
          <w:sz w:val="24"/>
          <w:szCs w:val="24"/>
        </w:rPr>
      </w:pPr>
    </w:p>
    <w:p w14:paraId="01B121B8" w14:textId="77777777" w:rsidR="00AE612F" w:rsidRDefault="00AE612F" w:rsidP="000F16AF">
      <w:pPr>
        <w:spacing w:line="360" w:lineRule="auto"/>
        <w:rPr>
          <w:rFonts w:ascii="Arial" w:hAnsi="Arial" w:cs="Arial"/>
          <w:sz w:val="24"/>
          <w:szCs w:val="24"/>
        </w:rPr>
      </w:pPr>
    </w:p>
    <w:p w14:paraId="2A60A00B" w14:textId="77777777" w:rsidR="00AE612F" w:rsidRDefault="00AE612F" w:rsidP="000F16AF">
      <w:pPr>
        <w:spacing w:line="360" w:lineRule="auto"/>
        <w:rPr>
          <w:rFonts w:ascii="Arial" w:hAnsi="Arial" w:cs="Arial"/>
          <w:sz w:val="24"/>
          <w:szCs w:val="24"/>
        </w:rPr>
      </w:pPr>
    </w:p>
    <w:p w14:paraId="1184D33D" w14:textId="77777777" w:rsidR="00AE612F" w:rsidRDefault="00AE612F" w:rsidP="000F16AF">
      <w:pPr>
        <w:spacing w:line="360" w:lineRule="auto"/>
        <w:rPr>
          <w:rFonts w:ascii="Arial" w:hAnsi="Arial" w:cs="Arial"/>
          <w:sz w:val="24"/>
          <w:szCs w:val="24"/>
        </w:rPr>
      </w:pPr>
    </w:p>
    <w:p w14:paraId="6D14F023" w14:textId="77777777" w:rsidR="00AE612F" w:rsidRDefault="00AE612F" w:rsidP="000F16AF">
      <w:pPr>
        <w:spacing w:line="360" w:lineRule="auto"/>
        <w:rPr>
          <w:rFonts w:ascii="Arial" w:hAnsi="Arial" w:cs="Arial"/>
          <w:sz w:val="24"/>
          <w:szCs w:val="24"/>
        </w:rPr>
      </w:pPr>
    </w:p>
    <w:p w14:paraId="4CD0CB4B" w14:textId="77777777" w:rsidR="00AE612F" w:rsidRDefault="00AE612F" w:rsidP="000F16AF">
      <w:pPr>
        <w:spacing w:line="360" w:lineRule="auto"/>
        <w:rPr>
          <w:rFonts w:ascii="Arial" w:hAnsi="Arial" w:cs="Arial"/>
          <w:sz w:val="24"/>
          <w:szCs w:val="24"/>
        </w:rPr>
      </w:pPr>
    </w:p>
    <w:p w14:paraId="70EEFCD3" w14:textId="77777777" w:rsidR="00AE612F" w:rsidRDefault="00AE612F" w:rsidP="000F16AF">
      <w:pPr>
        <w:spacing w:line="360" w:lineRule="auto"/>
        <w:rPr>
          <w:rFonts w:ascii="Arial" w:hAnsi="Arial" w:cs="Arial"/>
          <w:sz w:val="24"/>
          <w:szCs w:val="24"/>
        </w:rPr>
      </w:pPr>
    </w:p>
    <w:p w14:paraId="3944D3BF" w14:textId="77777777" w:rsidR="00AE612F" w:rsidRDefault="00AE612F" w:rsidP="000F16AF">
      <w:pPr>
        <w:spacing w:line="360" w:lineRule="auto"/>
        <w:rPr>
          <w:rFonts w:ascii="Arial" w:hAnsi="Arial" w:cs="Arial"/>
          <w:sz w:val="24"/>
          <w:szCs w:val="24"/>
        </w:rPr>
      </w:pPr>
    </w:p>
    <w:p w14:paraId="51A8A860" w14:textId="77777777" w:rsidR="00AE612F" w:rsidRDefault="00AE612F" w:rsidP="000F16AF">
      <w:pPr>
        <w:spacing w:line="360" w:lineRule="auto"/>
        <w:rPr>
          <w:rFonts w:ascii="Arial" w:hAnsi="Arial" w:cs="Arial"/>
          <w:sz w:val="24"/>
          <w:szCs w:val="24"/>
        </w:rPr>
      </w:pPr>
    </w:p>
    <w:p w14:paraId="79D601BA" w14:textId="77777777" w:rsidR="00AE612F" w:rsidRDefault="00AE612F" w:rsidP="000F16AF">
      <w:pPr>
        <w:spacing w:line="360" w:lineRule="auto"/>
        <w:rPr>
          <w:rFonts w:ascii="Arial" w:hAnsi="Arial" w:cs="Arial"/>
          <w:sz w:val="24"/>
          <w:szCs w:val="24"/>
        </w:rPr>
      </w:pPr>
    </w:p>
    <w:p w14:paraId="6D1E54EC" w14:textId="77777777" w:rsidR="00AE612F" w:rsidRDefault="00AE612F" w:rsidP="000F16AF">
      <w:pPr>
        <w:spacing w:line="360" w:lineRule="auto"/>
        <w:rPr>
          <w:rFonts w:ascii="Arial" w:hAnsi="Arial" w:cs="Arial"/>
          <w:sz w:val="24"/>
          <w:szCs w:val="24"/>
        </w:rPr>
      </w:pPr>
    </w:p>
    <w:p w14:paraId="663F27B0" w14:textId="77777777" w:rsidR="00AE612F" w:rsidRDefault="00AE612F" w:rsidP="000F16AF">
      <w:pPr>
        <w:spacing w:line="360" w:lineRule="auto"/>
        <w:rPr>
          <w:rFonts w:ascii="Arial" w:hAnsi="Arial" w:cs="Arial"/>
          <w:sz w:val="24"/>
          <w:szCs w:val="24"/>
        </w:rPr>
      </w:pPr>
    </w:p>
    <w:p w14:paraId="4F8DE66F" w14:textId="77777777" w:rsidR="00AE612F" w:rsidRDefault="00AE612F" w:rsidP="000F16AF">
      <w:pPr>
        <w:spacing w:line="360" w:lineRule="auto"/>
        <w:rPr>
          <w:rFonts w:ascii="Arial" w:hAnsi="Arial" w:cs="Arial"/>
          <w:sz w:val="24"/>
          <w:szCs w:val="24"/>
        </w:rPr>
      </w:pPr>
    </w:p>
    <w:p w14:paraId="2785A926" w14:textId="77777777" w:rsidR="00AE612F" w:rsidRDefault="00AE612F" w:rsidP="000F16AF">
      <w:pPr>
        <w:spacing w:line="360" w:lineRule="auto"/>
        <w:rPr>
          <w:rFonts w:ascii="Arial" w:hAnsi="Arial" w:cs="Arial"/>
          <w:sz w:val="24"/>
          <w:szCs w:val="24"/>
        </w:rPr>
      </w:pPr>
    </w:p>
    <w:p w14:paraId="0A239BEE" w14:textId="77777777" w:rsidR="00AE612F" w:rsidRDefault="00AE612F" w:rsidP="000F16AF">
      <w:pPr>
        <w:spacing w:line="360" w:lineRule="auto"/>
        <w:rPr>
          <w:rFonts w:ascii="Arial" w:hAnsi="Arial" w:cs="Arial"/>
          <w:sz w:val="24"/>
          <w:szCs w:val="24"/>
        </w:rPr>
      </w:pPr>
    </w:p>
    <w:p w14:paraId="1AE7386F" w14:textId="77777777" w:rsidR="00AE612F" w:rsidRDefault="00AE612F" w:rsidP="00AE612F">
      <w:pPr>
        <w:spacing w:line="360" w:lineRule="auto"/>
        <w:jc w:val="center"/>
        <w:rPr>
          <w:rFonts w:ascii="Arial" w:hAnsi="Arial" w:cs="Arial"/>
          <w:sz w:val="24"/>
          <w:szCs w:val="24"/>
          <w:u w:val="single"/>
        </w:rPr>
      </w:pPr>
      <w:r w:rsidRPr="00E50E0E">
        <w:rPr>
          <w:rFonts w:ascii="Arial" w:hAnsi="Arial" w:cs="Arial"/>
          <w:sz w:val="24"/>
          <w:szCs w:val="24"/>
          <w:u w:val="single"/>
        </w:rPr>
        <w:t>Maslow’s significance in understanding child development</w:t>
      </w:r>
    </w:p>
    <w:p w14:paraId="6AB36A62" w14:textId="77777777" w:rsidR="00AE612F" w:rsidRDefault="00AE612F" w:rsidP="00AE612F">
      <w:pPr>
        <w:spacing w:line="360" w:lineRule="auto"/>
        <w:jc w:val="center"/>
        <w:rPr>
          <w:rFonts w:ascii="Arial" w:hAnsi="Arial" w:cs="Arial"/>
          <w:sz w:val="24"/>
          <w:szCs w:val="24"/>
          <w:u w:val="single"/>
        </w:rPr>
      </w:pPr>
    </w:p>
    <w:p w14:paraId="3B8403A6"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The following case studies will explore the significance of Maslow’s Hierarchy of Needs, specifically for children with autism in understanding child development in early years practice. The case studies will focus on meeting basic needs, supporting transitions, and providing alternative communication for non-verbal children. They will explore how these areas link to Maslow’s Hierarchy of Needs and support child development within early years settings.</w:t>
      </w:r>
    </w:p>
    <w:p w14:paraId="528CB8CB"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Case study 1 - Meeting basic needs for a child with autism</w:t>
      </w:r>
    </w:p>
    <w:p w14:paraId="7B9A1424"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Meeting a child’s basic needs is essential as it forms the foundation of Maslow’s first layer of needs, which supports their ability to progress to higher levels and engage in their environment. According to Sprouts (2017), Maslow’s theory points out that the priority is meeting the physiological needs. Once met, focus shifts to the next level. For children with autism, sensory sensitivities can often interfere with meeting these needs effectively. Griffin (2021) states children who are sensitive to sensory input have low tolerance and become easily overwhelmed by food. Child A struggles with mealtimes due to sensory sensitivities and finds food textures and smells overwhelming. This results in behavioural responses, which in turn affect their availability to learn.</w:t>
      </w:r>
    </w:p>
    <w:p w14:paraId="6103A575"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To support Child A, the school developed a personalised plan to ensure basic needs are met. Staff collaborated with parents to provide preferred food that Child A would eat. Child A did not transition to the dinner hall as the smells and environment were overwhelming. Instead, they remained in the classroom in a low-stimulating environment. Additionally, Child A struggled with sleep. Devnani and Hedge (2015) pointed out that sleep difficulties are common among children with ASD. Staff worked with Child A’s family to create a structured bedtime routine, using schedules and calming strategies such as sensory aids and deep-pressure massage to promote better sleep.</w:t>
      </w:r>
    </w:p>
    <w:p w14:paraId="63EF676C"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 xml:space="preserve">By addressing these basic needs, Child A was able to progress to higher levels of Maslow’s Hierarchy of Needs. Child A was feeling safe and secure in routines </w:t>
      </w:r>
      <w:r w:rsidRPr="00AE612F">
        <w:rPr>
          <w:rFonts w:ascii="Arial" w:hAnsi="Arial" w:cs="Arial"/>
          <w:sz w:val="24"/>
          <w:szCs w:val="24"/>
        </w:rPr>
        <w:lastRenderedPageBreak/>
        <w:t>without becoming overwhelmed or entering fight-or-flight mode. This also supported the development of building positive relationships during mealtimes and helped build confidence as well as increased their availability for learning.</w:t>
      </w:r>
    </w:p>
    <w:p w14:paraId="725F85FA" w14:textId="77777777" w:rsidR="00AE612F" w:rsidRPr="00AE612F" w:rsidRDefault="00AE612F" w:rsidP="00AE612F">
      <w:pPr>
        <w:spacing w:line="360" w:lineRule="auto"/>
        <w:rPr>
          <w:rFonts w:ascii="Arial" w:hAnsi="Arial" w:cs="Arial"/>
          <w:sz w:val="24"/>
          <w:szCs w:val="24"/>
          <w:u w:val="single"/>
        </w:rPr>
      </w:pPr>
    </w:p>
    <w:p w14:paraId="55A3CFAA"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Case study 2 - Supporting transitions for a child with autism</w:t>
      </w:r>
    </w:p>
    <w:p w14:paraId="086292BD" w14:textId="1DBD711B"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Transitions within an early </w:t>
      </w:r>
      <w:r w:rsidRPr="00AE612F">
        <w:rPr>
          <w:rFonts w:ascii="Arial" w:hAnsi="Arial" w:cs="Arial"/>
          <w:sz w:val="24"/>
          <w:szCs w:val="24"/>
        </w:rPr>
        <w:t>year’s</w:t>
      </w:r>
      <w:r w:rsidRPr="00AE612F">
        <w:rPr>
          <w:rFonts w:ascii="Arial" w:hAnsi="Arial" w:cs="Arial"/>
          <w:sz w:val="24"/>
          <w:szCs w:val="24"/>
        </w:rPr>
        <w:t> setting can be particularly challenging for children with autism due to difficulties in processing unexpected changes in routine. According to Martinelli (2016), Dr Rosenthal highlights that children with autism find it challenging to transition from one activity to another, particularly when changes are unexpected. Child B experiences anxiety when transitioning from one activity to another or transitioning between physical spaces, such as </w:t>
      </w:r>
      <w:r w:rsidRPr="00AE612F">
        <w:rPr>
          <w:rFonts w:ascii="Arial" w:hAnsi="Arial" w:cs="Arial"/>
          <w:sz w:val="24"/>
          <w:szCs w:val="24"/>
        </w:rPr>
        <w:t>the classroom</w:t>
      </w:r>
      <w:r w:rsidRPr="00AE612F">
        <w:rPr>
          <w:rFonts w:ascii="Arial" w:hAnsi="Arial" w:cs="Arial"/>
          <w:sz w:val="24"/>
          <w:szCs w:val="24"/>
        </w:rPr>
        <w:t> and the hall.</w:t>
      </w:r>
    </w:p>
    <w:p w14:paraId="48A4184E"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Child B’s difficulty lies in understanding the concept of time and anticipating what comes next. Casassus et al. (2019) highlight that difficulties with time perception are common characteristics of autism spectrum conditions. This often leads to Child B feeling anxious, resulting in heightened behaviours.</w:t>
      </w:r>
    </w:p>
    <w:p w14:paraId="5A45324A" w14:textId="20D177BC"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Child B has a combination of strategies to support transitions and reduce stress. Visual aids are implemented to help ensure smooth transitions and anticipate what is coming next. At the end of an activity, a visual sand timer acts as a visual cue to indicate how much time is left, which provides Child B with a clear, predictable countdown, aiding in processing when an activity comes to an end. Once the timer ends, Child B is guided to check their visual schedule, which displays</w:t>
      </w:r>
      <w:r>
        <w:rPr>
          <w:rFonts w:ascii="Arial" w:hAnsi="Arial" w:cs="Arial"/>
          <w:sz w:val="24"/>
          <w:szCs w:val="24"/>
        </w:rPr>
        <w:t xml:space="preserve"> </w:t>
      </w:r>
      <w:r w:rsidRPr="00AE612F">
        <w:rPr>
          <w:rFonts w:ascii="Arial" w:hAnsi="Arial" w:cs="Arial"/>
          <w:sz w:val="24"/>
          <w:szCs w:val="24"/>
        </w:rPr>
        <w:t>pictures for the next transition. This approach offers predictability and reduces anxiety, leading to effective transitions throughout the day.</w:t>
      </w:r>
    </w:p>
    <w:p w14:paraId="2BA72570"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Maslow’s second layer of needs: safety, is met by applying these strategies. Additionally, predictability builds trust in adults and confidence in meeting the third and fourth layers of Maslow’s Hierarchy, which then results in readiness for developing and learning.</w:t>
      </w:r>
    </w:p>
    <w:p w14:paraId="46540A63" w14:textId="77777777" w:rsidR="00AE612F" w:rsidRPr="00AE612F" w:rsidRDefault="00AE612F" w:rsidP="00AE612F">
      <w:pPr>
        <w:spacing w:line="360" w:lineRule="auto"/>
        <w:rPr>
          <w:rFonts w:ascii="Arial" w:hAnsi="Arial" w:cs="Arial"/>
          <w:sz w:val="24"/>
          <w:szCs w:val="24"/>
        </w:rPr>
      </w:pPr>
    </w:p>
    <w:p w14:paraId="211F437F"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Case study 3 - Supporting communication for non-verbal children with autism</w:t>
      </w:r>
    </w:p>
    <w:p w14:paraId="476D1635"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lastRenderedPageBreak/>
        <w:t>Consideration must be given when supporting non-verbal children with autism to communicate effectively to meet their needs and develop their independence. Child C experiences difficulties expressing themselves when requiring a break, being hungry, or needing the toilet. These challenges often result in heightened behaviours such as crying and hitting.</w:t>
      </w:r>
    </w:p>
    <w:p w14:paraId="3EF9DC80"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To address this, staff implemented a range of communication aids around their environment, including Picture Exchange Communication Systems. Bondy and Frost (2017) state that PECS utilises pictures to support communication while also fostering social development. When experiencing overstimulation, Child C uses a ‘break’ symbol to communicate their needs by passing it to a staff member. Staff respond by offering Child C a designated area to self-regulate before returning to activities.</w:t>
      </w:r>
    </w:p>
    <w:p w14:paraId="128CEDE6"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During snack time, Child C uses PECS to request a desired food item, which reduces frustration and ensures their preference is understood. A study conducted by Malhotra et al. (2010) found that using PECS reduced specific behaviours while also increasing levels of independence.</w:t>
      </w:r>
    </w:p>
    <w:p w14:paraId="438F4A66"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Many of Maslow’s Hierarchy of Needs are addressed through this approach. Firstly, physiological needs are met by enabling communication for food, drink, and toileting. Secondly, safety is supported by reducing anxiety and enabling communication for breaks. Thirdly, the need for belonging is met by feeling included and understood by others, developing positive relationships. This in turn builds confidence and esteem, meeting Maslow’s fourth layer and enabling children to progress towards self-actualisation and further development.</w:t>
      </w:r>
    </w:p>
    <w:p w14:paraId="2DE407DD" w14:textId="2A1C77CF" w:rsidR="00AE612F" w:rsidRPr="00AE612F" w:rsidRDefault="00AE612F" w:rsidP="00AE612F">
      <w:pPr>
        <w:spacing w:line="360" w:lineRule="auto"/>
        <w:rPr>
          <w:rFonts w:ascii="Arial" w:hAnsi="Arial" w:cs="Arial"/>
          <w:sz w:val="24"/>
          <w:szCs w:val="24"/>
        </w:rPr>
      </w:pPr>
      <w:r>
        <w:rPr>
          <w:rFonts w:ascii="Arial" w:hAnsi="Arial" w:cs="Arial"/>
          <w:sz w:val="24"/>
          <w:szCs w:val="24"/>
        </w:rPr>
        <w:t>C</w:t>
      </w:r>
      <w:r w:rsidRPr="00AE612F">
        <w:rPr>
          <w:rFonts w:ascii="Arial" w:hAnsi="Arial" w:cs="Arial"/>
          <w:sz w:val="24"/>
          <w:szCs w:val="24"/>
        </w:rPr>
        <w:t>onclusion</w:t>
      </w:r>
    </w:p>
    <w:p w14:paraId="200E7125" w14:textId="77777777" w:rsidR="00AE612F" w:rsidRPr="00AE612F" w:rsidRDefault="00AE612F" w:rsidP="00AE612F">
      <w:pPr>
        <w:spacing w:line="360" w:lineRule="auto"/>
        <w:rPr>
          <w:rFonts w:ascii="Arial" w:hAnsi="Arial" w:cs="Arial"/>
          <w:sz w:val="24"/>
          <w:szCs w:val="24"/>
        </w:rPr>
      </w:pPr>
      <w:r w:rsidRPr="00AE612F">
        <w:rPr>
          <w:rFonts w:ascii="Arial" w:hAnsi="Arial" w:cs="Arial"/>
          <w:sz w:val="24"/>
          <w:szCs w:val="24"/>
        </w:rPr>
        <w:t>These case studies show how Maslow’s Hierarchy of Needs aids practitioners in understanding how to effectively support the development of children with autism. By addressing basic needs, ensuring safe transitions, and building positive relationships through communication, children can develop confidence and increase their readiness to learn.</w:t>
      </w:r>
    </w:p>
    <w:p w14:paraId="625A3D3F" w14:textId="77777777" w:rsidR="00AE612F" w:rsidRPr="00E50E0E" w:rsidRDefault="00AE612F" w:rsidP="00AE612F">
      <w:pPr>
        <w:spacing w:line="360" w:lineRule="auto"/>
        <w:rPr>
          <w:rFonts w:ascii="Arial" w:hAnsi="Arial" w:cs="Arial"/>
          <w:sz w:val="24"/>
          <w:szCs w:val="24"/>
          <w:u w:val="single"/>
        </w:rPr>
      </w:pPr>
    </w:p>
    <w:p w14:paraId="0E3C21A1" w14:textId="77777777" w:rsidR="00AE612F" w:rsidRPr="00555ADD" w:rsidRDefault="00AE612F" w:rsidP="000F16AF">
      <w:pPr>
        <w:spacing w:line="360" w:lineRule="auto"/>
        <w:rPr>
          <w:rFonts w:ascii="Arial" w:hAnsi="Arial" w:cs="Arial"/>
          <w:sz w:val="24"/>
          <w:szCs w:val="24"/>
        </w:rPr>
      </w:pPr>
    </w:p>
    <w:p w14:paraId="3F4FD499" w14:textId="3653B349" w:rsidR="00E035B5" w:rsidRDefault="006B33F5" w:rsidP="006B33F5">
      <w:pPr>
        <w:jc w:val="center"/>
        <w:rPr>
          <w:rFonts w:ascii="Arial" w:hAnsi="Arial" w:cs="Arial"/>
          <w:sz w:val="24"/>
          <w:szCs w:val="24"/>
        </w:rPr>
      </w:pPr>
      <w:r>
        <w:rPr>
          <w:rFonts w:ascii="Arial" w:hAnsi="Arial" w:cs="Arial"/>
          <w:sz w:val="24"/>
          <w:szCs w:val="24"/>
        </w:rPr>
        <w:lastRenderedPageBreak/>
        <w:t>Reference list</w:t>
      </w:r>
    </w:p>
    <w:p w14:paraId="79DBD0A0" w14:textId="77777777" w:rsidR="006B33F5" w:rsidRDefault="006B33F5" w:rsidP="002A5227">
      <w:pPr>
        <w:jc w:val="right"/>
        <w:rPr>
          <w:rFonts w:ascii="Arial" w:hAnsi="Arial" w:cs="Arial"/>
          <w:sz w:val="24"/>
          <w:szCs w:val="24"/>
        </w:rPr>
      </w:pPr>
    </w:p>
    <w:p w14:paraId="1EB53DB5" w14:textId="77777777"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Alghamdy, R.Z. (2024) ‘English Teachers’ Practice of Classroom Discourse in Light of Zone of Proximal Development Theory and Scaffolding Techniques’, </w:t>
      </w:r>
      <w:r w:rsidRPr="0099541A">
        <w:rPr>
          <w:rFonts w:ascii="Arial" w:hAnsi="Arial" w:cs="Arial"/>
          <w:i/>
          <w:iCs/>
          <w:sz w:val="24"/>
          <w:szCs w:val="24"/>
        </w:rPr>
        <w:t>Journal of language teaching and research</w:t>
      </w:r>
      <w:r w:rsidRPr="0099541A">
        <w:rPr>
          <w:rFonts w:ascii="Arial" w:hAnsi="Arial" w:cs="Arial"/>
          <w:sz w:val="24"/>
          <w:szCs w:val="24"/>
        </w:rPr>
        <w:t>, 15(1), pp. 46–54. Available at: https://doi.org/10.17507/jltr.1501.06</w:t>
      </w:r>
    </w:p>
    <w:p w14:paraId="2A0CFB68" w14:textId="77777777" w:rsidR="0099541A" w:rsidRPr="0099541A" w:rsidRDefault="0099541A" w:rsidP="00AB3A3E">
      <w:pPr>
        <w:spacing w:line="360" w:lineRule="auto"/>
        <w:ind w:left="720" w:hanging="720"/>
        <w:rPr>
          <w:rStyle w:val="Hyperlink"/>
          <w:rFonts w:ascii="Arial" w:hAnsi="Arial" w:cs="Arial"/>
          <w:sz w:val="24"/>
          <w:szCs w:val="24"/>
        </w:rPr>
      </w:pPr>
      <w:r w:rsidRPr="0099541A">
        <w:rPr>
          <w:rFonts w:ascii="Arial" w:hAnsi="Arial" w:cs="Arial"/>
          <w:sz w:val="24"/>
          <w:szCs w:val="24"/>
        </w:rPr>
        <w:t>Aziz, M. </w:t>
      </w:r>
      <w:r w:rsidRPr="0099541A">
        <w:rPr>
          <w:rFonts w:ascii="Arial" w:hAnsi="Arial" w:cs="Arial"/>
          <w:i/>
          <w:iCs/>
          <w:sz w:val="24"/>
          <w:szCs w:val="24"/>
        </w:rPr>
        <w:t>et al.</w:t>
      </w:r>
      <w:r w:rsidRPr="0099541A">
        <w:rPr>
          <w:rFonts w:ascii="Arial" w:hAnsi="Arial" w:cs="Arial"/>
          <w:sz w:val="24"/>
          <w:szCs w:val="24"/>
        </w:rPr>
        <w:t> (2021) ‘Influence of Parenting Styles and Peer Attachment on Life Satisfaction Among Adolescents: Mediating Role of Self-Esteem’, </w:t>
      </w:r>
      <w:r w:rsidRPr="0099541A">
        <w:rPr>
          <w:rFonts w:ascii="Arial" w:hAnsi="Arial" w:cs="Arial"/>
          <w:i/>
          <w:iCs/>
          <w:sz w:val="24"/>
          <w:szCs w:val="24"/>
        </w:rPr>
        <w:t>The Family journal (Alexandria, Va.)</w:t>
      </w:r>
      <w:r w:rsidRPr="0099541A">
        <w:rPr>
          <w:rFonts w:ascii="Arial" w:hAnsi="Arial" w:cs="Arial"/>
          <w:sz w:val="24"/>
          <w:szCs w:val="24"/>
        </w:rPr>
        <w:t xml:space="preserve"> [Preprint]. Available at: </w:t>
      </w:r>
      <w:hyperlink r:id="rId8" w:history="1">
        <w:r w:rsidRPr="0099541A">
          <w:rPr>
            <w:rStyle w:val="Hyperlink"/>
            <w:rFonts w:ascii="Arial" w:hAnsi="Arial" w:cs="Arial"/>
            <w:sz w:val="24"/>
            <w:szCs w:val="24"/>
          </w:rPr>
          <w:t>https://doi.org/10.1177/10664807211009807 accessed 07/11/2024</w:t>
        </w:r>
      </w:hyperlink>
    </w:p>
    <w:p w14:paraId="4F159687" w14:textId="6D235BA5"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Bondy, A. and Frost, L. (2017). </w:t>
      </w:r>
      <w:r w:rsidRPr="0099541A">
        <w:rPr>
          <w:rFonts w:ascii="Arial" w:hAnsi="Arial" w:cs="Arial"/>
          <w:i/>
          <w:iCs/>
          <w:sz w:val="24"/>
          <w:szCs w:val="24"/>
        </w:rPr>
        <w:t>Picture Exchange Communication System (PECS)</w:t>
      </w:r>
      <w:r w:rsidRPr="0099541A">
        <w:rPr>
          <w:rFonts w:ascii="Arial" w:hAnsi="Arial" w:cs="Arial"/>
          <w:sz w:val="24"/>
          <w:szCs w:val="24"/>
        </w:rPr>
        <w:t>. Pyramid Educational Consultants UK. Available at: https://pecs-unitedkingdom.com/pecs/ [Accessed 20 Nov. 2024].</w:t>
      </w:r>
    </w:p>
    <w:p w14:paraId="51D5CE85" w14:textId="4DBD2AE4"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Bowlby, J. (1969). Attachment and Loss, Volume I: Attachment. </w:t>
      </w:r>
      <w:r w:rsidRPr="0099541A">
        <w:rPr>
          <w:rFonts w:ascii="Arial" w:hAnsi="Arial" w:cs="Arial"/>
          <w:i/>
          <w:iCs/>
          <w:sz w:val="24"/>
          <w:szCs w:val="24"/>
        </w:rPr>
        <w:t>The British Journal of Sociology</w:t>
      </w:r>
      <w:r w:rsidRPr="0099541A">
        <w:rPr>
          <w:rFonts w:ascii="Arial" w:hAnsi="Arial" w:cs="Arial"/>
          <w:sz w:val="24"/>
          <w:szCs w:val="24"/>
        </w:rPr>
        <w:t>, 21(1). Available at: https://mindsplain.com/wp-content/uploads/2020/08/ATTACHMENT_AND_LOSS_VOLUME_I_ATTACHMENT.pdf [Accessed 13 Nov. 2024].</w:t>
      </w:r>
    </w:p>
    <w:p w14:paraId="1260B6CF" w14:textId="77777777"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Brodie, K (2018), </w:t>
      </w:r>
      <w:r w:rsidRPr="0099541A">
        <w:rPr>
          <w:rFonts w:ascii="Arial" w:hAnsi="Arial" w:cs="Arial"/>
          <w:i/>
          <w:iCs/>
          <w:sz w:val="24"/>
          <w:szCs w:val="24"/>
        </w:rPr>
        <w:t>The Holistic Care and Development of Children from Birth to Three : An Essential Guide for Students and Practitioners</w:t>
      </w:r>
      <w:r w:rsidRPr="0099541A">
        <w:rPr>
          <w:rFonts w:ascii="Arial" w:hAnsi="Arial" w:cs="Arial"/>
          <w:sz w:val="24"/>
          <w:szCs w:val="24"/>
        </w:rPr>
        <w:t>, Taylor &amp; Francis Group, Oxford. Available at: https://ebookcentral.proquest.com/lib/trinity/reader.action?docID=5257704 [ accessed on 12 November 2024].</w:t>
      </w:r>
    </w:p>
    <w:p w14:paraId="2351EBA8" w14:textId="77B3F4A4"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Cambridge Dictionary (2019). </w:t>
      </w:r>
      <w:r w:rsidRPr="0099541A">
        <w:rPr>
          <w:rFonts w:ascii="Arial" w:hAnsi="Arial" w:cs="Arial"/>
          <w:i/>
          <w:iCs/>
          <w:sz w:val="24"/>
          <w:szCs w:val="24"/>
        </w:rPr>
        <w:t>CONCEPT | meaning in the Cambridge English Dictionary</w:t>
      </w:r>
      <w:r w:rsidRPr="0099541A">
        <w:rPr>
          <w:rFonts w:ascii="Arial" w:hAnsi="Arial" w:cs="Arial"/>
          <w:sz w:val="24"/>
          <w:szCs w:val="24"/>
        </w:rPr>
        <w:t>. Available at:</w:t>
      </w:r>
      <w:r w:rsidR="00482FD0">
        <w:rPr>
          <w:rFonts w:ascii="Arial" w:hAnsi="Arial" w:cs="Arial"/>
          <w:sz w:val="24"/>
          <w:szCs w:val="24"/>
        </w:rPr>
        <w:t xml:space="preserve"> </w:t>
      </w:r>
      <w:r w:rsidRPr="0099541A">
        <w:rPr>
          <w:rFonts w:ascii="Arial" w:hAnsi="Arial" w:cs="Arial"/>
          <w:sz w:val="24"/>
          <w:szCs w:val="24"/>
        </w:rPr>
        <w:t>https://dictionary.cambridge.org/dictionary/english/concept [Accessed 12 Nov. 2024].</w:t>
      </w:r>
    </w:p>
    <w:p w14:paraId="18CA5850" w14:textId="4D3BA7F5"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Capes, K. (2024). </w:t>
      </w:r>
      <w:r w:rsidRPr="0099541A">
        <w:rPr>
          <w:rFonts w:ascii="Arial" w:hAnsi="Arial" w:cs="Arial"/>
          <w:i/>
          <w:iCs/>
          <w:sz w:val="24"/>
          <w:szCs w:val="24"/>
        </w:rPr>
        <w:t>Maslow’s Hierarchy of Needs in Education | Brooks and Kirk</w:t>
      </w:r>
      <w:r w:rsidRPr="0099541A">
        <w:rPr>
          <w:rFonts w:ascii="Arial" w:hAnsi="Arial" w:cs="Arial"/>
          <w:sz w:val="24"/>
          <w:szCs w:val="24"/>
        </w:rPr>
        <w:t>. Available at: https://brooksandkirk.co.uk/understanding-maslows-hierarchy-of-needs-in-education/ [Accessed 17 Nov. 2024].</w:t>
      </w:r>
    </w:p>
    <w:p w14:paraId="25AAA518" w14:textId="632CEAE1"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Casassus, M., Poliakoff, E., Gowen, E., Poole, D. and Jones, L.A. (2019). Time perception and autistic spectrum condition: A systematic review. </w:t>
      </w:r>
      <w:r w:rsidRPr="0099541A">
        <w:rPr>
          <w:rFonts w:ascii="Arial" w:hAnsi="Arial" w:cs="Arial"/>
          <w:i/>
          <w:iCs/>
          <w:sz w:val="24"/>
          <w:szCs w:val="24"/>
        </w:rPr>
        <w:t xml:space="preserve">Autism </w:t>
      </w:r>
      <w:r w:rsidRPr="0099541A">
        <w:rPr>
          <w:rFonts w:ascii="Arial" w:hAnsi="Arial" w:cs="Arial"/>
          <w:i/>
          <w:iCs/>
          <w:sz w:val="24"/>
          <w:szCs w:val="24"/>
        </w:rPr>
        <w:lastRenderedPageBreak/>
        <w:t>Research</w:t>
      </w:r>
      <w:r w:rsidRPr="0099541A">
        <w:rPr>
          <w:rFonts w:ascii="Arial" w:hAnsi="Arial" w:cs="Arial"/>
          <w:sz w:val="24"/>
          <w:szCs w:val="24"/>
        </w:rPr>
        <w:t>,</w:t>
      </w:r>
      <w:r w:rsidR="00482FD0">
        <w:rPr>
          <w:rFonts w:ascii="Arial" w:hAnsi="Arial" w:cs="Arial"/>
          <w:sz w:val="24"/>
          <w:szCs w:val="24"/>
        </w:rPr>
        <w:t xml:space="preserve"> </w:t>
      </w:r>
      <w:r w:rsidRPr="0099541A">
        <w:rPr>
          <w:rFonts w:ascii="Arial" w:hAnsi="Arial" w:cs="Arial"/>
          <w:sz w:val="24"/>
          <w:szCs w:val="24"/>
        </w:rPr>
        <w:t>12(10), pp.1440–1462. Available at: https://pmc.ncbi.nlm.nih.gov/articles/PMC6852160/ [Accessed 19 Nov. 2024].</w:t>
      </w:r>
    </w:p>
    <w:p w14:paraId="1E8C4DC2" w14:textId="7BFF8CE5"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Channell, M. (2023). </w:t>
      </w:r>
      <w:r w:rsidRPr="0099541A">
        <w:rPr>
          <w:rFonts w:ascii="Arial" w:hAnsi="Arial" w:cs="Arial"/>
          <w:i/>
          <w:iCs/>
          <w:sz w:val="24"/>
          <w:szCs w:val="24"/>
        </w:rPr>
        <w:t>Maslow’s Hierarchy of Needs: An In-Depth Guide for Leaders and Managers</w:t>
      </w:r>
      <w:r w:rsidRPr="0099541A">
        <w:rPr>
          <w:rFonts w:ascii="Arial" w:hAnsi="Arial" w:cs="Arial"/>
          <w:sz w:val="24"/>
          <w:szCs w:val="24"/>
        </w:rPr>
        <w:t>.</w:t>
      </w:r>
      <w:r w:rsidR="00482FD0">
        <w:rPr>
          <w:rFonts w:ascii="Arial" w:hAnsi="Arial" w:cs="Arial"/>
          <w:sz w:val="24"/>
          <w:szCs w:val="24"/>
        </w:rPr>
        <w:t xml:space="preserve"> </w:t>
      </w:r>
      <w:r w:rsidRPr="0099541A">
        <w:rPr>
          <w:rFonts w:ascii="Arial" w:hAnsi="Arial" w:cs="Arial"/>
          <w:sz w:val="24"/>
          <w:szCs w:val="24"/>
        </w:rPr>
        <w:t>TSW Training. Available at: https://www.tsw.co.uk/blog/leadership-and-management/maslows-hierarchy-of-needs/ [Accessed 5 Nov. 2024].</w:t>
      </w:r>
    </w:p>
    <w:p w14:paraId="078FBC42" w14:textId="4695A7C3"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Cherry, K. (2024). </w:t>
      </w:r>
      <w:r w:rsidRPr="0099541A">
        <w:rPr>
          <w:rFonts w:ascii="Arial" w:hAnsi="Arial" w:cs="Arial"/>
          <w:i/>
          <w:iCs/>
          <w:sz w:val="24"/>
          <w:szCs w:val="24"/>
        </w:rPr>
        <w:t>Maslow’s hierarchy of needs</w:t>
      </w:r>
      <w:r w:rsidRPr="0099541A">
        <w:rPr>
          <w:rFonts w:ascii="Arial" w:hAnsi="Arial" w:cs="Arial"/>
          <w:sz w:val="24"/>
          <w:szCs w:val="24"/>
        </w:rPr>
        <w:t>. Available at: https://www.verywellmind.com/what-is-maslows-hierarchy-of-needs-4136760 [Accessed 6 Nov. 2024].</w:t>
      </w:r>
    </w:p>
    <w:p w14:paraId="3035ECF8" w14:textId="043F5AB7"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Devnani, P.A. and Hegde, A.U. (2015). Autism and sleep disorders. </w:t>
      </w:r>
      <w:r w:rsidRPr="0099541A">
        <w:rPr>
          <w:rFonts w:ascii="Arial" w:hAnsi="Arial" w:cs="Arial"/>
          <w:i/>
          <w:iCs/>
          <w:sz w:val="24"/>
          <w:szCs w:val="24"/>
        </w:rPr>
        <w:t>Journal of Pediatric Neurosciences</w:t>
      </w:r>
      <w:r w:rsidRPr="0099541A">
        <w:rPr>
          <w:rFonts w:ascii="Arial" w:hAnsi="Arial" w:cs="Arial"/>
          <w:sz w:val="24"/>
          <w:szCs w:val="24"/>
        </w:rPr>
        <w:t>, 10(4), p.304. Available at: https://www.ncbi.nlm.nih.gov/pmc/articles/PMC4770638/ [Accessed 19 Nov. 2024].</w:t>
      </w:r>
    </w:p>
    <w:p w14:paraId="1FD0BA64" w14:textId="6C8D4FE8"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Early Years Alliance (2015). </w:t>
      </w:r>
      <w:r w:rsidRPr="0099541A">
        <w:rPr>
          <w:rFonts w:ascii="Arial" w:hAnsi="Arial" w:cs="Arial"/>
          <w:i/>
          <w:iCs/>
          <w:sz w:val="24"/>
          <w:szCs w:val="24"/>
        </w:rPr>
        <w:t>Safeguarding in the early years</w:t>
      </w:r>
      <w:r w:rsidRPr="0099541A">
        <w:rPr>
          <w:rFonts w:ascii="Arial" w:hAnsi="Arial" w:cs="Arial"/>
          <w:sz w:val="24"/>
          <w:szCs w:val="24"/>
        </w:rPr>
        <w:t>. Available at: https://www.eyalliance.org.uk/safeguarding-early-years [Accessed 7 Nov. 2024].</w:t>
      </w:r>
    </w:p>
    <w:p w14:paraId="258B4F11" w14:textId="77777777"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Griffin, K. (2021) </w:t>
      </w:r>
      <w:r w:rsidRPr="0099541A">
        <w:rPr>
          <w:rFonts w:ascii="Arial" w:hAnsi="Arial" w:cs="Arial"/>
          <w:i/>
          <w:iCs/>
          <w:sz w:val="24"/>
          <w:szCs w:val="24"/>
        </w:rPr>
        <w:t>100 Ideas for Primary Teachers : Sensory Processing Differences</w:t>
      </w:r>
      <w:r w:rsidRPr="0099541A">
        <w:rPr>
          <w:rFonts w:ascii="Arial" w:hAnsi="Arial" w:cs="Arial"/>
          <w:sz w:val="24"/>
          <w:szCs w:val="24"/>
        </w:rPr>
        <w:t>. First edition. London, England: Bloomsbury Publishing Plc.</w:t>
      </w:r>
    </w:p>
    <w:p w14:paraId="6C65169D" w14:textId="5D35D590"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Jennie Lindon and Kathy Brodie (2016) </w:t>
      </w:r>
      <w:r w:rsidRPr="0099541A">
        <w:rPr>
          <w:rFonts w:ascii="Arial" w:hAnsi="Arial" w:cs="Arial"/>
          <w:i/>
          <w:iCs/>
          <w:sz w:val="24"/>
          <w:szCs w:val="24"/>
        </w:rPr>
        <w:t>Understanding Child Development 0-8 Years 4th Edition: Linking Theory and Practice</w:t>
      </w:r>
      <w:r w:rsidRPr="0099541A">
        <w:rPr>
          <w:rFonts w:ascii="Arial" w:hAnsi="Arial" w:cs="Arial"/>
          <w:sz w:val="24"/>
          <w:szCs w:val="24"/>
        </w:rPr>
        <w:t xml:space="preserve">. London: Hodder Education Group. Available at: https://research-ebsco-com.ezproxy.uwtsd.ac.uk/linkprocessor/plink?id=183c7c8d-5162-30d1-a1c8-15b2cd7301af (Accessed: 5 November 2024).  </w:t>
      </w:r>
    </w:p>
    <w:p w14:paraId="7D218443" w14:textId="04616603"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Johnston, J., Nahmad-Williams, L., Oates, R. and Wood, V. (2018). </w:t>
      </w:r>
      <w:r w:rsidRPr="0099541A">
        <w:rPr>
          <w:rFonts w:ascii="Arial" w:hAnsi="Arial" w:cs="Arial"/>
          <w:i/>
          <w:iCs/>
          <w:sz w:val="24"/>
          <w:szCs w:val="24"/>
        </w:rPr>
        <w:t>Early Childhood Studies Principles and Practice</w:t>
      </w:r>
      <w:r w:rsidRPr="0099541A">
        <w:rPr>
          <w:rFonts w:ascii="Arial" w:hAnsi="Arial" w:cs="Arial"/>
          <w:sz w:val="24"/>
          <w:szCs w:val="24"/>
        </w:rPr>
        <w:t xml:space="preserve">. 2nd ed. London: Routledge. Available at: https://read.kortext.com/reader/pdf/459803/36 [Accessed 5 Nov. 2024].  </w:t>
      </w:r>
    </w:p>
    <w:p w14:paraId="09DBE8AB" w14:textId="14C0A3B0"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Louis, S. (2016). </w:t>
      </w:r>
      <w:r w:rsidRPr="0099541A">
        <w:rPr>
          <w:rFonts w:ascii="Arial" w:hAnsi="Arial" w:cs="Arial"/>
          <w:i/>
          <w:iCs/>
          <w:sz w:val="24"/>
          <w:szCs w:val="24"/>
        </w:rPr>
        <w:t>The importance of schemas in every child’s learning</w:t>
      </w:r>
      <w:r w:rsidRPr="0099541A">
        <w:rPr>
          <w:rFonts w:ascii="Arial" w:hAnsi="Arial" w:cs="Arial"/>
          <w:sz w:val="24"/>
          <w:szCs w:val="24"/>
        </w:rPr>
        <w:t>. Communityplaythings.co.uk. Available at: https://www.communityplaythings.co.uk/learning-library/articles/schemas-by-stella-</w:t>
      </w:r>
      <w:r w:rsidRPr="0099541A">
        <w:rPr>
          <w:rFonts w:ascii="Arial" w:hAnsi="Arial" w:cs="Arial"/>
          <w:sz w:val="24"/>
          <w:szCs w:val="24"/>
        </w:rPr>
        <w:lastRenderedPageBreak/>
        <w:t>louis?srsltid=AfmBOoo0PWmF4JelAcQ7KMAy2CwY9nLWSM4jg0QPN8uyhqQgLmTEKdHF [Accessed 17 Nov. 2024].</w:t>
      </w:r>
    </w:p>
    <w:p w14:paraId="54799201" w14:textId="37BACFBF"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Louis, S. and Powell, S. (2020). </w:t>
      </w:r>
      <w:r w:rsidRPr="0099541A">
        <w:rPr>
          <w:rFonts w:ascii="Arial" w:hAnsi="Arial" w:cs="Arial"/>
          <w:i/>
          <w:iCs/>
          <w:sz w:val="24"/>
          <w:szCs w:val="24"/>
        </w:rPr>
        <w:t>About Friedrich Froebel, who invented ‘kindergarten’</w:t>
      </w:r>
      <w:r w:rsidRPr="0099541A">
        <w:rPr>
          <w:rFonts w:ascii="Arial" w:hAnsi="Arial" w:cs="Arial"/>
          <w:sz w:val="24"/>
          <w:szCs w:val="24"/>
        </w:rPr>
        <w:t>.</w:t>
      </w:r>
      <w:r w:rsidR="00FE371E">
        <w:rPr>
          <w:rFonts w:ascii="Arial" w:hAnsi="Arial" w:cs="Arial"/>
          <w:sz w:val="24"/>
          <w:szCs w:val="24"/>
        </w:rPr>
        <w:t xml:space="preserve"> </w:t>
      </w:r>
      <w:r w:rsidRPr="0099541A">
        <w:rPr>
          <w:rFonts w:ascii="Arial" w:hAnsi="Arial" w:cs="Arial"/>
          <w:sz w:val="24"/>
          <w:szCs w:val="24"/>
        </w:rPr>
        <w:t>Froebel Trust. Available at: https://www.froebel.org.uk/about-us/the-power-of-play/about-friedrich-froebel [Accessed 17 Nov. 2024].</w:t>
      </w:r>
    </w:p>
    <w:p w14:paraId="56E31ECE" w14:textId="77777777" w:rsidR="0099541A" w:rsidRPr="0099541A" w:rsidRDefault="0099541A" w:rsidP="00AB3A3E">
      <w:pPr>
        <w:spacing w:line="360" w:lineRule="auto"/>
        <w:ind w:left="720" w:hanging="720"/>
        <w:rPr>
          <w:rFonts w:ascii="Arial" w:hAnsi="Arial" w:cs="Arial"/>
          <w:sz w:val="24"/>
          <w:szCs w:val="24"/>
        </w:rPr>
      </w:pPr>
      <w:r w:rsidRPr="00FE371E">
        <w:rPr>
          <w:rFonts w:ascii="Arial" w:hAnsi="Arial" w:cs="Arial"/>
          <w:sz w:val="24"/>
          <w:szCs w:val="24"/>
        </w:rPr>
        <w:t xml:space="preserve">Malhotra, S., Rajender, G., Bhatia, M. and Singh, T. (2010). ‘Effects of picture exchange communication system on communication and behavioral anomalies in autism’, </w:t>
      </w:r>
      <w:r w:rsidRPr="00FE371E">
        <w:rPr>
          <w:rFonts w:ascii="Arial" w:hAnsi="Arial" w:cs="Arial"/>
          <w:i/>
          <w:iCs/>
          <w:sz w:val="24"/>
          <w:szCs w:val="24"/>
        </w:rPr>
        <w:t>Indian Journal of Psychological Medicine</w:t>
      </w:r>
      <w:r w:rsidRPr="00FE371E">
        <w:rPr>
          <w:rFonts w:ascii="Arial" w:hAnsi="Arial" w:cs="Arial"/>
          <w:sz w:val="24"/>
          <w:szCs w:val="24"/>
        </w:rPr>
        <w:t>, 32(2), pp.141-143. Available at: https://pmc.ncbi.nlm.nih.gov/articles/PMC3122547/ [Accessed: 20 November 2024].</w:t>
      </w:r>
    </w:p>
    <w:p w14:paraId="4C6B3660" w14:textId="3844E6DA"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Martinelli, K. (2016). </w:t>
      </w:r>
      <w:r w:rsidRPr="0099541A">
        <w:rPr>
          <w:rFonts w:ascii="Arial" w:hAnsi="Arial" w:cs="Arial"/>
          <w:i/>
          <w:iCs/>
          <w:sz w:val="24"/>
          <w:szCs w:val="24"/>
        </w:rPr>
        <w:t>Why Do Kids Have Trouble With Transitions?</w:t>
      </w:r>
      <w:r w:rsidRPr="0099541A">
        <w:rPr>
          <w:rFonts w:ascii="Arial" w:hAnsi="Arial" w:cs="Arial"/>
          <w:sz w:val="24"/>
          <w:szCs w:val="24"/>
        </w:rPr>
        <w:t xml:space="preserve"> Child Mind Institute. Available at: https://childmind.org/article/why-do-kids-have-trouble-with-transitions/ [Accessed 19 Nov. 2024].</w:t>
      </w:r>
    </w:p>
    <w:p w14:paraId="4811E9A0" w14:textId="3F270E33"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McLeod, S. (2023). </w:t>
      </w:r>
      <w:r w:rsidRPr="0099541A">
        <w:rPr>
          <w:rFonts w:ascii="Arial" w:hAnsi="Arial" w:cs="Arial"/>
          <w:i/>
          <w:iCs/>
          <w:sz w:val="24"/>
          <w:szCs w:val="24"/>
        </w:rPr>
        <w:t>Unconditional Positive Regard In Psychology</w:t>
      </w:r>
      <w:r w:rsidRPr="0099541A">
        <w:rPr>
          <w:rFonts w:ascii="Arial" w:hAnsi="Arial" w:cs="Arial"/>
          <w:sz w:val="24"/>
          <w:szCs w:val="24"/>
        </w:rPr>
        <w:t>. Simply Psychology. Available at: https://www.simplypsychology.org/unconditional-positive-regard.html [Accessed 7 Nov. 2024].</w:t>
      </w:r>
    </w:p>
    <w:p w14:paraId="723C766A" w14:textId="667F5D31"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Mcmahon, S. and Dyer, M. (2018). </w:t>
      </w:r>
      <w:r w:rsidRPr="0099541A">
        <w:rPr>
          <w:rFonts w:ascii="Arial" w:hAnsi="Arial" w:cs="Arial"/>
          <w:i/>
          <w:iCs/>
          <w:sz w:val="24"/>
          <w:szCs w:val="24"/>
        </w:rPr>
        <w:t>Advanced work-based practice in the early years : a guide for students</w:t>
      </w:r>
      <w:r w:rsidRPr="0099541A">
        <w:rPr>
          <w:rFonts w:ascii="Arial" w:hAnsi="Arial" w:cs="Arial"/>
          <w:sz w:val="24"/>
          <w:szCs w:val="24"/>
        </w:rPr>
        <w:t>. 1st ed. Abingdon, Oxon ; New York, Ny: Routledge. Available at: https://read.kortext.com/reader/pdf/472155/80 [Accessed 16 Nov. 2024].</w:t>
      </w:r>
    </w:p>
    <w:p w14:paraId="1497B1CD" w14:textId="02B4A089"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Mundy, P. (2017). </w:t>
      </w:r>
      <w:r w:rsidRPr="0099541A">
        <w:rPr>
          <w:rFonts w:ascii="Arial" w:hAnsi="Arial" w:cs="Arial"/>
          <w:i/>
          <w:iCs/>
          <w:sz w:val="24"/>
          <w:szCs w:val="24"/>
        </w:rPr>
        <w:t>Maslow’s Hierarchy of Needs in children’s development | Community Playthings</w:t>
      </w:r>
      <w:r w:rsidRPr="0099541A">
        <w:rPr>
          <w:rFonts w:ascii="Arial" w:hAnsi="Arial" w:cs="Arial"/>
          <w:sz w:val="24"/>
          <w:szCs w:val="24"/>
        </w:rPr>
        <w:t>.Communityplaythings.co.uk. Available at: https://www.communityplaythings.co.uk/learning-library/articles/living-model?srsltid=AfmBOoqb_MZYdVYmLz4z0QilHYsgOxuQ9CZAwcXpgQRiX8EWPSBFEhDr [Accessed 6 Nov. 2024].  Website</w:t>
      </w:r>
    </w:p>
    <w:p w14:paraId="1A8CD187" w14:textId="1D7B2F01"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Nijhof, S.L. et al. (2018). Healthy play, better coping: The importance of play for the development of children in health and disease. </w:t>
      </w:r>
      <w:r w:rsidRPr="0099541A">
        <w:rPr>
          <w:rFonts w:ascii="Arial" w:hAnsi="Arial" w:cs="Arial"/>
          <w:i/>
          <w:iCs/>
          <w:sz w:val="24"/>
          <w:szCs w:val="24"/>
        </w:rPr>
        <w:t>Neuroscience &amp; Biobehavioral Reviews</w:t>
      </w:r>
      <w:r w:rsidRPr="0099541A">
        <w:rPr>
          <w:rFonts w:ascii="Arial" w:hAnsi="Arial" w:cs="Arial"/>
          <w:sz w:val="24"/>
          <w:szCs w:val="24"/>
        </w:rPr>
        <w:t>, 95(95), pp.421–429. doi:https://doi.org/10.1016/j.neubiorev.2018.09.024.</w:t>
      </w:r>
    </w:p>
    <w:p w14:paraId="274EE988" w14:textId="0C900235" w:rsidR="0099541A" w:rsidRPr="0099541A" w:rsidRDefault="0099541A" w:rsidP="00AB3A3E">
      <w:pPr>
        <w:spacing w:line="360" w:lineRule="auto"/>
        <w:ind w:left="720" w:hanging="720"/>
        <w:rPr>
          <w:rFonts w:ascii="Arial" w:hAnsi="Arial" w:cs="Arial"/>
          <w:sz w:val="24"/>
          <w:szCs w:val="24"/>
        </w:rPr>
      </w:pPr>
    </w:p>
    <w:p w14:paraId="1961D6CF" w14:textId="3F2F87D8"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lastRenderedPageBreak/>
        <w:t xml:space="preserve">Office for Health Improvement &amp; Disparities (2022). </w:t>
      </w:r>
      <w:r w:rsidRPr="0099541A">
        <w:rPr>
          <w:rFonts w:ascii="Arial" w:hAnsi="Arial" w:cs="Arial"/>
          <w:i/>
          <w:iCs/>
          <w:sz w:val="24"/>
          <w:szCs w:val="24"/>
        </w:rPr>
        <w:t>Working definition of trauma-informed practice</w:t>
      </w:r>
      <w:r w:rsidRPr="0099541A">
        <w:rPr>
          <w:rFonts w:ascii="Arial" w:hAnsi="Arial" w:cs="Arial"/>
          <w:sz w:val="24"/>
          <w:szCs w:val="24"/>
        </w:rPr>
        <w:t>. Available at: https://www.gov.uk/government/publications/working-definition-of-trauma-informed-practice/working-definition-of-trauma-informed-practice [Accessed 13 Nov. 2024].</w:t>
      </w:r>
    </w:p>
    <w:p w14:paraId="4995031D" w14:textId="77777777"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Papaleontiou - Louca, E., Esmailnia, S. and Thoma, N. (2023) ‘Spirituality of the developing person according to Maslow’, </w:t>
      </w:r>
      <w:r w:rsidRPr="0099541A">
        <w:rPr>
          <w:rFonts w:ascii="Arial" w:hAnsi="Arial" w:cs="Arial"/>
          <w:i/>
          <w:iCs/>
          <w:sz w:val="24"/>
          <w:szCs w:val="24"/>
        </w:rPr>
        <w:t>New ideas in psychology</w:t>
      </w:r>
      <w:r w:rsidRPr="0099541A">
        <w:rPr>
          <w:rFonts w:ascii="Arial" w:hAnsi="Arial" w:cs="Arial"/>
          <w:sz w:val="24"/>
          <w:szCs w:val="24"/>
        </w:rPr>
        <w:t xml:space="preserve">, 69, pp. 100994-. Available at: </w:t>
      </w:r>
      <w:hyperlink r:id="rId9" w:history="1">
        <w:r w:rsidRPr="0099541A">
          <w:rPr>
            <w:rStyle w:val="Hyperlink"/>
            <w:rFonts w:ascii="Arial" w:hAnsi="Arial" w:cs="Arial"/>
            <w:sz w:val="24"/>
            <w:szCs w:val="24"/>
          </w:rPr>
          <w:t>https://doi.org/10.1016/j.newideapsych.2022.100994</w:t>
        </w:r>
      </w:hyperlink>
      <w:r w:rsidRPr="0099541A">
        <w:rPr>
          <w:rFonts w:ascii="Arial" w:hAnsi="Arial" w:cs="Arial"/>
          <w:sz w:val="24"/>
          <w:szCs w:val="24"/>
        </w:rPr>
        <w:t xml:space="preserve">.  Or available at </w:t>
      </w:r>
      <w:hyperlink r:id="rId10" w:history="1">
        <w:r w:rsidRPr="0099541A">
          <w:rPr>
            <w:rStyle w:val="Hyperlink"/>
            <w:rFonts w:ascii="Arial" w:hAnsi="Arial" w:cs="Arial"/>
            <w:sz w:val="24"/>
            <w:szCs w:val="24"/>
          </w:rPr>
          <w:t>https://www-sciencedirect-com.ezproxy.uwtsd.ac.uk/science/article/pii/S0732118X22000642</w:t>
        </w:r>
      </w:hyperlink>
    </w:p>
    <w:p w14:paraId="74A55B47" w14:textId="25168419"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Perry, C. (2019). </w:t>
      </w:r>
      <w:r w:rsidRPr="0099541A">
        <w:rPr>
          <w:rFonts w:ascii="Arial" w:hAnsi="Arial" w:cs="Arial"/>
          <w:i/>
          <w:iCs/>
          <w:sz w:val="24"/>
          <w:szCs w:val="24"/>
        </w:rPr>
        <w:t>Authoritarian Parenting: The Pros and Cons, According to a Child Psychologist</w:t>
      </w:r>
      <w:r w:rsidRPr="0099541A">
        <w:rPr>
          <w:rFonts w:ascii="Arial" w:hAnsi="Arial" w:cs="Arial"/>
          <w:sz w:val="24"/>
          <w:szCs w:val="24"/>
        </w:rPr>
        <w:t>. Available at: https://www.parents.com/parenting/better-parenting/style/authoritarian-parenting-the-pros-and-cons-according-to-a-child-psychologist/ [Accessed 7 Nov. 2024].</w:t>
      </w:r>
    </w:p>
    <w:p w14:paraId="06ABBAA4" w14:textId="77777777" w:rsidR="0099541A" w:rsidRPr="0099541A" w:rsidRDefault="0099541A" w:rsidP="00AB3A3E">
      <w:pPr>
        <w:spacing w:line="360" w:lineRule="auto"/>
        <w:ind w:left="720" w:hanging="720"/>
        <w:rPr>
          <w:rStyle w:val="Hyperlink"/>
          <w:rFonts w:ascii="Arial" w:hAnsi="Arial" w:cs="Arial"/>
          <w:sz w:val="24"/>
          <w:szCs w:val="24"/>
        </w:rPr>
      </w:pPr>
      <w:r w:rsidRPr="0099541A">
        <w:rPr>
          <w:rFonts w:ascii="Arial" w:hAnsi="Arial" w:cs="Arial"/>
          <w:sz w:val="24"/>
          <w:szCs w:val="24"/>
        </w:rPr>
        <w:t>Pichère, P. and Cadiat, A.-C. (2015) </w:t>
      </w:r>
      <w:r w:rsidRPr="0099541A">
        <w:rPr>
          <w:rFonts w:ascii="Arial" w:hAnsi="Arial" w:cs="Arial"/>
          <w:i/>
          <w:iCs/>
          <w:sz w:val="24"/>
          <w:szCs w:val="24"/>
        </w:rPr>
        <w:t>Maslow’s hierarchy of needs</w:t>
      </w:r>
      <w:r w:rsidRPr="0099541A">
        <w:rPr>
          <w:rFonts w:ascii="Arial" w:hAnsi="Arial" w:cs="Arial"/>
          <w:sz w:val="24"/>
          <w:szCs w:val="24"/>
        </w:rPr>
        <w:t xml:space="preserve">. Translated by C. Probert. Namur: Primento Publishing.   </w:t>
      </w:r>
    </w:p>
    <w:p w14:paraId="0523E532" w14:textId="5F4B412C" w:rsidR="0099541A" w:rsidRPr="00002ABA" w:rsidRDefault="0099541A" w:rsidP="00AB3A3E">
      <w:pPr>
        <w:spacing w:line="360" w:lineRule="auto"/>
        <w:ind w:left="720" w:hanging="720"/>
        <w:rPr>
          <w:rFonts w:ascii="Arial" w:hAnsi="Arial" w:cs="Arial"/>
          <w:color w:val="000000" w:themeColor="text1"/>
          <w:sz w:val="24"/>
          <w:szCs w:val="24"/>
        </w:rPr>
      </w:pPr>
      <w:r w:rsidRPr="00002ABA">
        <w:rPr>
          <w:rFonts w:ascii="Arial" w:hAnsi="Arial" w:cs="Arial"/>
          <w:color w:val="000000" w:themeColor="text1"/>
          <w:sz w:val="24"/>
          <w:szCs w:val="24"/>
        </w:rPr>
        <w:t xml:space="preserve">Rankin, H. (2019). </w:t>
      </w:r>
      <w:r w:rsidRPr="00002ABA">
        <w:rPr>
          <w:rFonts w:ascii="Arial" w:hAnsi="Arial" w:cs="Arial"/>
          <w:i/>
          <w:iCs/>
          <w:color w:val="000000" w:themeColor="text1"/>
          <w:sz w:val="24"/>
          <w:szCs w:val="24"/>
        </w:rPr>
        <w:t>Guide to Re-building Trust with Traumatised Children</w:t>
      </w:r>
      <w:r w:rsidRPr="00002ABA">
        <w:rPr>
          <w:rFonts w:ascii="Arial" w:hAnsi="Arial" w:cs="Arial"/>
          <w:color w:val="000000" w:themeColor="text1"/>
          <w:sz w:val="24"/>
          <w:szCs w:val="24"/>
        </w:rPr>
        <w:t>. 1st ed. Abingdon: Routledge. Available at: https://read.kortext.com/reader/pdf/539498/6 [Accessed 13 Nov. 2024].</w:t>
      </w:r>
    </w:p>
    <w:p w14:paraId="4D1C6ACE" w14:textId="77777777" w:rsidR="0099541A" w:rsidRPr="00002ABA" w:rsidRDefault="0099541A" w:rsidP="00AB3A3E">
      <w:pPr>
        <w:spacing w:line="360" w:lineRule="auto"/>
        <w:ind w:left="720" w:hanging="720"/>
        <w:rPr>
          <w:rFonts w:ascii="Arial" w:hAnsi="Arial" w:cs="Arial"/>
          <w:color w:val="000000" w:themeColor="text1"/>
          <w:sz w:val="24"/>
          <w:szCs w:val="24"/>
        </w:rPr>
      </w:pPr>
      <w:r w:rsidRPr="00002ABA">
        <w:rPr>
          <w:rFonts w:ascii="Arial" w:hAnsi="Arial" w:cs="Arial"/>
          <w:color w:val="000000" w:themeColor="text1"/>
          <w:sz w:val="24"/>
          <w:szCs w:val="24"/>
        </w:rPr>
        <w:t xml:space="preserve">Sprouts (2017). </w:t>
      </w:r>
      <w:r w:rsidRPr="00002ABA">
        <w:rPr>
          <w:rFonts w:ascii="Arial" w:hAnsi="Arial" w:cs="Arial"/>
          <w:i/>
          <w:iCs/>
          <w:color w:val="000000" w:themeColor="text1"/>
          <w:sz w:val="24"/>
          <w:szCs w:val="24"/>
        </w:rPr>
        <w:t>Maslow’s Hierarchy of Needs</w:t>
      </w:r>
      <w:r w:rsidRPr="00002ABA">
        <w:rPr>
          <w:rFonts w:ascii="Arial" w:hAnsi="Arial" w:cs="Arial"/>
          <w:color w:val="000000" w:themeColor="text1"/>
          <w:sz w:val="24"/>
          <w:szCs w:val="24"/>
        </w:rPr>
        <w:t xml:space="preserve">. </w:t>
      </w:r>
      <w:r w:rsidRPr="00002ABA">
        <w:rPr>
          <w:rFonts w:ascii="Arial" w:hAnsi="Arial" w:cs="Arial"/>
          <w:i/>
          <w:iCs/>
          <w:color w:val="000000" w:themeColor="text1"/>
          <w:sz w:val="24"/>
          <w:szCs w:val="24"/>
        </w:rPr>
        <w:t>YouTube</w:t>
      </w:r>
      <w:r w:rsidRPr="00002ABA">
        <w:rPr>
          <w:rFonts w:ascii="Arial" w:hAnsi="Arial" w:cs="Arial"/>
          <w:color w:val="000000" w:themeColor="text1"/>
          <w:sz w:val="24"/>
          <w:szCs w:val="24"/>
        </w:rPr>
        <w:t>. Available at: https://www.youtube.com/watch?v=O-4ithG_07Q [Accessed 19 Nov. 2024].</w:t>
      </w:r>
    </w:p>
    <w:p w14:paraId="69756EE7" w14:textId="13B0FC6A"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Stoyanov, S. (2017). </w:t>
      </w:r>
      <w:r w:rsidRPr="0099541A">
        <w:rPr>
          <w:rFonts w:ascii="Arial" w:hAnsi="Arial" w:cs="Arial"/>
          <w:i/>
          <w:iCs/>
          <w:sz w:val="24"/>
          <w:szCs w:val="24"/>
        </w:rPr>
        <w:t>An analysis of Abraham Maslow’s A theory of human motivation</w:t>
      </w:r>
      <w:r w:rsidRPr="0099541A">
        <w:rPr>
          <w:rFonts w:ascii="Arial" w:hAnsi="Arial" w:cs="Arial"/>
          <w:sz w:val="24"/>
          <w:szCs w:val="24"/>
        </w:rPr>
        <w:t>. London, England: Routledge. Available at: https://ebookcentral.proquest.com/lib/trinity/reader.action?docID=4906588 [Accessed 7 Nov. 2024].</w:t>
      </w:r>
    </w:p>
    <w:p w14:paraId="1C1633A3" w14:textId="18D3E2D0"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Vain, C. (2023). </w:t>
      </w:r>
      <w:r w:rsidRPr="0099541A">
        <w:rPr>
          <w:rFonts w:ascii="Arial" w:hAnsi="Arial" w:cs="Arial"/>
          <w:i/>
          <w:iCs/>
          <w:sz w:val="24"/>
          <w:szCs w:val="24"/>
        </w:rPr>
        <w:t>Safe environments for children | School, home &amp; other places</w:t>
      </w:r>
      <w:r w:rsidRPr="0099541A">
        <w:rPr>
          <w:rFonts w:ascii="Arial" w:hAnsi="Arial" w:cs="Arial"/>
          <w:sz w:val="24"/>
          <w:szCs w:val="24"/>
        </w:rPr>
        <w:t>. CPD Online College. Available at: https://cpdonline.co.uk/knowledge-base/safeguarding/safe-environments-for-children/ [Accessed 16 Nov. 2024].</w:t>
      </w:r>
    </w:p>
    <w:p w14:paraId="1AC7BB19" w14:textId="77777777" w:rsidR="0099541A" w:rsidRPr="0099541A" w:rsidRDefault="0099541A" w:rsidP="00AB3A3E">
      <w:pPr>
        <w:spacing w:line="360" w:lineRule="auto"/>
        <w:ind w:left="720" w:hanging="720"/>
        <w:rPr>
          <w:rFonts w:ascii="Arial" w:hAnsi="Arial" w:cs="Arial"/>
          <w:sz w:val="24"/>
          <w:szCs w:val="24"/>
        </w:rPr>
      </w:pPr>
    </w:p>
    <w:p w14:paraId="7B618179" w14:textId="77777777" w:rsidR="0099541A" w:rsidRPr="0099541A" w:rsidRDefault="0099541A" w:rsidP="00AB3A3E">
      <w:pPr>
        <w:spacing w:line="360" w:lineRule="auto"/>
        <w:ind w:left="720" w:hanging="720"/>
        <w:rPr>
          <w:rFonts w:ascii="Arial" w:hAnsi="Arial" w:cs="Arial"/>
          <w:sz w:val="24"/>
          <w:szCs w:val="24"/>
        </w:rPr>
      </w:pPr>
    </w:p>
    <w:p w14:paraId="66B10587" w14:textId="77777777"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lastRenderedPageBreak/>
        <w:t>WEINBERG, D.R., (2012). Montessori, Maslow, and Self-Actualization. </w:t>
      </w:r>
      <w:r w:rsidRPr="0099541A">
        <w:rPr>
          <w:rFonts w:ascii="Arial" w:hAnsi="Arial" w:cs="Arial"/>
          <w:i/>
          <w:iCs/>
          <w:sz w:val="24"/>
          <w:szCs w:val="24"/>
        </w:rPr>
        <w:t>Montessori Life, </w:t>
      </w:r>
      <w:r w:rsidRPr="0099541A">
        <w:rPr>
          <w:rFonts w:ascii="Arial" w:hAnsi="Arial" w:cs="Arial"/>
          <w:sz w:val="24"/>
          <w:szCs w:val="24"/>
        </w:rPr>
        <w:t xml:space="preserve">23(4), pp. 16-21. </w:t>
      </w:r>
    </w:p>
    <w:p w14:paraId="302DEE93" w14:textId="5D8688D1" w:rsidR="0099541A" w:rsidRPr="0099541A" w:rsidRDefault="0099541A" w:rsidP="00AB3A3E">
      <w:pPr>
        <w:spacing w:line="360" w:lineRule="auto"/>
        <w:ind w:left="720" w:hanging="720"/>
        <w:rPr>
          <w:rFonts w:ascii="Arial" w:hAnsi="Arial" w:cs="Arial"/>
          <w:sz w:val="24"/>
          <w:szCs w:val="24"/>
        </w:rPr>
      </w:pPr>
      <w:r w:rsidRPr="0099541A">
        <w:rPr>
          <w:rFonts w:ascii="Arial" w:hAnsi="Arial" w:cs="Arial"/>
          <w:sz w:val="24"/>
          <w:szCs w:val="24"/>
        </w:rPr>
        <w:t xml:space="preserve">Welsh Government (2022). </w:t>
      </w:r>
      <w:r w:rsidRPr="0099541A">
        <w:rPr>
          <w:rFonts w:ascii="Arial" w:hAnsi="Arial" w:cs="Arial"/>
          <w:i/>
          <w:iCs/>
          <w:sz w:val="24"/>
          <w:szCs w:val="24"/>
        </w:rPr>
        <w:t>A Curriculum for Funded non-maintained Nursery Settings</w:t>
      </w:r>
      <w:r w:rsidRPr="0099541A">
        <w:rPr>
          <w:rFonts w:ascii="Arial" w:hAnsi="Arial" w:cs="Arial"/>
          <w:sz w:val="24"/>
          <w:szCs w:val="24"/>
        </w:rPr>
        <w:t>. Available at: https://hwb.gov.wales/api/storage/b1801d78-38c3-4320-9818-d9996c21aef8/220914-a-curriculum-for-funded-non-maintained-nursery-settings.pdf [Accessed 17 Nov. 2024].</w:t>
      </w:r>
    </w:p>
    <w:p w14:paraId="1B3D8518" w14:textId="77777777" w:rsidR="006B33F5" w:rsidRPr="006B33F5" w:rsidRDefault="006B33F5" w:rsidP="00AB3A3E">
      <w:pPr>
        <w:ind w:left="720" w:hanging="720"/>
        <w:rPr>
          <w:rFonts w:ascii="Arial" w:hAnsi="Arial" w:cs="Arial"/>
          <w:sz w:val="24"/>
          <w:szCs w:val="24"/>
        </w:rPr>
      </w:pPr>
    </w:p>
    <w:sectPr w:rsidR="006B33F5" w:rsidRPr="006B33F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72C7DF" w14:textId="77777777" w:rsidR="00AC206E" w:rsidRDefault="00AC206E" w:rsidP="00412B8D">
      <w:pPr>
        <w:spacing w:after="0" w:line="240" w:lineRule="auto"/>
      </w:pPr>
      <w:r>
        <w:separator/>
      </w:r>
    </w:p>
  </w:endnote>
  <w:endnote w:type="continuationSeparator" w:id="0">
    <w:p w14:paraId="24D25C36" w14:textId="77777777" w:rsidR="00AC206E" w:rsidRDefault="00AC206E" w:rsidP="00412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8F5D28" w14:textId="77777777" w:rsidR="0028235F" w:rsidRDefault="0028235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6C8A54AC" w14:textId="77777777" w:rsidR="00412B8D" w:rsidRDefault="00412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DACC5D" w14:textId="77777777" w:rsidR="00AC206E" w:rsidRDefault="00AC206E" w:rsidP="00412B8D">
      <w:pPr>
        <w:spacing w:after="0" w:line="240" w:lineRule="auto"/>
      </w:pPr>
      <w:r>
        <w:separator/>
      </w:r>
    </w:p>
  </w:footnote>
  <w:footnote w:type="continuationSeparator" w:id="0">
    <w:p w14:paraId="13759B52" w14:textId="77777777" w:rsidR="00AC206E" w:rsidRDefault="00AC206E" w:rsidP="00412B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CB901" w14:textId="255E1D24" w:rsidR="00412B8D" w:rsidRPr="0086061E" w:rsidRDefault="00957261">
    <w:pPr>
      <w:pStyle w:val="Header"/>
      <w:rPr>
        <w:rFonts w:ascii="Arial" w:hAnsi="Arial" w:cs="Arial"/>
        <w:sz w:val="24"/>
        <w:szCs w:val="24"/>
      </w:rPr>
    </w:pPr>
    <w:r w:rsidRPr="0086061E">
      <w:rPr>
        <w:rFonts w:ascii="Arial" w:hAnsi="Arial" w:cs="Arial"/>
        <w:sz w:val="24"/>
        <w:szCs w:val="24"/>
      </w:rPr>
      <w:t>ECEY4001</w:t>
    </w:r>
    <w:r w:rsidRPr="0086061E">
      <w:rPr>
        <w:rFonts w:ascii="Arial" w:hAnsi="Arial" w:cs="Arial"/>
        <w:sz w:val="24"/>
        <w:szCs w:val="24"/>
      </w:rPr>
      <w:t xml:space="preserve"> </w:t>
    </w:r>
    <w:r w:rsidR="00412B8D" w:rsidRPr="0086061E">
      <w:rPr>
        <w:rFonts w:ascii="Arial" w:hAnsi="Arial" w:cs="Arial"/>
        <w:sz w:val="24"/>
        <w:szCs w:val="24"/>
      </w:rPr>
      <w:ptab w:relativeTo="margin" w:alignment="center" w:leader="none"/>
    </w:r>
    <w:r w:rsidR="00E0167B" w:rsidRPr="0086061E">
      <w:rPr>
        <w:rFonts w:ascii="Arial" w:hAnsi="Arial" w:cs="Arial"/>
        <w:sz w:val="24"/>
        <w:szCs w:val="24"/>
      </w:rPr>
      <w:t>2418871</w:t>
    </w:r>
    <w:r w:rsidR="00412B8D" w:rsidRPr="0086061E">
      <w:rPr>
        <w:rFonts w:ascii="Arial" w:hAnsi="Arial" w:cs="Arial"/>
        <w:sz w:val="24"/>
        <w:szCs w:val="24"/>
      </w:rPr>
      <w:ptab w:relativeTo="margin" w:alignment="right" w:leader="none"/>
    </w:r>
    <w:r w:rsidR="00E0167B" w:rsidRPr="0086061E">
      <w:rPr>
        <w:rFonts w:ascii="Arial" w:hAnsi="Arial" w:cs="Arial"/>
        <w:sz w:val="24"/>
        <w:szCs w:val="24"/>
      </w:rPr>
      <w:t>3069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5B5"/>
    <w:rsid w:val="00002ABA"/>
    <w:rsid w:val="000F16AF"/>
    <w:rsid w:val="001D2331"/>
    <w:rsid w:val="0028235F"/>
    <w:rsid w:val="002A5227"/>
    <w:rsid w:val="00324F22"/>
    <w:rsid w:val="003C3251"/>
    <w:rsid w:val="003D32CC"/>
    <w:rsid w:val="00412B8D"/>
    <w:rsid w:val="00482FD0"/>
    <w:rsid w:val="004C486B"/>
    <w:rsid w:val="004D567A"/>
    <w:rsid w:val="005C7889"/>
    <w:rsid w:val="00607391"/>
    <w:rsid w:val="006722C9"/>
    <w:rsid w:val="006B33F5"/>
    <w:rsid w:val="00754BC4"/>
    <w:rsid w:val="00797D33"/>
    <w:rsid w:val="0086061E"/>
    <w:rsid w:val="0086456D"/>
    <w:rsid w:val="008817DB"/>
    <w:rsid w:val="00957261"/>
    <w:rsid w:val="0099541A"/>
    <w:rsid w:val="00A00010"/>
    <w:rsid w:val="00AA3B6F"/>
    <w:rsid w:val="00AB3A3E"/>
    <w:rsid w:val="00AC15A4"/>
    <w:rsid w:val="00AC206E"/>
    <w:rsid w:val="00AE612F"/>
    <w:rsid w:val="00BC792C"/>
    <w:rsid w:val="00C00761"/>
    <w:rsid w:val="00D36FEF"/>
    <w:rsid w:val="00DE6C4F"/>
    <w:rsid w:val="00E0167B"/>
    <w:rsid w:val="00E035B5"/>
    <w:rsid w:val="00E77A4C"/>
    <w:rsid w:val="00F4236C"/>
    <w:rsid w:val="00FE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8A6278"/>
  <w15:chartTrackingRefBased/>
  <w15:docId w15:val="{3DC71A10-870F-48CF-8FA5-9C7454FAB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5B5"/>
  </w:style>
  <w:style w:type="paragraph" w:styleId="Heading1">
    <w:name w:val="heading 1"/>
    <w:basedOn w:val="Normal"/>
    <w:next w:val="Normal"/>
    <w:link w:val="Heading1Char"/>
    <w:uiPriority w:val="9"/>
    <w:qFormat/>
    <w:rsid w:val="00E03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5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5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5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5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5B5"/>
    <w:rPr>
      <w:rFonts w:eastAsiaTheme="majorEastAsia" w:cstheme="majorBidi"/>
      <w:color w:val="272727" w:themeColor="text1" w:themeTint="D8"/>
    </w:rPr>
  </w:style>
  <w:style w:type="paragraph" w:styleId="Title">
    <w:name w:val="Title"/>
    <w:basedOn w:val="Normal"/>
    <w:next w:val="Normal"/>
    <w:link w:val="TitleChar"/>
    <w:uiPriority w:val="10"/>
    <w:qFormat/>
    <w:rsid w:val="00E035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5B5"/>
    <w:pPr>
      <w:spacing w:before="160"/>
      <w:jc w:val="center"/>
    </w:pPr>
    <w:rPr>
      <w:i/>
      <w:iCs/>
      <w:color w:val="404040" w:themeColor="text1" w:themeTint="BF"/>
    </w:rPr>
  </w:style>
  <w:style w:type="character" w:customStyle="1" w:styleId="QuoteChar">
    <w:name w:val="Quote Char"/>
    <w:basedOn w:val="DefaultParagraphFont"/>
    <w:link w:val="Quote"/>
    <w:uiPriority w:val="29"/>
    <w:rsid w:val="00E035B5"/>
    <w:rPr>
      <w:i/>
      <w:iCs/>
      <w:color w:val="404040" w:themeColor="text1" w:themeTint="BF"/>
    </w:rPr>
  </w:style>
  <w:style w:type="paragraph" w:styleId="ListParagraph">
    <w:name w:val="List Paragraph"/>
    <w:basedOn w:val="Normal"/>
    <w:uiPriority w:val="34"/>
    <w:qFormat/>
    <w:rsid w:val="00E035B5"/>
    <w:pPr>
      <w:ind w:left="720"/>
      <w:contextualSpacing/>
    </w:pPr>
  </w:style>
  <w:style w:type="character" w:styleId="IntenseEmphasis">
    <w:name w:val="Intense Emphasis"/>
    <w:basedOn w:val="DefaultParagraphFont"/>
    <w:uiPriority w:val="21"/>
    <w:qFormat/>
    <w:rsid w:val="00E035B5"/>
    <w:rPr>
      <w:i/>
      <w:iCs/>
      <w:color w:val="0F4761" w:themeColor="accent1" w:themeShade="BF"/>
    </w:rPr>
  </w:style>
  <w:style w:type="paragraph" w:styleId="IntenseQuote">
    <w:name w:val="Intense Quote"/>
    <w:basedOn w:val="Normal"/>
    <w:next w:val="Normal"/>
    <w:link w:val="IntenseQuoteChar"/>
    <w:uiPriority w:val="30"/>
    <w:qFormat/>
    <w:rsid w:val="00E03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5B5"/>
    <w:rPr>
      <w:i/>
      <w:iCs/>
      <w:color w:val="0F4761" w:themeColor="accent1" w:themeShade="BF"/>
    </w:rPr>
  </w:style>
  <w:style w:type="character" w:styleId="IntenseReference">
    <w:name w:val="Intense Reference"/>
    <w:basedOn w:val="DefaultParagraphFont"/>
    <w:uiPriority w:val="32"/>
    <w:qFormat/>
    <w:rsid w:val="00E035B5"/>
    <w:rPr>
      <w:b/>
      <w:bCs/>
      <w:smallCaps/>
      <w:color w:val="0F4761" w:themeColor="accent1" w:themeShade="BF"/>
      <w:spacing w:val="5"/>
    </w:rPr>
  </w:style>
  <w:style w:type="character" w:styleId="Hyperlink">
    <w:name w:val="Hyperlink"/>
    <w:basedOn w:val="DefaultParagraphFont"/>
    <w:uiPriority w:val="99"/>
    <w:unhideWhenUsed/>
    <w:rsid w:val="0099541A"/>
    <w:rPr>
      <w:color w:val="467886" w:themeColor="hyperlink"/>
      <w:u w:val="single"/>
    </w:rPr>
  </w:style>
  <w:style w:type="paragraph" w:styleId="Header">
    <w:name w:val="header"/>
    <w:basedOn w:val="Normal"/>
    <w:link w:val="HeaderChar"/>
    <w:uiPriority w:val="99"/>
    <w:unhideWhenUsed/>
    <w:rsid w:val="00412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B8D"/>
  </w:style>
  <w:style w:type="paragraph" w:styleId="Footer">
    <w:name w:val="footer"/>
    <w:basedOn w:val="Normal"/>
    <w:link w:val="FooterChar"/>
    <w:uiPriority w:val="99"/>
    <w:unhideWhenUsed/>
    <w:rsid w:val="00412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913044">
      <w:bodyDiv w:val="1"/>
      <w:marLeft w:val="0"/>
      <w:marRight w:val="0"/>
      <w:marTop w:val="0"/>
      <w:marBottom w:val="0"/>
      <w:divBdr>
        <w:top w:val="none" w:sz="0" w:space="0" w:color="auto"/>
        <w:left w:val="none" w:sz="0" w:space="0" w:color="auto"/>
        <w:bottom w:val="none" w:sz="0" w:space="0" w:color="auto"/>
        <w:right w:val="none" w:sz="0" w:space="0" w:color="auto"/>
      </w:divBdr>
    </w:div>
    <w:div w:id="1001397362">
      <w:bodyDiv w:val="1"/>
      <w:marLeft w:val="0"/>
      <w:marRight w:val="0"/>
      <w:marTop w:val="0"/>
      <w:marBottom w:val="0"/>
      <w:divBdr>
        <w:top w:val="none" w:sz="0" w:space="0" w:color="auto"/>
        <w:left w:val="none" w:sz="0" w:space="0" w:color="auto"/>
        <w:bottom w:val="none" w:sz="0" w:space="0" w:color="auto"/>
        <w:right w:val="none" w:sz="0" w:space="0" w:color="auto"/>
      </w:divBdr>
    </w:div>
    <w:div w:id="1332871799">
      <w:bodyDiv w:val="1"/>
      <w:marLeft w:val="0"/>
      <w:marRight w:val="0"/>
      <w:marTop w:val="0"/>
      <w:marBottom w:val="0"/>
      <w:divBdr>
        <w:top w:val="none" w:sz="0" w:space="0" w:color="auto"/>
        <w:left w:val="none" w:sz="0" w:space="0" w:color="auto"/>
        <w:bottom w:val="none" w:sz="0" w:space="0" w:color="auto"/>
        <w:right w:val="none" w:sz="0" w:space="0" w:color="auto"/>
      </w:divBdr>
    </w:div>
    <w:div w:id="186328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664807211009807%20accessed%2007/11/202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sciencedirect-com.ezproxy.uwtsd.ac.uk/science/article/pii/S0732118X22000642" TargetMode="External"/><Relationship Id="rId4" Type="http://schemas.openxmlformats.org/officeDocument/2006/relationships/footnotes" Target="footnotes.xml"/><Relationship Id="rId9" Type="http://schemas.openxmlformats.org/officeDocument/2006/relationships/hyperlink" Target="https://doi.org/10.1016/j.newideapsych.2022.10099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15</Pages>
  <Words>3271</Words>
  <Characters>18648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32</cp:revision>
  <dcterms:created xsi:type="dcterms:W3CDTF">2024-11-26T18:35:00Z</dcterms:created>
  <dcterms:modified xsi:type="dcterms:W3CDTF">2024-11-26T19:43:00Z</dcterms:modified>
</cp:coreProperties>
</file>