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2344C2" w14:textId="77777777" w:rsidR="004F32DD" w:rsidRDefault="004F32DD" w:rsidP="004F32DD">
      <w:pPr>
        <w:jc w:val="both"/>
        <w:rPr>
          <w:rFonts w:ascii="Arial" w:hAnsi="Arial" w:cs="Arial"/>
        </w:rPr>
      </w:pPr>
    </w:p>
    <w:p w14:paraId="2F0CAE72" w14:textId="77777777" w:rsidR="004F32DD" w:rsidRDefault="004F32DD" w:rsidP="004F32DD">
      <w:pPr>
        <w:jc w:val="both"/>
        <w:rPr>
          <w:rFonts w:ascii="Arial" w:hAnsi="Arial" w:cs="Arial"/>
        </w:rPr>
      </w:pPr>
    </w:p>
    <w:p w14:paraId="061A3D72" w14:textId="77777777" w:rsidR="004F32DD" w:rsidRDefault="004F32DD" w:rsidP="004F32DD">
      <w:pPr>
        <w:jc w:val="both"/>
        <w:rPr>
          <w:rFonts w:ascii="Arial" w:hAnsi="Arial" w:cs="Arial"/>
        </w:rPr>
      </w:pPr>
    </w:p>
    <w:p w14:paraId="0B2BA256" w14:textId="77777777" w:rsidR="004F32DD" w:rsidRDefault="004F32DD" w:rsidP="004F32DD">
      <w:pPr>
        <w:jc w:val="both"/>
        <w:rPr>
          <w:rFonts w:ascii="Arial" w:hAnsi="Arial" w:cs="Arial"/>
        </w:rPr>
      </w:pPr>
    </w:p>
    <w:p w14:paraId="175AEE20" w14:textId="77777777" w:rsidR="004F32DD" w:rsidRDefault="004F32DD" w:rsidP="004F32DD">
      <w:pPr>
        <w:jc w:val="both"/>
        <w:rPr>
          <w:rFonts w:ascii="Arial" w:hAnsi="Arial" w:cs="Arial"/>
        </w:rPr>
      </w:pPr>
    </w:p>
    <w:p w14:paraId="14DC270D" w14:textId="77777777" w:rsidR="004F32DD" w:rsidRDefault="004F32DD" w:rsidP="004F32DD">
      <w:pPr>
        <w:jc w:val="both"/>
        <w:rPr>
          <w:rFonts w:ascii="Arial" w:hAnsi="Arial" w:cs="Arial"/>
        </w:rPr>
      </w:pPr>
    </w:p>
    <w:p w14:paraId="1D96AFE0" w14:textId="77777777" w:rsidR="004F32DD" w:rsidRDefault="004F32DD" w:rsidP="004F32DD">
      <w:pPr>
        <w:jc w:val="both"/>
        <w:rPr>
          <w:rFonts w:ascii="Arial" w:hAnsi="Arial" w:cs="Arial"/>
        </w:rPr>
      </w:pPr>
    </w:p>
    <w:p w14:paraId="678D75B9" w14:textId="77777777" w:rsidR="004F32DD" w:rsidRDefault="004F32DD" w:rsidP="004F32DD">
      <w:pPr>
        <w:jc w:val="both"/>
        <w:rPr>
          <w:rFonts w:ascii="Arial" w:hAnsi="Arial" w:cs="Arial"/>
        </w:rPr>
      </w:pPr>
    </w:p>
    <w:p w14:paraId="0AAD7864" w14:textId="5AC91147" w:rsidR="004F32DD" w:rsidRDefault="004F32DD" w:rsidP="004F32DD">
      <w:pPr>
        <w:jc w:val="center"/>
        <w:rPr>
          <w:rFonts w:ascii="Arial" w:hAnsi="Arial" w:cs="Arial"/>
        </w:rPr>
      </w:pPr>
      <w:r>
        <w:rPr>
          <w:rFonts w:ascii="Arial" w:hAnsi="Arial" w:cs="Arial"/>
        </w:rPr>
        <w:t>Mariana Angelica Gemes</w:t>
      </w:r>
    </w:p>
    <w:p w14:paraId="2B2B4F2D" w14:textId="2EE32B7C" w:rsidR="004F32DD" w:rsidRDefault="004F32DD" w:rsidP="004F32DD">
      <w:pPr>
        <w:jc w:val="center"/>
        <w:rPr>
          <w:rFonts w:ascii="Arial" w:hAnsi="Arial" w:cs="Arial"/>
        </w:rPr>
      </w:pPr>
      <w:r>
        <w:rPr>
          <w:rFonts w:ascii="Arial" w:hAnsi="Arial" w:cs="Arial"/>
        </w:rPr>
        <w:t>1920089</w:t>
      </w:r>
    </w:p>
    <w:p w14:paraId="5C07F289" w14:textId="1427B162" w:rsidR="004F32DD" w:rsidRDefault="004F32DD" w:rsidP="004F32DD">
      <w:pPr>
        <w:jc w:val="center"/>
        <w:rPr>
          <w:rFonts w:ascii="Arial" w:hAnsi="Arial" w:cs="Arial"/>
        </w:rPr>
      </w:pPr>
      <w:r>
        <w:rPr>
          <w:rFonts w:ascii="Arial" w:hAnsi="Arial" w:cs="Arial"/>
        </w:rPr>
        <w:t>BHMP</w:t>
      </w:r>
      <w:r w:rsidR="005B5535">
        <w:rPr>
          <w:rFonts w:ascii="Arial" w:hAnsi="Arial" w:cs="Arial"/>
        </w:rPr>
        <w:t xml:space="preserve"> 6009</w:t>
      </w:r>
    </w:p>
    <w:p w14:paraId="51CCC26F" w14:textId="0F1FBDE8" w:rsidR="005B5535" w:rsidRDefault="005B5535" w:rsidP="004F32DD">
      <w:pPr>
        <w:jc w:val="center"/>
        <w:rPr>
          <w:rFonts w:ascii="Arial" w:hAnsi="Arial" w:cs="Arial"/>
        </w:rPr>
      </w:pPr>
      <w:r>
        <w:rPr>
          <w:rFonts w:ascii="Arial" w:hAnsi="Arial" w:cs="Arial"/>
        </w:rPr>
        <w:t xml:space="preserve">Task 2 </w:t>
      </w:r>
    </w:p>
    <w:p w14:paraId="4FC51943" w14:textId="0A0952EA" w:rsidR="005B5535" w:rsidRDefault="005B5535" w:rsidP="004F32DD">
      <w:pPr>
        <w:jc w:val="center"/>
        <w:rPr>
          <w:rFonts w:ascii="Arial" w:hAnsi="Arial" w:cs="Arial"/>
        </w:rPr>
      </w:pPr>
      <w:r>
        <w:rPr>
          <w:rFonts w:ascii="Arial" w:hAnsi="Arial" w:cs="Arial"/>
        </w:rPr>
        <w:t>Joanne Davies</w:t>
      </w:r>
    </w:p>
    <w:p w14:paraId="0E49E121" w14:textId="77777777" w:rsidR="004F32DD" w:rsidRDefault="004F32DD" w:rsidP="004F32DD">
      <w:pPr>
        <w:jc w:val="both"/>
        <w:rPr>
          <w:rFonts w:ascii="Arial" w:hAnsi="Arial" w:cs="Arial"/>
        </w:rPr>
      </w:pPr>
    </w:p>
    <w:p w14:paraId="31917BFD" w14:textId="77777777" w:rsidR="004F32DD" w:rsidRDefault="004F32DD" w:rsidP="004F32DD">
      <w:pPr>
        <w:jc w:val="both"/>
        <w:rPr>
          <w:rFonts w:ascii="Arial" w:hAnsi="Arial" w:cs="Arial"/>
        </w:rPr>
      </w:pPr>
    </w:p>
    <w:p w14:paraId="1D0B07A2" w14:textId="77777777" w:rsidR="004F32DD" w:rsidRDefault="004F32DD" w:rsidP="004F32DD">
      <w:pPr>
        <w:jc w:val="both"/>
        <w:rPr>
          <w:rFonts w:ascii="Arial" w:hAnsi="Arial" w:cs="Arial"/>
        </w:rPr>
      </w:pPr>
    </w:p>
    <w:p w14:paraId="204C6F9F" w14:textId="77777777" w:rsidR="004F32DD" w:rsidRDefault="004F32DD" w:rsidP="004F32DD">
      <w:pPr>
        <w:jc w:val="both"/>
        <w:rPr>
          <w:rFonts w:ascii="Arial" w:hAnsi="Arial" w:cs="Arial"/>
        </w:rPr>
      </w:pPr>
    </w:p>
    <w:p w14:paraId="7E94A53E" w14:textId="77777777" w:rsidR="004F32DD" w:rsidRDefault="004F32DD" w:rsidP="004F32DD">
      <w:pPr>
        <w:jc w:val="both"/>
        <w:rPr>
          <w:rFonts w:ascii="Arial" w:hAnsi="Arial" w:cs="Arial"/>
        </w:rPr>
      </w:pPr>
    </w:p>
    <w:p w14:paraId="7BD86AEB" w14:textId="77777777" w:rsidR="004F32DD" w:rsidRDefault="004F32DD" w:rsidP="004F32DD">
      <w:pPr>
        <w:jc w:val="both"/>
        <w:rPr>
          <w:rFonts w:ascii="Arial" w:hAnsi="Arial" w:cs="Arial"/>
        </w:rPr>
      </w:pPr>
    </w:p>
    <w:p w14:paraId="3CDE6F7F" w14:textId="77777777" w:rsidR="004F32DD" w:rsidRDefault="004F32DD" w:rsidP="004F32DD">
      <w:pPr>
        <w:jc w:val="both"/>
        <w:rPr>
          <w:rFonts w:ascii="Arial" w:hAnsi="Arial" w:cs="Arial"/>
        </w:rPr>
      </w:pPr>
    </w:p>
    <w:p w14:paraId="05BF413F" w14:textId="77777777" w:rsidR="004F32DD" w:rsidRDefault="004F32DD" w:rsidP="004F32DD">
      <w:pPr>
        <w:jc w:val="both"/>
        <w:rPr>
          <w:rFonts w:ascii="Arial" w:hAnsi="Arial" w:cs="Arial"/>
        </w:rPr>
      </w:pPr>
    </w:p>
    <w:p w14:paraId="6E96D61F" w14:textId="77777777" w:rsidR="004F32DD" w:rsidRDefault="004F32DD" w:rsidP="004F32DD">
      <w:pPr>
        <w:jc w:val="both"/>
        <w:rPr>
          <w:rFonts w:ascii="Arial" w:hAnsi="Arial" w:cs="Arial"/>
        </w:rPr>
      </w:pPr>
    </w:p>
    <w:p w14:paraId="67695575" w14:textId="77777777" w:rsidR="004F32DD" w:rsidRDefault="004F32DD" w:rsidP="004F32DD">
      <w:pPr>
        <w:jc w:val="both"/>
        <w:rPr>
          <w:rFonts w:ascii="Arial" w:hAnsi="Arial" w:cs="Arial"/>
        </w:rPr>
      </w:pPr>
    </w:p>
    <w:p w14:paraId="5CB64401" w14:textId="77777777" w:rsidR="004F32DD" w:rsidRDefault="004F32DD" w:rsidP="004F32DD">
      <w:pPr>
        <w:jc w:val="both"/>
        <w:rPr>
          <w:rFonts w:ascii="Arial" w:hAnsi="Arial" w:cs="Arial"/>
        </w:rPr>
      </w:pPr>
    </w:p>
    <w:p w14:paraId="75A6CED8" w14:textId="77777777" w:rsidR="004F32DD" w:rsidRDefault="004F32DD" w:rsidP="004F32DD">
      <w:pPr>
        <w:jc w:val="both"/>
        <w:rPr>
          <w:rFonts w:ascii="Arial" w:hAnsi="Arial" w:cs="Arial"/>
        </w:rPr>
      </w:pPr>
    </w:p>
    <w:p w14:paraId="6A734C8B" w14:textId="77777777" w:rsidR="004F32DD" w:rsidRDefault="004F32DD" w:rsidP="004F32DD">
      <w:pPr>
        <w:jc w:val="both"/>
        <w:rPr>
          <w:rFonts w:ascii="Arial" w:hAnsi="Arial" w:cs="Arial"/>
        </w:rPr>
      </w:pPr>
    </w:p>
    <w:p w14:paraId="60369B1B" w14:textId="77777777" w:rsidR="004F32DD" w:rsidRDefault="004F32DD" w:rsidP="004F32DD">
      <w:pPr>
        <w:jc w:val="both"/>
        <w:rPr>
          <w:rFonts w:ascii="Arial" w:hAnsi="Arial" w:cs="Arial"/>
        </w:rPr>
      </w:pPr>
    </w:p>
    <w:p w14:paraId="77B73ADF" w14:textId="77777777" w:rsidR="004F32DD" w:rsidRDefault="004F32DD" w:rsidP="004F32DD">
      <w:pPr>
        <w:jc w:val="both"/>
        <w:rPr>
          <w:rFonts w:ascii="Arial" w:hAnsi="Arial" w:cs="Arial"/>
        </w:rPr>
      </w:pPr>
    </w:p>
    <w:p w14:paraId="68EA1FA7" w14:textId="77777777" w:rsidR="004F32DD" w:rsidRDefault="004F32DD" w:rsidP="004F32DD">
      <w:pPr>
        <w:jc w:val="both"/>
        <w:rPr>
          <w:rFonts w:ascii="Arial" w:hAnsi="Arial" w:cs="Arial"/>
        </w:rPr>
      </w:pPr>
    </w:p>
    <w:p w14:paraId="76D9DEB5" w14:textId="77777777" w:rsidR="004F32DD" w:rsidRDefault="004F32DD" w:rsidP="004F32DD">
      <w:pPr>
        <w:jc w:val="both"/>
        <w:rPr>
          <w:rFonts w:ascii="Arial" w:hAnsi="Arial" w:cs="Arial"/>
        </w:rPr>
      </w:pPr>
    </w:p>
    <w:p w14:paraId="10765A78" w14:textId="22BE9AA0" w:rsidR="004F32DD" w:rsidRDefault="004F32DD" w:rsidP="004F32DD">
      <w:pPr>
        <w:jc w:val="both"/>
        <w:rPr>
          <w:rFonts w:ascii="Arial" w:hAnsi="Arial" w:cs="Arial"/>
        </w:rPr>
      </w:pPr>
    </w:p>
    <w:p w14:paraId="053EA7C6" w14:textId="77777777" w:rsidR="005B5535" w:rsidRDefault="005B5535" w:rsidP="004F32DD">
      <w:pPr>
        <w:jc w:val="both"/>
        <w:rPr>
          <w:rFonts w:ascii="Arial" w:hAnsi="Arial" w:cs="Arial"/>
        </w:rPr>
      </w:pPr>
    </w:p>
    <w:p w14:paraId="08F6B132" w14:textId="32CA283C" w:rsidR="004F32DD" w:rsidRDefault="004F32DD" w:rsidP="004F32DD">
      <w:pPr>
        <w:jc w:val="both"/>
        <w:rPr>
          <w:rFonts w:ascii="Arial" w:hAnsi="Arial" w:cs="Arial"/>
        </w:rPr>
      </w:pPr>
      <w:r>
        <w:rPr>
          <w:rFonts w:ascii="Arial" w:hAnsi="Arial" w:cs="Arial"/>
        </w:rPr>
        <w:lastRenderedPageBreak/>
        <w:t>Table of Content</w:t>
      </w:r>
    </w:p>
    <w:p w14:paraId="1F0B7A73" w14:textId="68F79371" w:rsidR="004F32DD" w:rsidRDefault="004F32DD" w:rsidP="004F32DD">
      <w:pPr>
        <w:jc w:val="both"/>
        <w:rPr>
          <w:rFonts w:ascii="Arial" w:hAnsi="Arial" w:cs="Arial"/>
        </w:rPr>
      </w:pPr>
      <w:r>
        <w:rPr>
          <w:rFonts w:ascii="Arial" w:hAnsi="Arial" w:cs="Arial"/>
        </w:rPr>
        <w:t>Introduction..............................................................................................................................3</w:t>
      </w:r>
    </w:p>
    <w:p w14:paraId="362934D2" w14:textId="77777777" w:rsidR="004F32DD" w:rsidRPr="004F32DD" w:rsidRDefault="004F32DD" w:rsidP="004F32DD">
      <w:pPr>
        <w:jc w:val="both"/>
        <w:rPr>
          <w:rFonts w:ascii="Arial" w:hAnsi="Arial" w:cs="Arial"/>
        </w:rPr>
      </w:pPr>
    </w:p>
    <w:p w14:paraId="293095FC" w14:textId="55CD6E45" w:rsidR="004F32DD" w:rsidRDefault="004F32DD" w:rsidP="004F32DD">
      <w:pPr>
        <w:jc w:val="both"/>
        <w:rPr>
          <w:rFonts w:ascii="Arial" w:hAnsi="Arial" w:cs="Arial"/>
        </w:rPr>
      </w:pPr>
      <w:r w:rsidRPr="004F32DD">
        <w:rPr>
          <w:rFonts w:ascii="Arial" w:hAnsi="Arial" w:cs="Arial"/>
        </w:rPr>
        <w:t>Old Age</w:t>
      </w:r>
      <w:r>
        <w:rPr>
          <w:rFonts w:ascii="Arial" w:hAnsi="Arial" w:cs="Arial"/>
        </w:rPr>
        <w:t>....................................................................................................................................3</w:t>
      </w:r>
    </w:p>
    <w:p w14:paraId="5F68B3D8" w14:textId="77777777" w:rsidR="004F32DD" w:rsidRDefault="004F32DD" w:rsidP="004F32DD">
      <w:pPr>
        <w:jc w:val="both"/>
        <w:rPr>
          <w:rFonts w:ascii="Arial" w:hAnsi="Arial" w:cs="Arial"/>
        </w:rPr>
      </w:pPr>
    </w:p>
    <w:p w14:paraId="740641CC" w14:textId="453CF255" w:rsidR="004F32DD" w:rsidRDefault="004F32DD" w:rsidP="004F32DD">
      <w:pPr>
        <w:jc w:val="both"/>
        <w:rPr>
          <w:rFonts w:ascii="Arial" w:hAnsi="Arial" w:cs="Arial"/>
        </w:rPr>
      </w:pPr>
      <w:r w:rsidRPr="004F32DD">
        <w:rPr>
          <w:rFonts w:ascii="Arial" w:hAnsi="Arial" w:cs="Arial"/>
        </w:rPr>
        <w:t>Impact of Old Age on the Society</w:t>
      </w:r>
      <w:r>
        <w:rPr>
          <w:rFonts w:ascii="Arial" w:hAnsi="Arial" w:cs="Arial"/>
        </w:rPr>
        <w:t>..............................................................................................3</w:t>
      </w:r>
    </w:p>
    <w:p w14:paraId="27B85F39" w14:textId="77777777" w:rsidR="004F32DD" w:rsidRDefault="004F32DD" w:rsidP="004F32DD">
      <w:pPr>
        <w:jc w:val="both"/>
        <w:rPr>
          <w:rFonts w:ascii="Arial" w:hAnsi="Arial" w:cs="Arial"/>
        </w:rPr>
      </w:pPr>
    </w:p>
    <w:p w14:paraId="2D5971ED" w14:textId="63E38A82" w:rsidR="004F32DD" w:rsidRDefault="004F32DD" w:rsidP="004F32DD">
      <w:pPr>
        <w:jc w:val="both"/>
        <w:rPr>
          <w:rFonts w:ascii="Arial" w:hAnsi="Arial" w:cs="Arial"/>
        </w:rPr>
      </w:pPr>
      <w:r w:rsidRPr="004F32DD">
        <w:rPr>
          <w:rFonts w:ascii="Arial" w:hAnsi="Arial" w:cs="Arial"/>
        </w:rPr>
        <w:t>Issues experienced by the elder population</w:t>
      </w:r>
      <w:r>
        <w:rPr>
          <w:rFonts w:ascii="Arial" w:hAnsi="Arial" w:cs="Arial"/>
        </w:rPr>
        <w:t>...................................................................</w:t>
      </w:r>
      <w:r w:rsidR="00656332">
        <w:rPr>
          <w:rFonts w:ascii="Arial" w:hAnsi="Arial" w:cs="Arial"/>
        </w:rPr>
        <w:t>.</w:t>
      </w:r>
      <w:r>
        <w:rPr>
          <w:rFonts w:ascii="Arial" w:hAnsi="Arial" w:cs="Arial"/>
        </w:rPr>
        <w:t>..........4</w:t>
      </w:r>
    </w:p>
    <w:p w14:paraId="238F9391" w14:textId="77777777" w:rsidR="004F32DD" w:rsidRDefault="004F32DD" w:rsidP="004F32DD">
      <w:pPr>
        <w:jc w:val="both"/>
        <w:rPr>
          <w:rFonts w:ascii="Arial" w:hAnsi="Arial" w:cs="Arial"/>
        </w:rPr>
      </w:pPr>
    </w:p>
    <w:p w14:paraId="2EBF0FF9" w14:textId="6352EA4B" w:rsidR="004F32DD" w:rsidRDefault="004F32DD" w:rsidP="004F32DD">
      <w:pPr>
        <w:jc w:val="both"/>
        <w:rPr>
          <w:rFonts w:ascii="Arial" w:hAnsi="Arial" w:cs="Arial"/>
        </w:rPr>
      </w:pPr>
      <w:r w:rsidRPr="004F32DD">
        <w:rPr>
          <w:rFonts w:ascii="Arial" w:hAnsi="Arial" w:cs="Arial"/>
        </w:rPr>
        <w:t>Old age in the pandemic</w:t>
      </w:r>
      <w:r>
        <w:rPr>
          <w:rFonts w:ascii="Arial" w:hAnsi="Arial" w:cs="Arial"/>
        </w:rPr>
        <w:t>...........................................................................................................6</w:t>
      </w:r>
    </w:p>
    <w:p w14:paraId="5F50390D" w14:textId="77777777" w:rsidR="004F32DD" w:rsidRDefault="004F32DD" w:rsidP="004F32DD">
      <w:pPr>
        <w:jc w:val="both"/>
        <w:rPr>
          <w:rFonts w:ascii="Arial" w:hAnsi="Arial" w:cs="Arial"/>
        </w:rPr>
      </w:pPr>
    </w:p>
    <w:p w14:paraId="3A29B3FC" w14:textId="3615CC6B" w:rsidR="004F32DD" w:rsidRDefault="004F32DD" w:rsidP="004F32DD">
      <w:pPr>
        <w:jc w:val="both"/>
        <w:rPr>
          <w:rFonts w:ascii="Arial" w:hAnsi="Arial" w:cs="Arial"/>
        </w:rPr>
      </w:pPr>
      <w:r w:rsidRPr="004F32DD">
        <w:rPr>
          <w:rFonts w:ascii="Arial" w:hAnsi="Arial" w:cs="Arial"/>
        </w:rPr>
        <w:t>Health and social care provision in the UK</w:t>
      </w:r>
      <w:r>
        <w:rPr>
          <w:rFonts w:ascii="Arial" w:hAnsi="Arial" w:cs="Arial"/>
        </w:rPr>
        <w:t>..............................................................................6</w:t>
      </w:r>
    </w:p>
    <w:p w14:paraId="7DF99AEE" w14:textId="77777777" w:rsidR="004F32DD" w:rsidRDefault="004F32DD" w:rsidP="004F32DD">
      <w:pPr>
        <w:jc w:val="both"/>
        <w:rPr>
          <w:rFonts w:ascii="Arial" w:hAnsi="Arial" w:cs="Arial"/>
        </w:rPr>
      </w:pPr>
    </w:p>
    <w:p w14:paraId="4AA4F88A" w14:textId="5C107757" w:rsidR="004F32DD" w:rsidRDefault="004F32DD" w:rsidP="004F32DD">
      <w:pPr>
        <w:jc w:val="both"/>
        <w:rPr>
          <w:rFonts w:ascii="Arial" w:hAnsi="Arial" w:cs="Arial"/>
        </w:rPr>
      </w:pPr>
      <w:r w:rsidRPr="004F32DD">
        <w:rPr>
          <w:rFonts w:ascii="Arial" w:hAnsi="Arial" w:cs="Arial"/>
        </w:rPr>
        <w:t>Government implications</w:t>
      </w:r>
      <w:r>
        <w:rPr>
          <w:rFonts w:ascii="Arial" w:hAnsi="Arial" w:cs="Arial"/>
        </w:rPr>
        <w:t>..........................................................................................................7</w:t>
      </w:r>
    </w:p>
    <w:p w14:paraId="5F36E30F" w14:textId="77777777" w:rsidR="004F32DD" w:rsidRDefault="004F32DD" w:rsidP="004F32DD">
      <w:pPr>
        <w:jc w:val="both"/>
        <w:rPr>
          <w:rFonts w:ascii="Arial" w:hAnsi="Arial" w:cs="Arial"/>
        </w:rPr>
      </w:pPr>
    </w:p>
    <w:p w14:paraId="5385E6B5" w14:textId="137E481F" w:rsidR="004F32DD" w:rsidRDefault="004F32DD" w:rsidP="004F32DD">
      <w:pPr>
        <w:jc w:val="both"/>
        <w:rPr>
          <w:rFonts w:ascii="Arial" w:hAnsi="Arial" w:cs="Arial"/>
        </w:rPr>
      </w:pPr>
      <w:r w:rsidRPr="004F32DD">
        <w:rPr>
          <w:rFonts w:ascii="Arial" w:hAnsi="Arial" w:cs="Arial"/>
        </w:rPr>
        <w:t>Conclusion</w:t>
      </w:r>
      <w:r>
        <w:rPr>
          <w:rFonts w:ascii="Arial" w:hAnsi="Arial" w:cs="Arial"/>
        </w:rPr>
        <w:t>...............................................................................................................................8</w:t>
      </w:r>
    </w:p>
    <w:p w14:paraId="64B122A8" w14:textId="7A8B6477" w:rsidR="004F32DD" w:rsidRDefault="004F32DD" w:rsidP="004F32DD">
      <w:pPr>
        <w:jc w:val="both"/>
        <w:rPr>
          <w:rFonts w:ascii="Arial" w:hAnsi="Arial" w:cs="Arial"/>
        </w:rPr>
      </w:pPr>
    </w:p>
    <w:p w14:paraId="509A167A" w14:textId="773130E2" w:rsidR="004F32DD" w:rsidRDefault="004F32DD" w:rsidP="004F32DD">
      <w:pPr>
        <w:jc w:val="both"/>
        <w:rPr>
          <w:rFonts w:ascii="Arial" w:hAnsi="Arial" w:cs="Arial"/>
        </w:rPr>
      </w:pPr>
      <w:r>
        <w:rPr>
          <w:rFonts w:ascii="Arial" w:hAnsi="Arial" w:cs="Arial"/>
        </w:rPr>
        <w:t>References...............................................................................................................................9</w:t>
      </w:r>
    </w:p>
    <w:p w14:paraId="71801906" w14:textId="77777777" w:rsidR="004F32DD" w:rsidRDefault="004F32DD" w:rsidP="004F32DD">
      <w:pPr>
        <w:jc w:val="both"/>
        <w:rPr>
          <w:rFonts w:ascii="Arial" w:hAnsi="Arial" w:cs="Arial"/>
        </w:rPr>
      </w:pPr>
    </w:p>
    <w:p w14:paraId="5620F2AD" w14:textId="77777777" w:rsidR="004F32DD" w:rsidRDefault="004F32DD" w:rsidP="004F32DD">
      <w:pPr>
        <w:jc w:val="both"/>
        <w:rPr>
          <w:rFonts w:ascii="Arial" w:hAnsi="Arial" w:cs="Arial"/>
        </w:rPr>
      </w:pPr>
    </w:p>
    <w:p w14:paraId="3AC17AC1" w14:textId="77777777" w:rsidR="004F32DD" w:rsidRDefault="004F32DD" w:rsidP="004F32DD">
      <w:pPr>
        <w:jc w:val="both"/>
        <w:rPr>
          <w:rFonts w:ascii="Arial" w:hAnsi="Arial" w:cs="Arial"/>
        </w:rPr>
      </w:pPr>
    </w:p>
    <w:p w14:paraId="2D48C9C9" w14:textId="77777777" w:rsidR="004F32DD" w:rsidRDefault="004F32DD" w:rsidP="004F32DD">
      <w:pPr>
        <w:jc w:val="both"/>
        <w:rPr>
          <w:rFonts w:ascii="Arial" w:hAnsi="Arial" w:cs="Arial"/>
        </w:rPr>
      </w:pPr>
    </w:p>
    <w:p w14:paraId="1ACEA1FC" w14:textId="77777777" w:rsidR="004F32DD" w:rsidRDefault="004F32DD" w:rsidP="004F32DD">
      <w:pPr>
        <w:jc w:val="both"/>
        <w:rPr>
          <w:rFonts w:ascii="Arial" w:hAnsi="Arial" w:cs="Arial"/>
        </w:rPr>
      </w:pPr>
    </w:p>
    <w:p w14:paraId="3695C8C5" w14:textId="77777777" w:rsidR="004F32DD" w:rsidRDefault="004F32DD" w:rsidP="004F32DD">
      <w:pPr>
        <w:jc w:val="both"/>
        <w:rPr>
          <w:rFonts w:ascii="Arial" w:hAnsi="Arial" w:cs="Arial"/>
        </w:rPr>
      </w:pPr>
    </w:p>
    <w:p w14:paraId="69506FCF" w14:textId="77777777" w:rsidR="004F32DD" w:rsidRDefault="004F32DD" w:rsidP="004F32DD">
      <w:pPr>
        <w:jc w:val="both"/>
        <w:rPr>
          <w:rFonts w:ascii="Arial" w:hAnsi="Arial" w:cs="Arial"/>
        </w:rPr>
      </w:pPr>
    </w:p>
    <w:p w14:paraId="6257829A" w14:textId="77777777" w:rsidR="004F32DD" w:rsidRDefault="004F32DD" w:rsidP="004F32DD">
      <w:pPr>
        <w:jc w:val="both"/>
        <w:rPr>
          <w:rFonts w:ascii="Arial" w:hAnsi="Arial" w:cs="Arial"/>
        </w:rPr>
      </w:pPr>
    </w:p>
    <w:p w14:paraId="1EC9DC87" w14:textId="77777777" w:rsidR="004F32DD" w:rsidRDefault="004F32DD" w:rsidP="004F32DD">
      <w:pPr>
        <w:jc w:val="both"/>
        <w:rPr>
          <w:rFonts w:ascii="Arial" w:hAnsi="Arial" w:cs="Arial"/>
        </w:rPr>
      </w:pPr>
    </w:p>
    <w:p w14:paraId="27226B11" w14:textId="27796AD0" w:rsidR="004F32DD" w:rsidRDefault="004F32DD" w:rsidP="004F32DD">
      <w:pPr>
        <w:jc w:val="both"/>
        <w:rPr>
          <w:rFonts w:ascii="Arial" w:hAnsi="Arial" w:cs="Arial"/>
        </w:rPr>
      </w:pPr>
    </w:p>
    <w:p w14:paraId="78037065" w14:textId="77777777" w:rsidR="004F32DD" w:rsidRDefault="004F32DD" w:rsidP="004F32DD">
      <w:pPr>
        <w:jc w:val="both"/>
        <w:rPr>
          <w:rFonts w:ascii="Arial" w:hAnsi="Arial" w:cs="Arial"/>
        </w:rPr>
      </w:pPr>
    </w:p>
    <w:p w14:paraId="2BB296F8" w14:textId="77777777" w:rsidR="004F32DD" w:rsidRDefault="004F32DD" w:rsidP="004F32DD">
      <w:pPr>
        <w:jc w:val="both"/>
        <w:rPr>
          <w:rFonts w:ascii="Arial" w:hAnsi="Arial" w:cs="Arial"/>
        </w:rPr>
      </w:pPr>
    </w:p>
    <w:p w14:paraId="7A000849" w14:textId="77777777" w:rsidR="004F32DD" w:rsidRDefault="004F32DD" w:rsidP="004F32DD">
      <w:pPr>
        <w:jc w:val="both"/>
        <w:rPr>
          <w:rFonts w:ascii="Arial" w:hAnsi="Arial" w:cs="Arial"/>
        </w:rPr>
      </w:pPr>
    </w:p>
    <w:p w14:paraId="57DD1B1A" w14:textId="77777777" w:rsidR="004F32DD" w:rsidRDefault="004F32DD" w:rsidP="004F32DD">
      <w:pPr>
        <w:jc w:val="both"/>
        <w:rPr>
          <w:rFonts w:ascii="Arial" w:hAnsi="Arial" w:cs="Arial"/>
        </w:rPr>
      </w:pPr>
    </w:p>
    <w:p w14:paraId="23ECF730" w14:textId="053B8800" w:rsidR="004F32DD" w:rsidRPr="004F32DD" w:rsidRDefault="004F32DD" w:rsidP="004F32DD">
      <w:pPr>
        <w:spacing w:line="360" w:lineRule="auto"/>
        <w:jc w:val="both"/>
        <w:rPr>
          <w:rFonts w:ascii="Arial" w:hAnsi="Arial" w:cs="Arial"/>
        </w:rPr>
      </w:pPr>
      <w:r>
        <w:rPr>
          <w:rFonts w:ascii="Arial" w:hAnsi="Arial" w:cs="Arial"/>
        </w:rPr>
        <w:lastRenderedPageBreak/>
        <w:t>Introduct</w:t>
      </w:r>
      <w:r w:rsidRPr="004F32DD">
        <w:rPr>
          <w:rFonts w:ascii="Arial" w:hAnsi="Arial" w:cs="Arial"/>
        </w:rPr>
        <w:t>ion</w:t>
      </w:r>
    </w:p>
    <w:p w14:paraId="54D3A622" w14:textId="77777777" w:rsidR="004F32DD" w:rsidRPr="004F32DD" w:rsidRDefault="004F32DD" w:rsidP="004F32DD">
      <w:pPr>
        <w:spacing w:line="360" w:lineRule="auto"/>
        <w:jc w:val="both"/>
        <w:rPr>
          <w:rFonts w:ascii="Arial" w:hAnsi="Arial" w:cs="Arial"/>
        </w:rPr>
      </w:pPr>
      <w:r w:rsidRPr="004F32DD">
        <w:rPr>
          <w:rFonts w:ascii="Arial" w:hAnsi="Arial" w:cs="Arial"/>
        </w:rPr>
        <w:t xml:space="preserve">This essay will be looking at elderly people in the UK and more importantly, will be </w:t>
      </w:r>
      <w:proofErr w:type="spellStart"/>
      <w:r w:rsidRPr="004F32DD">
        <w:rPr>
          <w:rFonts w:ascii="Arial" w:hAnsi="Arial" w:cs="Arial"/>
        </w:rPr>
        <w:t>fovusing</w:t>
      </w:r>
      <w:proofErr w:type="spellEnd"/>
      <w:r w:rsidRPr="004F32DD">
        <w:rPr>
          <w:rFonts w:ascii="Arial" w:hAnsi="Arial" w:cs="Arial"/>
        </w:rPr>
        <w:t xml:space="preserve"> on issues that this group of people is experiencing and what are some of the actions that can be done in order to facilitate a better understating of them. Therefore, it will reflect the implications of government, Health and Social Care sector and society in response to these issues, what are some of the actions that have been taken to solve these issues, and what are some of the theories that can be applied in practice, using policies that enable better practices and show support towards the elderly. </w:t>
      </w:r>
    </w:p>
    <w:p w14:paraId="56993AF2" w14:textId="77777777" w:rsidR="004F32DD" w:rsidRPr="004F32DD" w:rsidRDefault="004F32DD" w:rsidP="004F32DD">
      <w:pPr>
        <w:spacing w:line="360" w:lineRule="auto"/>
        <w:jc w:val="both"/>
        <w:rPr>
          <w:rFonts w:ascii="Arial" w:hAnsi="Arial" w:cs="Arial"/>
        </w:rPr>
      </w:pPr>
    </w:p>
    <w:p w14:paraId="4F773286" w14:textId="77777777" w:rsidR="004F32DD" w:rsidRPr="004F32DD" w:rsidRDefault="004F32DD" w:rsidP="004F32DD">
      <w:pPr>
        <w:spacing w:line="360" w:lineRule="auto"/>
        <w:jc w:val="both"/>
        <w:rPr>
          <w:rFonts w:ascii="Arial" w:hAnsi="Arial" w:cs="Arial"/>
        </w:rPr>
      </w:pPr>
      <w:r w:rsidRPr="004F32DD">
        <w:rPr>
          <w:rFonts w:ascii="Arial" w:hAnsi="Arial" w:cs="Arial"/>
        </w:rPr>
        <w:t>Old Age</w:t>
      </w:r>
    </w:p>
    <w:p w14:paraId="2ADA2C00" w14:textId="77777777" w:rsidR="004F32DD" w:rsidRPr="004F32DD" w:rsidRDefault="004F32DD" w:rsidP="004F32DD">
      <w:pPr>
        <w:spacing w:line="360" w:lineRule="auto"/>
        <w:jc w:val="both"/>
        <w:rPr>
          <w:rFonts w:ascii="Arial" w:hAnsi="Arial" w:cs="Arial"/>
        </w:rPr>
      </w:pPr>
      <w:r w:rsidRPr="004F32DD">
        <w:rPr>
          <w:rFonts w:ascii="Arial" w:hAnsi="Arial" w:cs="Arial"/>
        </w:rPr>
        <w:t>In theory, old age represents a social construct that frames people who are over the age of 65 as being old (NHS, 2020). In practice, it is not that easy to define what age a person should be considered old. Therefore, it is important to keep in mind the fact that not everyone is comfortable with this label once they have reached the age of 65. Moreover, there are people over 75 or 80 who are much healthier than people who are younger than them (ibid.). Therefore, old age should not be considered a label that is offensive, and individuals should be able to label themselves when considered to be ‘old age’. More importantly, this term is starting to become out of date. Therefore, the age of 65 is not considered an official retirement age, as the state pension age is rising constantly, and people are still working after the age of 65 (ONS, 2019).</w:t>
      </w:r>
    </w:p>
    <w:p w14:paraId="0ED6D65E" w14:textId="77777777" w:rsidR="004F32DD" w:rsidRPr="004F32DD" w:rsidRDefault="004F32DD" w:rsidP="004F32DD">
      <w:pPr>
        <w:spacing w:line="360" w:lineRule="auto"/>
        <w:jc w:val="both"/>
        <w:rPr>
          <w:rFonts w:ascii="Arial" w:hAnsi="Arial" w:cs="Arial"/>
        </w:rPr>
      </w:pPr>
      <w:proofErr w:type="spellStart"/>
      <w:r w:rsidRPr="004F32DD">
        <w:rPr>
          <w:rFonts w:ascii="Arial" w:hAnsi="Arial" w:cs="Arial"/>
        </w:rPr>
        <w:t>Laslett</w:t>
      </w:r>
      <w:proofErr w:type="spellEnd"/>
      <w:r w:rsidRPr="004F32DD">
        <w:rPr>
          <w:rFonts w:ascii="Arial" w:hAnsi="Arial" w:cs="Arial"/>
        </w:rPr>
        <w:t xml:space="preserve"> &amp; Richard (1996) state that the rapid age of the population is a trend of the twentieth century, and it is an unprecedented one in the entire population history of England. WHO (2021) states that between 2015 and 2050, the number of people who are aged </w:t>
      </w:r>
      <w:proofErr w:type="spellStart"/>
      <w:r w:rsidRPr="004F32DD">
        <w:rPr>
          <w:rFonts w:ascii="Arial" w:hAnsi="Arial" w:cs="Arial"/>
        </w:rPr>
        <w:t>iver</w:t>
      </w:r>
      <w:proofErr w:type="spellEnd"/>
      <w:r w:rsidRPr="004F32DD">
        <w:rPr>
          <w:rFonts w:ascii="Arial" w:hAnsi="Arial" w:cs="Arial"/>
        </w:rPr>
        <w:t xml:space="preserve"> 60 has increased from 12% to 22%, and in some years’ time, the number of old people will be much larger the number of children. That is why, it is important </w:t>
      </w:r>
      <w:proofErr w:type="spellStart"/>
      <w:r w:rsidRPr="004F32DD">
        <w:rPr>
          <w:rFonts w:ascii="Arial" w:hAnsi="Arial" w:cs="Arial"/>
        </w:rPr>
        <w:t>ot</w:t>
      </w:r>
      <w:proofErr w:type="spellEnd"/>
      <w:r w:rsidRPr="004F32DD">
        <w:rPr>
          <w:rFonts w:ascii="Arial" w:hAnsi="Arial" w:cs="Arial"/>
        </w:rPr>
        <w:t xml:space="preserve"> pay attention to the issues that old people are confronting with now, so they will be resolved by the time the number increase considerably and it will be too late to reverse the impact.</w:t>
      </w:r>
    </w:p>
    <w:p w14:paraId="62EA89DF" w14:textId="77777777" w:rsidR="004F32DD" w:rsidRPr="004F32DD" w:rsidRDefault="004F32DD" w:rsidP="004F32DD">
      <w:pPr>
        <w:spacing w:line="360" w:lineRule="auto"/>
        <w:jc w:val="both"/>
        <w:rPr>
          <w:rFonts w:ascii="Arial" w:hAnsi="Arial" w:cs="Arial"/>
        </w:rPr>
      </w:pPr>
    </w:p>
    <w:p w14:paraId="5AB812EA" w14:textId="77777777" w:rsidR="004F32DD" w:rsidRPr="004F32DD" w:rsidRDefault="004F32DD" w:rsidP="004F32DD">
      <w:pPr>
        <w:spacing w:line="360" w:lineRule="auto"/>
        <w:jc w:val="both"/>
        <w:rPr>
          <w:rFonts w:ascii="Arial" w:hAnsi="Arial" w:cs="Arial"/>
        </w:rPr>
      </w:pPr>
      <w:r w:rsidRPr="004F32DD">
        <w:rPr>
          <w:rFonts w:ascii="Arial" w:hAnsi="Arial" w:cs="Arial"/>
        </w:rPr>
        <w:t>Impact of Old Age on the Society</w:t>
      </w:r>
    </w:p>
    <w:p w14:paraId="62BA9238" w14:textId="77777777" w:rsidR="004F32DD" w:rsidRPr="004F32DD" w:rsidRDefault="004F32DD" w:rsidP="004F32DD">
      <w:pPr>
        <w:spacing w:line="360" w:lineRule="auto"/>
        <w:jc w:val="both"/>
        <w:rPr>
          <w:rFonts w:ascii="Arial" w:hAnsi="Arial" w:cs="Arial"/>
        </w:rPr>
      </w:pPr>
      <w:r w:rsidRPr="004F32DD">
        <w:rPr>
          <w:rFonts w:ascii="Arial" w:hAnsi="Arial" w:cs="Arial"/>
        </w:rPr>
        <w:t xml:space="preserve">Having a population that is rapidly changing has both positive and negative impacts on the society and it involves a lot of responsibilities when it comes to the other groups of individuals who will have to provide different solutions to the issues that come alongside the old age. </w:t>
      </w:r>
    </w:p>
    <w:p w14:paraId="2A8847CF" w14:textId="77777777" w:rsidR="004F32DD" w:rsidRPr="004F32DD" w:rsidRDefault="004F32DD" w:rsidP="004F32DD">
      <w:pPr>
        <w:spacing w:line="360" w:lineRule="auto"/>
        <w:jc w:val="both"/>
        <w:rPr>
          <w:rFonts w:ascii="Arial" w:hAnsi="Arial" w:cs="Arial"/>
        </w:rPr>
      </w:pPr>
      <w:r w:rsidRPr="004F32DD">
        <w:rPr>
          <w:rFonts w:ascii="Arial" w:hAnsi="Arial" w:cs="Arial"/>
        </w:rPr>
        <w:lastRenderedPageBreak/>
        <w:t>Some of the reasons why the age structure in the UK and worldwide has changes is because of fertility and mortality. ONS (2018) states that since the 1960s the fertility rates have declined in the UK as well as globally. Another reason is immigration. Even though immigration represents a positive impact to a country because most of the immigrants are a young age, it is only for short term since they also age, and they also tend to converge other individuals from that respective country (Dubuc, 2016). Life expectancy has also increased. Now, male babies in the UK are expected to live for 79.2 years while girls are expected to live to 22.6% (ONS, 2019).</w:t>
      </w:r>
    </w:p>
    <w:p w14:paraId="4937A564" w14:textId="77777777" w:rsidR="004F32DD" w:rsidRPr="004F32DD" w:rsidRDefault="004F32DD" w:rsidP="004F32DD">
      <w:pPr>
        <w:spacing w:line="360" w:lineRule="auto"/>
        <w:jc w:val="both"/>
        <w:rPr>
          <w:rFonts w:ascii="Arial" w:hAnsi="Arial" w:cs="Arial"/>
        </w:rPr>
      </w:pPr>
      <w:r w:rsidRPr="004F32DD">
        <w:rPr>
          <w:rFonts w:ascii="Arial" w:hAnsi="Arial" w:cs="Arial"/>
        </w:rPr>
        <w:t xml:space="preserve">The positive outcomes of this aging population are that, for starters, it will open new opportunities at a societal individual level, as there will be a much more sense of community activism, people will work for long, and new markets will emerge (ONS, 2018). Employment rates for older women has constantly increased in the UK since the 1980s (Chandler &amp; </w:t>
      </w:r>
      <w:proofErr w:type="spellStart"/>
      <w:r w:rsidRPr="004F32DD">
        <w:rPr>
          <w:rFonts w:ascii="Arial" w:hAnsi="Arial" w:cs="Arial"/>
        </w:rPr>
        <w:t>Tetlow</w:t>
      </w:r>
      <w:proofErr w:type="spellEnd"/>
      <w:r w:rsidRPr="004F32DD">
        <w:rPr>
          <w:rFonts w:ascii="Arial" w:hAnsi="Arial" w:cs="Arial"/>
        </w:rPr>
        <w:t>, 2014). People leave longer and healthier lives. Health has changed, and the way it is delivered to the population nowadays compared to the mid-80s (ONS, 2021).</w:t>
      </w:r>
    </w:p>
    <w:p w14:paraId="76D0DB52" w14:textId="77777777" w:rsidR="004F32DD" w:rsidRPr="004F32DD" w:rsidRDefault="004F32DD" w:rsidP="004F32DD">
      <w:pPr>
        <w:spacing w:line="360" w:lineRule="auto"/>
        <w:jc w:val="both"/>
        <w:rPr>
          <w:rFonts w:ascii="Arial" w:hAnsi="Arial" w:cs="Arial"/>
        </w:rPr>
      </w:pPr>
      <w:r w:rsidRPr="004F32DD">
        <w:rPr>
          <w:rFonts w:ascii="Arial" w:hAnsi="Arial" w:cs="Arial"/>
        </w:rPr>
        <w:t>The negative outcomes of having a population that is aging at the rate the one in UK is, then the implications are colossal. Firstly, people aging represents a risk of developing illness and becoming frails, which ultimately leads to an increase in the need for health and social care (Raymond et al., 2021). More people will need health and social care, residential care home, and the use of NHS. A scenario presents that, once morbidity increases, it will lead to complications such as much more treatment for patients, comorbidities that will need to be able to look after, but which will ultimately complicate the treatment and have the patient brought in the hospital (</w:t>
      </w:r>
      <w:proofErr w:type="spellStart"/>
      <w:r w:rsidRPr="004F32DD">
        <w:rPr>
          <w:rFonts w:ascii="Arial" w:hAnsi="Arial" w:cs="Arial"/>
        </w:rPr>
        <w:t>Howdon</w:t>
      </w:r>
      <w:proofErr w:type="spellEnd"/>
      <w:r w:rsidRPr="004F32DD">
        <w:rPr>
          <w:rFonts w:ascii="Arial" w:hAnsi="Arial" w:cs="Arial"/>
        </w:rPr>
        <w:t xml:space="preserve"> &amp; Rice, 2018). The expenditure of pensions will increase even more. The State Pension account has risen with 3.6% since 1997 (ONS, 2017). Later in life, people consume more welfare spending, which means that the government will have to pay more for pensions and health and social care.</w:t>
      </w:r>
    </w:p>
    <w:p w14:paraId="457ACB81" w14:textId="77777777" w:rsidR="004F32DD" w:rsidRPr="004F32DD" w:rsidRDefault="004F32DD" w:rsidP="004F32DD">
      <w:pPr>
        <w:spacing w:line="360" w:lineRule="auto"/>
        <w:jc w:val="both"/>
        <w:rPr>
          <w:rFonts w:ascii="Arial" w:hAnsi="Arial" w:cs="Arial"/>
        </w:rPr>
      </w:pPr>
    </w:p>
    <w:p w14:paraId="12DDF14D" w14:textId="77777777" w:rsidR="004F32DD" w:rsidRPr="004F32DD" w:rsidRDefault="004F32DD" w:rsidP="004F32DD">
      <w:pPr>
        <w:spacing w:line="360" w:lineRule="auto"/>
        <w:jc w:val="both"/>
        <w:rPr>
          <w:rFonts w:ascii="Arial" w:hAnsi="Arial" w:cs="Arial"/>
        </w:rPr>
      </w:pPr>
      <w:r w:rsidRPr="004F32DD">
        <w:rPr>
          <w:rFonts w:ascii="Arial" w:hAnsi="Arial" w:cs="Arial"/>
        </w:rPr>
        <w:t>Issues experienced by the elder population</w:t>
      </w:r>
    </w:p>
    <w:p w14:paraId="677EDDDA" w14:textId="77777777" w:rsidR="004F32DD" w:rsidRPr="004F32DD" w:rsidRDefault="004F32DD" w:rsidP="004F32DD">
      <w:pPr>
        <w:spacing w:line="360" w:lineRule="auto"/>
        <w:jc w:val="both"/>
        <w:rPr>
          <w:rFonts w:ascii="Arial" w:hAnsi="Arial" w:cs="Arial"/>
        </w:rPr>
      </w:pPr>
      <w:r w:rsidRPr="004F32DD">
        <w:rPr>
          <w:rFonts w:ascii="Arial" w:hAnsi="Arial" w:cs="Arial"/>
        </w:rPr>
        <w:t xml:space="preserve">The issues that the elderly is experiencing are complex and not only affect that specific target group of individuals, but the entire society locally and globally. </w:t>
      </w:r>
      <w:proofErr w:type="spellStart"/>
      <w:r w:rsidRPr="004F32DD">
        <w:rPr>
          <w:rFonts w:ascii="Arial" w:hAnsi="Arial" w:cs="Arial"/>
        </w:rPr>
        <w:t>AgeUK</w:t>
      </w:r>
      <w:proofErr w:type="spellEnd"/>
      <w:r w:rsidRPr="004F32DD">
        <w:rPr>
          <w:rFonts w:ascii="Arial" w:hAnsi="Arial" w:cs="Arial"/>
        </w:rPr>
        <w:t xml:space="preserve"> (2022) states that there are multiple conditions that are developed by the elderly that represent a bigger issue for their life and their health. Therefore, issues such as arthritis, dementia, depression and anxiety and hearing loss are just some of the complications that the elderly face when they reach the old age. </w:t>
      </w:r>
    </w:p>
    <w:p w14:paraId="0911EDF5" w14:textId="77777777" w:rsidR="004F32DD" w:rsidRPr="004F32DD" w:rsidRDefault="004F32DD" w:rsidP="004F32DD">
      <w:pPr>
        <w:spacing w:line="360" w:lineRule="auto"/>
        <w:jc w:val="both"/>
        <w:rPr>
          <w:rFonts w:ascii="Arial" w:hAnsi="Arial" w:cs="Arial"/>
        </w:rPr>
      </w:pPr>
      <w:r w:rsidRPr="004F32DD">
        <w:rPr>
          <w:rFonts w:ascii="Arial" w:hAnsi="Arial" w:cs="Arial"/>
        </w:rPr>
        <w:lastRenderedPageBreak/>
        <w:t xml:space="preserve">That is why, it is significant to be aware </w:t>
      </w:r>
      <w:proofErr w:type="spellStart"/>
      <w:r w:rsidRPr="004F32DD">
        <w:rPr>
          <w:rFonts w:ascii="Arial" w:hAnsi="Arial" w:cs="Arial"/>
        </w:rPr>
        <w:t>fo</w:t>
      </w:r>
      <w:proofErr w:type="spellEnd"/>
      <w:r w:rsidRPr="004F32DD">
        <w:rPr>
          <w:rFonts w:ascii="Arial" w:hAnsi="Arial" w:cs="Arial"/>
        </w:rPr>
        <w:t xml:space="preserve"> these issues and try to figure out way which can diminish them for the greater good. Other issues that the elderly face which can represents a significant issue for them are living arrangements, worries and stress about the need for a caregiver (the individual might have no family so he needs to be put into a care home, he might not like, or he might not be treated accordingly), access to goods and services, history of trauma and losses. Financial status is another issue that revolves around old age (because of health conditions, he might have to pay money in order to facilitate a better lifestyle which might be too expensive for him). When increasing the statutory retirement age, it makes early retirement financially less sustainable (Walsh et al., 2021). Therefore, they might face economic exclusion which not only affects the individual, but also the society itself. </w:t>
      </w:r>
    </w:p>
    <w:p w14:paraId="0FE289DA" w14:textId="77777777" w:rsidR="004F32DD" w:rsidRPr="004F32DD" w:rsidRDefault="004F32DD" w:rsidP="004F32DD">
      <w:pPr>
        <w:spacing w:line="360" w:lineRule="auto"/>
        <w:jc w:val="both"/>
        <w:rPr>
          <w:rFonts w:ascii="Arial" w:hAnsi="Arial" w:cs="Arial"/>
        </w:rPr>
      </w:pPr>
      <w:r w:rsidRPr="004F32DD">
        <w:rPr>
          <w:rFonts w:ascii="Arial" w:hAnsi="Arial" w:cs="Arial"/>
        </w:rPr>
        <w:t xml:space="preserve">Old age comes along with multiple issues that need to be addressed, as everyone reaches that point in their life and need to be prepared. Because elderly might not have the same voice as the younger ones when trying to express their wishes and needs, solutions for these need to be implemented in order to avoid social issues like the ones previously mentioned. </w:t>
      </w:r>
    </w:p>
    <w:p w14:paraId="00CF2C5E" w14:textId="77777777" w:rsidR="004F32DD" w:rsidRPr="004F32DD" w:rsidRDefault="004F32DD" w:rsidP="004F32DD">
      <w:pPr>
        <w:spacing w:line="360" w:lineRule="auto"/>
        <w:jc w:val="both"/>
        <w:rPr>
          <w:rFonts w:ascii="Arial" w:hAnsi="Arial" w:cs="Arial"/>
        </w:rPr>
      </w:pPr>
      <w:r w:rsidRPr="004F32DD">
        <w:rPr>
          <w:rFonts w:ascii="Arial" w:hAnsi="Arial" w:cs="Arial"/>
        </w:rPr>
        <w:t>An issue that will be presented in much greater detail will be the mental health of elderly, and how it has been impacting their lives. When talking about mental health, the issue refers to depression and anxiety. In younger people, depression is associated with feelings of sadness and discouragement, as well as sleeping problems, concentration, and weight loss issues. However, there is a difference between younger and older people, and that is that depression in old people manifests behind somatic symptoms (</w:t>
      </w:r>
      <w:proofErr w:type="spellStart"/>
      <w:r w:rsidRPr="004F32DD">
        <w:rPr>
          <w:rFonts w:ascii="Arial" w:hAnsi="Arial" w:cs="Arial"/>
        </w:rPr>
        <w:t>Gottfries</w:t>
      </w:r>
      <w:proofErr w:type="spellEnd"/>
      <w:r w:rsidRPr="004F32DD">
        <w:rPr>
          <w:rFonts w:ascii="Arial" w:hAnsi="Arial" w:cs="Arial"/>
        </w:rPr>
        <w:t xml:space="preserve">, 1998). </w:t>
      </w:r>
      <w:proofErr w:type="spellStart"/>
      <w:r w:rsidRPr="004F32DD">
        <w:rPr>
          <w:rFonts w:ascii="Arial" w:hAnsi="Arial" w:cs="Arial"/>
        </w:rPr>
        <w:t>Veith</w:t>
      </w:r>
      <w:proofErr w:type="spellEnd"/>
      <w:r w:rsidRPr="004F32DD">
        <w:rPr>
          <w:rFonts w:ascii="Arial" w:hAnsi="Arial" w:cs="Arial"/>
        </w:rPr>
        <w:t xml:space="preserve"> &amp; Raskind (1988) state that depression in elderly appears as an outcome of age-related changes in the individual, which makes him more vulnerable. More importantly, there are also risk factors that come along the old age such as loneliness, somatic diseases, and institutionalizations, which become more common with old age rather than with the younger one (</w:t>
      </w:r>
      <w:proofErr w:type="spellStart"/>
      <w:r w:rsidRPr="004F32DD">
        <w:rPr>
          <w:rFonts w:ascii="Arial" w:hAnsi="Arial" w:cs="Arial"/>
        </w:rPr>
        <w:t>Palsson</w:t>
      </w:r>
      <w:proofErr w:type="spellEnd"/>
      <w:r w:rsidRPr="004F32DD">
        <w:rPr>
          <w:rFonts w:ascii="Arial" w:hAnsi="Arial" w:cs="Arial"/>
        </w:rPr>
        <w:t xml:space="preserve"> &amp; Skoog, 1997). Another mental health condition that the elderly experience with old age is anxiety. Anxiety disorders appear to be more prominent in old age individuals who also suffer from a high level of comorbidity (Bryant, Jackson &amp; Ames, 2009). This issue is associated with long standings vulnerabilities, which is ultimately transformed in a mix of anxiety and depression that is stronger than having one of the issues on their own (</w:t>
      </w:r>
      <w:proofErr w:type="spellStart"/>
      <w:r w:rsidRPr="004F32DD">
        <w:rPr>
          <w:rFonts w:ascii="Arial" w:hAnsi="Arial" w:cs="Arial"/>
        </w:rPr>
        <w:t>Schoevers</w:t>
      </w:r>
      <w:proofErr w:type="spellEnd"/>
      <w:r w:rsidRPr="004F32DD">
        <w:rPr>
          <w:rFonts w:ascii="Arial" w:hAnsi="Arial" w:cs="Arial"/>
        </w:rPr>
        <w:t>, et al., 2003).</w:t>
      </w:r>
    </w:p>
    <w:p w14:paraId="26E5C028" w14:textId="77777777" w:rsidR="004F32DD" w:rsidRPr="004F32DD" w:rsidRDefault="004F32DD" w:rsidP="004F32DD">
      <w:pPr>
        <w:spacing w:line="360" w:lineRule="auto"/>
        <w:jc w:val="both"/>
        <w:rPr>
          <w:rFonts w:ascii="Arial" w:hAnsi="Arial" w:cs="Arial"/>
        </w:rPr>
      </w:pPr>
      <w:r w:rsidRPr="004F32DD">
        <w:rPr>
          <w:rFonts w:ascii="Arial" w:hAnsi="Arial" w:cs="Arial"/>
        </w:rPr>
        <w:t xml:space="preserve">Here, theories of old age interfere. For example, these issues can be associated with the disengagement theory, which specifies that when older adults grow, they distance themselves from the society, and it results in a mutual activity where the society disengages with the elderly, while they also do the same with the society (Larkin, 2009). This highlights the root causes of issues such as depression and anxiety since both of their risk factors as well as outcomes are based on loneliness and the feeling of being alone. The Care Act 2010 states </w:t>
      </w:r>
      <w:r w:rsidRPr="004F32DD">
        <w:rPr>
          <w:rFonts w:ascii="Arial" w:hAnsi="Arial" w:cs="Arial"/>
        </w:rPr>
        <w:lastRenderedPageBreak/>
        <w:t>that every person should be entitled to personalised centred care. Therefore, a patient that is in the hands of a caregiver should not hide their anxiety from them and should be able to open up to them about their issues. Therefore, the person-centred care, which is based on the Care Act policy, allows the caregiver to personalize the treatment of the patient alongside with him (The Health Foundation, 2014). This procedure will help the individual who experiences depression to be able to include in the treatment things that make him happy or that spurs his interest in order to forget about the issues that pressure him.</w:t>
      </w:r>
    </w:p>
    <w:p w14:paraId="5709863D" w14:textId="77777777" w:rsidR="004F32DD" w:rsidRPr="004F32DD" w:rsidRDefault="004F32DD" w:rsidP="004F32DD">
      <w:pPr>
        <w:spacing w:line="360" w:lineRule="auto"/>
        <w:jc w:val="both"/>
        <w:rPr>
          <w:rFonts w:ascii="Arial" w:hAnsi="Arial" w:cs="Arial"/>
        </w:rPr>
      </w:pPr>
    </w:p>
    <w:p w14:paraId="236FB0FC" w14:textId="77777777" w:rsidR="004F32DD" w:rsidRPr="004F32DD" w:rsidRDefault="004F32DD" w:rsidP="004F32DD">
      <w:pPr>
        <w:spacing w:line="360" w:lineRule="auto"/>
        <w:jc w:val="both"/>
        <w:rPr>
          <w:rFonts w:ascii="Arial" w:hAnsi="Arial" w:cs="Arial"/>
        </w:rPr>
      </w:pPr>
      <w:r w:rsidRPr="004F32DD">
        <w:rPr>
          <w:rFonts w:ascii="Arial" w:hAnsi="Arial" w:cs="Arial"/>
        </w:rPr>
        <w:t>Old age in the pandemic</w:t>
      </w:r>
    </w:p>
    <w:p w14:paraId="0EE5750A" w14:textId="77777777" w:rsidR="004F32DD" w:rsidRPr="004F32DD" w:rsidRDefault="004F32DD" w:rsidP="004F32DD">
      <w:pPr>
        <w:spacing w:line="360" w:lineRule="auto"/>
        <w:jc w:val="both"/>
        <w:rPr>
          <w:rFonts w:ascii="Arial" w:hAnsi="Arial" w:cs="Arial"/>
        </w:rPr>
      </w:pPr>
      <w:r w:rsidRPr="004F32DD">
        <w:rPr>
          <w:rFonts w:ascii="Arial" w:hAnsi="Arial" w:cs="Arial"/>
        </w:rPr>
        <w:t>Old age brings in with it risks of various infections that can put the life at risks. It is important to remember that the old age is the most affected group of individuals in the case of the pandemic as not only they have comorbidities that will put their life at even greater risk, but Team (2020) states that the progression of illness and risk of death is three times higher in the older age group than in all other groups.</w:t>
      </w:r>
    </w:p>
    <w:p w14:paraId="13C7AAAC" w14:textId="77777777" w:rsidR="004F32DD" w:rsidRPr="004F32DD" w:rsidRDefault="004F32DD" w:rsidP="004F32DD">
      <w:pPr>
        <w:spacing w:line="360" w:lineRule="auto"/>
        <w:jc w:val="both"/>
        <w:rPr>
          <w:rFonts w:ascii="Arial" w:hAnsi="Arial" w:cs="Arial"/>
        </w:rPr>
      </w:pPr>
      <w:r w:rsidRPr="004F32DD">
        <w:rPr>
          <w:rFonts w:ascii="Arial" w:hAnsi="Arial" w:cs="Arial"/>
        </w:rPr>
        <w:t xml:space="preserve">Armitage &amp; </w:t>
      </w:r>
      <w:proofErr w:type="spellStart"/>
      <w:r w:rsidRPr="004F32DD">
        <w:rPr>
          <w:rFonts w:ascii="Arial" w:hAnsi="Arial" w:cs="Arial"/>
        </w:rPr>
        <w:t>Nellums</w:t>
      </w:r>
      <w:proofErr w:type="spellEnd"/>
      <w:r w:rsidRPr="004F32DD">
        <w:rPr>
          <w:rFonts w:ascii="Arial" w:hAnsi="Arial" w:cs="Arial"/>
        </w:rPr>
        <w:t xml:space="preserve"> (2020) state that social isolation is a serious concern due to not only their vulnerabilities, but also for their mental health. They state that social distancing, has been a very concerning issue for the older people, especially those living in nursing care homes, as they represent an independent factor risk for depression and anxiety disorders (CDC, 2019). That is why, the pandemic represented for the old age a factor of stigmatization, as they have been marginalized because of their condition (Banerjee, 2020). The Public Interest Disclosure Act 1998, which goes hand in hand with the Modernization Theory (Morgan and Kunkel, 2011), explain that, in the context given, the elderly should be protected and receive all the care and support they need in care homes, even though they status has ‘declined’ in the society.  Even though Banerjee (2020) states that seniors are not comfortable with smart phone or the social media language, which presumably have also been factors that induced loneliness and depression during these times, according to ONS, 47% of people over the age of 75 have recently become internet users in the UK (Aging Better, 2020). Therefore, it is appropriate to state that in the UK, the pandemic has </w:t>
      </w:r>
      <w:proofErr w:type="spellStart"/>
      <w:r w:rsidRPr="004F32DD">
        <w:rPr>
          <w:rFonts w:ascii="Arial" w:hAnsi="Arial" w:cs="Arial"/>
        </w:rPr>
        <w:t>offerd</w:t>
      </w:r>
      <w:proofErr w:type="spellEnd"/>
      <w:r w:rsidRPr="004F32DD">
        <w:rPr>
          <w:rFonts w:ascii="Arial" w:hAnsi="Arial" w:cs="Arial"/>
        </w:rPr>
        <w:t xml:space="preserve"> the elderly the possibility to </w:t>
      </w:r>
      <w:proofErr w:type="spellStart"/>
      <w:r w:rsidRPr="004F32DD">
        <w:rPr>
          <w:rFonts w:ascii="Arial" w:hAnsi="Arial" w:cs="Arial"/>
        </w:rPr>
        <w:t>disocver</w:t>
      </w:r>
      <w:proofErr w:type="spellEnd"/>
      <w:r w:rsidRPr="004F32DD">
        <w:rPr>
          <w:rFonts w:ascii="Arial" w:hAnsi="Arial" w:cs="Arial"/>
        </w:rPr>
        <w:t xml:space="preserve"> technology and its positive outcomes, which can be seen as a chance to contrast the Modernization Theory.</w:t>
      </w:r>
    </w:p>
    <w:p w14:paraId="6DEB3823" w14:textId="77777777" w:rsidR="004F32DD" w:rsidRPr="004F32DD" w:rsidRDefault="004F32DD" w:rsidP="004F32DD">
      <w:pPr>
        <w:spacing w:line="360" w:lineRule="auto"/>
        <w:jc w:val="both"/>
        <w:rPr>
          <w:rFonts w:ascii="Arial" w:hAnsi="Arial" w:cs="Arial"/>
        </w:rPr>
      </w:pPr>
    </w:p>
    <w:p w14:paraId="73D584A2" w14:textId="77777777" w:rsidR="004F32DD" w:rsidRPr="004F32DD" w:rsidRDefault="004F32DD" w:rsidP="004F32DD">
      <w:pPr>
        <w:spacing w:line="360" w:lineRule="auto"/>
        <w:jc w:val="both"/>
        <w:rPr>
          <w:rFonts w:ascii="Arial" w:hAnsi="Arial" w:cs="Arial"/>
        </w:rPr>
      </w:pPr>
      <w:r w:rsidRPr="004F32DD">
        <w:rPr>
          <w:rFonts w:ascii="Arial" w:hAnsi="Arial" w:cs="Arial"/>
        </w:rPr>
        <w:t>Health and social care provision in the UK</w:t>
      </w:r>
    </w:p>
    <w:p w14:paraId="614E26AC" w14:textId="77777777" w:rsidR="004F32DD" w:rsidRPr="004F32DD" w:rsidRDefault="004F32DD" w:rsidP="004F32DD">
      <w:pPr>
        <w:spacing w:line="360" w:lineRule="auto"/>
        <w:jc w:val="both"/>
        <w:rPr>
          <w:rFonts w:ascii="Arial" w:hAnsi="Arial" w:cs="Arial"/>
        </w:rPr>
      </w:pPr>
      <w:r w:rsidRPr="004F32DD">
        <w:rPr>
          <w:rFonts w:ascii="Arial" w:hAnsi="Arial" w:cs="Arial"/>
        </w:rPr>
        <w:t xml:space="preserve">Health and social care in the UK are a confusing service as they represent two separate bodies that are handled by two different systems within the Kingdom. Healthcare, which differs in </w:t>
      </w:r>
      <w:r w:rsidRPr="004F32DD">
        <w:rPr>
          <w:rFonts w:ascii="Arial" w:hAnsi="Arial" w:cs="Arial"/>
        </w:rPr>
        <w:lastRenderedPageBreak/>
        <w:t>England, Scotland, Wales, and Northern Ireland, is collectively known as NHS, and it is centrally organised by the government (The Care Workers Charity, 2019). Whereas for Social Care, it is administered by the local authorities, and it represents agencies and activities that are meant to help individuals in need, and it provides a range of services (NHS, 2022). The current social care provision in the UK is still affected by the pandemic, as it disrupted several individual and societal practices (Pearce et al., 2021). Still, even before that, the system was not performing at its full potential. 75% of the care workers state that they have not received any support that would allow them to take a break of between one and 24hours from caring in the last 12 months, and there have been cuts in the local authority social care spending which have ultimately led to increases in the use of A&amp;E services by the people over the ages of 65 (</w:t>
      </w:r>
      <w:proofErr w:type="spellStart"/>
      <w:r w:rsidRPr="004F32DD">
        <w:rPr>
          <w:rFonts w:ascii="Arial" w:hAnsi="Arial" w:cs="Arial"/>
        </w:rPr>
        <w:t>Thorlby</w:t>
      </w:r>
      <w:proofErr w:type="spellEnd"/>
      <w:r w:rsidRPr="004F32DD">
        <w:rPr>
          <w:rFonts w:ascii="Arial" w:hAnsi="Arial" w:cs="Arial"/>
        </w:rPr>
        <w:t xml:space="preserve"> et al., 2019). Nonetheless, the positives and the potential social care has in the UK is massive. It not only enables people to live independent and fulfilling lives, as it supports all range of disabilities and conditions, but it also plays a significant role in local economies, and it provides work for a large number of people and has the opportunity to develop improved approach to care through innovation and technology (</w:t>
      </w:r>
      <w:proofErr w:type="spellStart"/>
      <w:r w:rsidRPr="004F32DD">
        <w:rPr>
          <w:rFonts w:ascii="Arial" w:hAnsi="Arial" w:cs="Arial"/>
        </w:rPr>
        <w:t>KingsFund</w:t>
      </w:r>
      <w:proofErr w:type="spellEnd"/>
      <w:r w:rsidRPr="004F32DD">
        <w:rPr>
          <w:rFonts w:ascii="Arial" w:hAnsi="Arial" w:cs="Arial"/>
        </w:rPr>
        <w:t>, 2021).</w:t>
      </w:r>
    </w:p>
    <w:p w14:paraId="0E2E7D03" w14:textId="77777777" w:rsidR="004F32DD" w:rsidRPr="004F32DD" w:rsidRDefault="004F32DD" w:rsidP="004F32DD">
      <w:pPr>
        <w:spacing w:line="360" w:lineRule="auto"/>
        <w:jc w:val="both"/>
        <w:rPr>
          <w:rFonts w:ascii="Arial" w:hAnsi="Arial" w:cs="Arial"/>
        </w:rPr>
      </w:pPr>
      <w:r w:rsidRPr="004F32DD">
        <w:rPr>
          <w:rFonts w:ascii="Arial" w:hAnsi="Arial" w:cs="Arial"/>
        </w:rPr>
        <w:t xml:space="preserve">Government implications </w:t>
      </w:r>
    </w:p>
    <w:p w14:paraId="287E9E7A" w14:textId="77777777" w:rsidR="004F32DD" w:rsidRPr="004F32DD" w:rsidRDefault="004F32DD" w:rsidP="004F32DD">
      <w:pPr>
        <w:spacing w:line="360" w:lineRule="auto"/>
        <w:jc w:val="both"/>
        <w:rPr>
          <w:rFonts w:ascii="Arial" w:hAnsi="Arial" w:cs="Arial"/>
        </w:rPr>
      </w:pPr>
      <w:r w:rsidRPr="004F32DD">
        <w:rPr>
          <w:rFonts w:ascii="Arial" w:hAnsi="Arial" w:cs="Arial"/>
        </w:rPr>
        <w:t>It is important to acknowledge the implications of the government and the social care practices in the issues that this sector of health in the UK experience. There are current laws which protect social care, but they do not keep up with the requirements of today’s societal implications.</w:t>
      </w:r>
    </w:p>
    <w:p w14:paraId="1C92859D" w14:textId="77777777" w:rsidR="004F32DD" w:rsidRPr="004F32DD" w:rsidRDefault="004F32DD" w:rsidP="004F32DD">
      <w:pPr>
        <w:spacing w:line="360" w:lineRule="auto"/>
        <w:jc w:val="both"/>
        <w:rPr>
          <w:rFonts w:ascii="Arial" w:hAnsi="Arial" w:cs="Arial"/>
        </w:rPr>
      </w:pPr>
      <w:r w:rsidRPr="004F32DD">
        <w:rPr>
          <w:rFonts w:ascii="Arial" w:hAnsi="Arial" w:cs="Arial"/>
        </w:rPr>
        <w:t xml:space="preserve">Therefore, some of the responses that the government has given in relation to the issues that have been presented earlier are policies that focus on implementing practices and procedures who will help the </w:t>
      </w:r>
      <w:proofErr w:type="spellStart"/>
      <w:r w:rsidRPr="004F32DD">
        <w:rPr>
          <w:rFonts w:ascii="Arial" w:hAnsi="Arial" w:cs="Arial"/>
        </w:rPr>
        <w:t>the</w:t>
      </w:r>
      <w:proofErr w:type="spellEnd"/>
      <w:r w:rsidRPr="004F32DD">
        <w:rPr>
          <w:rFonts w:ascii="Arial" w:hAnsi="Arial" w:cs="Arial"/>
        </w:rPr>
        <w:t xml:space="preserve"> sector for the long term. The first policy is Build Back Better  which reflects on the challenges and changes that have been present in the sector because of Covid 19. Hence, the plan reflects the wish to bring health and social care much more closer to one another, so from October 2023, no eligible person starting social care will have to pay more than £86,000 for personal care in their lifetime. Even though this could have been a possibility for the government to make social care free or at least at a minimal cost, it still represents a step for the better for the social care department. Therefore, from 2023, this policy will be legislatively separate, and will be based on National Insurance contributions. Another policy which has come up as a response for the issues that have been presented within the social care sector. The Health and Social CARE Levy states that the government will be committed to responsible management of public finances, which ultimately will lead to a permanent increase in spending. Unfortunately, this will represent a significant increase in taxation for most individuals in the UK. Taking effect in April 2023, the policy will be the foundation to other </w:t>
      </w:r>
      <w:r w:rsidRPr="004F32DD">
        <w:rPr>
          <w:rFonts w:ascii="Arial" w:hAnsi="Arial" w:cs="Arial"/>
        </w:rPr>
        <w:lastRenderedPageBreak/>
        <w:t>implementations such as the Build Back Better and laws that will become effective in years’ time.</w:t>
      </w:r>
    </w:p>
    <w:p w14:paraId="3C1CA2F7" w14:textId="77777777" w:rsidR="004F32DD" w:rsidRPr="004F32DD" w:rsidRDefault="004F32DD" w:rsidP="004F32DD">
      <w:pPr>
        <w:spacing w:line="360" w:lineRule="auto"/>
        <w:jc w:val="both"/>
        <w:rPr>
          <w:rFonts w:ascii="Arial" w:hAnsi="Arial" w:cs="Arial"/>
        </w:rPr>
      </w:pPr>
    </w:p>
    <w:p w14:paraId="31A4A9C9" w14:textId="77777777" w:rsidR="004F32DD" w:rsidRPr="004F32DD" w:rsidRDefault="004F32DD" w:rsidP="004F32DD">
      <w:pPr>
        <w:spacing w:line="360" w:lineRule="auto"/>
        <w:jc w:val="both"/>
        <w:rPr>
          <w:rFonts w:ascii="Arial" w:hAnsi="Arial" w:cs="Arial"/>
        </w:rPr>
      </w:pPr>
      <w:r w:rsidRPr="004F32DD">
        <w:rPr>
          <w:rFonts w:ascii="Arial" w:hAnsi="Arial" w:cs="Arial"/>
        </w:rPr>
        <w:t>Conclusion</w:t>
      </w:r>
    </w:p>
    <w:p w14:paraId="15124583" w14:textId="77777777" w:rsidR="004F32DD" w:rsidRPr="004F32DD" w:rsidRDefault="004F32DD" w:rsidP="004F32DD">
      <w:pPr>
        <w:spacing w:line="360" w:lineRule="auto"/>
        <w:jc w:val="both"/>
        <w:rPr>
          <w:rFonts w:ascii="Arial" w:hAnsi="Arial" w:cs="Arial"/>
        </w:rPr>
      </w:pPr>
      <w:r w:rsidRPr="004F32DD">
        <w:rPr>
          <w:rFonts w:ascii="Arial" w:hAnsi="Arial" w:cs="Arial"/>
        </w:rPr>
        <w:t>In conclusion, this essay has been looking at the meaning of Old Age and what issues it involves. It has been presented the definition of old age, which differs from theory and practice, as well as the implications of an aging population like the one the UK has. Afterwards, issues that the old age experiences have been disclosed, using relevant examples and key literature. An issues has been explained in detail, which has been linked to theory policy and practice. Followed shortly after, the implications of the pandemic on the elderly population in the UK have been presented, which has critically evaluated the situation from an individual and societal perspective. Lastly, a critical overview of Health and Social Care provision has been presented, which ultimately has been linked to responses from government and the health service regarding the issues presented.</w:t>
      </w:r>
    </w:p>
    <w:p w14:paraId="79015C9F" w14:textId="7D4FF26B" w:rsidR="004F32DD" w:rsidRDefault="004F32DD" w:rsidP="004F32DD">
      <w:pPr>
        <w:spacing w:line="360" w:lineRule="auto"/>
        <w:jc w:val="both"/>
        <w:rPr>
          <w:rFonts w:ascii="Arial" w:hAnsi="Arial" w:cs="Arial"/>
        </w:rPr>
      </w:pPr>
    </w:p>
    <w:p w14:paraId="7F13F2FF" w14:textId="3B5E11DB" w:rsidR="004F32DD" w:rsidRDefault="004F32DD" w:rsidP="004F32DD">
      <w:pPr>
        <w:spacing w:line="360" w:lineRule="auto"/>
        <w:jc w:val="both"/>
        <w:rPr>
          <w:rFonts w:ascii="Arial" w:hAnsi="Arial" w:cs="Arial"/>
        </w:rPr>
      </w:pPr>
    </w:p>
    <w:p w14:paraId="22DFC3B8" w14:textId="7D64366B" w:rsidR="004F32DD" w:rsidRDefault="004F32DD" w:rsidP="004F32DD">
      <w:pPr>
        <w:spacing w:line="360" w:lineRule="auto"/>
        <w:jc w:val="both"/>
        <w:rPr>
          <w:rFonts w:ascii="Arial" w:hAnsi="Arial" w:cs="Arial"/>
        </w:rPr>
      </w:pPr>
    </w:p>
    <w:p w14:paraId="08889924" w14:textId="7B67ADB3" w:rsidR="004F32DD" w:rsidRDefault="004F32DD" w:rsidP="004F32DD">
      <w:pPr>
        <w:spacing w:line="360" w:lineRule="auto"/>
        <w:jc w:val="both"/>
        <w:rPr>
          <w:rFonts w:ascii="Arial" w:hAnsi="Arial" w:cs="Arial"/>
        </w:rPr>
      </w:pPr>
    </w:p>
    <w:p w14:paraId="537FB200" w14:textId="64DC7B25" w:rsidR="004F32DD" w:rsidRDefault="004F32DD" w:rsidP="004F32DD">
      <w:pPr>
        <w:spacing w:line="360" w:lineRule="auto"/>
        <w:jc w:val="both"/>
        <w:rPr>
          <w:rFonts w:ascii="Arial" w:hAnsi="Arial" w:cs="Arial"/>
        </w:rPr>
      </w:pPr>
    </w:p>
    <w:p w14:paraId="796D2FC7" w14:textId="6CCED05D" w:rsidR="004F32DD" w:rsidRDefault="004F32DD" w:rsidP="004F32DD">
      <w:pPr>
        <w:spacing w:line="360" w:lineRule="auto"/>
        <w:jc w:val="both"/>
        <w:rPr>
          <w:rFonts w:ascii="Arial" w:hAnsi="Arial" w:cs="Arial"/>
        </w:rPr>
      </w:pPr>
    </w:p>
    <w:p w14:paraId="551C6F5A" w14:textId="3EE8BB5E" w:rsidR="004F32DD" w:rsidRDefault="004F32DD" w:rsidP="004F32DD">
      <w:pPr>
        <w:spacing w:line="360" w:lineRule="auto"/>
        <w:jc w:val="both"/>
        <w:rPr>
          <w:rFonts w:ascii="Arial" w:hAnsi="Arial" w:cs="Arial"/>
        </w:rPr>
      </w:pPr>
    </w:p>
    <w:p w14:paraId="0168DFAA" w14:textId="2F59406B" w:rsidR="004F32DD" w:rsidRDefault="004F32DD" w:rsidP="004F32DD">
      <w:pPr>
        <w:spacing w:line="360" w:lineRule="auto"/>
        <w:jc w:val="both"/>
        <w:rPr>
          <w:rFonts w:ascii="Arial" w:hAnsi="Arial" w:cs="Arial"/>
        </w:rPr>
      </w:pPr>
    </w:p>
    <w:p w14:paraId="0E09238A" w14:textId="0FA51BDF" w:rsidR="004F32DD" w:rsidRDefault="004F32DD" w:rsidP="004F32DD">
      <w:pPr>
        <w:spacing w:line="360" w:lineRule="auto"/>
        <w:jc w:val="both"/>
        <w:rPr>
          <w:rFonts w:ascii="Arial" w:hAnsi="Arial" w:cs="Arial"/>
        </w:rPr>
      </w:pPr>
    </w:p>
    <w:p w14:paraId="4C2AF4B8" w14:textId="26FB099B" w:rsidR="004F32DD" w:rsidRDefault="004F32DD" w:rsidP="004F32DD">
      <w:pPr>
        <w:spacing w:line="360" w:lineRule="auto"/>
        <w:jc w:val="both"/>
        <w:rPr>
          <w:rFonts w:ascii="Arial" w:hAnsi="Arial" w:cs="Arial"/>
        </w:rPr>
      </w:pPr>
    </w:p>
    <w:p w14:paraId="07AC3782" w14:textId="74DA328A" w:rsidR="004F32DD" w:rsidRDefault="004F32DD" w:rsidP="004F32DD">
      <w:pPr>
        <w:spacing w:line="360" w:lineRule="auto"/>
        <w:jc w:val="both"/>
        <w:rPr>
          <w:rFonts w:ascii="Arial" w:hAnsi="Arial" w:cs="Arial"/>
        </w:rPr>
      </w:pPr>
    </w:p>
    <w:p w14:paraId="71D1E0CD" w14:textId="1BA9FE4E" w:rsidR="004F32DD" w:rsidRDefault="004F32DD" w:rsidP="004F32DD">
      <w:pPr>
        <w:spacing w:line="360" w:lineRule="auto"/>
        <w:jc w:val="both"/>
        <w:rPr>
          <w:rFonts w:ascii="Arial" w:hAnsi="Arial" w:cs="Arial"/>
        </w:rPr>
      </w:pPr>
    </w:p>
    <w:p w14:paraId="638DA41E" w14:textId="4BDDEC10" w:rsidR="004F32DD" w:rsidRDefault="004F32DD" w:rsidP="004F32DD">
      <w:pPr>
        <w:spacing w:line="360" w:lineRule="auto"/>
        <w:jc w:val="both"/>
        <w:rPr>
          <w:rFonts w:ascii="Arial" w:hAnsi="Arial" w:cs="Arial"/>
        </w:rPr>
      </w:pPr>
    </w:p>
    <w:p w14:paraId="35F425D0" w14:textId="725B6E4E" w:rsidR="004F32DD" w:rsidRDefault="004F32DD" w:rsidP="004F32DD">
      <w:pPr>
        <w:spacing w:line="360" w:lineRule="auto"/>
        <w:jc w:val="both"/>
        <w:rPr>
          <w:rFonts w:ascii="Arial" w:hAnsi="Arial" w:cs="Arial"/>
        </w:rPr>
      </w:pPr>
    </w:p>
    <w:p w14:paraId="38A3AD0F" w14:textId="77777777" w:rsidR="004F32DD" w:rsidRPr="004F32DD" w:rsidRDefault="004F32DD" w:rsidP="004F32DD">
      <w:pPr>
        <w:spacing w:line="360" w:lineRule="auto"/>
        <w:jc w:val="both"/>
        <w:rPr>
          <w:rFonts w:ascii="Arial" w:hAnsi="Arial" w:cs="Arial"/>
        </w:rPr>
      </w:pPr>
    </w:p>
    <w:p w14:paraId="444B3C25" w14:textId="77777777" w:rsidR="004F32DD" w:rsidRPr="004F32DD" w:rsidRDefault="004F32DD" w:rsidP="004F32DD">
      <w:pPr>
        <w:spacing w:line="360" w:lineRule="auto"/>
        <w:jc w:val="both"/>
        <w:rPr>
          <w:rFonts w:ascii="Arial" w:hAnsi="Arial" w:cs="Arial"/>
        </w:rPr>
      </w:pPr>
      <w:r w:rsidRPr="004F32DD">
        <w:rPr>
          <w:rFonts w:ascii="Arial" w:hAnsi="Arial" w:cs="Arial"/>
        </w:rPr>
        <w:lastRenderedPageBreak/>
        <w:t xml:space="preserve">References </w:t>
      </w:r>
    </w:p>
    <w:p w14:paraId="154F1F00" w14:textId="77777777" w:rsidR="004F32DD" w:rsidRPr="004F32DD" w:rsidRDefault="004F32DD" w:rsidP="004F32DD">
      <w:pPr>
        <w:numPr>
          <w:ilvl w:val="0"/>
          <w:numId w:val="1"/>
        </w:numPr>
        <w:spacing w:line="360" w:lineRule="auto"/>
        <w:contextualSpacing/>
        <w:jc w:val="both"/>
        <w:rPr>
          <w:rFonts w:ascii="Arial" w:hAnsi="Arial" w:cs="Arial"/>
        </w:rPr>
      </w:pPr>
      <w:proofErr w:type="spellStart"/>
      <w:r w:rsidRPr="004F32DD">
        <w:rPr>
          <w:rFonts w:ascii="Arial" w:hAnsi="Arial" w:cs="Arial"/>
        </w:rPr>
        <w:t>AgeUK</w:t>
      </w:r>
      <w:proofErr w:type="spellEnd"/>
      <w:r w:rsidRPr="004F32DD">
        <w:rPr>
          <w:rFonts w:ascii="Arial" w:hAnsi="Arial" w:cs="Arial"/>
        </w:rPr>
        <w:t xml:space="preserve"> (2022) </w:t>
      </w:r>
      <w:r w:rsidRPr="004F32DD">
        <w:rPr>
          <w:rFonts w:ascii="Arial" w:hAnsi="Arial" w:cs="Arial"/>
          <w:i/>
          <w:iCs/>
        </w:rPr>
        <w:t xml:space="preserve">Conditions and illnesses </w:t>
      </w:r>
      <w:r w:rsidRPr="004F32DD">
        <w:rPr>
          <w:rFonts w:ascii="Arial" w:hAnsi="Arial" w:cs="Arial"/>
        </w:rPr>
        <w:t xml:space="preserve">(online). Available at: </w:t>
      </w:r>
      <w:hyperlink r:id="rId8" w:history="1">
        <w:r w:rsidRPr="004F32DD">
          <w:rPr>
            <w:rFonts w:ascii="Arial" w:hAnsi="Arial" w:cs="Arial"/>
            <w:color w:val="0563C1" w:themeColor="hyperlink"/>
            <w:u w:val="single"/>
          </w:rPr>
          <w:t>https://www.ageuk.org.uk/information-advice/health-wellbeing/conditions-illnesses/</w:t>
        </w:r>
      </w:hyperlink>
      <w:r w:rsidRPr="004F32DD">
        <w:rPr>
          <w:rFonts w:ascii="Arial" w:hAnsi="Arial" w:cs="Arial"/>
        </w:rPr>
        <w:t xml:space="preserve"> (Accessed 30 July 2022).</w:t>
      </w:r>
    </w:p>
    <w:p w14:paraId="17650863" w14:textId="77777777" w:rsidR="004F32DD" w:rsidRPr="004F32DD" w:rsidRDefault="004F32DD" w:rsidP="004F32DD">
      <w:pPr>
        <w:numPr>
          <w:ilvl w:val="0"/>
          <w:numId w:val="1"/>
        </w:numPr>
        <w:spacing w:line="360" w:lineRule="auto"/>
        <w:contextualSpacing/>
        <w:jc w:val="both"/>
        <w:rPr>
          <w:rFonts w:ascii="Arial" w:hAnsi="Arial" w:cs="Arial"/>
        </w:rPr>
      </w:pPr>
      <w:r w:rsidRPr="004F32DD">
        <w:rPr>
          <w:rFonts w:ascii="Arial" w:hAnsi="Arial" w:cs="Arial"/>
        </w:rPr>
        <w:t xml:space="preserve">Aging Better (2020) </w:t>
      </w:r>
      <w:r w:rsidRPr="004F32DD">
        <w:rPr>
          <w:rFonts w:ascii="Arial" w:hAnsi="Arial" w:cs="Arial"/>
          <w:i/>
          <w:iCs/>
        </w:rPr>
        <w:t xml:space="preserve">How are older people adapting to digital technology during the COVID-19 pandemic </w:t>
      </w:r>
      <w:r w:rsidRPr="004F32DD">
        <w:rPr>
          <w:rFonts w:ascii="Arial" w:hAnsi="Arial" w:cs="Arial"/>
        </w:rPr>
        <w:t xml:space="preserve">(online) Available at: </w:t>
      </w:r>
      <w:hyperlink r:id="rId9" w:history="1">
        <w:r w:rsidRPr="004F32DD">
          <w:rPr>
            <w:rFonts w:ascii="Arial" w:hAnsi="Arial" w:cs="Arial"/>
            <w:color w:val="0563C1" w:themeColor="hyperlink"/>
            <w:u w:val="single"/>
          </w:rPr>
          <w:t>https://ageing-better.org.uk/blogs/how-are-older-people-adapting-digital-technology-during-covid-19-pandemic</w:t>
        </w:r>
      </w:hyperlink>
      <w:r w:rsidRPr="004F32DD">
        <w:rPr>
          <w:rFonts w:ascii="Arial" w:hAnsi="Arial" w:cs="Arial"/>
        </w:rPr>
        <w:t xml:space="preserve"> (Accessed 31 July 2022).</w:t>
      </w:r>
    </w:p>
    <w:p w14:paraId="19FF7916" w14:textId="77777777" w:rsidR="004F32DD" w:rsidRPr="004F32DD" w:rsidRDefault="004F32DD" w:rsidP="004F32DD">
      <w:pPr>
        <w:numPr>
          <w:ilvl w:val="0"/>
          <w:numId w:val="1"/>
        </w:numPr>
        <w:spacing w:line="360" w:lineRule="auto"/>
        <w:contextualSpacing/>
        <w:jc w:val="both"/>
        <w:rPr>
          <w:rFonts w:ascii="Arial" w:hAnsi="Arial" w:cs="Arial"/>
        </w:rPr>
      </w:pPr>
      <w:r w:rsidRPr="004F32DD">
        <w:rPr>
          <w:rFonts w:ascii="Arial" w:hAnsi="Arial" w:cs="Arial"/>
        </w:rPr>
        <w:t xml:space="preserve">Armitage, R., &amp; </w:t>
      </w:r>
      <w:proofErr w:type="spellStart"/>
      <w:r w:rsidRPr="004F32DD">
        <w:rPr>
          <w:rFonts w:ascii="Arial" w:hAnsi="Arial" w:cs="Arial"/>
        </w:rPr>
        <w:t>Nellums</w:t>
      </w:r>
      <w:proofErr w:type="spellEnd"/>
      <w:r w:rsidRPr="004F32DD">
        <w:rPr>
          <w:rFonts w:ascii="Arial" w:hAnsi="Arial" w:cs="Arial"/>
        </w:rPr>
        <w:t xml:space="preserve">, L. B. (2020), ‘COVID-19 and the consequences of isolating the elderly’, </w:t>
      </w:r>
      <w:r w:rsidRPr="004F32DD">
        <w:rPr>
          <w:rFonts w:ascii="Arial" w:hAnsi="Arial" w:cs="Arial"/>
          <w:i/>
          <w:iCs/>
        </w:rPr>
        <w:t>The Lancet Public Health</w:t>
      </w:r>
      <w:r w:rsidRPr="004F32DD">
        <w:rPr>
          <w:rFonts w:ascii="Arial" w:hAnsi="Arial" w:cs="Arial"/>
        </w:rPr>
        <w:t>, 5(5), pp. e256.</w:t>
      </w:r>
    </w:p>
    <w:p w14:paraId="78D50087" w14:textId="77777777" w:rsidR="004F32DD" w:rsidRPr="004F32DD" w:rsidRDefault="004F32DD" w:rsidP="004F32DD">
      <w:pPr>
        <w:numPr>
          <w:ilvl w:val="0"/>
          <w:numId w:val="1"/>
        </w:numPr>
        <w:spacing w:line="360" w:lineRule="auto"/>
        <w:contextualSpacing/>
        <w:jc w:val="both"/>
        <w:rPr>
          <w:rFonts w:ascii="Arial" w:hAnsi="Arial" w:cs="Arial"/>
        </w:rPr>
      </w:pPr>
      <w:r w:rsidRPr="004F32DD">
        <w:rPr>
          <w:rFonts w:ascii="Arial" w:hAnsi="Arial" w:cs="Arial"/>
        </w:rPr>
        <w:t>Banerjee, D. (2020), ‘The impact of Covid</w:t>
      </w:r>
      <w:r w:rsidRPr="004F32DD">
        <w:rPr>
          <w:rFonts w:ascii="Cambria Math" w:hAnsi="Cambria Math" w:cs="Cambria Math"/>
        </w:rPr>
        <w:t>‐</w:t>
      </w:r>
      <w:r w:rsidRPr="004F32DD">
        <w:rPr>
          <w:rFonts w:ascii="Arial" w:hAnsi="Arial" w:cs="Arial"/>
        </w:rPr>
        <w:t xml:space="preserve">19 pandemic on elderly mental health’, </w:t>
      </w:r>
      <w:r w:rsidRPr="004F32DD">
        <w:rPr>
          <w:rFonts w:ascii="Arial" w:hAnsi="Arial" w:cs="Arial"/>
          <w:i/>
          <w:iCs/>
        </w:rPr>
        <w:t>International Journal of Geriatric Psychiatry</w:t>
      </w:r>
      <w:r w:rsidRPr="004F32DD">
        <w:rPr>
          <w:rFonts w:ascii="Arial" w:hAnsi="Arial" w:cs="Arial"/>
        </w:rPr>
        <w:t>, 35(12), pp. 1466.</w:t>
      </w:r>
    </w:p>
    <w:p w14:paraId="1E823C72" w14:textId="77777777" w:rsidR="004F32DD" w:rsidRPr="004F32DD" w:rsidRDefault="004F32DD" w:rsidP="004F32DD">
      <w:pPr>
        <w:numPr>
          <w:ilvl w:val="0"/>
          <w:numId w:val="1"/>
        </w:numPr>
        <w:spacing w:line="360" w:lineRule="auto"/>
        <w:contextualSpacing/>
        <w:jc w:val="both"/>
        <w:rPr>
          <w:rFonts w:ascii="Arial" w:hAnsi="Arial" w:cs="Arial"/>
        </w:rPr>
      </w:pPr>
      <w:r w:rsidRPr="004F32DD">
        <w:rPr>
          <w:rFonts w:ascii="Arial" w:hAnsi="Arial" w:cs="Arial"/>
        </w:rPr>
        <w:t>Bryant, C., Jackson, H. and Ames, D. (2009), ‘</w:t>
      </w:r>
      <w:proofErr w:type="spellStart"/>
      <w:r w:rsidRPr="004F32DD">
        <w:rPr>
          <w:rFonts w:ascii="Arial" w:hAnsi="Arial" w:cs="Arial"/>
        </w:rPr>
        <w:t>Depressionand</w:t>
      </w:r>
      <w:proofErr w:type="spellEnd"/>
      <w:r w:rsidRPr="004F32DD">
        <w:rPr>
          <w:rFonts w:ascii="Arial" w:hAnsi="Arial" w:cs="Arial"/>
        </w:rPr>
        <w:t xml:space="preserve"> anxiety in medically unwell older adults: </w:t>
      </w:r>
      <w:proofErr w:type="spellStart"/>
      <w:r w:rsidRPr="004F32DD">
        <w:rPr>
          <w:rFonts w:ascii="Arial" w:hAnsi="Arial" w:cs="Arial"/>
        </w:rPr>
        <w:t>prevalenceand</w:t>
      </w:r>
      <w:proofErr w:type="spellEnd"/>
      <w:r w:rsidRPr="004F32DD">
        <w:rPr>
          <w:rFonts w:ascii="Arial" w:hAnsi="Arial" w:cs="Arial"/>
        </w:rPr>
        <w:t xml:space="preserve"> short-term course’, </w:t>
      </w:r>
      <w:r w:rsidRPr="004F32DD">
        <w:rPr>
          <w:rFonts w:ascii="Arial" w:hAnsi="Arial" w:cs="Arial"/>
          <w:i/>
          <w:iCs/>
        </w:rPr>
        <w:t>International Psychogeriatrics</w:t>
      </w:r>
      <w:r w:rsidRPr="004F32DD">
        <w:rPr>
          <w:rFonts w:ascii="Arial" w:hAnsi="Arial" w:cs="Arial"/>
        </w:rPr>
        <w:t>, 21, pp. 754–764.</w:t>
      </w:r>
    </w:p>
    <w:p w14:paraId="0555AF91" w14:textId="77777777" w:rsidR="004F32DD" w:rsidRPr="004F32DD" w:rsidRDefault="004F32DD" w:rsidP="004F32DD">
      <w:pPr>
        <w:numPr>
          <w:ilvl w:val="0"/>
          <w:numId w:val="1"/>
        </w:numPr>
        <w:spacing w:line="360" w:lineRule="auto"/>
        <w:contextualSpacing/>
        <w:jc w:val="both"/>
      </w:pPr>
      <w:r w:rsidRPr="004F32DD">
        <w:rPr>
          <w:rFonts w:ascii="Arial" w:hAnsi="Arial" w:cs="Arial"/>
        </w:rPr>
        <w:t xml:space="preserve">CDC (2019) </w:t>
      </w:r>
      <w:r w:rsidRPr="004F32DD">
        <w:rPr>
          <w:rFonts w:ascii="Arial" w:hAnsi="Arial" w:cs="Arial"/>
          <w:i/>
          <w:iCs/>
        </w:rPr>
        <w:t>Managing Stress and Anxiety</w:t>
      </w:r>
      <w:r w:rsidRPr="004F32DD">
        <w:rPr>
          <w:rFonts w:ascii="Arial" w:hAnsi="Arial" w:cs="Arial"/>
        </w:rPr>
        <w:t xml:space="preserve"> (online) Available at: </w:t>
      </w:r>
      <w:hyperlink r:id="rId10" w:history="1">
        <w:r w:rsidRPr="004F32DD">
          <w:rPr>
            <w:rFonts w:ascii="Arial" w:hAnsi="Arial" w:cs="Arial"/>
            <w:color w:val="0563C1" w:themeColor="hyperlink"/>
            <w:u w:val="single"/>
          </w:rPr>
          <w:t>https://www.cdc.gov/coronavirus/2019-ncov/prepare/managing-stress-anxiety.html</w:t>
        </w:r>
      </w:hyperlink>
      <w:r w:rsidRPr="004F32DD">
        <w:rPr>
          <w:rFonts w:ascii="Arial" w:hAnsi="Arial" w:cs="Arial"/>
        </w:rPr>
        <w:t xml:space="preserve"> (Accessed 31 July 2022).</w:t>
      </w:r>
      <w:r w:rsidRPr="004F32DD">
        <w:t xml:space="preserve"> </w:t>
      </w:r>
    </w:p>
    <w:p w14:paraId="433D1276" w14:textId="77777777" w:rsidR="004F32DD" w:rsidRPr="004F32DD" w:rsidRDefault="004F32DD" w:rsidP="004F32DD">
      <w:pPr>
        <w:numPr>
          <w:ilvl w:val="0"/>
          <w:numId w:val="1"/>
        </w:numPr>
        <w:spacing w:line="360" w:lineRule="auto"/>
        <w:contextualSpacing/>
        <w:jc w:val="both"/>
        <w:rPr>
          <w:rFonts w:ascii="Arial" w:hAnsi="Arial" w:cs="Arial"/>
        </w:rPr>
      </w:pPr>
      <w:r w:rsidRPr="004F32DD">
        <w:rPr>
          <w:rFonts w:ascii="Arial" w:hAnsi="Arial" w:cs="Arial"/>
        </w:rPr>
        <w:t xml:space="preserve">Chandler, D. &amp; </w:t>
      </w:r>
      <w:proofErr w:type="spellStart"/>
      <w:r w:rsidRPr="004F32DD">
        <w:rPr>
          <w:rFonts w:ascii="Arial" w:hAnsi="Arial" w:cs="Arial"/>
        </w:rPr>
        <w:t>Tetlow</w:t>
      </w:r>
      <w:proofErr w:type="spellEnd"/>
      <w:r w:rsidRPr="004F32DD">
        <w:rPr>
          <w:rFonts w:ascii="Arial" w:hAnsi="Arial" w:cs="Arial"/>
        </w:rPr>
        <w:t xml:space="preserve">, G. (2014) </w:t>
      </w:r>
      <w:r w:rsidRPr="004F32DD">
        <w:rPr>
          <w:rFonts w:ascii="Arial" w:hAnsi="Arial" w:cs="Arial"/>
          <w:i/>
          <w:iCs/>
        </w:rPr>
        <w:t>Retirement in the 21st Century - IFS Report R98</w:t>
      </w:r>
      <w:r w:rsidRPr="004F32DD">
        <w:rPr>
          <w:rFonts w:ascii="Arial" w:hAnsi="Arial" w:cs="Arial"/>
        </w:rPr>
        <w:t xml:space="preserve"> (online). Available at: </w:t>
      </w:r>
      <w:hyperlink r:id="rId11" w:history="1">
        <w:r w:rsidRPr="004F32DD">
          <w:rPr>
            <w:rFonts w:ascii="Arial" w:hAnsi="Arial" w:cs="Arial"/>
            <w:color w:val="0563C1" w:themeColor="hyperlink"/>
            <w:u w:val="single"/>
          </w:rPr>
          <w:t>https://ifs.org.uk/uploads/publications/comms/R98.pdf</w:t>
        </w:r>
      </w:hyperlink>
      <w:r w:rsidRPr="004F32DD">
        <w:rPr>
          <w:rFonts w:ascii="Arial" w:hAnsi="Arial" w:cs="Arial"/>
        </w:rPr>
        <w:t xml:space="preserve"> (Accessed 29 July 2022).</w:t>
      </w:r>
    </w:p>
    <w:p w14:paraId="18FA08F8" w14:textId="77777777" w:rsidR="004F32DD" w:rsidRPr="004F32DD" w:rsidRDefault="004F32DD" w:rsidP="004F32DD">
      <w:pPr>
        <w:numPr>
          <w:ilvl w:val="0"/>
          <w:numId w:val="1"/>
        </w:numPr>
        <w:spacing w:line="360" w:lineRule="auto"/>
        <w:contextualSpacing/>
        <w:jc w:val="both"/>
        <w:rPr>
          <w:rFonts w:ascii="Arial" w:hAnsi="Arial" w:cs="Arial"/>
        </w:rPr>
      </w:pPr>
      <w:r w:rsidRPr="004F32DD">
        <w:rPr>
          <w:rFonts w:ascii="Arial" w:hAnsi="Arial" w:cs="Arial"/>
        </w:rPr>
        <w:t>Dubuc, S. (2016</w:t>
      </w:r>
      <w:r w:rsidRPr="004F32DD">
        <w:rPr>
          <w:rFonts w:ascii="Arial" w:hAnsi="Arial" w:cs="Arial"/>
          <w:i/>
          <w:iCs/>
        </w:rPr>
        <w:t>), Immigrants and ethnic fertility convergence in the UK: the role of global fertility transition and intergenerational social integration</w:t>
      </w:r>
      <w:r w:rsidRPr="004F32DD">
        <w:rPr>
          <w:rFonts w:ascii="Arial" w:hAnsi="Arial" w:cs="Arial"/>
        </w:rPr>
        <w:t xml:space="preserve">. </w:t>
      </w:r>
    </w:p>
    <w:p w14:paraId="4B36CC3D" w14:textId="77777777" w:rsidR="004F32DD" w:rsidRPr="004F32DD" w:rsidRDefault="004F32DD" w:rsidP="004F32DD">
      <w:pPr>
        <w:numPr>
          <w:ilvl w:val="0"/>
          <w:numId w:val="1"/>
        </w:numPr>
        <w:spacing w:line="360" w:lineRule="auto"/>
        <w:contextualSpacing/>
        <w:jc w:val="both"/>
        <w:rPr>
          <w:rFonts w:ascii="Arial" w:hAnsi="Arial" w:cs="Arial"/>
        </w:rPr>
      </w:pPr>
      <w:proofErr w:type="spellStart"/>
      <w:r w:rsidRPr="004F32DD">
        <w:rPr>
          <w:rFonts w:ascii="Arial" w:hAnsi="Arial" w:cs="Arial"/>
        </w:rPr>
        <w:t>Gottfries</w:t>
      </w:r>
      <w:proofErr w:type="spellEnd"/>
      <w:r w:rsidRPr="004F32DD">
        <w:rPr>
          <w:rFonts w:ascii="Arial" w:hAnsi="Arial" w:cs="Arial"/>
        </w:rPr>
        <w:t xml:space="preserve">, C. G. (1998), ‘Is there a difference between elderly and younger patients with regard to the symptomatology and aetiology of depression?’, </w:t>
      </w:r>
      <w:r w:rsidRPr="004F32DD">
        <w:rPr>
          <w:rFonts w:ascii="Arial" w:hAnsi="Arial" w:cs="Arial"/>
          <w:i/>
          <w:iCs/>
        </w:rPr>
        <w:t>International Clinical Psychopharmacology</w:t>
      </w:r>
      <w:r w:rsidRPr="004F32DD">
        <w:rPr>
          <w:rFonts w:ascii="Arial" w:hAnsi="Arial" w:cs="Arial"/>
        </w:rPr>
        <w:t>, 13(5), pp. S13–S18.</w:t>
      </w:r>
    </w:p>
    <w:p w14:paraId="10461834" w14:textId="77777777" w:rsidR="004F32DD" w:rsidRPr="004F32DD" w:rsidRDefault="004F32DD" w:rsidP="004F32DD">
      <w:pPr>
        <w:numPr>
          <w:ilvl w:val="0"/>
          <w:numId w:val="1"/>
        </w:numPr>
        <w:spacing w:line="360" w:lineRule="auto"/>
        <w:contextualSpacing/>
        <w:jc w:val="both"/>
        <w:rPr>
          <w:rFonts w:ascii="Arial" w:hAnsi="Arial" w:cs="Arial"/>
        </w:rPr>
      </w:pPr>
      <w:proofErr w:type="spellStart"/>
      <w:r w:rsidRPr="004F32DD">
        <w:rPr>
          <w:rFonts w:ascii="Arial" w:hAnsi="Arial" w:cs="Arial"/>
        </w:rPr>
        <w:t>Howdon</w:t>
      </w:r>
      <w:proofErr w:type="spellEnd"/>
      <w:r w:rsidRPr="004F32DD">
        <w:rPr>
          <w:rFonts w:ascii="Arial" w:hAnsi="Arial" w:cs="Arial"/>
        </w:rPr>
        <w:t xml:space="preserve">, D., &amp; Rice, N. (2018), ‘Health care expenditures, age, proximity to death and morbidity: Implications for an ageing population’, </w:t>
      </w:r>
      <w:r w:rsidRPr="004F32DD">
        <w:rPr>
          <w:rFonts w:ascii="Arial" w:hAnsi="Arial" w:cs="Arial"/>
          <w:i/>
          <w:iCs/>
        </w:rPr>
        <w:t>Journal of Health Economics</w:t>
      </w:r>
      <w:r w:rsidRPr="004F32DD">
        <w:rPr>
          <w:rFonts w:ascii="Arial" w:hAnsi="Arial" w:cs="Arial"/>
        </w:rPr>
        <w:t>, 57, pp. 60-74.</w:t>
      </w:r>
    </w:p>
    <w:p w14:paraId="6C1B46C6" w14:textId="77777777" w:rsidR="004F32DD" w:rsidRPr="004F32DD" w:rsidRDefault="004F32DD" w:rsidP="004F32DD">
      <w:pPr>
        <w:numPr>
          <w:ilvl w:val="0"/>
          <w:numId w:val="1"/>
        </w:numPr>
        <w:spacing w:line="360" w:lineRule="auto"/>
        <w:contextualSpacing/>
        <w:jc w:val="both"/>
        <w:rPr>
          <w:rFonts w:ascii="Arial" w:hAnsi="Arial" w:cs="Arial"/>
        </w:rPr>
      </w:pPr>
      <w:proofErr w:type="spellStart"/>
      <w:r w:rsidRPr="004F32DD">
        <w:rPr>
          <w:rFonts w:ascii="Arial" w:hAnsi="Arial" w:cs="Arial"/>
        </w:rPr>
        <w:t>KingsFund</w:t>
      </w:r>
      <w:proofErr w:type="spellEnd"/>
      <w:r w:rsidRPr="004F32DD">
        <w:rPr>
          <w:rFonts w:ascii="Arial" w:hAnsi="Arial" w:cs="Arial"/>
        </w:rPr>
        <w:t xml:space="preserve"> (2021) </w:t>
      </w:r>
      <w:r w:rsidRPr="004F32DD">
        <w:rPr>
          <w:rFonts w:ascii="Arial" w:hAnsi="Arial" w:cs="Arial"/>
          <w:i/>
          <w:iCs/>
        </w:rPr>
        <w:t>The value of investing in social care - What are the benefits of further funding for reform to adult social care in England?</w:t>
      </w:r>
      <w:r w:rsidRPr="004F32DD">
        <w:rPr>
          <w:rFonts w:ascii="Arial" w:hAnsi="Arial" w:cs="Arial"/>
        </w:rPr>
        <w:t xml:space="preserve"> (online) Available at: </w:t>
      </w:r>
      <w:hyperlink r:id="rId12" w:history="1">
        <w:r w:rsidRPr="004F32DD">
          <w:rPr>
            <w:rFonts w:ascii="Arial" w:hAnsi="Arial" w:cs="Arial"/>
            <w:color w:val="0563C1" w:themeColor="hyperlink"/>
            <w:u w:val="single"/>
          </w:rPr>
          <w:t>https://www.kingsfund.org.uk/sites/default/files/2021-10/value-investing-social-care-briefing.pdf</w:t>
        </w:r>
      </w:hyperlink>
      <w:r w:rsidRPr="004F32DD">
        <w:rPr>
          <w:rFonts w:ascii="Arial" w:hAnsi="Arial" w:cs="Arial"/>
        </w:rPr>
        <w:t xml:space="preserve"> (Accessed 31 July 2022).</w:t>
      </w:r>
    </w:p>
    <w:p w14:paraId="6D77097F" w14:textId="77777777" w:rsidR="004F32DD" w:rsidRPr="004F32DD" w:rsidRDefault="004F32DD" w:rsidP="004F32DD">
      <w:pPr>
        <w:numPr>
          <w:ilvl w:val="0"/>
          <w:numId w:val="1"/>
        </w:numPr>
        <w:spacing w:line="360" w:lineRule="auto"/>
        <w:contextualSpacing/>
        <w:jc w:val="both"/>
        <w:rPr>
          <w:rFonts w:ascii="Arial" w:hAnsi="Arial" w:cs="Arial"/>
        </w:rPr>
      </w:pPr>
      <w:r w:rsidRPr="004F32DD">
        <w:rPr>
          <w:rFonts w:ascii="Arial" w:hAnsi="Arial" w:cs="Arial"/>
        </w:rPr>
        <w:t xml:space="preserve">Larkin, M. (2009) </w:t>
      </w:r>
      <w:r w:rsidRPr="004F32DD">
        <w:rPr>
          <w:rFonts w:ascii="Arial" w:hAnsi="Arial" w:cs="Arial"/>
          <w:i/>
          <w:iCs/>
        </w:rPr>
        <w:t>Vulnerable Groups in Health and Social Care</w:t>
      </w:r>
      <w:r w:rsidRPr="004F32DD">
        <w:rPr>
          <w:rFonts w:ascii="Arial" w:hAnsi="Arial" w:cs="Arial"/>
        </w:rPr>
        <w:t>. 1</w:t>
      </w:r>
      <w:r w:rsidRPr="004F32DD">
        <w:rPr>
          <w:rFonts w:ascii="Arial" w:hAnsi="Arial" w:cs="Arial"/>
          <w:vertAlign w:val="superscript"/>
        </w:rPr>
        <w:t>st</w:t>
      </w:r>
      <w:r w:rsidRPr="004F32DD">
        <w:rPr>
          <w:rFonts w:ascii="Arial" w:hAnsi="Arial" w:cs="Arial"/>
        </w:rPr>
        <w:t xml:space="preserve"> </w:t>
      </w:r>
      <w:proofErr w:type="spellStart"/>
      <w:r w:rsidRPr="004F32DD">
        <w:rPr>
          <w:rFonts w:ascii="Arial" w:hAnsi="Arial" w:cs="Arial"/>
        </w:rPr>
        <w:t>edn</w:t>
      </w:r>
      <w:proofErr w:type="spellEnd"/>
      <w:r w:rsidRPr="004F32DD">
        <w:rPr>
          <w:rFonts w:ascii="Arial" w:hAnsi="Arial" w:cs="Arial"/>
        </w:rPr>
        <w:t>., London: Sage Publications Ltd.</w:t>
      </w:r>
    </w:p>
    <w:p w14:paraId="0AB438D0" w14:textId="77777777" w:rsidR="004F32DD" w:rsidRPr="004F32DD" w:rsidRDefault="004F32DD" w:rsidP="004F32DD">
      <w:pPr>
        <w:numPr>
          <w:ilvl w:val="0"/>
          <w:numId w:val="1"/>
        </w:numPr>
        <w:spacing w:line="360" w:lineRule="auto"/>
        <w:contextualSpacing/>
        <w:jc w:val="both"/>
        <w:rPr>
          <w:rFonts w:ascii="Arial" w:hAnsi="Arial" w:cs="Arial"/>
        </w:rPr>
      </w:pPr>
      <w:proofErr w:type="spellStart"/>
      <w:r w:rsidRPr="004F32DD">
        <w:rPr>
          <w:rFonts w:ascii="Arial" w:hAnsi="Arial" w:cs="Arial"/>
        </w:rPr>
        <w:lastRenderedPageBreak/>
        <w:t>Laslett</w:t>
      </w:r>
      <w:proofErr w:type="spellEnd"/>
      <w:r w:rsidRPr="004F32DD">
        <w:rPr>
          <w:rFonts w:ascii="Arial" w:hAnsi="Arial" w:cs="Arial"/>
        </w:rPr>
        <w:t xml:space="preserve">, P., &amp; Richard, W. (1996). What is old age’, </w:t>
      </w:r>
      <w:r w:rsidRPr="004F32DD">
        <w:rPr>
          <w:rFonts w:ascii="Arial" w:hAnsi="Arial" w:cs="Arial"/>
          <w:i/>
          <w:iCs/>
        </w:rPr>
        <w:t>Variation Over Time and Between</w:t>
      </w:r>
      <w:r w:rsidRPr="004F32DD">
        <w:rPr>
          <w:rFonts w:ascii="Arial" w:hAnsi="Arial" w:cs="Arial"/>
        </w:rPr>
        <w:t>, 1(1), pp. 1-8.</w:t>
      </w:r>
    </w:p>
    <w:p w14:paraId="3EF437CA" w14:textId="77777777" w:rsidR="004F32DD" w:rsidRPr="004F32DD" w:rsidRDefault="004F32DD" w:rsidP="004F32DD">
      <w:pPr>
        <w:numPr>
          <w:ilvl w:val="0"/>
          <w:numId w:val="1"/>
        </w:numPr>
        <w:spacing w:line="360" w:lineRule="auto"/>
        <w:contextualSpacing/>
        <w:jc w:val="both"/>
        <w:rPr>
          <w:rFonts w:ascii="Arial" w:hAnsi="Arial" w:cs="Arial"/>
        </w:rPr>
      </w:pPr>
      <w:r w:rsidRPr="004F32DD">
        <w:rPr>
          <w:rFonts w:ascii="Arial" w:hAnsi="Arial" w:cs="Arial"/>
        </w:rPr>
        <w:t xml:space="preserve">NHS (2020). </w:t>
      </w:r>
      <w:r w:rsidRPr="004F32DD">
        <w:rPr>
          <w:rFonts w:ascii="Arial" w:hAnsi="Arial" w:cs="Arial"/>
          <w:i/>
          <w:iCs/>
        </w:rPr>
        <w:t>Improving care for older people</w:t>
      </w:r>
      <w:r w:rsidRPr="004F32DD">
        <w:rPr>
          <w:rFonts w:ascii="Arial" w:hAnsi="Arial" w:cs="Arial"/>
        </w:rPr>
        <w:t xml:space="preserve"> [online]. Available at: </w:t>
      </w:r>
      <w:hyperlink r:id="rId13" w:history="1">
        <w:r w:rsidRPr="004F32DD">
          <w:rPr>
            <w:rFonts w:ascii="Arial" w:hAnsi="Arial" w:cs="Arial"/>
            <w:color w:val="0563C1" w:themeColor="hyperlink"/>
            <w:u w:val="single"/>
          </w:rPr>
          <w:t>https://www.england.nhs.uk/ourwork/clinical-policy/older-people/improving-care-for-older-people/</w:t>
        </w:r>
      </w:hyperlink>
      <w:r w:rsidRPr="004F32DD">
        <w:rPr>
          <w:rFonts w:ascii="Arial" w:hAnsi="Arial" w:cs="Arial"/>
        </w:rPr>
        <w:t xml:space="preserve"> (Accessed 29</w:t>
      </w:r>
      <w:r w:rsidRPr="004F32DD">
        <w:rPr>
          <w:rFonts w:ascii="Arial" w:hAnsi="Arial" w:cs="Arial"/>
          <w:vertAlign w:val="superscript"/>
        </w:rPr>
        <w:t xml:space="preserve"> </w:t>
      </w:r>
      <w:r w:rsidRPr="004F32DD">
        <w:rPr>
          <w:rFonts w:ascii="Arial" w:hAnsi="Arial" w:cs="Arial"/>
        </w:rPr>
        <w:t>July 2022).</w:t>
      </w:r>
    </w:p>
    <w:p w14:paraId="3A0D0B03" w14:textId="77777777" w:rsidR="004F32DD" w:rsidRPr="004F32DD" w:rsidRDefault="004F32DD" w:rsidP="004F32DD">
      <w:pPr>
        <w:numPr>
          <w:ilvl w:val="0"/>
          <w:numId w:val="1"/>
        </w:numPr>
        <w:spacing w:line="360" w:lineRule="auto"/>
        <w:contextualSpacing/>
        <w:jc w:val="both"/>
        <w:rPr>
          <w:rFonts w:ascii="Arial" w:hAnsi="Arial" w:cs="Arial"/>
        </w:rPr>
      </w:pPr>
      <w:r w:rsidRPr="004F32DD">
        <w:rPr>
          <w:rFonts w:ascii="Arial" w:hAnsi="Arial" w:cs="Arial"/>
        </w:rPr>
        <w:t xml:space="preserve">NHS (2022) </w:t>
      </w:r>
      <w:r w:rsidRPr="004F32DD">
        <w:rPr>
          <w:rFonts w:ascii="Arial" w:hAnsi="Arial" w:cs="Arial"/>
          <w:i/>
          <w:iCs/>
        </w:rPr>
        <w:t>Social care and support guide</w:t>
      </w:r>
      <w:r w:rsidRPr="004F32DD">
        <w:rPr>
          <w:rFonts w:ascii="Arial" w:hAnsi="Arial" w:cs="Arial"/>
        </w:rPr>
        <w:t xml:space="preserve"> (online) Available at: </w:t>
      </w:r>
      <w:hyperlink r:id="rId14" w:history="1">
        <w:r w:rsidRPr="004F32DD">
          <w:rPr>
            <w:rFonts w:ascii="Arial" w:hAnsi="Arial" w:cs="Arial"/>
            <w:color w:val="0563C1" w:themeColor="hyperlink"/>
            <w:u w:val="single"/>
          </w:rPr>
          <w:t>https://www.nhs.uk/conditions/social-care-and-support-guide/</w:t>
        </w:r>
      </w:hyperlink>
      <w:r w:rsidRPr="004F32DD">
        <w:rPr>
          <w:rFonts w:ascii="Arial" w:hAnsi="Arial" w:cs="Arial"/>
        </w:rPr>
        <w:t xml:space="preserve"> (Accessed 31 July 2022).</w:t>
      </w:r>
    </w:p>
    <w:p w14:paraId="216C48A2" w14:textId="77777777" w:rsidR="004F32DD" w:rsidRPr="004F32DD" w:rsidRDefault="004F32DD" w:rsidP="004F32DD">
      <w:pPr>
        <w:numPr>
          <w:ilvl w:val="0"/>
          <w:numId w:val="1"/>
        </w:numPr>
        <w:spacing w:line="360" w:lineRule="auto"/>
        <w:contextualSpacing/>
        <w:jc w:val="both"/>
        <w:rPr>
          <w:rFonts w:ascii="Arial" w:hAnsi="Arial" w:cs="Arial"/>
        </w:rPr>
      </w:pPr>
      <w:r w:rsidRPr="004F32DD">
        <w:rPr>
          <w:rFonts w:ascii="Arial" w:hAnsi="Arial" w:cs="Arial"/>
        </w:rPr>
        <w:t xml:space="preserve">ONS (2017). </w:t>
      </w:r>
      <w:r w:rsidRPr="004F32DD">
        <w:rPr>
          <w:rFonts w:ascii="Arial" w:hAnsi="Arial" w:cs="Arial"/>
          <w:i/>
          <w:iCs/>
        </w:rPr>
        <w:t>Pensioners in the EU and UK</w:t>
      </w:r>
      <w:r w:rsidRPr="004F32DD">
        <w:rPr>
          <w:rFonts w:ascii="Arial" w:hAnsi="Arial" w:cs="Arial"/>
        </w:rPr>
        <w:t xml:space="preserve"> (online). Available at: </w:t>
      </w:r>
      <w:hyperlink r:id="rId15" w:history="1">
        <w:r w:rsidRPr="004F32DD">
          <w:rPr>
            <w:rFonts w:ascii="Arial" w:hAnsi="Arial" w:cs="Arial"/>
            <w:color w:val="0563C1" w:themeColor="hyperlink"/>
            <w:u w:val="single"/>
          </w:rPr>
          <w:t>https://www.ons.gov.uk/economy/investmentspensionsandtrusts/articles/pensionersintheeuanduk/2017-09-05</w:t>
        </w:r>
      </w:hyperlink>
      <w:r w:rsidRPr="004F32DD">
        <w:rPr>
          <w:rFonts w:ascii="Arial" w:hAnsi="Arial" w:cs="Arial"/>
        </w:rPr>
        <w:t xml:space="preserve"> (Accessed 29 July 2022).</w:t>
      </w:r>
    </w:p>
    <w:p w14:paraId="522B40D3" w14:textId="77777777" w:rsidR="004F32DD" w:rsidRPr="004F32DD" w:rsidRDefault="004F32DD" w:rsidP="004F32DD">
      <w:pPr>
        <w:numPr>
          <w:ilvl w:val="0"/>
          <w:numId w:val="1"/>
        </w:numPr>
        <w:spacing w:line="360" w:lineRule="auto"/>
        <w:contextualSpacing/>
        <w:jc w:val="both"/>
        <w:rPr>
          <w:rFonts w:ascii="Arial" w:hAnsi="Arial" w:cs="Arial"/>
        </w:rPr>
      </w:pPr>
      <w:r w:rsidRPr="004F32DD">
        <w:rPr>
          <w:rFonts w:ascii="Arial" w:hAnsi="Arial" w:cs="Arial"/>
        </w:rPr>
        <w:t xml:space="preserve">ONS (2018) </w:t>
      </w:r>
      <w:r w:rsidRPr="004F32DD">
        <w:rPr>
          <w:rFonts w:ascii="Arial" w:hAnsi="Arial" w:cs="Arial"/>
          <w:i/>
          <w:iCs/>
        </w:rPr>
        <w:t>Living longer: how our population is changing and why it matters</w:t>
      </w:r>
      <w:r w:rsidRPr="004F32DD">
        <w:rPr>
          <w:rFonts w:ascii="Arial" w:hAnsi="Arial" w:cs="Arial"/>
        </w:rPr>
        <w:t xml:space="preserve"> (online). Available at: </w:t>
      </w:r>
      <w:hyperlink r:id="rId16" w:anchor="what-has-caused-population-ageing" w:history="1">
        <w:r w:rsidRPr="004F32DD">
          <w:rPr>
            <w:rFonts w:ascii="Arial" w:hAnsi="Arial" w:cs="Arial"/>
            <w:color w:val="0563C1" w:themeColor="hyperlink"/>
            <w:u w:val="single"/>
          </w:rPr>
          <w:t>https://www.ons.gov.uk/peoplepopulationandcommunity/birthsdeathsandmarriages/ageing/articles/livinglongerhowourpopulationischangingandwhyitmatters/2018-08-13#what-has-caused-population-ageing</w:t>
        </w:r>
      </w:hyperlink>
      <w:r w:rsidRPr="004F32DD">
        <w:rPr>
          <w:rFonts w:ascii="Arial" w:hAnsi="Arial" w:cs="Arial"/>
        </w:rPr>
        <w:t xml:space="preserve"> (Accessed 29 July 2022).</w:t>
      </w:r>
    </w:p>
    <w:p w14:paraId="6062AD8D" w14:textId="77777777" w:rsidR="004F32DD" w:rsidRPr="004F32DD" w:rsidRDefault="004F32DD" w:rsidP="004F32DD">
      <w:pPr>
        <w:numPr>
          <w:ilvl w:val="0"/>
          <w:numId w:val="1"/>
        </w:numPr>
        <w:spacing w:line="360" w:lineRule="auto"/>
        <w:contextualSpacing/>
        <w:jc w:val="both"/>
        <w:rPr>
          <w:rFonts w:ascii="Arial" w:hAnsi="Arial" w:cs="Arial"/>
        </w:rPr>
      </w:pPr>
      <w:r w:rsidRPr="004F32DD">
        <w:rPr>
          <w:rFonts w:ascii="Arial" w:hAnsi="Arial" w:cs="Arial"/>
        </w:rPr>
        <w:t xml:space="preserve">ONS, (2019) </w:t>
      </w:r>
      <w:r w:rsidRPr="004F32DD">
        <w:rPr>
          <w:rFonts w:ascii="Arial" w:hAnsi="Arial" w:cs="Arial"/>
          <w:i/>
          <w:iCs/>
        </w:rPr>
        <w:t xml:space="preserve">Living Longer: Is 70 the New Age 65? </w:t>
      </w:r>
      <w:r w:rsidRPr="004F32DD">
        <w:rPr>
          <w:rFonts w:ascii="Arial" w:hAnsi="Arial" w:cs="Arial"/>
        </w:rPr>
        <w:t xml:space="preserve">Available at: </w:t>
      </w:r>
      <w:hyperlink r:id="rId17" w:history="1">
        <w:r w:rsidRPr="004F32DD">
          <w:rPr>
            <w:rFonts w:ascii="Arial" w:hAnsi="Arial" w:cs="Arial"/>
            <w:color w:val="0563C1" w:themeColor="hyperlink"/>
            <w:u w:val="single"/>
          </w:rPr>
          <w:t>https://www.ons.gov.uk/peoplepopulationandcommunity/birthsdeathsandmarriages/ageing/articles/livinglongerisage70thenewage65/2019-11-19</w:t>
        </w:r>
      </w:hyperlink>
      <w:r w:rsidRPr="004F32DD">
        <w:rPr>
          <w:rFonts w:ascii="Arial" w:hAnsi="Arial" w:cs="Arial"/>
        </w:rPr>
        <w:t xml:space="preserve"> (Accessed</w:t>
      </w:r>
      <w:r w:rsidRPr="004F32DD">
        <w:t xml:space="preserve"> </w:t>
      </w:r>
      <w:r w:rsidRPr="004F32DD">
        <w:rPr>
          <w:rFonts w:ascii="Arial" w:hAnsi="Arial" w:cs="Arial"/>
        </w:rPr>
        <w:t>29 July 2022).</w:t>
      </w:r>
    </w:p>
    <w:p w14:paraId="44A8DE54" w14:textId="77777777" w:rsidR="004F32DD" w:rsidRPr="004F32DD" w:rsidRDefault="004F32DD" w:rsidP="004F32DD">
      <w:pPr>
        <w:numPr>
          <w:ilvl w:val="0"/>
          <w:numId w:val="1"/>
        </w:numPr>
        <w:spacing w:line="360" w:lineRule="auto"/>
        <w:contextualSpacing/>
        <w:jc w:val="both"/>
        <w:rPr>
          <w:rFonts w:ascii="Arial" w:hAnsi="Arial" w:cs="Arial"/>
        </w:rPr>
      </w:pPr>
      <w:proofErr w:type="spellStart"/>
      <w:r w:rsidRPr="004F32DD">
        <w:rPr>
          <w:rFonts w:ascii="Arial" w:hAnsi="Arial" w:cs="Arial"/>
        </w:rPr>
        <w:t>Palsson</w:t>
      </w:r>
      <w:proofErr w:type="spellEnd"/>
      <w:r w:rsidRPr="004F32DD">
        <w:rPr>
          <w:rFonts w:ascii="Arial" w:hAnsi="Arial" w:cs="Arial"/>
        </w:rPr>
        <w:t xml:space="preserve">, S., &amp; Skoog, I. (1997), ‘The epidemiology of affective disorders in the elderly: a review’, </w:t>
      </w:r>
      <w:r w:rsidRPr="004F32DD">
        <w:rPr>
          <w:rFonts w:ascii="Arial" w:hAnsi="Arial" w:cs="Arial"/>
          <w:i/>
          <w:iCs/>
        </w:rPr>
        <w:t>International Clinical Psychopharmacology</w:t>
      </w:r>
      <w:r w:rsidRPr="004F32DD">
        <w:rPr>
          <w:rFonts w:ascii="Arial" w:hAnsi="Arial" w:cs="Arial"/>
        </w:rPr>
        <w:t>, 12, pp. S3-13.</w:t>
      </w:r>
    </w:p>
    <w:p w14:paraId="1D6609C5" w14:textId="77777777" w:rsidR="004F32DD" w:rsidRPr="004F32DD" w:rsidRDefault="004F32DD" w:rsidP="004F32DD">
      <w:pPr>
        <w:numPr>
          <w:ilvl w:val="0"/>
          <w:numId w:val="1"/>
        </w:numPr>
        <w:spacing w:line="360" w:lineRule="auto"/>
        <w:contextualSpacing/>
        <w:jc w:val="both"/>
        <w:rPr>
          <w:rFonts w:ascii="Arial" w:hAnsi="Arial" w:cs="Arial"/>
        </w:rPr>
      </w:pPr>
      <w:r w:rsidRPr="004F32DD">
        <w:rPr>
          <w:rFonts w:ascii="Arial" w:hAnsi="Arial" w:cs="Arial"/>
        </w:rPr>
        <w:t xml:space="preserve">Pearce, C., (2021), ‘‘A silent epidemic of grief’: a survey of bereavement care provision in the UK and Ireland during the COVID-19 pandemic’, </w:t>
      </w:r>
      <w:r w:rsidRPr="004F32DD">
        <w:rPr>
          <w:rFonts w:ascii="Arial" w:hAnsi="Arial" w:cs="Arial"/>
          <w:i/>
          <w:iCs/>
        </w:rPr>
        <w:t>BMJ open</w:t>
      </w:r>
      <w:r w:rsidRPr="004F32DD">
        <w:rPr>
          <w:rFonts w:ascii="Arial" w:hAnsi="Arial" w:cs="Arial"/>
        </w:rPr>
        <w:t>, 11(3), pp. e046872.</w:t>
      </w:r>
    </w:p>
    <w:p w14:paraId="6E918874" w14:textId="77777777" w:rsidR="004F32DD" w:rsidRPr="004F32DD" w:rsidRDefault="004F32DD" w:rsidP="004F32DD">
      <w:pPr>
        <w:numPr>
          <w:ilvl w:val="0"/>
          <w:numId w:val="1"/>
        </w:numPr>
        <w:spacing w:line="360" w:lineRule="auto"/>
        <w:contextualSpacing/>
        <w:jc w:val="both"/>
        <w:rPr>
          <w:rFonts w:ascii="Arial" w:hAnsi="Arial" w:cs="Arial"/>
        </w:rPr>
      </w:pPr>
      <w:r w:rsidRPr="004F32DD">
        <w:rPr>
          <w:rFonts w:ascii="Arial" w:hAnsi="Arial" w:cs="Arial"/>
        </w:rPr>
        <w:t xml:space="preserve">Raymond, A. et al. (2021) </w:t>
      </w:r>
      <w:r w:rsidRPr="004F32DD">
        <w:rPr>
          <w:rFonts w:ascii="Arial" w:hAnsi="Arial" w:cs="Arial"/>
          <w:i/>
          <w:iCs/>
        </w:rPr>
        <w:t>Our ageing population - How ageing affects health and care need in England</w:t>
      </w:r>
      <w:r w:rsidRPr="004F32DD">
        <w:rPr>
          <w:rFonts w:ascii="Arial" w:hAnsi="Arial" w:cs="Arial"/>
        </w:rPr>
        <w:t xml:space="preserve"> (ONLINE). Available at: </w:t>
      </w:r>
      <w:hyperlink r:id="rId18" w:history="1">
        <w:r w:rsidRPr="004F32DD">
          <w:rPr>
            <w:rFonts w:ascii="Arial" w:hAnsi="Arial" w:cs="Arial"/>
            <w:color w:val="0563C1" w:themeColor="hyperlink"/>
            <w:u w:val="single"/>
          </w:rPr>
          <w:t>https://www.health.org.uk/publications/our-ageing-population</w:t>
        </w:r>
      </w:hyperlink>
      <w:r w:rsidRPr="004F32DD">
        <w:rPr>
          <w:rFonts w:ascii="Arial" w:hAnsi="Arial" w:cs="Arial"/>
        </w:rPr>
        <w:t xml:space="preserve"> (Accessed 29 July 2022).</w:t>
      </w:r>
    </w:p>
    <w:p w14:paraId="602CCBB1" w14:textId="77777777" w:rsidR="004F32DD" w:rsidRPr="004F32DD" w:rsidRDefault="004F32DD" w:rsidP="004F32DD">
      <w:pPr>
        <w:numPr>
          <w:ilvl w:val="0"/>
          <w:numId w:val="1"/>
        </w:numPr>
        <w:spacing w:line="360" w:lineRule="auto"/>
        <w:contextualSpacing/>
        <w:jc w:val="both"/>
        <w:rPr>
          <w:rFonts w:ascii="Arial" w:hAnsi="Arial" w:cs="Arial"/>
        </w:rPr>
      </w:pPr>
      <w:proofErr w:type="spellStart"/>
      <w:r w:rsidRPr="004F32DD">
        <w:rPr>
          <w:rFonts w:ascii="Arial" w:hAnsi="Arial" w:cs="Arial"/>
        </w:rPr>
        <w:t>Schoevers</w:t>
      </w:r>
      <w:proofErr w:type="spellEnd"/>
      <w:r w:rsidRPr="004F32DD">
        <w:rPr>
          <w:rFonts w:ascii="Arial" w:hAnsi="Arial" w:cs="Arial"/>
        </w:rPr>
        <w:t>, R. A., et al. (2003), ‘Comorbidity and risk</w:t>
      </w:r>
      <w:r w:rsidRPr="004F32DD">
        <w:rPr>
          <w:rFonts w:ascii="Cambria Math" w:hAnsi="Cambria Math" w:cs="Cambria Math"/>
        </w:rPr>
        <w:t>‐</w:t>
      </w:r>
      <w:r w:rsidRPr="004F32DD">
        <w:rPr>
          <w:rFonts w:ascii="Arial" w:hAnsi="Arial" w:cs="Arial"/>
        </w:rPr>
        <w:t>patterns of depression, generalised anxiety disorder and mixed anxiety</w:t>
      </w:r>
      <w:r w:rsidRPr="004F32DD">
        <w:rPr>
          <w:rFonts w:ascii="Cambria Math" w:hAnsi="Cambria Math" w:cs="Cambria Math"/>
        </w:rPr>
        <w:t>‐</w:t>
      </w:r>
      <w:r w:rsidRPr="004F32DD">
        <w:rPr>
          <w:rFonts w:ascii="Arial" w:hAnsi="Arial" w:cs="Arial"/>
        </w:rPr>
        <w:t xml:space="preserve">depression in later life: results from the AMSTEL study’, </w:t>
      </w:r>
      <w:r w:rsidRPr="004F32DD">
        <w:rPr>
          <w:rFonts w:ascii="Arial" w:hAnsi="Arial" w:cs="Arial"/>
          <w:i/>
          <w:iCs/>
        </w:rPr>
        <w:t>International Journal of Geriatric Psychiatry</w:t>
      </w:r>
      <w:r w:rsidRPr="004F32DD">
        <w:rPr>
          <w:rFonts w:ascii="Arial" w:hAnsi="Arial" w:cs="Arial"/>
        </w:rPr>
        <w:t>, 18(11), pp. 994-1001.</w:t>
      </w:r>
    </w:p>
    <w:p w14:paraId="318F2164" w14:textId="77777777" w:rsidR="004F32DD" w:rsidRPr="004F32DD" w:rsidRDefault="004F32DD" w:rsidP="004F32DD">
      <w:pPr>
        <w:numPr>
          <w:ilvl w:val="0"/>
          <w:numId w:val="1"/>
        </w:numPr>
        <w:spacing w:line="360" w:lineRule="auto"/>
        <w:contextualSpacing/>
        <w:jc w:val="both"/>
        <w:rPr>
          <w:rFonts w:ascii="Arial" w:hAnsi="Arial" w:cs="Arial"/>
        </w:rPr>
      </w:pPr>
      <w:r w:rsidRPr="004F32DD">
        <w:rPr>
          <w:rFonts w:ascii="Arial" w:hAnsi="Arial" w:cs="Arial"/>
        </w:rPr>
        <w:t xml:space="preserve">Team, E. (2020), ‘The epidemiological characteristics of an outbreak of 2019 novel coronavirus diseases (COVID-19)—China, 2020’, </w:t>
      </w:r>
      <w:r w:rsidRPr="004F32DD">
        <w:rPr>
          <w:rFonts w:ascii="Arial" w:hAnsi="Arial" w:cs="Arial"/>
          <w:i/>
          <w:iCs/>
        </w:rPr>
        <w:t>China CDC weekly</w:t>
      </w:r>
      <w:r w:rsidRPr="004F32DD">
        <w:rPr>
          <w:rFonts w:ascii="Arial" w:hAnsi="Arial" w:cs="Arial"/>
        </w:rPr>
        <w:t>, 2(8), pp.113.</w:t>
      </w:r>
    </w:p>
    <w:p w14:paraId="5B00B5DE" w14:textId="77777777" w:rsidR="004F32DD" w:rsidRPr="004F32DD" w:rsidRDefault="004F32DD" w:rsidP="004F32DD">
      <w:pPr>
        <w:numPr>
          <w:ilvl w:val="0"/>
          <w:numId w:val="1"/>
        </w:numPr>
        <w:spacing w:line="360" w:lineRule="auto"/>
        <w:contextualSpacing/>
        <w:jc w:val="both"/>
        <w:rPr>
          <w:rFonts w:ascii="Arial" w:hAnsi="Arial" w:cs="Arial"/>
        </w:rPr>
      </w:pPr>
      <w:r w:rsidRPr="004F32DD">
        <w:rPr>
          <w:rFonts w:ascii="Arial" w:hAnsi="Arial" w:cs="Arial"/>
        </w:rPr>
        <w:t xml:space="preserve">The Care Workers Charity (2019) </w:t>
      </w:r>
      <w:r w:rsidRPr="004F32DD">
        <w:rPr>
          <w:rFonts w:ascii="Arial" w:hAnsi="Arial" w:cs="Arial"/>
          <w:i/>
          <w:iCs/>
        </w:rPr>
        <w:t>Health and Social Care Services: The Essential Guide</w:t>
      </w:r>
      <w:r w:rsidRPr="004F32DD">
        <w:rPr>
          <w:rFonts w:ascii="Arial" w:hAnsi="Arial" w:cs="Arial"/>
        </w:rPr>
        <w:t xml:space="preserve"> (online) Available at: </w:t>
      </w:r>
      <w:hyperlink r:id="rId19" w:history="1">
        <w:r w:rsidRPr="004F32DD">
          <w:rPr>
            <w:rFonts w:ascii="Arial" w:hAnsi="Arial" w:cs="Arial"/>
            <w:color w:val="0563C1" w:themeColor="hyperlink"/>
            <w:u w:val="single"/>
          </w:rPr>
          <w:t>https://www.thecareworkerscharity.org.uk/blog/health-and-social-care-services/</w:t>
        </w:r>
      </w:hyperlink>
      <w:r w:rsidRPr="004F32DD">
        <w:rPr>
          <w:rFonts w:ascii="Arial" w:hAnsi="Arial" w:cs="Arial"/>
        </w:rPr>
        <w:t xml:space="preserve"> (Accessed 31 July 2022).</w:t>
      </w:r>
    </w:p>
    <w:p w14:paraId="454DFCDC" w14:textId="77777777" w:rsidR="004F32DD" w:rsidRPr="004F32DD" w:rsidRDefault="004F32DD" w:rsidP="004F32DD">
      <w:pPr>
        <w:numPr>
          <w:ilvl w:val="0"/>
          <w:numId w:val="1"/>
        </w:numPr>
        <w:spacing w:line="360" w:lineRule="auto"/>
        <w:contextualSpacing/>
        <w:jc w:val="both"/>
        <w:rPr>
          <w:rFonts w:ascii="Arial" w:hAnsi="Arial" w:cs="Arial"/>
        </w:rPr>
      </w:pPr>
      <w:r w:rsidRPr="004F32DD">
        <w:rPr>
          <w:rFonts w:ascii="Arial" w:hAnsi="Arial" w:cs="Arial"/>
        </w:rPr>
        <w:t xml:space="preserve">The Health Foundation (2014) </w:t>
      </w:r>
      <w:r w:rsidRPr="004F32DD">
        <w:rPr>
          <w:rFonts w:ascii="Arial" w:hAnsi="Arial" w:cs="Arial"/>
          <w:i/>
          <w:iCs/>
        </w:rPr>
        <w:t>Person-centred care made simple</w:t>
      </w:r>
      <w:r w:rsidRPr="004F32DD">
        <w:rPr>
          <w:rFonts w:ascii="Arial" w:hAnsi="Arial" w:cs="Arial"/>
        </w:rPr>
        <w:t xml:space="preserve"> (online) Available at: </w:t>
      </w:r>
      <w:hyperlink r:id="rId20" w:history="1">
        <w:r w:rsidRPr="004F32DD">
          <w:rPr>
            <w:rFonts w:ascii="Arial" w:hAnsi="Arial" w:cs="Arial"/>
            <w:color w:val="0563C1" w:themeColor="hyperlink"/>
            <w:u w:val="single"/>
          </w:rPr>
          <w:t>https://www.health.org.uk/publications/person-centred-care-made-simple</w:t>
        </w:r>
      </w:hyperlink>
      <w:r w:rsidRPr="004F32DD">
        <w:rPr>
          <w:rFonts w:ascii="Arial" w:hAnsi="Arial" w:cs="Arial"/>
        </w:rPr>
        <w:t xml:space="preserve"> (Accessed 31 July 2022).</w:t>
      </w:r>
    </w:p>
    <w:p w14:paraId="5BEA5D63" w14:textId="77777777" w:rsidR="004F32DD" w:rsidRPr="004F32DD" w:rsidRDefault="004F32DD" w:rsidP="004F32DD">
      <w:pPr>
        <w:numPr>
          <w:ilvl w:val="0"/>
          <w:numId w:val="1"/>
        </w:numPr>
        <w:spacing w:line="360" w:lineRule="auto"/>
        <w:contextualSpacing/>
        <w:jc w:val="both"/>
        <w:rPr>
          <w:rFonts w:ascii="Arial" w:hAnsi="Arial" w:cs="Arial"/>
        </w:rPr>
      </w:pPr>
      <w:proofErr w:type="spellStart"/>
      <w:r w:rsidRPr="004F32DD">
        <w:rPr>
          <w:rFonts w:ascii="Arial" w:hAnsi="Arial" w:cs="Arial"/>
        </w:rPr>
        <w:lastRenderedPageBreak/>
        <w:t>Thorlby</w:t>
      </w:r>
      <w:proofErr w:type="spellEnd"/>
      <w:r w:rsidRPr="004F32DD">
        <w:rPr>
          <w:rFonts w:ascii="Arial" w:hAnsi="Arial" w:cs="Arial"/>
        </w:rPr>
        <w:t>, R. et al. (2019</w:t>
      </w:r>
      <w:r w:rsidRPr="004F32DD">
        <w:rPr>
          <w:rFonts w:ascii="Arial" w:hAnsi="Arial" w:cs="Arial"/>
          <w:i/>
          <w:iCs/>
        </w:rPr>
        <w:t>) What’s the problem with social care, and why do we need to do better?</w:t>
      </w:r>
      <w:r w:rsidRPr="004F32DD">
        <w:rPr>
          <w:rFonts w:ascii="Arial" w:hAnsi="Arial" w:cs="Arial"/>
        </w:rPr>
        <w:t xml:space="preserve"> (online) Available at: </w:t>
      </w:r>
      <w:hyperlink r:id="rId21" w:history="1">
        <w:r w:rsidRPr="004F32DD">
          <w:rPr>
            <w:rFonts w:ascii="Arial" w:hAnsi="Arial" w:cs="Arial"/>
            <w:color w:val="0563C1" w:themeColor="hyperlink"/>
            <w:u w:val="single"/>
          </w:rPr>
          <w:t>https://www.health.org.uk/sites/default/files/NHS-70-What-Can-We-Do-About-Social-Care.pdf</w:t>
        </w:r>
      </w:hyperlink>
      <w:r w:rsidRPr="004F32DD">
        <w:rPr>
          <w:rFonts w:ascii="Arial" w:hAnsi="Arial" w:cs="Arial"/>
        </w:rPr>
        <w:t xml:space="preserve"> (Accessed 31 July 2022).</w:t>
      </w:r>
    </w:p>
    <w:p w14:paraId="490D7428" w14:textId="77777777" w:rsidR="004F32DD" w:rsidRPr="004F32DD" w:rsidRDefault="004F32DD" w:rsidP="004F32DD">
      <w:pPr>
        <w:numPr>
          <w:ilvl w:val="0"/>
          <w:numId w:val="1"/>
        </w:numPr>
        <w:spacing w:line="360" w:lineRule="auto"/>
        <w:contextualSpacing/>
        <w:jc w:val="both"/>
        <w:rPr>
          <w:rFonts w:ascii="Arial" w:hAnsi="Arial" w:cs="Arial"/>
        </w:rPr>
      </w:pPr>
      <w:proofErr w:type="spellStart"/>
      <w:r w:rsidRPr="004F32DD">
        <w:rPr>
          <w:rFonts w:ascii="Arial" w:hAnsi="Arial" w:cs="Arial"/>
        </w:rPr>
        <w:t>Veith</w:t>
      </w:r>
      <w:proofErr w:type="spellEnd"/>
      <w:r w:rsidRPr="004F32DD">
        <w:rPr>
          <w:rFonts w:ascii="Arial" w:hAnsi="Arial" w:cs="Arial"/>
        </w:rPr>
        <w:t xml:space="preserve">, R. C., &amp; Raskind, M. A. (1988), ‘The neurobiology of aging: does it predispose to depression?’, </w:t>
      </w:r>
      <w:r w:rsidRPr="004F32DD">
        <w:rPr>
          <w:rFonts w:ascii="Arial" w:hAnsi="Arial" w:cs="Arial"/>
          <w:i/>
          <w:iCs/>
        </w:rPr>
        <w:t>Neurobiology of Aging</w:t>
      </w:r>
      <w:r w:rsidRPr="004F32DD">
        <w:rPr>
          <w:rFonts w:ascii="Arial" w:hAnsi="Arial" w:cs="Arial"/>
        </w:rPr>
        <w:t>, 9, pp. 101-117.</w:t>
      </w:r>
    </w:p>
    <w:p w14:paraId="242E1087" w14:textId="77777777" w:rsidR="004F32DD" w:rsidRPr="004F32DD" w:rsidRDefault="004F32DD" w:rsidP="004F32DD">
      <w:pPr>
        <w:numPr>
          <w:ilvl w:val="0"/>
          <w:numId w:val="1"/>
        </w:numPr>
        <w:spacing w:line="360" w:lineRule="auto"/>
        <w:contextualSpacing/>
        <w:jc w:val="both"/>
        <w:rPr>
          <w:rFonts w:ascii="Arial" w:hAnsi="Arial" w:cs="Arial"/>
        </w:rPr>
      </w:pPr>
      <w:r w:rsidRPr="004F32DD">
        <w:rPr>
          <w:rFonts w:ascii="Arial" w:hAnsi="Arial" w:cs="Arial"/>
        </w:rPr>
        <w:t xml:space="preserve">Walsh, K., et al. (2021), ‘Social exclusion in later life: interdisciplinary and policy perspectives’, </w:t>
      </w:r>
      <w:r w:rsidRPr="004F32DD">
        <w:rPr>
          <w:rFonts w:ascii="Arial" w:hAnsi="Arial" w:cs="Arial"/>
          <w:i/>
          <w:iCs/>
        </w:rPr>
        <w:t>Springer Nature</w:t>
      </w:r>
      <w:r w:rsidRPr="004F32DD">
        <w:rPr>
          <w:rFonts w:ascii="Arial" w:hAnsi="Arial" w:cs="Arial"/>
        </w:rPr>
        <w:t>, 28(1), pp. 1-452.</w:t>
      </w:r>
    </w:p>
    <w:p w14:paraId="163CD766" w14:textId="77777777" w:rsidR="004F32DD" w:rsidRPr="004F32DD" w:rsidRDefault="004F32DD" w:rsidP="004F32DD">
      <w:pPr>
        <w:numPr>
          <w:ilvl w:val="0"/>
          <w:numId w:val="1"/>
        </w:numPr>
        <w:spacing w:line="360" w:lineRule="auto"/>
        <w:contextualSpacing/>
        <w:jc w:val="both"/>
        <w:rPr>
          <w:rFonts w:ascii="Arial" w:hAnsi="Arial" w:cs="Arial"/>
        </w:rPr>
      </w:pPr>
      <w:r w:rsidRPr="004F32DD">
        <w:rPr>
          <w:rFonts w:ascii="Arial" w:hAnsi="Arial" w:cs="Arial"/>
        </w:rPr>
        <w:t xml:space="preserve">WHO (2021) </w:t>
      </w:r>
      <w:r w:rsidRPr="004F32DD">
        <w:rPr>
          <w:rFonts w:ascii="Arial" w:hAnsi="Arial" w:cs="Arial"/>
          <w:i/>
          <w:iCs/>
        </w:rPr>
        <w:t>Ageing and health</w:t>
      </w:r>
      <w:r w:rsidRPr="004F32DD">
        <w:rPr>
          <w:rFonts w:ascii="Arial" w:hAnsi="Arial" w:cs="Arial"/>
        </w:rPr>
        <w:t xml:space="preserve"> (online). Available at: </w:t>
      </w:r>
      <w:hyperlink r:id="rId22" w:history="1">
        <w:r w:rsidRPr="004F32DD">
          <w:rPr>
            <w:rFonts w:ascii="Arial" w:hAnsi="Arial" w:cs="Arial"/>
            <w:color w:val="0563C1" w:themeColor="hyperlink"/>
            <w:u w:val="single"/>
          </w:rPr>
          <w:t>https://www.who.int/news-room/fact-sheets/detail/ageing-and-health</w:t>
        </w:r>
      </w:hyperlink>
      <w:r w:rsidRPr="004F32DD">
        <w:rPr>
          <w:rFonts w:ascii="Arial" w:hAnsi="Arial" w:cs="Arial"/>
        </w:rPr>
        <w:t xml:space="preserve"> (Accessed 29 July 2022).</w:t>
      </w:r>
    </w:p>
    <w:p w14:paraId="319D831D" w14:textId="77777777" w:rsidR="00516EF8" w:rsidRPr="004F32DD" w:rsidRDefault="00000000" w:rsidP="004F32DD">
      <w:pPr>
        <w:spacing w:line="360" w:lineRule="auto"/>
        <w:jc w:val="both"/>
        <w:rPr>
          <w:rFonts w:ascii="Arial" w:hAnsi="Arial" w:cs="Arial"/>
        </w:rPr>
      </w:pPr>
    </w:p>
    <w:sectPr w:rsidR="00516EF8" w:rsidRPr="004F32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67A22C4"/>
    <w:multiLevelType w:val="hybridMultilevel"/>
    <w:tmpl w:val="CAE8CF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248045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32DD"/>
    <w:rsid w:val="0002006C"/>
    <w:rsid w:val="004F32DD"/>
    <w:rsid w:val="005B5535"/>
    <w:rsid w:val="00656332"/>
    <w:rsid w:val="007F35DD"/>
    <w:rsid w:val="008E1E7B"/>
    <w:rsid w:val="009D3DAC"/>
    <w:rsid w:val="00BB56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126617"/>
  <w15:chartTrackingRefBased/>
  <w15:docId w15:val="{32B90686-FF29-42AE-8BF4-8D113A2328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geuk.org.uk/information-advice/health-wellbeing/conditions-illnesses/" TargetMode="External"/><Relationship Id="rId13" Type="http://schemas.openxmlformats.org/officeDocument/2006/relationships/hyperlink" Target="https://www.england.nhs.uk/ourwork/clinical-policy/older-people/improving-care-for-older-people/" TargetMode="External"/><Relationship Id="rId18" Type="http://schemas.openxmlformats.org/officeDocument/2006/relationships/hyperlink" Target="https://www.health.org.uk/publications/our-ageing-population" TargetMode="External"/><Relationship Id="rId3" Type="http://schemas.openxmlformats.org/officeDocument/2006/relationships/customXml" Target="../customXml/item3.xml"/><Relationship Id="rId21" Type="http://schemas.openxmlformats.org/officeDocument/2006/relationships/hyperlink" Target="https://www.health.org.uk/sites/default/files/NHS-70-What-Can-We-Do-About-Social-Care.pdf" TargetMode="External"/><Relationship Id="rId7" Type="http://schemas.openxmlformats.org/officeDocument/2006/relationships/webSettings" Target="webSettings.xml"/><Relationship Id="rId12" Type="http://schemas.openxmlformats.org/officeDocument/2006/relationships/hyperlink" Target="https://www.kingsfund.org.uk/sites/default/files/2021-10/value-investing-social-care-briefing.pdf" TargetMode="External"/><Relationship Id="rId17" Type="http://schemas.openxmlformats.org/officeDocument/2006/relationships/hyperlink" Target="https://www.ons.gov.uk/peoplepopulationandcommunity/birthsdeathsandmarriages/ageing/articles/livinglongerisage70thenewage65/2019-11-19" TargetMode="External"/><Relationship Id="rId2" Type="http://schemas.openxmlformats.org/officeDocument/2006/relationships/customXml" Target="../customXml/item2.xml"/><Relationship Id="rId16" Type="http://schemas.openxmlformats.org/officeDocument/2006/relationships/hyperlink" Target="https://www.ons.gov.uk/peoplepopulationandcommunity/birthsdeathsandmarriages/ageing/articles/livinglongerhowourpopulationischangingandwhyitmatters/2018-08-13" TargetMode="External"/><Relationship Id="rId20" Type="http://schemas.openxmlformats.org/officeDocument/2006/relationships/hyperlink" Target="https://www.health.org.uk/publications/person-centred-care-made-simple"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ifs.org.uk/uploads/publications/comms/R98.pdf" TargetMode="External"/><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ons.gov.uk/economy/investmentspensionsandtrusts/articles/pensionersintheeuanduk/2017-09-05" TargetMode="External"/><Relationship Id="rId23" Type="http://schemas.openxmlformats.org/officeDocument/2006/relationships/fontTable" Target="fontTable.xml"/><Relationship Id="rId10" Type="http://schemas.openxmlformats.org/officeDocument/2006/relationships/hyperlink" Target="https://www.cdc.gov/coronavirus/2019-ncov/prepare/managing-stress-anxiety.html" TargetMode="External"/><Relationship Id="rId19" Type="http://schemas.openxmlformats.org/officeDocument/2006/relationships/hyperlink" Target="https://www.thecareworkerscharity.org.uk/blog/health-and-social-care-services/" TargetMode="External"/><Relationship Id="rId4" Type="http://schemas.openxmlformats.org/officeDocument/2006/relationships/numbering" Target="numbering.xml"/><Relationship Id="rId9" Type="http://schemas.openxmlformats.org/officeDocument/2006/relationships/hyperlink" Target="https://ageing-better.org.uk/blogs/how-are-older-people-adapting-digital-technology-during-covid-19-pandemic" TargetMode="External"/><Relationship Id="rId14" Type="http://schemas.openxmlformats.org/officeDocument/2006/relationships/hyperlink" Target="https://www.nhs.uk/conditions/social-care-and-support-guide/" TargetMode="External"/><Relationship Id="rId22" Type="http://schemas.openxmlformats.org/officeDocument/2006/relationships/hyperlink" Target="https://www.who.int/news-room/fact-sheets/detail/ageing-and-heal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7" ma:contentTypeDescription="Create a new document." ma:contentTypeScope="" ma:versionID="ac30102ca6d4d2cafc8728ed2f10846f">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b4895632a30eeeef7afd6346e06ebbbf"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3016C94-0C15-41A2-82CE-AD487EB616F0}">
  <ds:schemaRefs>
    <ds:schemaRef ds:uri="http://schemas.microsoft.com/sharepoint/v3/contenttype/forms"/>
  </ds:schemaRefs>
</ds:datastoreItem>
</file>

<file path=customXml/itemProps2.xml><?xml version="1.0" encoding="utf-8"?>
<ds:datastoreItem xmlns:ds="http://schemas.openxmlformats.org/officeDocument/2006/customXml" ds:itemID="{5E541256-6391-42A7-BC36-B19818CD69F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7B31A45-B035-4825-A3DD-42FDDB3ADE1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3502</Words>
  <Characters>19967</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Mariana Gemes (1920089)</dc:creator>
  <cp:keywords/>
  <dc:description/>
  <cp:lastModifiedBy>Mariana Gemes (1920089)</cp:lastModifiedBy>
  <cp:revision>3</cp:revision>
  <dcterms:created xsi:type="dcterms:W3CDTF">2022-08-04T00:26:00Z</dcterms:created>
  <dcterms:modified xsi:type="dcterms:W3CDTF">2022-08-04T00:26:00Z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