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B1D777" w14:textId="77777777" w:rsidR="00F270B3" w:rsidRDefault="00722D98" w:rsidP="00F34866">
      <w:pPr>
        <w:spacing w:line="480" w:lineRule="auto"/>
        <w:rPr>
          <w:rFonts w:ascii="Times" w:hAnsi="Times"/>
        </w:rPr>
      </w:pPr>
    </w:p>
    <w:p w14:paraId="15A3EA37" w14:textId="77777777" w:rsidR="00F34866" w:rsidRDefault="00F34866" w:rsidP="00F34866">
      <w:pPr>
        <w:spacing w:line="480" w:lineRule="auto"/>
        <w:rPr>
          <w:rFonts w:ascii="Times" w:hAnsi="Times"/>
        </w:rPr>
      </w:pPr>
    </w:p>
    <w:p w14:paraId="4C5D0EBB" w14:textId="77777777" w:rsidR="00F34866" w:rsidRDefault="00F34866" w:rsidP="00F34866">
      <w:pPr>
        <w:spacing w:line="480" w:lineRule="auto"/>
        <w:rPr>
          <w:rFonts w:ascii="Times" w:hAnsi="Times"/>
        </w:rPr>
      </w:pPr>
    </w:p>
    <w:p w14:paraId="290AF21A" w14:textId="77777777" w:rsidR="00F34866" w:rsidRDefault="00F34866" w:rsidP="00F34866">
      <w:pPr>
        <w:spacing w:line="480" w:lineRule="auto"/>
        <w:rPr>
          <w:rFonts w:ascii="Times" w:hAnsi="Times"/>
        </w:rPr>
      </w:pPr>
    </w:p>
    <w:p w14:paraId="23F6A4F1" w14:textId="77777777" w:rsidR="00F34866" w:rsidRDefault="00F34866" w:rsidP="00F34866">
      <w:pPr>
        <w:spacing w:line="480" w:lineRule="auto"/>
        <w:rPr>
          <w:rFonts w:ascii="Times" w:hAnsi="Times"/>
        </w:rPr>
      </w:pPr>
    </w:p>
    <w:p w14:paraId="48226EB1" w14:textId="77777777" w:rsidR="00F34866" w:rsidRDefault="00F34866" w:rsidP="00F34866">
      <w:pPr>
        <w:spacing w:line="480" w:lineRule="auto"/>
        <w:rPr>
          <w:rFonts w:ascii="Times" w:hAnsi="Times"/>
        </w:rPr>
      </w:pPr>
    </w:p>
    <w:p w14:paraId="6BFD5E88" w14:textId="77777777" w:rsidR="00F34866" w:rsidRDefault="00F34866" w:rsidP="00F34866">
      <w:pPr>
        <w:spacing w:line="480" w:lineRule="auto"/>
        <w:rPr>
          <w:rFonts w:ascii="Times" w:hAnsi="Times"/>
        </w:rPr>
      </w:pPr>
    </w:p>
    <w:p w14:paraId="72206643" w14:textId="77777777" w:rsidR="00F34866" w:rsidRDefault="00F34866" w:rsidP="00F34866">
      <w:pPr>
        <w:spacing w:line="480" w:lineRule="auto"/>
        <w:rPr>
          <w:rFonts w:ascii="Times" w:hAnsi="Times"/>
        </w:rPr>
      </w:pPr>
    </w:p>
    <w:p w14:paraId="6000170B" w14:textId="77777777" w:rsidR="00F34866" w:rsidRDefault="00F34866" w:rsidP="00F34866">
      <w:pPr>
        <w:spacing w:line="480" w:lineRule="auto"/>
        <w:rPr>
          <w:rFonts w:ascii="Times" w:hAnsi="Times"/>
        </w:rPr>
      </w:pPr>
    </w:p>
    <w:p w14:paraId="7E80E0D3" w14:textId="77777777" w:rsidR="00F34866" w:rsidRDefault="00F34866" w:rsidP="00F34866">
      <w:pPr>
        <w:spacing w:line="480" w:lineRule="auto"/>
        <w:rPr>
          <w:rFonts w:ascii="Times" w:hAnsi="Times"/>
        </w:rPr>
      </w:pPr>
    </w:p>
    <w:p w14:paraId="313E0B12" w14:textId="77777777" w:rsidR="00F34866" w:rsidRDefault="00F34866" w:rsidP="00F34866">
      <w:pPr>
        <w:spacing w:line="480" w:lineRule="auto"/>
        <w:jc w:val="center"/>
        <w:rPr>
          <w:rFonts w:ascii="Times" w:hAnsi="Times"/>
        </w:rPr>
      </w:pPr>
      <w:r>
        <w:rPr>
          <w:rFonts w:ascii="Times" w:hAnsi="Times"/>
        </w:rPr>
        <w:t>To what extent do ‘Revenant burials’ indicate a fear of the dead returning?</w:t>
      </w:r>
    </w:p>
    <w:p w14:paraId="343B744D" w14:textId="77777777" w:rsidR="00F34866" w:rsidRDefault="00F34866" w:rsidP="00F34866">
      <w:pPr>
        <w:spacing w:line="480" w:lineRule="auto"/>
        <w:jc w:val="center"/>
        <w:rPr>
          <w:rFonts w:ascii="Times" w:hAnsi="Times"/>
        </w:rPr>
      </w:pPr>
      <w:r>
        <w:rPr>
          <w:rFonts w:ascii="Times" w:hAnsi="Times"/>
        </w:rPr>
        <w:t>Hannah Kozdoj – 1502320</w:t>
      </w:r>
    </w:p>
    <w:p w14:paraId="67E981BE" w14:textId="45BE0903" w:rsidR="00F34866" w:rsidRDefault="00F34866" w:rsidP="00F34866">
      <w:pPr>
        <w:spacing w:line="480" w:lineRule="auto"/>
        <w:jc w:val="center"/>
        <w:rPr>
          <w:rFonts w:ascii="Times" w:hAnsi="Times"/>
        </w:rPr>
      </w:pPr>
      <w:r>
        <w:rPr>
          <w:rFonts w:ascii="Times" w:hAnsi="Times"/>
        </w:rPr>
        <w:t xml:space="preserve">Word Count: </w:t>
      </w:r>
      <w:r w:rsidR="00AF78E8">
        <w:rPr>
          <w:rFonts w:ascii="Times" w:hAnsi="Times"/>
        </w:rPr>
        <w:t>2009</w:t>
      </w:r>
      <w:r w:rsidR="004D297F">
        <w:rPr>
          <w:rFonts w:ascii="Times" w:hAnsi="Times"/>
        </w:rPr>
        <w:t xml:space="preserve">. </w:t>
      </w:r>
    </w:p>
    <w:p w14:paraId="6E568E3E" w14:textId="77777777" w:rsidR="00236008" w:rsidRDefault="00236008" w:rsidP="00F34866">
      <w:pPr>
        <w:spacing w:line="480" w:lineRule="auto"/>
        <w:jc w:val="center"/>
        <w:rPr>
          <w:rFonts w:ascii="Times" w:hAnsi="Times"/>
        </w:rPr>
      </w:pPr>
    </w:p>
    <w:p w14:paraId="099BC66E" w14:textId="77777777" w:rsidR="00236008" w:rsidRDefault="00236008" w:rsidP="00F34866">
      <w:pPr>
        <w:spacing w:line="480" w:lineRule="auto"/>
        <w:jc w:val="center"/>
        <w:rPr>
          <w:rFonts w:ascii="Times" w:hAnsi="Times"/>
        </w:rPr>
      </w:pPr>
    </w:p>
    <w:p w14:paraId="38181EA3" w14:textId="77777777" w:rsidR="00236008" w:rsidRDefault="00236008" w:rsidP="00F34866">
      <w:pPr>
        <w:spacing w:line="480" w:lineRule="auto"/>
        <w:jc w:val="center"/>
        <w:rPr>
          <w:rFonts w:ascii="Times" w:hAnsi="Times"/>
        </w:rPr>
      </w:pPr>
    </w:p>
    <w:p w14:paraId="105C214B" w14:textId="77777777" w:rsidR="00236008" w:rsidRDefault="00236008" w:rsidP="00F34866">
      <w:pPr>
        <w:spacing w:line="480" w:lineRule="auto"/>
        <w:jc w:val="center"/>
        <w:rPr>
          <w:rFonts w:ascii="Times" w:hAnsi="Times"/>
        </w:rPr>
      </w:pPr>
    </w:p>
    <w:p w14:paraId="3975F810" w14:textId="77777777" w:rsidR="00236008" w:rsidRDefault="00236008" w:rsidP="00F34866">
      <w:pPr>
        <w:spacing w:line="480" w:lineRule="auto"/>
        <w:jc w:val="center"/>
        <w:rPr>
          <w:rFonts w:ascii="Times" w:hAnsi="Times"/>
        </w:rPr>
      </w:pPr>
    </w:p>
    <w:p w14:paraId="7DBA5207" w14:textId="77777777" w:rsidR="00236008" w:rsidRDefault="00236008" w:rsidP="00F34866">
      <w:pPr>
        <w:spacing w:line="480" w:lineRule="auto"/>
        <w:jc w:val="center"/>
        <w:rPr>
          <w:rFonts w:ascii="Times" w:hAnsi="Times"/>
        </w:rPr>
      </w:pPr>
    </w:p>
    <w:p w14:paraId="6FE9DD09" w14:textId="77777777" w:rsidR="00236008" w:rsidRDefault="00236008" w:rsidP="00F34866">
      <w:pPr>
        <w:spacing w:line="480" w:lineRule="auto"/>
        <w:jc w:val="center"/>
        <w:rPr>
          <w:rFonts w:ascii="Times" w:hAnsi="Times"/>
        </w:rPr>
      </w:pPr>
    </w:p>
    <w:p w14:paraId="79D1A444" w14:textId="77777777" w:rsidR="00236008" w:rsidRDefault="00236008" w:rsidP="00F34866">
      <w:pPr>
        <w:spacing w:line="480" w:lineRule="auto"/>
        <w:jc w:val="center"/>
        <w:rPr>
          <w:rFonts w:ascii="Times" w:hAnsi="Times"/>
        </w:rPr>
      </w:pPr>
    </w:p>
    <w:p w14:paraId="7A97CA99" w14:textId="77777777" w:rsidR="00236008" w:rsidRDefault="00236008" w:rsidP="00F34866">
      <w:pPr>
        <w:spacing w:line="480" w:lineRule="auto"/>
        <w:jc w:val="center"/>
        <w:rPr>
          <w:rFonts w:ascii="Times" w:hAnsi="Times"/>
        </w:rPr>
      </w:pPr>
    </w:p>
    <w:p w14:paraId="2C444033" w14:textId="77777777" w:rsidR="00236008" w:rsidRDefault="00236008" w:rsidP="00F34866">
      <w:pPr>
        <w:spacing w:line="480" w:lineRule="auto"/>
        <w:jc w:val="center"/>
        <w:rPr>
          <w:rFonts w:ascii="Times" w:hAnsi="Times"/>
        </w:rPr>
      </w:pPr>
    </w:p>
    <w:p w14:paraId="515FBEAA" w14:textId="77777777" w:rsidR="00236008" w:rsidRDefault="00236008" w:rsidP="00F34866">
      <w:pPr>
        <w:spacing w:line="480" w:lineRule="auto"/>
        <w:jc w:val="center"/>
        <w:rPr>
          <w:rFonts w:ascii="Times" w:hAnsi="Times"/>
        </w:rPr>
      </w:pPr>
    </w:p>
    <w:p w14:paraId="61226D4D" w14:textId="77777777" w:rsidR="00236008" w:rsidRDefault="00236008" w:rsidP="00F34866">
      <w:pPr>
        <w:spacing w:line="480" w:lineRule="auto"/>
        <w:jc w:val="center"/>
        <w:rPr>
          <w:rFonts w:ascii="Times" w:hAnsi="Times"/>
        </w:rPr>
      </w:pPr>
    </w:p>
    <w:p w14:paraId="49964EFE" w14:textId="5946CBB1" w:rsidR="00823424" w:rsidRDefault="00236008" w:rsidP="00236008">
      <w:pPr>
        <w:spacing w:line="480" w:lineRule="auto"/>
        <w:rPr>
          <w:rFonts w:ascii="Times" w:hAnsi="Times"/>
        </w:rPr>
      </w:pPr>
      <w:r w:rsidRPr="00823424">
        <w:rPr>
          <w:rFonts w:ascii="Times" w:hAnsi="Times"/>
        </w:rPr>
        <w:lastRenderedPageBreak/>
        <w:t>The</w:t>
      </w:r>
      <w:r w:rsidRPr="003D78E4">
        <w:rPr>
          <w:rFonts w:ascii="Times" w:hAnsi="Times"/>
          <w:b/>
        </w:rPr>
        <w:t xml:space="preserve"> </w:t>
      </w:r>
      <w:r>
        <w:rPr>
          <w:rFonts w:ascii="Times" w:hAnsi="Times"/>
        </w:rPr>
        <w:t>treatment of the dead is something that, in the ancient world, was held to high standards.</w:t>
      </w:r>
      <w:r w:rsidR="007536DD">
        <w:rPr>
          <w:rStyle w:val="FootnoteReference"/>
          <w:rFonts w:ascii="Times" w:hAnsi="Times"/>
        </w:rPr>
        <w:footnoteReference w:id="1"/>
      </w:r>
      <w:r>
        <w:rPr>
          <w:rFonts w:ascii="Times" w:hAnsi="Times"/>
        </w:rPr>
        <w:t xml:space="preserve"> There were certain demands and needs that were required to be met during the burial and grieving process.</w:t>
      </w:r>
      <w:r w:rsidR="007536DD">
        <w:rPr>
          <w:rStyle w:val="FootnoteReference"/>
          <w:rFonts w:ascii="Times" w:hAnsi="Times"/>
        </w:rPr>
        <w:footnoteReference w:id="2"/>
      </w:r>
      <w:r>
        <w:rPr>
          <w:rFonts w:ascii="Times" w:hAnsi="Times"/>
        </w:rPr>
        <w:t xml:space="preserve"> Some of the reasons behind this could be linked to the idea of the dead remaining dead, and inhibiting that space, and the living having a separat</w:t>
      </w:r>
      <w:r w:rsidR="00823424">
        <w:rPr>
          <w:rFonts w:ascii="Times" w:hAnsi="Times"/>
        </w:rPr>
        <w:t>e space in which they could remain</w:t>
      </w:r>
      <w:r>
        <w:rPr>
          <w:rFonts w:ascii="Times" w:hAnsi="Times"/>
        </w:rPr>
        <w:t>.</w:t>
      </w:r>
      <w:r w:rsidR="007B6950">
        <w:rPr>
          <w:rStyle w:val="FootnoteReference"/>
          <w:rFonts w:ascii="Times" w:hAnsi="Times"/>
        </w:rPr>
        <w:footnoteReference w:id="3"/>
      </w:r>
      <w:r>
        <w:rPr>
          <w:rFonts w:ascii="Times" w:hAnsi="Times"/>
        </w:rPr>
        <w:t xml:space="preserve"> </w:t>
      </w:r>
      <w:r w:rsidR="00823424">
        <w:rPr>
          <w:rFonts w:ascii="Times" w:hAnsi="Times"/>
        </w:rPr>
        <w:t xml:space="preserve"> </w:t>
      </w:r>
      <w:r w:rsidR="007E09BA">
        <w:rPr>
          <w:rFonts w:ascii="Times" w:hAnsi="Times"/>
        </w:rPr>
        <w:t>Importantly, fears within Greek culture are present within the notion of the dead returning, but also the fear or Revenants themselves</w:t>
      </w:r>
      <w:r w:rsidR="007E09BA">
        <w:rPr>
          <w:rStyle w:val="FootnoteReference"/>
          <w:rFonts w:ascii="Times" w:hAnsi="Times"/>
        </w:rPr>
        <w:footnoteReference w:id="4"/>
      </w:r>
      <w:r w:rsidR="007E09BA">
        <w:rPr>
          <w:rFonts w:ascii="Times" w:hAnsi="Times"/>
        </w:rPr>
        <w:t xml:space="preserve">, and so it could be entirely possible that evidence of Revenant burials emphasises this fear. </w:t>
      </w:r>
      <w:r w:rsidR="00823424">
        <w:rPr>
          <w:rFonts w:ascii="Times" w:hAnsi="Times"/>
        </w:rPr>
        <w:t>Alekshin, argues that burials are one of the most important ways to give us information about the customs of the people that were deceased</w:t>
      </w:r>
      <w:r w:rsidR="00823424">
        <w:rPr>
          <w:rStyle w:val="FootnoteReference"/>
          <w:rFonts w:ascii="Times" w:hAnsi="Times"/>
        </w:rPr>
        <w:footnoteReference w:id="5"/>
      </w:r>
      <w:r w:rsidR="00823424">
        <w:rPr>
          <w:rFonts w:ascii="Times" w:hAnsi="Times"/>
        </w:rPr>
        <w:t>, and so looking at examples of burials will give the most true account to determine whether these demands and needs</w:t>
      </w:r>
      <w:r w:rsidR="007E09BA">
        <w:rPr>
          <w:rFonts w:ascii="Times" w:hAnsi="Times"/>
        </w:rPr>
        <w:t>, and above all, fears,</w:t>
      </w:r>
      <w:r w:rsidR="00823424">
        <w:rPr>
          <w:rFonts w:ascii="Times" w:hAnsi="Times"/>
        </w:rPr>
        <w:t xml:space="preserve"> were realised in Revenant burials. A key scholar in being able to determine the fears associated with Revenants and burials, Weaver, explains that </w:t>
      </w:r>
    </w:p>
    <w:p w14:paraId="7A59E8EA" w14:textId="798CA53C" w:rsidR="00236008" w:rsidRDefault="00823424" w:rsidP="00823424">
      <w:pPr>
        <w:ind w:left="720"/>
        <w:rPr>
          <w:rFonts w:ascii="Times" w:hAnsi="Times"/>
        </w:rPr>
      </w:pPr>
      <w:r>
        <w:rPr>
          <w:rFonts w:ascii="Times" w:hAnsi="Times"/>
        </w:rPr>
        <w:t>‘At the heart of this phobia is the belief that the dead are able to reanimate and exist in a state that is neither living nor dead but rather “undead”. Scholars sometimes refer to the undead as “embodied or solid ghosts”, but the term most frequently used is “revenant”’.</w:t>
      </w:r>
      <w:r>
        <w:rPr>
          <w:rStyle w:val="FootnoteReference"/>
          <w:rFonts w:ascii="Times" w:hAnsi="Times"/>
        </w:rPr>
        <w:footnoteReference w:id="6"/>
      </w:r>
    </w:p>
    <w:p w14:paraId="74994651" w14:textId="77777777" w:rsidR="007536DD" w:rsidRDefault="007536DD" w:rsidP="00236008">
      <w:pPr>
        <w:spacing w:line="480" w:lineRule="auto"/>
        <w:rPr>
          <w:rFonts w:ascii="Times" w:hAnsi="Times"/>
        </w:rPr>
      </w:pPr>
    </w:p>
    <w:p w14:paraId="29470CCE" w14:textId="77777777" w:rsidR="008E2813" w:rsidRDefault="008E2813" w:rsidP="00236008">
      <w:pPr>
        <w:spacing w:line="480" w:lineRule="auto"/>
        <w:rPr>
          <w:rFonts w:ascii="Times" w:hAnsi="Times"/>
        </w:rPr>
      </w:pPr>
    </w:p>
    <w:p w14:paraId="18CCBAD2" w14:textId="0E890749" w:rsidR="00823424" w:rsidRDefault="00832832" w:rsidP="00236008">
      <w:pPr>
        <w:spacing w:line="480" w:lineRule="auto"/>
        <w:rPr>
          <w:rFonts w:ascii="Times" w:hAnsi="Times"/>
        </w:rPr>
      </w:pPr>
      <w:r w:rsidRPr="008E2813">
        <w:rPr>
          <w:rFonts w:ascii="Times" w:hAnsi="Times"/>
        </w:rPr>
        <w:t xml:space="preserve">Given </w:t>
      </w:r>
      <w:r>
        <w:rPr>
          <w:rFonts w:ascii="Times" w:hAnsi="Times"/>
        </w:rPr>
        <w:t>funerary and burial rites within Roman and Greek customs it would become apparent that, regardless of the person there are measures put in place to ensure that the deceased does not return.</w:t>
      </w:r>
      <w:r w:rsidR="003D78E4">
        <w:rPr>
          <w:rStyle w:val="FootnoteReference"/>
          <w:rFonts w:ascii="Times" w:hAnsi="Times"/>
        </w:rPr>
        <w:footnoteReference w:id="7"/>
      </w:r>
      <w:r w:rsidR="00C2395D">
        <w:rPr>
          <w:rFonts w:ascii="Times" w:hAnsi="Times"/>
        </w:rPr>
        <w:t xml:space="preserve"> The fear of the dead returning, Revenant or not, is clear</w:t>
      </w:r>
      <w:r w:rsidR="004D297F">
        <w:rPr>
          <w:rFonts w:ascii="Times" w:hAnsi="Times"/>
        </w:rPr>
        <w:t>,</w:t>
      </w:r>
      <w:r w:rsidR="006D18A3">
        <w:rPr>
          <w:rStyle w:val="FootnoteReference"/>
          <w:rFonts w:ascii="Times" w:hAnsi="Times"/>
        </w:rPr>
        <w:footnoteReference w:id="8"/>
      </w:r>
      <w:r w:rsidR="008E2813">
        <w:rPr>
          <w:rFonts w:ascii="Times" w:hAnsi="Times"/>
        </w:rPr>
        <w:t xml:space="preserve">  </w:t>
      </w:r>
      <w:r w:rsidR="004D297F">
        <w:rPr>
          <w:rFonts w:ascii="Times" w:hAnsi="Times"/>
        </w:rPr>
        <w:t xml:space="preserve">with this attention put in place it seems logical to assume this is part of the reasoning. </w:t>
      </w:r>
      <w:r w:rsidR="008E2813">
        <w:rPr>
          <w:rFonts w:ascii="Times" w:hAnsi="Times"/>
        </w:rPr>
        <w:t xml:space="preserve">Opening up the return of the dead into all categories of ghosts and revenants what is clear is that what seems to be apparent is a general threat of the return of the dead, and with Revenants being </w:t>
      </w:r>
      <w:r w:rsidR="008E1800">
        <w:rPr>
          <w:rFonts w:ascii="Times" w:hAnsi="Times"/>
        </w:rPr>
        <w:t>physically</w:t>
      </w:r>
      <w:r w:rsidR="008E2813">
        <w:rPr>
          <w:rFonts w:ascii="Times" w:hAnsi="Times"/>
        </w:rPr>
        <w:t xml:space="preserve"> substantial the threat is more real, thus more elements are added to the burial to ensure that this doesn’t happen. </w:t>
      </w:r>
      <w:r w:rsidR="008E1800">
        <w:rPr>
          <w:rFonts w:ascii="Times" w:hAnsi="Times"/>
        </w:rPr>
        <w:t xml:space="preserve">A key fear highlighted with the return of </w:t>
      </w:r>
      <w:r w:rsidR="00784079">
        <w:rPr>
          <w:rFonts w:ascii="Times" w:hAnsi="Times"/>
        </w:rPr>
        <w:t>Revenants</w:t>
      </w:r>
      <w:r w:rsidR="008E1800">
        <w:rPr>
          <w:rFonts w:ascii="Times" w:hAnsi="Times"/>
        </w:rPr>
        <w:t xml:space="preserve"> is that the body coming back may not hold the spirit or the mentality of the deceased</w:t>
      </w:r>
      <w:r w:rsidR="00784079">
        <w:rPr>
          <w:rFonts w:ascii="Times" w:hAnsi="Times"/>
        </w:rPr>
        <w:t xml:space="preserve">, </w:t>
      </w:r>
      <w:r w:rsidR="008E1800">
        <w:rPr>
          <w:rStyle w:val="FootnoteReference"/>
          <w:rFonts w:ascii="Times" w:hAnsi="Times"/>
        </w:rPr>
        <w:footnoteReference w:id="9"/>
      </w:r>
      <w:r w:rsidR="00784079">
        <w:rPr>
          <w:rFonts w:ascii="Times" w:hAnsi="Times"/>
        </w:rPr>
        <w:t xml:space="preserve"> providin</w:t>
      </w:r>
      <w:r w:rsidR="00607A72">
        <w:rPr>
          <w:rFonts w:ascii="Times" w:hAnsi="Times"/>
        </w:rPr>
        <w:t xml:space="preserve">g more of a fear within humans as they may associate themselves with the person by appearance but through no other means, which perhaps plays into natural fear. </w:t>
      </w:r>
    </w:p>
    <w:p w14:paraId="75D27265" w14:textId="77777777" w:rsidR="008E2813" w:rsidRDefault="008E2813" w:rsidP="00236008">
      <w:pPr>
        <w:spacing w:line="480" w:lineRule="auto"/>
        <w:rPr>
          <w:rFonts w:ascii="Times" w:hAnsi="Times"/>
        </w:rPr>
      </w:pPr>
    </w:p>
    <w:p w14:paraId="098949B2" w14:textId="2C74832B" w:rsidR="00FD74CC" w:rsidRPr="00C2395D" w:rsidRDefault="00784079" w:rsidP="00236008">
      <w:pPr>
        <w:spacing w:line="480" w:lineRule="auto"/>
        <w:rPr>
          <w:rFonts w:ascii="Times" w:hAnsi="Times"/>
        </w:rPr>
      </w:pPr>
      <w:r>
        <w:rPr>
          <w:rFonts w:ascii="Times" w:hAnsi="Times"/>
        </w:rPr>
        <w:t xml:space="preserve">What has been highlighted in the exploration of Revenants returning from the dead is the use of the </w:t>
      </w:r>
      <w:r w:rsidR="0049434E">
        <w:rPr>
          <w:rFonts w:ascii="Times" w:hAnsi="Times"/>
        </w:rPr>
        <w:t>physicality, in contras</w:t>
      </w:r>
      <w:r w:rsidR="00B15577">
        <w:rPr>
          <w:rFonts w:ascii="Times" w:hAnsi="Times"/>
        </w:rPr>
        <w:t xml:space="preserve">t to this a passage from the </w:t>
      </w:r>
      <w:r w:rsidR="00B15577">
        <w:rPr>
          <w:rFonts w:ascii="Times" w:hAnsi="Times"/>
          <w:i/>
        </w:rPr>
        <w:t xml:space="preserve">Odyssey </w:t>
      </w:r>
      <w:r w:rsidR="00B15577">
        <w:rPr>
          <w:rFonts w:ascii="Times" w:hAnsi="Times"/>
        </w:rPr>
        <w:t>sho</w:t>
      </w:r>
      <w:r w:rsidR="007E4F62">
        <w:rPr>
          <w:rFonts w:ascii="Times" w:hAnsi="Times"/>
        </w:rPr>
        <w:t>ws an encounter with thing</w:t>
      </w:r>
      <w:r w:rsidR="0049434E">
        <w:rPr>
          <w:rFonts w:ascii="Times" w:hAnsi="Times"/>
        </w:rPr>
        <w:t>s that are not wholly physical -d</w:t>
      </w:r>
      <w:r w:rsidR="00FD74CC">
        <w:rPr>
          <w:rFonts w:ascii="Times" w:hAnsi="Times"/>
        </w:rPr>
        <w:t xml:space="preserve">uring Book Eleven of the </w:t>
      </w:r>
      <w:r w:rsidR="00FD74CC">
        <w:rPr>
          <w:rFonts w:ascii="Times" w:hAnsi="Times"/>
          <w:i/>
        </w:rPr>
        <w:t xml:space="preserve">Odyssey </w:t>
      </w:r>
      <w:r w:rsidR="00B478A9">
        <w:rPr>
          <w:rFonts w:ascii="Times" w:hAnsi="Times"/>
        </w:rPr>
        <w:t xml:space="preserve">what is made clear is the physical boundary between the living and </w:t>
      </w:r>
      <w:r w:rsidR="00ED6E39">
        <w:rPr>
          <w:rFonts w:ascii="Times" w:hAnsi="Times"/>
        </w:rPr>
        <w:t>the dead, in which Odysseus summons the souls of the dead at the edge of the world of the living.</w:t>
      </w:r>
      <w:r w:rsidR="00ED6E39">
        <w:rPr>
          <w:rStyle w:val="FootnoteReference"/>
          <w:rFonts w:ascii="Times" w:hAnsi="Times"/>
        </w:rPr>
        <w:footnoteReference w:id="10"/>
      </w:r>
      <w:r w:rsidR="00ED6E39">
        <w:rPr>
          <w:rFonts w:ascii="Times" w:hAnsi="Times"/>
        </w:rPr>
        <w:t xml:space="preserve"> This insinuates that there is a way to communicate with the dead after the passing, through the souls of the dead, however it is clear that the dead have their place, and the living do not and should not exist within those realms. </w:t>
      </w:r>
      <w:r w:rsidR="00C2395D">
        <w:rPr>
          <w:rFonts w:ascii="Times" w:hAnsi="Times"/>
        </w:rPr>
        <w:t>This section of texts, does imply that there is some sort of fear, perhaps, that Odysseus may have in regards to the dead as he keeps his sword drawn at all times to keep the souls of the dead in order.</w:t>
      </w:r>
      <w:r w:rsidR="00C2395D">
        <w:rPr>
          <w:rStyle w:val="FootnoteReference"/>
          <w:rFonts w:ascii="Times" w:hAnsi="Times"/>
        </w:rPr>
        <w:footnoteReference w:id="11"/>
      </w:r>
      <w:r w:rsidR="00C2395D">
        <w:rPr>
          <w:rFonts w:ascii="Times" w:hAnsi="Times"/>
        </w:rPr>
        <w:t xml:space="preserve"> A key word is used within the passage in the</w:t>
      </w:r>
      <w:r w:rsidR="00C2395D">
        <w:rPr>
          <w:rFonts w:ascii="Times" w:hAnsi="Times"/>
          <w:i/>
        </w:rPr>
        <w:t xml:space="preserve"> Odyssey </w:t>
      </w:r>
      <w:r w:rsidR="00C2395D">
        <w:rPr>
          <w:rFonts w:ascii="Times" w:hAnsi="Times"/>
        </w:rPr>
        <w:t>also making reference to ‘insubstantial’.</w:t>
      </w:r>
      <w:r w:rsidR="00640865">
        <w:rPr>
          <w:rStyle w:val="FootnoteReference"/>
          <w:rFonts w:ascii="Times" w:hAnsi="Times"/>
        </w:rPr>
        <w:footnoteReference w:id="12"/>
      </w:r>
      <w:r>
        <w:rPr>
          <w:rFonts w:ascii="Times" w:hAnsi="Times"/>
        </w:rPr>
        <w:t xml:space="preserve"> </w:t>
      </w:r>
      <w:r w:rsidR="007E4F62">
        <w:rPr>
          <w:rFonts w:ascii="Times" w:hAnsi="Times"/>
        </w:rPr>
        <w:t xml:space="preserve">There are no extra efforts put in place to ensure that the souls do not return but only the bodies, which is specific to the physical return, and so clearly there is a more heightened fear to a revenant return. </w:t>
      </w:r>
    </w:p>
    <w:p w14:paraId="1E089908" w14:textId="77777777" w:rsidR="007536DD" w:rsidRDefault="007536DD" w:rsidP="00236008">
      <w:pPr>
        <w:spacing w:line="480" w:lineRule="auto"/>
        <w:rPr>
          <w:rFonts w:ascii="Times" w:hAnsi="Times"/>
        </w:rPr>
      </w:pPr>
    </w:p>
    <w:p w14:paraId="4A9DAA36" w14:textId="6B9B3653" w:rsidR="006D18A3" w:rsidRDefault="00832832" w:rsidP="00236008">
      <w:pPr>
        <w:spacing w:line="480" w:lineRule="auto"/>
        <w:rPr>
          <w:rFonts w:ascii="Times" w:hAnsi="Times"/>
        </w:rPr>
      </w:pPr>
      <w:r w:rsidRPr="00A64619">
        <w:rPr>
          <w:rFonts w:ascii="Times" w:hAnsi="Times"/>
        </w:rPr>
        <w:t xml:space="preserve">Revenants </w:t>
      </w:r>
      <w:r>
        <w:rPr>
          <w:rFonts w:ascii="Times" w:hAnsi="Times"/>
        </w:rPr>
        <w:t xml:space="preserve">hold a particular fear in </w:t>
      </w:r>
      <w:r w:rsidR="00AC2D81">
        <w:rPr>
          <w:rFonts w:ascii="Times" w:hAnsi="Times"/>
        </w:rPr>
        <w:t xml:space="preserve">both ancient and modern </w:t>
      </w:r>
      <w:r>
        <w:rPr>
          <w:rFonts w:ascii="Times" w:hAnsi="Times"/>
        </w:rPr>
        <w:t xml:space="preserve">society, due to many factors, largely </w:t>
      </w:r>
      <w:r w:rsidR="003D78E4">
        <w:rPr>
          <w:rFonts w:ascii="Times" w:hAnsi="Times"/>
        </w:rPr>
        <w:t>regarding the return of a soul, not necessarily with the body, or some sort of supernatural inhabitancy.</w:t>
      </w:r>
      <w:r w:rsidR="003D78E4">
        <w:rPr>
          <w:rStyle w:val="FootnoteReference"/>
          <w:rFonts w:ascii="Times" w:hAnsi="Times"/>
        </w:rPr>
        <w:footnoteReference w:id="13"/>
      </w:r>
      <w:r w:rsidR="005B1D75">
        <w:rPr>
          <w:rFonts w:ascii="Times" w:hAnsi="Times"/>
        </w:rPr>
        <w:t xml:space="preserve"> </w:t>
      </w:r>
      <w:r w:rsidR="006D18A3">
        <w:rPr>
          <w:rFonts w:ascii="Times" w:hAnsi="Times"/>
        </w:rPr>
        <w:t xml:space="preserve">Barber creates the following argument: </w:t>
      </w:r>
    </w:p>
    <w:p w14:paraId="61AC6B94" w14:textId="5C637023" w:rsidR="006D18A3" w:rsidRDefault="006D18A3" w:rsidP="006D18A3">
      <w:pPr>
        <w:ind w:left="720"/>
        <w:rPr>
          <w:rFonts w:ascii="Times" w:hAnsi="Times"/>
        </w:rPr>
      </w:pPr>
      <w:r>
        <w:rPr>
          <w:rFonts w:ascii="Times" w:hAnsi="Times"/>
        </w:rPr>
        <w:t xml:space="preserve">…the factors that being revenants into existence fall into the following broad categories: (1) predisposition; (2) predestination; (3) events: things that are done to people, things that happen to them; and (4) non-events: things that are left undone. </w:t>
      </w:r>
      <w:r>
        <w:rPr>
          <w:rStyle w:val="FootnoteReference"/>
          <w:rFonts w:ascii="Times" w:hAnsi="Times"/>
        </w:rPr>
        <w:footnoteReference w:id="14"/>
      </w:r>
    </w:p>
    <w:p w14:paraId="56BD2463" w14:textId="77777777" w:rsidR="003E65F3" w:rsidRDefault="003E65F3" w:rsidP="006D18A3">
      <w:pPr>
        <w:ind w:left="720"/>
        <w:rPr>
          <w:rFonts w:ascii="Times" w:hAnsi="Times"/>
        </w:rPr>
      </w:pPr>
    </w:p>
    <w:p w14:paraId="52F78AAA" w14:textId="77777777" w:rsidR="006D18A3" w:rsidRDefault="006D18A3" w:rsidP="006D18A3">
      <w:pPr>
        <w:ind w:left="720"/>
        <w:rPr>
          <w:rFonts w:ascii="Times" w:hAnsi="Times"/>
        </w:rPr>
      </w:pPr>
    </w:p>
    <w:p w14:paraId="75617E14" w14:textId="5DD3E061" w:rsidR="00832832" w:rsidRPr="00927D73" w:rsidRDefault="00F76806" w:rsidP="00236008">
      <w:pPr>
        <w:spacing w:line="480" w:lineRule="auto"/>
        <w:rPr>
          <w:rFonts w:ascii="Times" w:hAnsi="Times"/>
        </w:rPr>
      </w:pPr>
      <w:r>
        <w:rPr>
          <w:rFonts w:ascii="Times" w:hAnsi="Times"/>
        </w:rPr>
        <w:t>Weaver also makes reference to the idea that revenants are associated with an agency to hurt the living,</w:t>
      </w:r>
      <w:r>
        <w:rPr>
          <w:rStyle w:val="FootnoteReference"/>
          <w:rFonts w:ascii="Times" w:hAnsi="Times"/>
        </w:rPr>
        <w:footnoteReference w:id="15"/>
      </w:r>
      <w:r>
        <w:rPr>
          <w:rFonts w:ascii="Times" w:hAnsi="Times"/>
        </w:rPr>
        <w:t xml:space="preserve"> and so it would have been appropriate to take measures in order to ensure that this would not happen, so that the direct threat for humans would have be relieved. </w:t>
      </w:r>
      <w:r w:rsidR="00BD25E7">
        <w:rPr>
          <w:rFonts w:ascii="Times" w:hAnsi="Times"/>
        </w:rPr>
        <w:t xml:space="preserve">Caciola </w:t>
      </w:r>
      <w:r w:rsidR="00A94BDD">
        <w:rPr>
          <w:rFonts w:ascii="Times" w:hAnsi="Times"/>
        </w:rPr>
        <w:t>refers to the treatment of revenants throughout time and states that in the cases of the believed Revenants death, cremation would have been a suitable choice to ensure that they could not return as it was complete dissolution of the flesh so there would be no substantial way in which the body could return.</w:t>
      </w:r>
      <w:r w:rsidR="00A94BDD">
        <w:rPr>
          <w:rStyle w:val="FootnoteReference"/>
          <w:rFonts w:ascii="Times" w:hAnsi="Times"/>
        </w:rPr>
        <w:footnoteReference w:id="16"/>
      </w:r>
      <w:r w:rsidR="00367746">
        <w:rPr>
          <w:rFonts w:ascii="Times" w:hAnsi="Times"/>
        </w:rPr>
        <w:t xml:space="preserve"> With this although, there is some discrepancies applying this terminology and rubric mentioned as some of these ideas are more modern concepts.</w:t>
      </w:r>
      <w:r w:rsidR="00367746">
        <w:rPr>
          <w:rStyle w:val="FootnoteReference"/>
          <w:rFonts w:ascii="Times" w:hAnsi="Times"/>
        </w:rPr>
        <w:footnoteReference w:id="17"/>
      </w:r>
      <w:r w:rsidR="009B4F11">
        <w:rPr>
          <w:rFonts w:ascii="Times" w:hAnsi="Times"/>
        </w:rPr>
        <w:t xml:space="preserve"> As well as this, there are certain types of people that become revenants </w:t>
      </w:r>
      <w:r w:rsidR="00A64619">
        <w:rPr>
          <w:rFonts w:ascii="Times" w:hAnsi="Times"/>
        </w:rPr>
        <w:t>and certain deaths that are associated with Revenants</w:t>
      </w:r>
      <w:r w:rsidR="00A64619">
        <w:rPr>
          <w:rStyle w:val="FootnoteReference"/>
          <w:rFonts w:ascii="Times" w:hAnsi="Times"/>
        </w:rPr>
        <w:footnoteReference w:id="18"/>
      </w:r>
      <w:r w:rsidR="00A64619">
        <w:rPr>
          <w:rFonts w:ascii="Times" w:hAnsi="Times"/>
        </w:rPr>
        <w:t xml:space="preserve">, which may further tie into why the intentions of the body inhabited may be interpreted to heighten fear. </w:t>
      </w:r>
      <w:r w:rsidR="00927D73">
        <w:rPr>
          <w:rFonts w:ascii="Times" w:hAnsi="Times"/>
        </w:rPr>
        <w:t xml:space="preserve"> These are classed as </w:t>
      </w:r>
      <w:r w:rsidR="00927D73">
        <w:rPr>
          <w:rFonts w:ascii="Times" w:hAnsi="Times"/>
          <w:i/>
        </w:rPr>
        <w:t xml:space="preserve">aoroi, biaiothanatoi </w:t>
      </w:r>
      <w:r w:rsidR="00927D73">
        <w:rPr>
          <w:rFonts w:ascii="Times" w:hAnsi="Times"/>
        </w:rPr>
        <w:t xml:space="preserve">and </w:t>
      </w:r>
      <w:r w:rsidR="00927D73">
        <w:rPr>
          <w:rFonts w:ascii="Times" w:hAnsi="Times"/>
          <w:i/>
        </w:rPr>
        <w:t>ataphoi.</w:t>
      </w:r>
      <w:r w:rsidR="00927D73">
        <w:rPr>
          <w:rStyle w:val="FootnoteReference"/>
          <w:rFonts w:ascii="Times" w:hAnsi="Times"/>
          <w:i/>
        </w:rPr>
        <w:footnoteReference w:id="19"/>
      </w:r>
      <w:r w:rsidR="00927D73">
        <w:rPr>
          <w:rFonts w:ascii="Times" w:hAnsi="Times"/>
        </w:rPr>
        <w:t xml:space="preserve">Out of these I believe that perhaps the </w:t>
      </w:r>
      <w:r w:rsidR="00927D73">
        <w:rPr>
          <w:rFonts w:ascii="Times" w:hAnsi="Times"/>
          <w:i/>
        </w:rPr>
        <w:t>ataphoi</w:t>
      </w:r>
      <w:r w:rsidR="00927D73">
        <w:rPr>
          <w:rFonts w:ascii="Times" w:hAnsi="Times"/>
        </w:rPr>
        <w:t xml:space="preserve"> is the most significant in relation to the questions as it revolved around those who have not received proper burial rites.</w:t>
      </w:r>
      <w:r w:rsidR="00927D73">
        <w:rPr>
          <w:rStyle w:val="FootnoteReference"/>
          <w:rFonts w:ascii="Times" w:hAnsi="Times"/>
        </w:rPr>
        <w:footnoteReference w:id="20"/>
      </w:r>
    </w:p>
    <w:p w14:paraId="3C7FEEA9" w14:textId="35CD159C" w:rsidR="00AC2D81" w:rsidRDefault="00AC2D81" w:rsidP="00236008">
      <w:pPr>
        <w:spacing w:line="480" w:lineRule="auto"/>
        <w:rPr>
          <w:rFonts w:ascii="Times" w:hAnsi="Times"/>
        </w:rPr>
      </w:pPr>
    </w:p>
    <w:p w14:paraId="34B5770D" w14:textId="11396CAE" w:rsidR="006D6EE7" w:rsidRDefault="00534E73" w:rsidP="00236008">
      <w:pPr>
        <w:spacing w:line="480" w:lineRule="auto"/>
        <w:rPr>
          <w:rFonts w:ascii="Times" w:hAnsi="Times"/>
        </w:rPr>
      </w:pPr>
      <w:r>
        <w:rPr>
          <w:rFonts w:ascii="Times" w:hAnsi="Times"/>
        </w:rPr>
        <w:t xml:space="preserve">An example of this idea of returning from the dead can be explored through an extract from Pliny </w:t>
      </w:r>
      <w:r>
        <w:rPr>
          <w:rFonts w:ascii="Times" w:hAnsi="Times"/>
          <w:i/>
        </w:rPr>
        <w:t xml:space="preserve">The Natural History, </w:t>
      </w:r>
      <w:r>
        <w:rPr>
          <w:rFonts w:ascii="Times" w:hAnsi="Times"/>
        </w:rPr>
        <w:t>in which an account is made of a man returning from the dead at the moment of cremation.</w:t>
      </w:r>
      <w:r>
        <w:rPr>
          <w:rStyle w:val="FootnoteReference"/>
          <w:rFonts w:ascii="Times" w:hAnsi="Times"/>
        </w:rPr>
        <w:footnoteReference w:id="21"/>
      </w:r>
      <w:r w:rsidR="009D0BA5">
        <w:rPr>
          <w:rFonts w:ascii="Times" w:hAnsi="Times"/>
        </w:rPr>
        <w:t xml:space="preserve"> This can be linked back into the idea of being able to suffi</w:t>
      </w:r>
      <w:r w:rsidR="00A97870">
        <w:rPr>
          <w:rFonts w:ascii="Times" w:hAnsi="Times"/>
        </w:rPr>
        <w:t>ci</w:t>
      </w:r>
      <w:r w:rsidR="009D0BA5">
        <w:rPr>
          <w:rFonts w:ascii="Times" w:hAnsi="Times"/>
        </w:rPr>
        <w:t>ently kill someone so that they cannot return from the dead.</w:t>
      </w:r>
      <w:r w:rsidR="009D0BA5">
        <w:rPr>
          <w:rStyle w:val="FootnoteReference"/>
          <w:rFonts w:ascii="Times" w:hAnsi="Times"/>
        </w:rPr>
        <w:footnoteReference w:id="22"/>
      </w:r>
      <w:r w:rsidR="007E4F62">
        <w:rPr>
          <w:rFonts w:ascii="Times" w:hAnsi="Times"/>
        </w:rPr>
        <w:t xml:space="preserve"> </w:t>
      </w:r>
      <w:r w:rsidR="00A64619">
        <w:rPr>
          <w:rFonts w:ascii="Times" w:hAnsi="Times"/>
        </w:rPr>
        <w:t xml:space="preserve">As in this case, the man awoke as he was being cremated, it could be argued that to carry on with the cremation was the best way to ensure that his body would not return with an intent to harm anyone, which was a fear. </w:t>
      </w:r>
    </w:p>
    <w:p w14:paraId="630B084E" w14:textId="77777777" w:rsidR="00DB1088" w:rsidRDefault="00DB1088" w:rsidP="00236008">
      <w:pPr>
        <w:spacing w:line="480" w:lineRule="auto"/>
        <w:rPr>
          <w:rFonts w:ascii="Times" w:hAnsi="Times"/>
        </w:rPr>
      </w:pPr>
    </w:p>
    <w:p w14:paraId="799BF9B2" w14:textId="7A669EDC" w:rsidR="00927D73" w:rsidRPr="006A5D5F" w:rsidRDefault="007E4F62" w:rsidP="00236008">
      <w:pPr>
        <w:spacing w:line="480" w:lineRule="auto"/>
        <w:rPr>
          <w:rFonts w:ascii="Times" w:hAnsi="Times"/>
        </w:rPr>
      </w:pPr>
      <w:r>
        <w:rPr>
          <w:rFonts w:ascii="Times" w:hAnsi="Times"/>
        </w:rPr>
        <w:t xml:space="preserve">Another example of a physical return of the body is seen in Euripides, </w:t>
      </w:r>
      <w:r>
        <w:rPr>
          <w:rFonts w:ascii="Times" w:hAnsi="Times"/>
          <w:i/>
        </w:rPr>
        <w:t xml:space="preserve">Alcestis </w:t>
      </w:r>
      <w:r w:rsidR="004C77B7">
        <w:rPr>
          <w:rFonts w:ascii="Times" w:hAnsi="Times"/>
        </w:rPr>
        <w:t>in which the wife of Admetus returns,</w:t>
      </w:r>
      <w:r w:rsidR="00DB1088">
        <w:rPr>
          <w:rStyle w:val="FootnoteReference"/>
          <w:rFonts w:ascii="Times" w:hAnsi="Times"/>
        </w:rPr>
        <w:footnoteReference w:id="23"/>
      </w:r>
      <w:r w:rsidR="004C77B7">
        <w:rPr>
          <w:rFonts w:ascii="Times" w:hAnsi="Times"/>
        </w:rPr>
        <w:t xml:space="preserve"> </w:t>
      </w:r>
      <w:r w:rsidR="00DB1088">
        <w:rPr>
          <w:rFonts w:ascii="Times" w:hAnsi="Times"/>
        </w:rPr>
        <w:t>in this case the return seems to be as though she was not properly dead as there was a ‘battle with death’ described.</w:t>
      </w:r>
      <w:r w:rsidR="00DB1088">
        <w:rPr>
          <w:rStyle w:val="FootnoteReference"/>
          <w:rFonts w:ascii="Times" w:hAnsi="Times"/>
        </w:rPr>
        <w:footnoteReference w:id="24"/>
      </w:r>
      <w:r w:rsidR="00DB1088">
        <w:rPr>
          <w:rFonts w:ascii="Times" w:hAnsi="Times"/>
        </w:rPr>
        <w:t xml:space="preserve"> </w:t>
      </w:r>
      <w:r w:rsidR="00927D73">
        <w:rPr>
          <w:rFonts w:ascii="Times" w:hAnsi="Times"/>
        </w:rPr>
        <w:t xml:space="preserve">One more prominent return is mentioned in Strabo, this is the case a man who commits a crime and is then killed, after this is would appear that he </w:t>
      </w:r>
      <w:r w:rsidR="006A5D5F">
        <w:rPr>
          <w:rFonts w:ascii="Times" w:hAnsi="Times"/>
        </w:rPr>
        <w:t>cannot move on and so began to kill people.</w:t>
      </w:r>
      <w:r w:rsidR="006A5D5F">
        <w:rPr>
          <w:rStyle w:val="FootnoteReference"/>
          <w:rFonts w:ascii="Times" w:hAnsi="Times"/>
        </w:rPr>
        <w:footnoteReference w:id="25"/>
      </w:r>
      <w:r w:rsidR="006A5D5F">
        <w:rPr>
          <w:rFonts w:ascii="Times" w:hAnsi="Times"/>
        </w:rPr>
        <w:t xml:space="preserve"> It is in this sense that there is an explicit reference to violence towards humans being committed by a Revenant, the reference to this would only mean that fears of the dead returning would become stronger. This is a stark difference to the passage seen in the </w:t>
      </w:r>
      <w:r w:rsidR="006A5D5F">
        <w:rPr>
          <w:rFonts w:ascii="Times" w:hAnsi="Times"/>
          <w:i/>
        </w:rPr>
        <w:t xml:space="preserve">Odyssey </w:t>
      </w:r>
      <w:r w:rsidR="006A5D5F">
        <w:rPr>
          <w:rFonts w:ascii="Times" w:hAnsi="Times"/>
        </w:rPr>
        <w:t>in which the connection Odysseus has poses no threat to him as they are not physical beings.</w:t>
      </w:r>
      <w:r w:rsidR="006A5D5F">
        <w:rPr>
          <w:rStyle w:val="FootnoteReference"/>
          <w:rFonts w:ascii="Times" w:hAnsi="Times"/>
        </w:rPr>
        <w:footnoteReference w:id="26"/>
      </w:r>
    </w:p>
    <w:p w14:paraId="31AE621E" w14:textId="77777777" w:rsidR="0047766A" w:rsidRPr="00534E73" w:rsidRDefault="0047766A" w:rsidP="00236008">
      <w:pPr>
        <w:spacing w:line="480" w:lineRule="auto"/>
        <w:rPr>
          <w:rFonts w:ascii="Times" w:hAnsi="Times"/>
        </w:rPr>
      </w:pPr>
    </w:p>
    <w:p w14:paraId="4F8119B9" w14:textId="77777777" w:rsidR="005B1D75" w:rsidRDefault="003D78E4" w:rsidP="00236008">
      <w:pPr>
        <w:spacing w:line="480" w:lineRule="auto"/>
        <w:rPr>
          <w:rFonts w:ascii="Times" w:hAnsi="Times"/>
        </w:rPr>
      </w:pPr>
      <w:r w:rsidRPr="00367746">
        <w:rPr>
          <w:rFonts w:ascii="Times" w:hAnsi="Times"/>
        </w:rPr>
        <w:t xml:space="preserve">Given </w:t>
      </w:r>
      <w:r>
        <w:rPr>
          <w:rFonts w:ascii="Times" w:hAnsi="Times"/>
        </w:rPr>
        <w:t>the information on the latter, it would become apparent that archaeological evidence of burials provides some insight into the way that burials would be changed in order to accommodate these fears of the dead returning.</w:t>
      </w:r>
      <w:r>
        <w:rPr>
          <w:rStyle w:val="FootnoteReference"/>
          <w:rFonts w:ascii="Times" w:hAnsi="Times"/>
        </w:rPr>
        <w:footnoteReference w:id="27"/>
      </w:r>
      <w:r w:rsidR="0062490F">
        <w:rPr>
          <w:rFonts w:ascii="Times" w:hAnsi="Times"/>
        </w:rPr>
        <w:t xml:space="preserve"> Weaver</w:t>
      </w:r>
      <w:r w:rsidR="002D00E5">
        <w:rPr>
          <w:rFonts w:ascii="Times" w:hAnsi="Times"/>
        </w:rPr>
        <w:t xml:space="preserve">, in regards to the burials of the dead, refers to two specific burials which bear some anomalies </w:t>
      </w:r>
      <w:r w:rsidR="005B1D75">
        <w:rPr>
          <w:rFonts w:ascii="Times" w:hAnsi="Times"/>
        </w:rPr>
        <w:t xml:space="preserve">to typical burials. </w:t>
      </w:r>
    </w:p>
    <w:p w14:paraId="744AEA73" w14:textId="45C11541" w:rsidR="003D78E4" w:rsidRPr="006D6EE7" w:rsidRDefault="005B1D75" w:rsidP="006D6EE7">
      <w:pPr>
        <w:pStyle w:val="Heading1"/>
        <w:shd w:val="clear" w:color="auto" w:fill="FFFFFF"/>
        <w:spacing w:before="0" w:beforeAutospacing="0"/>
        <w:rPr>
          <w:rFonts w:ascii="Arial" w:eastAsia="Times New Roman" w:hAnsi="Arial" w:cs="Arial"/>
          <w:color w:val="333333"/>
          <w:sz w:val="26"/>
          <w:szCs w:val="26"/>
        </w:rPr>
      </w:pPr>
      <w:r>
        <w:rPr>
          <w:rFonts w:ascii="Times" w:hAnsi="Times"/>
        </w:rPr>
        <w:t xml:space="preserve"> </w:t>
      </w:r>
    </w:p>
    <w:p w14:paraId="2F7EDEA3" w14:textId="39C47502" w:rsidR="006A5D5F" w:rsidRDefault="00F711C6" w:rsidP="00236008">
      <w:pPr>
        <w:spacing w:line="480" w:lineRule="auto"/>
        <w:rPr>
          <w:rFonts w:ascii="Times" w:hAnsi="Times"/>
        </w:rPr>
      </w:pPr>
      <w:r>
        <w:rPr>
          <w:rFonts w:ascii="Times" w:hAnsi="Times"/>
        </w:rPr>
        <w:t>In</w:t>
      </w:r>
      <w:r w:rsidR="006D6EE7">
        <w:rPr>
          <w:rFonts w:ascii="Times" w:hAnsi="Times"/>
        </w:rPr>
        <w:t xml:space="preserve"> some of the more striking</w:t>
      </w:r>
      <w:r>
        <w:rPr>
          <w:rFonts w:ascii="Times" w:hAnsi="Times"/>
        </w:rPr>
        <w:t xml:space="preserve"> cases Weaver mentions, there are heavy objects placed over the bodies</w:t>
      </w:r>
      <w:r w:rsidR="004E6C66">
        <w:rPr>
          <w:rFonts w:ascii="Times" w:hAnsi="Times"/>
        </w:rPr>
        <w:t xml:space="preserve">- this would have been uncommon. The inclusion of these heavy objects </w:t>
      </w:r>
      <w:r w:rsidR="00CA2E9E">
        <w:rPr>
          <w:rFonts w:ascii="Times" w:hAnsi="Times"/>
        </w:rPr>
        <w:t>could be perceived as a way to stop the</w:t>
      </w:r>
      <w:r w:rsidR="00823424">
        <w:rPr>
          <w:rFonts w:ascii="Times" w:hAnsi="Times"/>
        </w:rPr>
        <w:t xml:space="preserve"> bodies from returning. </w:t>
      </w:r>
      <w:r w:rsidR="00A97870">
        <w:rPr>
          <w:rFonts w:ascii="Times" w:hAnsi="Times"/>
        </w:rPr>
        <w:t>As well as this, Weaver goes on to mention evidence of bodies being dismembered, trapped in their grave and being buried deeper than the standard burial,</w:t>
      </w:r>
      <w:r w:rsidR="00A97870">
        <w:rPr>
          <w:rStyle w:val="FootnoteReference"/>
          <w:rFonts w:ascii="Times" w:hAnsi="Times"/>
        </w:rPr>
        <w:footnoteReference w:id="28"/>
      </w:r>
      <w:r w:rsidR="00A97870">
        <w:rPr>
          <w:rFonts w:ascii="Times" w:hAnsi="Times"/>
        </w:rPr>
        <w:t xml:space="preserve"> cremation is also referred to, linking back to a previous point made by Caciola that cremation is one of the only way to ensure that the dead stay dead.</w:t>
      </w:r>
      <w:r w:rsidR="00A97870">
        <w:rPr>
          <w:rStyle w:val="FootnoteReference"/>
          <w:rFonts w:ascii="Times" w:hAnsi="Times"/>
        </w:rPr>
        <w:footnoteReference w:id="29"/>
      </w:r>
      <w:r w:rsidR="00B15577">
        <w:rPr>
          <w:rFonts w:ascii="Times" w:hAnsi="Times"/>
        </w:rPr>
        <w:t xml:space="preserve"> </w:t>
      </w:r>
      <w:r w:rsidR="009C3E8A">
        <w:rPr>
          <w:rFonts w:ascii="Times" w:hAnsi="Times"/>
        </w:rPr>
        <w:t>Linking back to the rubric set out by Barber there is clear evidence of where this fear of the returning dead with</w:t>
      </w:r>
      <w:r w:rsidR="00A64619">
        <w:rPr>
          <w:rFonts w:ascii="Times" w:hAnsi="Times"/>
        </w:rPr>
        <w:t xml:space="preserve"> a body could come from. As Weaver is exploring some of the remains that have this abnormal treatment </w:t>
      </w:r>
      <w:r w:rsidR="00B11352">
        <w:rPr>
          <w:rFonts w:ascii="Times" w:hAnsi="Times"/>
        </w:rPr>
        <w:t xml:space="preserve">and some of it seems to come from physical and </w:t>
      </w:r>
      <w:r w:rsidR="008C0BD0">
        <w:rPr>
          <w:rFonts w:ascii="Times" w:hAnsi="Times"/>
        </w:rPr>
        <w:t>pathological issues,</w:t>
      </w:r>
      <w:r w:rsidR="008C0BD0">
        <w:rPr>
          <w:rStyle w:val="FootnoteReference"/>
          <w:rFonts w:ascii="Times" w:hAnsi="Times"/>
        </w:rPr>
        <w:footnoteReference w:id="30"/>
      </w:r>
      <w:r w:rsidR="008C0BD0">
        <w:rPr>
          <w:rFonts w:ascii="Times" w:hAnsi="Times"/>
        </w:rPr>
        <w:t xml:space="preserve"> which could cause some issues in determining whether these cases are actually revenants, however with a disease such as the ones mentioned in Weaver’s texts it could be possible that they were seen as Revenants because they died too young and had things left to complete.</w:t>
      </w:r>
      <w:r w:rsidR="008C0BD0">
        <w:rPr>
          <w:rStyle w:val="FootnoteReference"/>
          <w:rFonts w:ascii="Times" w:hAnsi="Times"/>
        </w:rPr>
        <w:footnoteReference w:id="31"/>
      </w:r>
      <w:r w:rsidR="00806FE8">
        <w:rPr>
          <w:rFonts w:ascii="Times" w:hAnsi="Times"/>
        </w:rPr>
        <w:t xml:space="preserve"> Weaver also mentions, in regards to the same body, that his skeleton revealed that there was evidence of violence throughout his lifetime, which could link into why he was treated as a revenant.</w:t>
      </w:r>
      <w:r w:rsidR="00806FE8">
        <w:rPr>
          <w:rStyle w:val="FootnoteReference"/>
          <w:rFonts w:ascii="Times" w:hAnsi="Times"/>
        </w:rPr>
        <w:footnoteReference w:id="32"/>
      </w:r>
      <w:r w:rsidR="008C0BD0">
        <w:rPr>
          <w:rFonts w:ascii="Times" w:hAnsi="Times"/>
        </w:rPr>
        <w:t xml:space="preserve"> </w:t>
      </w:r>
      <w:r w:rsidR="006A5D5F">
        <w:rPr>
          <w:rFonts w:ascii="Times" w:hAnsi="Times"/>
        </w:rPr>
        <w:t xml:space="preserve"> In this case, some evidence could be interpreted in many ways. </w:t>
      </w:r>
    </w:p>
    <w:p w14:paraId="6D1DD5EB" w14:textId="77777777" w:rsidR="00607A72" w:rsidRDefault="00A64619" w:rsidP="00236008">
      <w:pPr>
        <w:spacing w:line="480" w:lineRule="auto"/>
        <w:rPr>
          <w:rFonts w:ascii="Times" w:hAnsi="Times"/>
        </w:rPr>
      </w:pPr>
      <w:r>
        <w:rPr>
          <w:rFonts w:ascii="Times" w:hAnsi="Times"/>
        </w:rPr>
        <w:t>With all of this</w:t>
      </w:r>
      <w:r w:rsidR="00367746">
        <w:rPr>
          <w:rFonts w:ascii="Times" w:hAnsi="Times"/>
        </w:rPr>
        <w:t xml:space="preserve"> in mind, it is clear that the main reason for the differences within the burials of Revenants or whatever is perceived to be so, is the fear of the physical return of the body with a purpose. </w:t>
      </w:r>
      <w:r w:rsidR="005B3CDF">
        <w:rPr>
          <w:rFonts w:ascii="Times" w:hAnsi="Times"/>
        </w:rPr>
        <w:t xml:space="preserve">Weaver sums up the evidence of burial sites and burial rituals, by emphasising that these examples highlight necrophobic </w:t>
      </w:r>
      <w:r w:rsidR="00D0461F">
        <w:rPr>
          <w:rFonts w:ascii="Times" w:hAnsi="Times"/>
        </w:rPr>
        <w:t>ideas,</w:t>
      </w:r>
      <w:r w:rsidR="00D0461F">
        <w:rPr>
          <w:rStyle w:val="FootnoteReference"/>
          <w:rFonts w:ascii="Times" w:hAnsi="Times"/>
        </w:rPr>
        <w:footnoteReference w:id="33"/>
      </w:r>
      <w:r w:rsidR="00D0461F">
        <w:rPr>
          <w:rFonts w:ascii="Times" w:hAnsi="Times"/>
        </w:rPr>
        <w:t xml:space="preserve"> so with atypical burials there must have been something more that stirred up the reaction in these burials that would make the fear of the dead more alive and real. </w:t>
      </w:r>
      <w:r w:rsidR="00E24959">
        <w:rPr>
          <w:rFonts w:ascii="Times" w:hAnsi="Times"/>
        </w:rPr>
        <w:t xml:space="preserve">The aforementioned sites are </w:t>
      </w:r>
      <w:r w:rsidR="000A5B21">
        <w:rPr>
          <w:rFonts w:ascii="Times" w:hAnsi="Times"/>
        </w:rPr>
        <w:t xml:space="preserve">found in Sicily, and are clear examples of the need to keep a revenant body buried, </w:t>
      </w:r>
      <w:r w:rsidR="000A5B21">
        <w:rPr>
          <w:rStyle w:val="FootnoteReference"/>
          <w:rFonts w:ascii="Times" w:hAnsi="Times"/>
        </w:rPr>
        <w:footnoteReference w:id="34"/>
      </w:r>
      <w:r w:rsidR="000A5B21">
        <w:rPr>
          <w:rFonts w:ascii="Times" w:hAnsi="Times"/>
        </w:rPr>
        <w:t xml:space="preserve"> however there are also examples from further afield, in Attica</w:t>
      </w:r>
      <w:r w:rsidR="000A5B21">
        <w:rPr>
          <w:rStyle w:val="FootnoteReference"/>
          <w:rFonts w:ascii="Times" w:hAnsi="Times"/>
        </w:rPr>
        <w:footnoteReference w:id="35"/>
      </w:r>
      <w:r w:rsidR="000A5B21">
        <w:rPr>
          <w:rFonts w:ascii="Times" w:hAnsi="Times"/>
        </w:rPr>
        <w:t>, which show bodies that have had similar treatments, particularly a woman who had been cut in half</w:t>
      </w:r>
      <w:r w:rsidR="000A5B21">
        <w:rPr>
          <w:rStyle w:val="FootnoteReference"/>
          <w:rFonts w:ascii="Times" w:hAnsi="Times"/>
        </w:rPr>
        <w:footnoteReference w:id="36"/>
      </w:r>
      <w:r w:rsidR="000A5B21">
        <w:rPr>
          <w:rFonts w:ascii="Times" w:hAnsi="Times"/>
        </w:rPr>
        <w:t>, which bears resemblance to the treatment seen in Sicily.</w:t>
      </w:r>
      <w:r w:rsidR="000A5B21">
        <w:rPr>
          <w:rStyle w:val="FootnoteReference"/>
          <w:rFonts w:ascii="Times" w:hAnsi="Times"/>
        </w:rPr>
        <w:footnoteReference w:id="37"/>
      </w:r>
      <w:r w:rsidR="00607A72">
        <w:rPr>
          <w:rFonts w:ascii="Times" w:hAnsi="Times"/>
        </w:rPr>
        <w:t xml:space="preserve"> </w:t>
      </w:r>
    </w:p>
    <w:p w14:paraId="4B6F2E1A" w14:textId="0A4512E2" w:rsidR="00607A72" w:rsidRDefault="00607A72" w:rsidP="00236008">
      <w:pPr>
        <w:spacing w:line="480" w:lineRule="auto"/>
        <w:rPr>
          <w:rFonts w:ascii="Times" w:hAnsi="Times"/>
        </w:rPr>
      </w:pPr>
      <w:r>
        <w:rPr>
          <w:rFonts w:ascii="Times" w:hAnsi="Times"/>
        </w:rPr>
        <w:t>One final mention of the skeletons exhumed in and around Sicily, are some of the parallels to modern revenants such as Vampires, which Weaver makes specific reference to when recounting some of the reasons as to why the physical appearance of the deceased may lead one to believe Revenants.</w:t>
      </w:r>
      <w:r>
        <w:rPr>
          <w:rStyle w:val="FootnoteReference"/>
          <w:rFonts w:ascii="Times" w:hAnsi="Times"/>
        </w:rPr>
        <w:footnoteReference w:id="38"/>
      </w:r>
      <w:r>
        <w:rPr>
          <w:rFonts w:ascii="Times" w:hAnsi="Times"/>
        </w:rPr>
        <w:t xml:space="preserve"> Such as blood around the mouth amongst others, which could easily be perceived as something supernatural that is now commonly associated with death, however leads us to understand how many years ago this could have been seen as supernatural.</w:t>
      </w:r>
      <w:r>
        <w:rPr>
          <w:rStyle w:val="FootnoteReference"/>
          <w:rFonts w:ascii="Times" w:hAnsi="Times"/>
        </w:rPr>
        <w:footnoteReference w:id="39"/>
      </w:r>
    </w:p>
    <w:p w14:paraId="37563347" w14:textId="77777777" w:rsidR="00C2395D" w:rsidRDefault="00C2395D" w:rsidP="00236008">
      <w:pPr>
        <w:spacing w:line="480" w:lineRule="auto"/>
        <w:rPr>
          <w:rFonts w:ascii="Times" w:hAnsi="Times"/>
          <w:b/>
        </w:rPr>
      </w:pPr>
    </w:p>
    <w:p w14:paraId="070586C3" w14:textId="1520E31E" w:rsidR="00236008" w:rsidRDefault="00236008" w:rsidP="00236008">
      <w:pPr>
        <w:spacing w:line="480" w:lineRule="auto"/>
        <w:rPr>
          <w:rFonts w:ascii="Times" w:hAnsi="Times"/>
        </w:rPr>
      </w:pPr>
      <w:r w:rsidRPr="007E4F62">
        <w:rPr>
          <w:rFonts w:ascii="Times" w:hAnsi="Times"/>
        </w:rPr>
        <w:t>With</w:t>
      </w:r>
      <w:r>
        <w:rPr>
          <w:rFonts w:ascii="Times" w:hAnsi="Times"/>
        </w:rPr>
        <w:t xml:space="preserve"> the </w:t>
      </w:r>
      <w:r w:rsidR="003D78E4">
        <w:rPr>
          <w:rFonts w:ascii="Times" w:hAnsi="Times"/>
        </w:rPr>
        <w:t>material</w:t>
      </w:r>
      <w:r>
        <w:rPr>
          <w:rFonts w:ascii="Times" w:hAnsi="Times"/>
        </w:rPr>
        <w:t xml:space="preserve"> that has been discussed throughout, it is clear that burial rites, and specifically Revenant burial rites certainly tap into a fear of the dead returning.</w:t>
      </w:r>
      <w:r w:rsidR="007536DD">
        <w:rPr>
          <w:rStyle w:val="FootnoteReference"/>
          <w:rFonts w:ascii="Times" w:hAnsi="Times"/>
        </w:rPr>
        <w:footnoteReference w:id="40"/>
      </w:r>
      <w:r>
        <w:rPr>
          <w:rFonts w:ascii="Times" w:hAnsi="Times"/>
        </w:rPr>
        <w:t xml:space="preserve"> </w:t>
      </w:r>
      <w:r w:rsidR="00C2395D">
        <w:rPr>
          <w:rFonts w:ascii="Times" w:hAnsi="Times"/>
        </w:rPr>
        <w:t>There is clear evidence that points towards atypical burials to some extent within Weavers exploration</w:t>
      </w:r>
      <w:r w:rsidR="00C2395D">
        <w:rPr>
          <w:rStyle w:val="FootnoteReference"/>
          <w:rFonts w:ascii="Times" w:hAnsi="Times"/>
        </w:rPr>
        <w:footnoteReference w:id="41"/>
      </w:r>
      <w:r w:rsidR="00C2395D">
        <w:rPr>
          <w:rFonts w:ascii="Times" w:hAnsi="Times"/>
        </w:rPr>
        <w:t>, this highlights that there are different measures taken if there if some sort of belief that the deceased was a Revenant or possessed the abilities of such, and these abnormal burials show that as well as the normal processes taking place during a burial there were extra steps taken to ensure that the body of the dead could not return back into norma</w:t>
      </w:r>
      <w:r w:rsidR="00B15577">
        <w:rPr>
          <w:rFonts w:ascii="Times" w:hAnsi="Times"/>
        </w:rPr>
        <w:t>l living space, which would surely indicate that there is a fear the possible return.</w:t>
      </w:r>
      <w:r w:rsidR="003B7A9E">
        <w:rPr>
          <w:rStyle w:val="FootnoteReference"/>
          <w:rFonts w:ascii="Times" w:hAnsi="Times"/>
        </w:rPr>
        <w:footnoteReference w:id="42"/>
      </w:r>
      <w:r w:rsidR="00B15577">
        <w:rPr>
          <w:rFonts w:ascii="Times" w:hAnsi="Times"/>
        </w:rPr>
        <w:t xml:space="preserve"> </w:t>
      </w:r>
      <w:r w:rsidR="00F50A88">
        <w:rPr>
          <w:rFonts w:ascii="Times" w:hAnsi="Times"/>
        </w:rPr>
        <w:t xml:space="preserve"> </w:t>
      </w:r>
      <w:r w:rsidR="00C2395D">
        <w:rPr>
          <w:rFonts w:ascii="Times" w:hAnsi="Times"/>
        </w:rPr>
        <w:t xml:space="preserve">Taking this all into consideration it would be perfectly reasonable to say that </w:t>
      </w:r>
      <w:bookmarkStart w:id="0" w:name="_GoBack"/>
      <w:bookmarkEnd w:id="0"/>
      <w:r w:rsidR="00C2395D">
        <w:rPr>
          <w:rFonts w:ascii="Times" w:hAnsi="Times"/>
        </w:rPr>
        <w:t>there is a significant enough difference between burials and thoughts and feelings of Revenants to say that Revenants contribute to the fear of the dead returning</w:t>
      </w:r>
      <w:r w:rsidR="00806FE8">
        <w:rPr>
          <w:rFonts w:ascii="Times" w:hAnsi="Times"/>
        </w:rPr>
        <w:t xml:space="preserve"> that was already present. </w:t>
      </w:r>
    </w:p>
    <w:p w14:paraId="042332B7" w14:textId="77777777" w:rsidR="00F34866" w:rsidRDefault="00F34866" w:rsidP="00F34866">
      <w:pPr>
        <w:spacing w:line="480" w:lineRule="auto"/>
        <w:jc w:val="center"/>
        <w:rPr>
          <w:rFonts w:ascii="Times" w:hAnsi="Times"/>
        </w:rPr>
      </w:pPr>
    </w:p>
    <w:p w14:paraId="555D3E0B" w14:textId="77777777" w:rsidR="00F34866" w:rsidRDefault="00F34866" w:rsidP="00F34866">
      <w:pPr>
        <w:spacing w:line="480" w:lineRule="auto"/>
        <w:jc w:val="center"/>
        <w:rPr>
          <w:rFonts w:ascii="Times" w:hAnsi="Times"/>
        </w:rPr>
      </w:pPr>
    </w:p>
    <w:p w14:paraId="7522023C" w14:textId="77777777" w:rsidR="00F34866" w:rsidRDefault="00F34866" w:rsidP="00F34866">
      <w:pPr>
        <w:spacing w:line="480" w:lineRule="auto"/>
        <w:jc w:val="center"/>
        <w:rPr>
          <w:rFonts w:ascii="Times" w:hAnsi="Times"/>
        </w:rPr>
      </w:pPr>
    </w:p>
    <w:p w14:paraId="34BCBA9F" w14:textId="77777777" w:rsidR="00F34866" w:rsidRDefault="00F34866" w:rsidP="00F34866">
      <w:pPr>
        <w:spacing w:line="480" w:lineRule="auto"/>
        <w:jc w:val="center"/>
        <w:rPr>
          <w:rFonts w:ascii="Times" w:hAnsi="Times"/>
        </w:rPr>
      </w:pPr>
    </w:p>
    <w:p w14:paraId="4750454C" w14:textId="77777777" w:rsidR="00F34866" w:rsidRDefault="00F34866" w:rsidP="00F34866">
      <w:pPr>
        <w:spacing w:line="480" w:lineRule="auto"/>
        <w:jc w:val="center"/>
        <w:rPr>
          <w:rFonts w:ascii="Times" w:hAnsi="Times"/>
        </w:rPr>
      </w:pPr>
    </w:p>
    <w:p w14:paraId="6D7F3EC9" w14:textId="77777777" w:rsidR="00F34866" w:rsidRDefault="00F34866" w:rsidP="00F34866">
      <w:pPr>
        <w:spacing w:line="480" w:lineRule="auto"/>
        <w:jc w:val="center"/>
        <w:rPr>
          <w:rFonts w:ascii="Times" w:hAnsi="Times"/>
        </w:rPr>
      </w:pPr>
    </w:p>
    <w:p w14:paraId="45989E7A" w14:textId="77777777" w:rsidR="00F34866" w:rsidRDefault="00F34866" w:rsidP="00F34866">
      <w:pPr>
        <w:spacing w:line="480" w:lineRule="auto"/>
        <w:jc w:val="center"/>
        <w:rPr>
          <w:rFonts w:ascii="Times" w:hAnsi="Times"/>
        </w:rPr>
      </w:pPr>
    </w:p>
    <w:p w14:paraId="0B049919" w14:textId="77777777" w:rsidR="00F34866" w:rsidRDefault="00F34866" w:rsidP="00F34866">
      <w:pPr>
        <w:spacing w:line="480" w:lineRule="auto"/>
        <w:jc w:val="center"/>
        <w:rPr>
          <w:rFonts w:ascii="Times" w:hAnsi="Times"/>
        </w:rPr>
      </w:pPr>
    </w:p>
    <w:p w14:paraId="4A720157" w14:textId="77777777" w:rsidR="00F34866" w:rsidRDefault="00F34866" w:rsidP="00F34866">
      <w:pPr>
        <w:spacing w:line="480" w:lineRule="auto"/>
        <w:jc w:val="center"/>
        <w:rPr>
          <w:rFonts w:ascii="Times" w:hAnsi="Times"/>
        </w:rPr>
      </w:pPr>
    </w:p>
    <w:p w14:paraId="12AA355C" w14:textId="77777777" w:rsidR="00F34866" w:rsidRDefault="00F34866" w:rsidP="00F34866">
      <w:pPr>
        <w:spacing w:line="480" w:lineRule="auto"/>
        <w:jc w:val="center"/>
        <w:rPr>
          <w:rFonts w:ascii="Times" w:hAnsi="Times"/>
        </w:rPr>
      </w:pPr>
    </w:p>
    <w:p w14:paraId="26CDBA3A" w14:textId="77777777" w:rsidR="00F34866" w:rsidRDefault="00F34866" w:rsidP="00F34866">
      <w:pPr>
        <w:spacing w:line="480" w:lineRule="auto"/>
        <w:jc w:val="center"/>
        <w:rPr>
          <w:rFonts w:ascii="Times" w:hAnsi="Times"/>
        </w:rPr>
      </w:pPr>
    </w:p>
    <w:p w14:paraId="3D6E1890" w14:textId="77777777" w:rsidR="00F34866" w:rsidRDefault="00F34866" w:rsidP="00F34866">
      <w:pPr>
        <w:spacing w:line="480" w:lineRule="auto"/>
        <w:jc w:val="center"/>
        <w:rPr>
          <w:rFonts w:ascii="Times" w:hAnsi="Times"/>
        </w:rPr>
      </w:pPr>
    </w:p>
    <w:p w14:paraId="43A56853" w14:textId="77777777" w:rsidR="004D297F" w:rsidRDefault="004D297F" w:rsidP="00F34866">
      <w:pPr>
        <w:spacing w:line="480" w:lineRule="auto"/>
        <w:rPr>
          <w:rFonts w:ascii="Times" w:hAnsi="Times"/>
          <w:u w:val="single"/>
        </w:rPr>
      </w:pPr>
    </w:p>
    <w:p w14:paraId="3BA00781" w14:textId="77777777" w:rsidR="004D297F" w:rsidRDefault="004D297F" w:rsidP="00F34866">
      <w:pPr>
        <w:spacing w:line="480" w:lineRule="auto"/>
        <w:rPr>
          <w:rFonts w:ascii="Times" w:hAnsi="Times"/>
          <w:u w:val="single"/>
        </w:rPr>
      </w:pPr>
    </w:p>
    <w:p w14:paraId="054CA10E" w14:textId="77777777" w:rsidR="004D297F" w:rsidRDefault="004D297F" w:rsidP="00F34866">
      <w:pPr>
        <w:spacing w:line="480" w:lineRule="auto"/>
        <w:rPr>
          <w:rFonts w:ascii="Times" w:hAnsi="Times"/>
          <w:u w:val="single"/>
        </w:rPr>
      </w:pPr>
    </w:p>
    <w:p w14:paraId="67CB4A9C" w14:textId="77777777" w:rsidR="004D297F" w:rsidRDefault="004D297F" w:rsidP="00F34866">
      <w:pPr>
        <w:spacing w:line="480" w:lineRule="auto"/>
        <w:rPr>
          <w:rFonts w:ascii="Times" w:hAnsi="Times"/>
          <w:u w:val="single"/>
        </w:rPr>
      </w:pPr>
    </w:p>
    <w:p w14:paraId="7CFA292C" w14:textId="77777777" w:rsidR="004D297F" w:rsidRDefault="004D297F" w:rsidP="00F34866">
      <w:pPr>
        <w:spacing w:line="480" w:lineRule="auto"/>
        <w:rPr>
          <w:rFonts w:ascii="Times" w:hAnsi="Times"/>
          <w:u w:val="single"/>
        </w:rPr>
      </w:pPr>
    </w:p>
    <w:p w14:paraId="240A6968" w14:textId="77777777" w:rsidR="004D297F" w:rsidRDefault="004D297F" w:rsidP="00F34866">
      <w:pPr>
        <w:spacing w:line="480" w:lineRule="auto"/>
        <w:rPr>
          <w:rFonts w:ascii="Times" w:hAnsi="Times"/>
          <w:u w:val="single"/>
        </w:rPr>
      </w:pPr>
    </w:p>
    <w:p w14:paraId="3E7A8E54" w14:textId="77777777" w:rsidR="004D297F" w:rsidRDefault="004D297F" w:rsidP="00F34866">
      <w:pPr>
        <w:spacing w:line="480" w:lineRule="auto"/>
        <w:rPr>
          <w:rFonts w:ascii="Times" w:hAnsi="Times"/>
          <w:u w:val="single"/>
        </w:rPr>
      </w:pPr>
    </w:p>
    <w:p w14:paraId="7EB2F44B" w14:textId="77777777" w:rsidR="004D297F" w:rsidRDefault="004D297F" w:rsidP="00F34866">
      <w:pPr>
        <w:spacing w:line="480" w:lineRule="auto"/>
        <w:rPr>
          <w:rFonts w:ascii="Times" w:hAnsi="Times"/>
          <w:u w:val="single"/>
        </w:rPr>
      </w:pPr>
    </w:p>
    <w:p w14:paraId="43B12FD1" w14:textId="77777777" w:rsidR="00F34866" w:rsidRDefault="00F34866" w:rsidP="00F34866">
      <w:pPr>
        <w:spacing w:line="480" w:lineRule="auto"/>
        <w:rPr>
          <w:rFonts w:ascii="Times" w:hAnsi="Times"/>
          <w:u w:val="single"/>
        </w:rPr>
      </w:pPr>
      <w:r>
        <w:rPr>
          <w:rFonts w:ascii="Times" w:hAnsi="Times"/>
          <w:u w:val="single"/>
        </w:rPr>
        <w:t xml:space="preserve">Bibliography. </w:t>
      </w:r>
    </w:p>
    <w:p w14:paraId="7F844727" w14:textId="77777777" w:rsidR="00F34866" w:rsidRDefault="00F34866" w:rsidP="00F34866">
      <w:pPr>
        <w:spacing w:line="480" w:lineRule="auto"/>
        <w:rPr>
          <w:rFonts w:ascii="Times" w:hAnsi="Times"/>
          <w:u w:val="single"/>
        </w:rPr>
      </w:pPr>
      <w:r>
        <w:rPr>
          <w:rFonts w:ascii="Times" w:hAnsi="Times"/>
          <w:u w:val="single"/>
        </w:rPr>
        <w:t xml:space="preserve">Ancient Sources. </w:t>
      </w:r>
    </w:p>
    <w:p w14:paraId="669FEA54" w14:textId="77777777" w:rsidR="00AE6548" w:rsidRPr="00652F1A" w:rsidRDefault="00AE6548" w:rsidP="00F34866">
      <w:pPr>
        <w:spacing w:line="480" w:lineRule="auto"/>
        <w:rPr>
          <w:rFonts w:ascii="Times" w:hAnsi="Times"/>
        </w:rPr>
      </w:pPr>
      <w:r>
        <w:rPr>
          <w:rFonts w:ascii="Times" w:hAnsi="Times"/>
        </w:rPr>
        <w:t xml:space="preserve">Euripides, </w:t>
      </w:r>
      <w:r>
        <w:rPr>
          <w:rFonts w:ascii="Times" w:hAnsi="Times"/>
          <w:i/>
        </w:rPr>
        <w:t xml:space="preserve">Alcestis. </w:t>
      </w:r>
      <w:r>
        <w:rPr>
          <w:rFonts w:ascii="Times" w:hAnsi="Times"/>
        </w:rPr>
        <w:t xml:space="preserve">David Kovacs (trans.). 2001. Cambridge, Massachusetts: Harvard University Press. </w:t>
      </w:r>
    </w:p>
    <w:p w14:paraId="1FED7A99" w14:textId="77777777" w:rsidR="00AE6548" w:rsidRPr="00652F1A" w:rsidRDefault="00AE6548" w:rsidP="00F34866">
      <w:pPr>
        <w:spacing w:line="480" w:lineRule="auto"/>
        <w:rPr>
          <w:rFonts w:ascii="Times" w:hAnsi="Times"/>
        </w:rPr>
      </w:pPr>
      <w:r>
        <w:rPr>
          <w:rFonts w:ascii="Times" w:hAnsi="Times"/>
        </w:rPr>
        <w:t xml:space="preserve">Homer, </w:t>
      </w:r>
      <w:r>
        <w:rPr>
          <w:rFonts w:ascii="Times" w:hAnsi="Times"/>
          <w:i/>
        </w:rPr>
        <w:t xml:space="preserve">Odyssey. </w:t>
      </w:r>
      <w:r>
        <w:rPr>
          <w:rFonts w:ascii="Times" w:hAnsi="Times"/>
        </w:rPr>
        <w:t xml:space="preserve">E. V. Rieu, revised by D. C. H. Rieu (trans.). 2003. London: Penguin Books Ltd. </w:t>
      </w:r>
    </w:p>
    <w:p w14:paraId="74851080" w14:textId="77777777" w:rsidR="00AE6548" w:rsidRDefault="00AE6548" w:rsidP="00F34866">
      <w:pPr>
        <w:spacing w:line="480" w:lineRule="auto"/>
        <w:rPr>
          <w:rFonts w:ascii="Times" w:hAnsi="Times"/>
        </w:rPr>
      </w:pPr>
      <w:r>
        <w:rPr>
          <w:rFonts w:ascii="Times" w:hAnsi="Times"/>
        </w:rPr>
        <w:t xml:space="preserve">Pliny, </w:t>
      </w:r>
      <w:r>
        <w:rPr>
          <w:rFonts w:ascii="Times" w:hAnsi="Times"/>
          <w:i/>
        </w:rPr>
        <w:t xml:space="preserve">The Natural History. </w:t>
      </w:r>
      <w:r>
        <w:rPr>
          <w:rFonts w:ascii="Times" w:hAnsi="Times"/>
        </w:rPr>
        <w:t xml:space="preserve">John Bostock (trans,). 1855. London: Taylor and Francis. </w:t>
      </w:r>
    </w:p>
    <w:p w14:paraId="4086255A" w14:textId="4A644C01" w:rsidR="00A61B7D" w:rsidRPr="00A61B7D" w:rsidRDefault="00A61B7D" w:rsidP="00F34866">
      <w:pPr>
        <w:spacing w:line="480" w:lineRule="auto"/>
        <w:rPr>
          <w:rFonts w:ascii="Times" w:hAnsi="Times"/>
        </w:rPr>
      </w:pPr>
      <w:r>
        <w:rPr>
          <w:rFonts w:ascii="Times" w:hAnsi="Times"/>
        </w:rPr>
        <w:t xml:space="preserve">Strabo, </w:t>
      </w:r>
      <w:r>
        <w:rPr>
          <w:rFonts w:ascii="Times" w:hAnsi="Times"/>
          <w:i/>
        </w:rPr>
        <w:t xml:space="preserve">Geography. </w:t>
      </w:r>
      <w:r>
        <w:rPr>
          <w:rFonts w:ascii="Times" w:hAnsi="Times"/>
        </w:rPr>
        <w:t xml:space="preserve">H. L. Jones (trans.). 1924. London: William Heinemann, Ltd. </w:t>
      </w:r>
    </w:p>
    <w:p w14:paraId="7E0ADCAA" w14:textId="77777777" w:rsidR="00F34866" w:rsidRDefault="00F34866" w:rsidP="00F34866">
      <w:pPr>
        <w:spacing w:line="480" w:lineRule="auto"/>
        <w:rPr>
          <w:rFonts w:ascii="Times" w:hAnsi="Times"/>
          <w:u w:val="single"/>
        </w:rPr>
      </w:pPr>
      <w:r>
        <w:rPr>
          <w:rFonts w:ascii="Times" w:hAnsi="Times"/>
          <w:u w:val="single"/>
        </w:rPr>
        <w:t>Modern Scholarship.</w:t>
      </w:r>
    </w:p>
    <w:p w14:paraId="253042DB" w14:textId="77777777" w:rsidR="00AE6548" w:rsidRPr="003B120C" w:rsidRDefault="00AE6548" w:rsidP="00F34866">
      <w:pPr>
        <w:spacing w:line="480" w:lineRule="auto"/>
        <w:rPr>
          <w:rFonts w:ascii="Times" w:hAnsi="Times"/>
        </w:rPr>
      </w:pPr>
      <w:r>
        <w:rPr>
          <w:rFonts w:ascii="Times" w:hAnsi="Times"/>
        </w:rPr>
        <w:t xml:space="preserve">Alekshin, V. A. 1983. ‘Burial Customs as an Archaeological Source’. </w:t>
      </w:r>
      <w:r>
        <w:rPr>
          <w:rFonts w:ascii="Times" w:hAnsi="Times"/>
          <w:i/>
        </w:rPr>
        <w:t xml:space="preserve">Current Anthropology, </w:t>
      </w:r>
      <w:r>
        <w:rPr>
          <w:rFonts w:ascii="Times" w:hAnsi="Times"/>
        </w:rPr>
        <w:t xml:space="preserve">24, 2, April, 137 – 149. </w:t>
      </w:r>
    </w:p>
    <w:p w14:paraId="4781A240" w14:textId="77777777" w:rsidR="00AE6548" w:rsidRDefault="00AE6548" w:rsidP="00F34866">
      <w:pPr>
        <w:spacing w:line="480" w:lineRule="auto"/>
        <w:rPr>
          <w:rFonts w:ascii="Times" w:hAnsi="Times"/>
        </w:rPr>
      </w:pPr>
      <w:r>
        <w:rPr>
          <w:rFonts w:ascii="Times" w:hAnsi="Times"/>
        </w:rPr>
        <w:t xml:space="preserve">Barber, P. 1988. </w:t>
      </w:r>
      <w:r>
        <w:rPr>
          <w:rFonts w:ascii="Times" w:hAnsi="Times"/>
          <w:i/>
        </w:rPr>
        <w:t xml:space="preserve">Vampires, Burial and Death. Folklore and reality. </w:t>
      </w:r>
      <w:r>
        <w:rPr>
          <w:rFonts w:ascii="Times" w:hAnsi="Times"/>
        </w:rPr>
        <w:t xml:space="preserve">New York: Yale University. </w:t>
      </w:r>
    </w:p>
    <w:p w14:paraId="533A5128" w14:textId="77777777" w:rsidR="00AE6548" w:rsidRDefault="00AE6548" w:rsidP="00F34866">
      <w:pPr>
        <w:spacing w:line="480" w:lineRule="auto"/>
        <w:rPr>
          <w:rFonts w:ascii="Times" w:hAnsi="Times"/>
        </w:rPr>
      </w:pPr>
      <w:r>
        <w:rPr>
          <w:rFonts w:ascii="Times" w:hAnsi="Times"/>
        </w:rPr>
        <w:t xml:space="preserve">Caciola, N. 1996. ‘Wraiths, Revenants and Ritual in Medieval Culture’, </w:t>
      </w:r>
      <w:r>
        <w:rPr>
          <w:rFonts w:ascii="Times" w:hAnsi="Times"/>
          <w:i/>
        </w:rPr>
        <w:t xml:space="preserve">Past and Present, </w:t>
      </w:r>
      <w:r>
        <w:rPr>
          <w:rFonts w:ascii="Times" w:hAnsi="Times"/>
        </w:rPr>
        <w:t>152, August, 3 – 45.</w:t>
      </w:r>
    </w:p>
    <w:p w14:paraId="7F48588C" w14:textId="77777777" w:rsidR="00AE6548" w:rsidRDefault="00AE6548" w:rsidP="00F34866">
      <w:pPr>
        <w:spacing w:line="480" w:lineRule="auto"/>
        <w:rPr>
          <w:rFonts w:ascii="Times" w:hAnsi="Times"/>
        </w:rPr>
      </w:pPr>
      <w:r>
        <w:rPr>
          <w:rFonts w:ascii="Times" w:hAnsi="Times"/>
        </w:rPr>
        <w:t xml:space="preserve">Weaver, C. L. S. 2015. </w:t>
      </w:r>
      <w:r>
        <w:rPr>
          <w:rFonts w:ascii="Times" w:hAnsi="Times"/>
          <w:i/>
        </w:rPr>
        <w:t xml:space="preserve">Bioarchaeology of Classical Kamarina: life and death in Greek Sicily. </w:t>
      </w:r>
      <w:r>
        <w:rPr>
          <w:rFonts w:ascii="Times" w:hAnsi="Times"/>
        </w:rPr>
        <w:t xml:space="preserve">Gainesville, Florida: University Press of Florida. </w:t>
      </w:r>
    </w:p>
    <w:p w14:paraId="01C06BE2" w14:textId="77777777" w:rsidR="00F34866" w:rsidRPr="00F34866" w:rsidRDefault="00F34866" w:rsidP="00F34866">
      <w:pPr>
        <w:spacing w:line="480" w:lineRule="auto"/>
        <w:rPr>
          <w:rFonts w:ascii="Times" w:hAnsi="Times"/>
          <w:u w:val="single"/>
        </w:rPr>
      </w:pPr>
    </w:p>
    <w:sectPr w:rsidR="00F34866" w:rsidRPr="00F34866" w:rsidSect="00546930">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BC6C84" w14:textId="77777777" w:rsidR="00722D98" w:rsidRDefault="00722D98" w:rsidP="00F34866">
      <w:r>
        <w:separator/>
      </w:r>
    </w:p>
  </w:endnote>
  <w:endnote w:type="continuationSeparator" w:id="0">
    <w:p w14:paraId="2D12460C" w14:textId="77777777" w:rsidR="00722D98" w:rsidRDefault="00722D98" w:rsidP="00F348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59FFB1" w14:textId="77777777" w:rsidR="00F34866" w:rsidRDefault="00F34866" w:rsidP="003F7C1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5B30B02" w14:textId="77777777" w:rsidR="00F34866" w:rsidRDefault="00F34866" w:rsidP="00F3486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7106AA" w14:textId="77777777" w:rsidR="00F34866" w:rsidRDefault="00F34866" w:rsidP="003F7C1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22D98">
      <w:rPr>
        <w:rStyle w:val="PageNumber"/>
        <w:noProof/>
      </w:rPr>
      <w:t>1</w:t>
    </w:r>
    <w:r>
      <w:rPr>
        <w:rStyle w:val="PageNumber"/>
      </w:rPr>
      <w:fldChar w:fldCharType="end"/>
    </w:r>
  </w:p>
  <w:p w14:paraId="7E195097" w14:textId="77777777" w:rsidR="00F34866" w:rsidRDefault="00F34866" w:rsidP="00F3486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1E5D09" w14:textId="77777777" w:rsidR="00722D98" w:rsidRDefault="00722D98" w:rsidP="00F34866">
      <w:r>
        <w:separator/>
      </w:r>
    </w:p>
  </w:footnote>
  <w:footnote w:type="continuationSeparator" w:id="0">
    <w:p w14:paraId="419790F2" w14:textId="77777777" w:rsidR="00722D98" w:rsidRDefault="00722D98" w:rsidP="00F34866">
      <w:r>
        <w:continuationSeparator/>
      </w:r>
    </w:p>
  </w:footnote>
  <w:footnote w:id="1">
    <w:p w14:paraId="22F35C98" w14:textId="527E33CB" w:rsidR="007536DD" w:rsidRPr="008C0BD0" w:rsidRDefault="007536DD">
      <w:pPr>
        <w:pStyle w:val="FootnoteText"/>
        <w:rPr>
          <w:rFonts w:ascii="Times" w:hAnsi="Times"/>
        </w:rPr>
      </w:pPr>
      <w:r w:rsidRPr="008C0BD0">
        <w:rPr>
          <w:rStyle w:val="FootnoteReference"/>
          <w:rFonts w:ascii="Times" w:hAnsi="Times"/>
        </w:rPr>
        <w:footnoteRef/>
      </w:r>
      <w:r w:rsidRPr="008C0BD0">
        <w:rPr>
          <w:rFonts w:ascii="Times" w:hAnsi="Times"/>
        </w:rPr>
        <w:t xml:space="preserve"> </w:t>
      </w:r>
      <w:r w:rsidR="007B6950" w:rsidRPr="008C0BD0">
        <w:rPr>
          <w:rFonts w:ascii="Times" w:hAnsi="Times"/>
        </w:rPr>
        <w:t>Weaver 2015: 19</w:t>
      </w:r>
      <w:r w:rsidR="002D00E5" w:rsidRPr="008C0BD0">
        <w:rPr>
          <w:rFonts w:ascii="Times" w:hAnsi="Times"/>
        </w:rPr>
        <w:t>.</w:t>
      </w:r>
    </w:p>
  </w:footnote>
  <w:footnote w:id="2">
    <w:p w14:paraId="6E9E1B7D" w14:textId="7979D8C7" w:rsidR="007536DD" w:rsidRPr="008C0BD0" w:rsidRDefault="007536DD">
      <w:pPr>
        <w:pStyle w:val="FootnoteText"/>
        <w:rPr>
          <w:rFonts w:ascii="Times" w:hAnsi="Times"/>
        </w:rPr>
      </w:pPr>
      <w:r w:rsidRPr="008C0BD0">
        <w:rPr>
          <w:rStyle w:val="FootnoteReference"/>
          <w:rFonts w:ascii="Times" w:hAnsi="Times"/>
        </w:rPr>
        <w:footnoteRef/>
      </w:r>
      <w:r w:rsidRPr="008C0BD0">
        <w:rPr>
          <w:rFonts w:ascii="Times" w:hAnsi="Times"/>
        </w:rPr>
        <w:t xml:space="preserve"> </w:t>
      </w:r>
      <w:r w:rsidR="007B6950" w:rsidRPr="008C0BD0">
        <w:rPr>
          <w:rFonts w:ascii="Times" w:hAnsi="Times"/>
        </w:rPr>
        <w:t>Weaver 2015: 19</w:t>
      </w:r>
      <w:r w:rsidR="001D45A7" w:rsidRPr="008C0BD0">
        <w:rPr>
          <w:rFonts w:ascii="Times" w:hAnsi="Times"/>
        </w:rPr>
        <w:t xml:space="preserve"> -  21</w:t>
      </w:r>
      <w:r w:rsidR="002D00E5" w:rsidRPr="008C0BD0">
        <w:rPr>
          <w:rFonts w:ascii="Times" w:hAnsi="Times"/>
        </w:rPr>
        <w:t>.</w:t>
      </w:r>
    </w:p>
  </w:footnote>
  <w:footnote w:id="3">
    <w:p w14:paraId="15F14633" w14:textId="056E748C" w:rsidR="007B6950" w:rsidRPr="008C0BD0" w:rsidRDefault="007B6950">
      <w:pPr>
        <w:pStyle w:val="FootnoteText"/>
        <w:rPr>
          <w:rFonts w:ascii="Times" w:hAnsi="Times"/>
        </w:rPr>
      </w:pPr>
      <w:r w:rsidRPr="008C0BD0">
        <w:rPr>
          <w:rStyle w:val="FootnoteReference"/>
          <w:rFonts w:ascii="Times" w:hAnsi="Times"/>
        </w:rPr>
        <w:footnoteRef/>
      </w:r>
      <w:r w:rsidRPr="008C0BD0">
        <w:rPr>
          <w:rFonts w:ascii="Times" w:hAnsi="Times"/>
        </w:rPr>
        <w:t xml:space="preserve"> Weaver 2015: 19</w:t>
      </w:r>
      <w:r w:rsidR="002D00E5" w:rsidRPr="008C0BD0">
        <w:rPr>
          <w:rFonts w:ascii="Times" w:hAnsi="Times"/>
        </w:rPr>
        <w:t>.</w:t>
      </w:r>
    </w:p>
  </w:footnote>
  <w:footnote w:id="4">
    <w:p w14:paraId="302C2792" w14:textId="39E93BBC" w:rsidR="007E09BA" w:rsidRPr="008C0BD0" w:rsidRDefault="007E09BA" w:rsidP="004D297F">
      <w:pPr>
        <w:pStyle w:val="FootnoteText"/>
        <w:tabs>
          <w:tab w:val="center" w:pos="4510"/>
        </w:tabs>
        <w:rPr>
          <w:rFonts w:ascii="Times" w:hAnsi="Times"/>
        </w:rPr>
      </w:pPr>
      <w:r w:rsidRPr="008C0BD0">
        <w:rPr>
          <w:rStyle w:val="FootnoteReference"/>
          <w:rFonts w:ascii="Times" w:hAnsi="Times"/>
        </w:rPr>
        <w:footnoteRef/>
      </w:r>
      <w:r w:rsidRPr="008C0BD0">
        <w:rPr>
          <w:rFonts w:ascii="Times" w:hAnsi="Times"/>
        </w:rPr>
        <w:t xml:space="preserve"> Weaver 2015: 212 – 213.</w:t>
      </w:r>
      <w:r w:rsidR="004D297F">
        <w:rPr>
          <w:rFonts w:ascii="Times" w:hAnsi="Times"/>
        </w:rPr>
        <w:tab/>
      </w:r>
    </w:p>
  </w:footnote>
  <w:footnote w:id="5">
    <w:p w14:paraId="58B1F3E1" w14:textId="31517896" w:rsidR="00823424" w:rsidRPr="008C0BD0" w:rsidRDefault="00823424">
      <w:pPr>
        <w:pStyle w:val="FootnoteText"/>
        <w:rPr>
          <w:rFonts w:ascii="Times" w:hAnsi="Times"/>
        </w:rPr>
      </w:pPr>
      <w:r w:rsidRPr="008C0BD0">
        <w:rPr>
          <w:rStyle w:val="FootnoteReference"/>
          <w:rFonts w:ascii="Times" w:hAnsi="Times"/>
        </w:rPr>
        <w:footnoteRef/>
      </w:r>
      <w:r w:rsidRPr="008C0BD0">
        <w:rPr>
          <w:rFonts w:ascii="Times" w:hAnsi="Times"/>
        </w:rPr>
        <w:t xml:space="preserve"> Alekshin 1983: 137.</w:t>
      </w:r>
    </w:p>
  </w:footnote>
  <w:footnote w:id="6">
    <w:p w14:paraId="23ABD97F" w14:textId="25B2FC68" w:rsidR="00823424" w:rsidRPr="008C0BD0" w:rsidRDefault="00823424">
      <w:pPr>
        <w:pStyle w:val="FootnoteText"/>
        <w:rPr>
          <w:rFonts w:ascii="Times" w:hAnsi="Times"/>
        </w:rPr>
      </w:pPr>
      <w:r w:rsidRPr="008C0BD0">
        <w:rPr>
          <w:rStyle w:val="FootnoteReference"/>
          <w:rFonts w:ascii="Times" w:hAnsi="Times"/>
        </w:rPr>
        <w:footnoteRef/>
      </w:r>
      <w:r w:rsidRPr="008C0BD0">
        <w:rPr>
          <w:rFonts w:ascii="Times" w:hAnsi="Times"/>
        </w:rPr>
        <w:t xml:space="preserve"> Weaver 2015: 213.</w:t>
      </w:r>
    </w:p>
  </w:footnote>
  <w:footnote w:id="7">
    <w:p w14:paraId="693295F8" w14:textId="407A153C" w:rsidR="003D78E4" w:rsidRPr="008C0BD0" w:rsidRDefault="003D78E4">
      <w:pPr>
        <w:pStyle w:val="FootnoteText"/>
        <w:rPr>
          <w:rFonts w:ascii="Times" w:hAnsi="Times"/>
        </w:rPr>
      </w:pPr>
      <w:r w:rsidRPr="008C0BD0">
        <w:rPr>
          <w:rStyle w:val="FootnoteReference"/>
          <w:rFonts w:ascii="Times" w:hAnsi="Times"/>
        </w:rPr>
        <w:footnoteRef/>
      </w:r>
      <w:r w:rsidRPr="008C0BD0">
        <w:rPr>
          <w:rFonts w:ascii="Times" w:hAnsi="Times"/>
        </w:rPr>
        <w:t xml:space="preserve"> </w:t>
      </w:r>
      <w:r w:rsidR="006D18A3" w:rsidRPr="008C0BD0">
        <w:rPr>
          <w:rFonts w:ascii="Times" w:hAnsi="Times"/>
        </w:rPr>
        <w:t xml:space="preserve">Caciola 1996: 31 – 32. </w:t>
      </w:r>
    </w:p>
  </w:footnote>
  <w:footnote w:id="8">
    <w:p w14:paraId="61F5DAA8" w14:textId="119E5EFE" w:rsidR="006D18A3" w:rsidRPr="008C0BD0" w:rsidRDefault="006D18A3">
      <w:pPr>
        <w:pStyle w:val="FootnoteText"/>
        <w:rPr>
          <w:rFonts w:ascii="Times" w:hAnsi="Times"/>
        </w:rPr>
      </w:pPr>
      <w:r w:rsidRPr="008C0BD0">
        <w:rPr>
          <w:rStyle w:val="FootnoteReference"/>
          <w:rFonts w:ascii="Times" w:hAnsi="Times"/>
        </w:rPr>
        <w:footnoteRef/>
      </w:r>
      <w:r w:rsidRPr="008C0BD0">
        <w:rPr>
          <w:rFonts w:ascii="Times" w:hAnsi="Times"/>
        </w:rPr>
        <w:t xml:space="preserve"> Weaver 2015: 212 – 213. </w:t>
      </w:r>
    </w:p>
  </w:footnote>
  <w:footnote w:id="9">
    <w:p w14:paraId="263444BD" w14:textId="027BB3A8" w:rsidR="008E1800" w:rsidRPr="008C0BD0" w:rsidRDefault="008E1800">
      <w:pPr>
        <w:pStyle w:val="FootnoteText"/>
        <w:rPr>
          <w:rFonts w:ascii="Times" w:hAnsi="Times"/>
        </w:rPr>
      </w:pPr>
      <w:r w:rsidRPr="008C0BD0">
        <w:rPr>
          <w:rStyle w:val="FootnoteReference"/>
          <w:rFonts w:ascii="Times" w:hAnsi="Times"/>
        </w:rPr>
        <w:footnoteRef/>
      </w:r>
      <w:r w:rsidRPr="008C0BD0">
        <w:rPr>
          <w:rFonts w:ascii="Times" w:hAnsi="Times"/>
        </w:rPr>
        <w:t xml:space="preserve"> </w:t>
      </w:r>
      <w:r w:rsidR="00784079" w:rsidRPr="008C0BD0">
        <w:rPr>
          <w:rFonts w:ascii="Times" w:hAnsi="Times"/>
        </w:rPr>
        <w:t>Caciola 1996: 12.</w:t>
      </w:r>
    </w:p>
  </w:footnote>
  <w:footnote w:id="10">
    <w:p w14:paraId="49C15BB8" w14:textId="4EAB0D1A" w:rsidR="00ED6E39" w:rsidRPr="008C0BD0" w:rsidRDefault="00ED6E39">
      <w:pPr>
        <w:pStyle w:val="FootnoteText"/>
        <w:rPr>
          <w:rFonts w:ascii="Times" w:hAnsi="Times"/>
        </w:rPr>
      </w:pPr>
      <w:r w:rsidRPr="008C0BD0">
        <w:rPr>
          <w:rStyle w:val="FootnoteReference"/>
          <w:rFonts w:ascii="Times" w:hAnsi="Times"/>
        </w:rPr>
        <w:footnoteRef/>
      </w:r>
      <w:r w:rsidRPr="008C0BD0">
        <w:rPr>
          <w:rFonts w:ascii="Times" w:hAnsi="Times"/>
        </w:rPr>
        <w:t xml:space="preserve"> Hom. </w:t>
      </w:r>
      <w:r w:rsidRPr="008C0BD0">
        <w:rPr>
          <w:rFonts w:ascii="Times" w:hAnsi="Times"/>
          <w:i/>
        </w:rPr>
        <w:t xml:space="preserve">Od. </w:t>
      </w:r>
      <w:r w:rsidRPr="008C0BD0">
        <w:rPr>
          <w:rFonts w:ascii="Times" w:hAnsi="Times"/>
        </w:rPr>
        <w:t xml:space="preserve">11. 20 – 50. </w:t>
      </w:r>
    </w:p>
  </w:footnote>
  <w:footnote w:id="11">
    <w:p w14:paraId="63A6ADD4" w14:textId="5120EC8D" w:rsidR="00C2395D" w:rsidRPr="008C0BD0" w:rsidRDefault="00C2395D">
      <w:pPr>
        <w:pStyle w:val="FootnoteText"/>
        <w:rPr>
          <w:rFonts w:ascii="Times" w:hAnsi="Times"/>
        </w:rPr>
      </w:pPr>
      <w:r w:rsidRPr="008C0BD0">
        <w:rPr>
          <w:rStyle w:val="FootnoteReference"/>
          <w:rFonts w:ascii="Times" w:hAnsi="Times"/>
        </w:rPr>
        <w:footnoteRef/>
      </w:r>
      <w:r w:rsidRPr="008C0BD0">
        <w:rPr>
          <w:rFonts w:ascii="Times" w:hAnsi="Times"/>
        </w:rPr>
        <w:t xml:space="preserve"> Hom. </w:t>
      </w:r>
      <w:r w:rsidRPr="008C0BD0">
        <w:rPr>
          <w:rFonts w:ascii="Times" w:hAnsi="Times"/>
          <w:i/>
        </w:rPr>
        <w:t>Od.</w:t>
      </w:r>
      <w:r w:rsidR="00823424" w:rsidRPr="008C0BD0">
        <w:rPr>
          <w:rFonts w:ascii="Times" w:hAnsi="Times"/>
          <w:i/>
        </w:rPr>
        <w:t xml:space="preserve"> </w:t>
      </w:r>
      <w:r w:rsidR="00823424" w:rsidRPr="008C0BD0">
        <w:rPr>
          <w:rFonts w:ascii="Times" w:hAnsi="Times"/>
        </w:rPr>
        <w:t>11</w:t>
      </w:r>
      <w:r w:rsidRPr="008C0BD0">
        <w:rPr>
          <w:rFonts w:ascii="Times" w:hAnsi="Times"/>
          <w:i/>
        </w:rPr>
        <w:t xml:space="preserve">. </w:t>
      </w:r>
      <w:r w:rsidRPr="008C0BD0">
        <w:rPr>
          <w:rFonts w:ascii="Times" w:hAnsi="Times"/>
        </w:rPr>
        <w:t xml:space="preserve">48 – 50. </w:t>
      </w:r>
    </w:p>
  </w:footnote>
  <w:footnote w:id="12">
    <w:p w14:paraId="32672C3B" w14:textId="1F1F781C" w:rsidR="00640865" w:rsidRPr="008C0BD0" w:rsidRDefault="00640865">
      <w:pPr>
        <w:pStyle w:val="FootnoteText"/>
        <w:rPr>
          <w:rFonts w:ascii="Times" w:hAnsi="Times"/>
        </w:rPr>
      </w:pPr>
      <w:r w:rsidRPr="008C0BD0">
        <w:rPr>
          <w:rStyle w:val="FootnoteReference"/>
          <w:rFonts w:ascii="Times" w:hAnsi="Times"/>
        </w:rPr>
        <w:footnoteRef/>
      </w:r>
      <w:r w:rsidRPr="008C0BD0">
        <w:rPr>
          <w:rFonts w:ascii="Times" w:hAnsi="Times"/>
        </w:rPr>
        <w:t xml:space="preserve"> Hom. </w:t>
      </w:r>
      <w:r w:rsidR="00823424" w:rsidRPr="008C0BD0">
        <w:rPr>
          <w:rFonts w:ascii="Times" w:hAnsi="Times"/>
          <w:i/>
        </w:rPr>
        <w:t xml:space="preserve">Od. </w:t>
      </w:r>
      <w:r w:rsidR="00823424" w:rsidRPr="008C0BD0">
        <w:rPr>
          <w:rFonts w:ascii="Times" w:hAnsi="Times"/>
        </w:rPr>
        <w:t>11. 49.</w:t>
      </w:r>
    </w:p>
  </w:footnote>
  <w:footnote w:id="13">
    <w:p w14:paraId="4375E132" w14:textId="4379E6B6" w:rsidR="003D78E4" w:rsidRPr="008C0BD0" w:rsidRDefault="003D78E4">
      <w:pPr>
        <w:pStyle w:val="FootnoteText"/>
        <w:rPr>
          <w:rFonts w:ascii="Times" w:hAnsi="Times"/>
        </w:rPr>
      </w:pPr>
      <w:r w:rsidRPr="008C0BD0">
        <w:rPr>
          <w:rStyle w:val="FootnoteReference"/>
          <w:rFonts w:ascii="Times" w:hAnsi="Times"/>
        </w:rPr>
        <w:footnoteRef/>
      </w:r>
      <w:r w:rsidRPr="008C0BD0">
        <w:rPr>
          <w:rFonts w:ascii="Times" w:hAnsi="Times"/>
        </w:rPr>
        <w:t xml:space="preserve"> </w:t>
      </w:r>
      <w:r w:rsidR="005B1D75" w:rsidRPr="008C0BD0">
        <w:rPr>
          <w:rFonts w:ascii="Times" w:hAnsi="Times"/>
        </w:rPr>
        <w:t>Weaver 2015: 213</w:t>
      </w:r>
    </w:p>
  </w:footnote>
  <w:footnote w:id="14">
    <w:p w14:paraId="6DD1D716" w14:textId="53DD9C50" w:rsidR="006D18A3" w:rsidRPr="008C0BD0" w:rsidRDefault="006D18A3">
      <w:pPr>
        <w:pStyle w:val="FootnoteText"/>
        <w:rPr>
          <w:rFonts w:ascii="Times" w:hAnsi="Times"/>
        </w:rPr>
      </w:pPr>
      <w:r w:rsidRPr="008C0BD0">
        <w:rPr>
          <w:rStyle w:val="FootnoteReference"/>
          <w:rFonts w:ascii="Times" w:hAnsi="Times"/>
        </w:rPr>
        <w:footnoteRef/>
      </w:r>
      <w:r w:rsidRPr="008C0BD0">
        <w:rPr>
          <w:rFonts w:ascii="Times" w:hAnsi="Times"/>
        </w:rPr>
        <w:t xml:space="preserve"> Barber 1988: 29</w:t>
      </w:r>
    </w:p>
  </w:footnote>
  <w:footnote w:id="15">
    <w:p w14:paraId="759144CB" w14:textId="44091505" w:rsidR="00F76806" w:rsidRPr="008C0BD0" w:rsidRDefault="00F76806">
      <w:pPr>
        <w:pStyle w:val="FootnoteText"/>
        <w:rPr>
          <w:rFonts w:ascii="Times" w:hAnsi="Times"/>
        </w:rPr>
      </w:pPr>
      <w:r w:rsidRPr="008C0BD0">
        <w:rPr>
          <w:rStyle w:val="FootnoteReference"/>
          <w:rFonts w:ascii="Times" w:hAnsi="Times"/>
        </w:rPr>
        <w:footnoteRef/>
      </w:r>
      <w:r w:rsidRPr="008C0BD0">
        <w:rPr>
          <w:rFonts w:ascii="Times" w:hAnsi="Times"/>
        </w:rPr>
        <w:t xml:space="preserve"> Weaver 2015: 213</w:t>
      </w:r>
    </w:p>
  </w:footnote>
  <w:footnote w:id="16">
    <w:p w14:paraId="0FB0C18B" w14:textId="4B366AB2" w:rsidR="00A94BDD" w:rsidRPr="008C0BD0" w:rsidRDefault="00A94BDD">
      <w:pPr>
        <w:pStyle w:val="FootnoteText"/>
        <w:rPr>
          <w:rFonts w:ascii="Times" w:hAnsi="Times"/>
        </w:rPr>
      </w:pPr>
      <w:r w:rsidRPr="008C0BD0">
        <w:rPr>
          <w:rStyle w:val="FootnoteReference"/>
          <w:rFonts w:ascii="Times" w:hAnsi="Times"/>
        </w:rPr>
        <w:footnoteRef/>
      </w:r>
      <w:r w:rsidRPr="008C0BD0">
        <w:rPr>
          <w:rFonts w:ascii="Times" w:hAnsi="Times"/>
        </w:rPr>
        <w:t xml:space="preserve"> Caciola 1996: 31 -32</w:t>
      </w:r>
    </w:p>
  </w:footnote>
  <w:footnote w:id="17">
    <w:p w14:paraId="2677479C" w14:textId="67956DF5" w:rsidR="00367746" w:rsidRPr="008C0BD0" w:rsidRDefault="00367746">
      <w:pPr>
        <w:pStyle w:val="FootnoteText"/>
        <w:rPr>
          <w:rFonts w:ascii="Times" w:hAnsi="Times"/>
        </w:rPr>
      </w:pPr>
      <w:r w:rsidRPr="008C0BD0">
        <w:rPr>
          <w:rStyle w:val="FootnoteReference"/>
          <w:rFonts w:ascii="Times" w:hAnsi="Times"/>
        </w:rPr>
        <w:footnoteRef/>
      </w:r>
      <w:r w:rsidRPr="008C0BD0">
        <w:rPr>
          <w:rFonts w:ascii="Times" w:hAnsi="Times"/>
        </w:rPr>
        <w:t xml:space="preserve"> Weaver 2015: 213</w:t>
      </w:r>
    </w:p>
  </w:footnote>
  <w:footnote w:id="18">
    <w:p w14:paraId="76C3E56B" w14:textId="7A4E158A" w:rsidR="00A64619" w:rsidRPr="008C0BD0" w:rsidRDefault="00A64619">
      <w:pPr>
        <w:pStyle w:val="FootnoteText"/>
        <w:rPr>
          <w:rFonts w:ascii="Times" w:hAnsi="Times"/>
        </w:rPr>
      </w:pPr>
      <w:r w:rsidRPr="008C0BD0">
        <w:rPr>
          <w:rStyle w:val="FootnoteReference"/>
          <w:rFonts w:ascii="Times" w:hAnsi="Times"/>
        </w:rPr>
        <w:footnoteRef/>
      </w:r>
      <w:r w:rsidRPr="008C0BD0">
        <w:rPr>
          <w:rFonts w:ascii="Times" w:hAnsi="Times"/>
        </w:rPr>
        <w:t xml:space="preserve"> </w:t>
      </w:r>
      <w:r w:rsidR="00927D73">
        <w:rPr>
          <w:rFonts w:ascii="Times" w:hAnsi="Times"/>
        </w:rPr>
        <w:t>Weaver 2015: 214</w:t>
      </w:r>
    </w:p>
  </w:footnote>
  <w:footnote w:id="19">
    <w:p w14:paraId="18EEB4FC" w14:textId="4CC97045" w:rsidR="00927D73" w:rsidRPr="00927D73" w:rsidRDefault="00927D73">
      <w:pPr>
        <w:pStyle w:val="FootnoteText"/>
        <w:rPr>
          <w:rFonts w:ascii="Times" w:hAnsi="Times"/>
        </w:rPr>
      </w:pPr>
      <w:r w:rsidRPr="00927D73">
        <w:rPr>
          <w:rStyle w:val="FootnoteReference"/>
          <w:rFonts w:ascii="Times" w:hAnsi="Times"/>
        </w:rPr>
        <w:footnoteRef/>
      </w:r>
      <w:r w:rsidRPr="00927D73">
        <w:rPr>
          <w:rFonts w:ascii="Times" w:hAnsi="Times"/>
        </w:rPr>
        <w:t xml:space="preserve"> Weaver 2015: 214. </w:t>
      </w:r>
    </w:p>
  </w:footnote>
  <w:footnote w:id="20">
    <w:p w14:paraId="2453D570" w14:textId="5DBC6CAB" w:rsidR="00927D73" w:rsidRDefault="00927D73">
      <w:pPr>
        <w:pStyle w:val="FootnoteText"/>
      </w:pPr>
      <w:r w:rsidRPr="00927D73">
        <w:rPr>
          <w:rStyle w:val="FootnoteReference"/>
          <w:rFonts w:ascii="Times" w:hAnsi="Times"/>
        </w:rPr>
        <w:footnoteRef/>
      </w:r>
      <w:r w:rsidRPr="00927D73">
        <w:rPr>
          <w:rFonts w:ascii="Times" w:hAnsi="Times"/>
        </w:rPr>
        <w:t xml:space="preserve"> Weaver 2015: 214.</w:t>
      </w:r>
      <w:r>
        <w:t xml:space="preserve"> </w:t>
      </w:r>
    </w:p>
  </w:footnote>
  <w:footnote w:id="21">
    <w:p w14:paraId="32C54878" w14:textId="573225E0" w:rsidR="00534E73" w:rsidRPr="008C0BD0" w:rsidRDefault="00534E73">
      <w:pPr>
        <w:pStyle w:val="FootnoteText"/>
        <w:rPr>
          <w:rFonts w:ascii="Times" w:hAnsi="Times"/>
        </w:rPr>
      </w:pPr>
      <w:r w:rsidRPr="008C0BD0">
        <w:rPr>
          <w:rStyle w:val="FootnoteReference"/>
          <w:rFonts w:ascii="Times" w:hAnsi="Times"/>
        </w:rPr>
        <w:footnoteRef/>
      </w:r>
      <w:r w:rsidRPr="008C0BD0">
        <w:rPr>
          <w:rFonts w:ascii="Times" w:hAnsi="Times"/>
        </w:rPr>
        <w:t xml:space="preserve"> </w:t>
      </w:r>
      <w:r w:rsidR="004E6C66" w:rsidRPr="008C0BD0">
        <w:rPr>
          <w:rFonts w:ascii="Times" w:hAnsi="Times"/>
        </w:rPr>
        <w:t xml:space="preserve">Pliny. </w:t>
      </w:r>
      <w:r w:rsidR="007E4F62" w:rsidRPr="008C0BD0">
        <w:rPr>
          <w:rFonts w:ascii="Times" w:hAnsi="Times"/>
          <w:i/>
        </w:rPr>
        <w:t>Nat</w:t>
      </w:r>
      <w:r w:rsidR="004E6C66" w:rsidRPr="008C0BD0">
        <w:rPr>
          <w:rFonts w:ascii="Times" w:hAnsi="Times"/>
          <w:i/>
        </w:rPr>
        <w:t xml:space="preserve">. </w:t>
      </w:r>
      <w:r w:rsidR="008B4678" w:rsidRPr="008C0BD0">
        <w:rPr>
          <w:rFonts w:ascii="Times" w:hAnsi="Times"/>
        </w:rPr>
        <w:t>7. 52. 53.</w:t>
      </w:r>
    </w:p>
  </w:footnote>
  <w:footnote w:id="22">
    <w:p w14:paraId="1B958C63" w14:textId="76294846" w:rsidR="009D0BA5" w:rsidRPr="008C0BD0" w:rsidRDefault="009D0BA5">
      <w:pPr>
        <w:pStyle w:val="FootnoteText"/>
        <w:rPr>
          <w:rFonts w:ascii="Times" w:hAnsi="Times"/>
        </w:rPr>
      </w:pPr>
      <w:r w:rsidRPr="008C0BD0">
        <w:rPr>
          <w:rStyle w:val="FootnoteReference"/>
          <w:rFonts w:ascii="Times" w:hAnsi="Times"/>
        </w:rPr>
        <w:footnoteRef/>
      </w:r>
      <w:r w:rsidRPr="008C0BD0">
        <w:rPr>
          <w:rFonts w:ascii="Times" w:hAnsi="Times"/>
        </w:rPr>
        <w:t xml:space="preserve"> Weaver 2015: 213.</w:t>
      </w:r>
    </w:p>
  </w:footnote>
  <w:footnote w:id="23">
    <w:p w14:paraId="3FA9F792" w14:textId="38742102" w:rsidR="00DB1088" w:rsidRPr="00DB1088" w:rsidRDefault="00DB1088">
      <w:pPr>
        <w:pStyle w:val="FootnoteText"/>
      </w:pPr>
      <w:r>
        <w:rPr>
          <w:rStyle w:val="FootnoteReference"/>
        </w:rPr>
        <w:footnoteRef/>
      </w:r>
      <w:r>
        <w:t xml:space="preserve"> </w:t>
      </w:r>
      <w:r w:rsidRPr="00DB1088">
        <w:rPr>
          <w:rFonts w:ascii="Times" w:hAnsi="Times"/>
        </w:rPr>
        <w:t xml:space="preserve">Eur. </w:t>
      </w:r>
      <w:r w:rsidRPr="00DB1088">
        <w:rPr>
          <w:rFonts w:ascii="Times" w:hAnsi="Times"/>
          <w:i/>
        </w:rPr>
        <w:t xml:space="preserve">Alc. </w:t>
      </w:r>
      <w:r w:rsidRPr="00DB1088">
        <w:rPr>
          <w:rFonts w:ascii="Times" w:hAnsi="Times"/>
        </w:rPr>
        <w:t>1125 – 1130.</w:t>
      </w:r>
    </w:p>
  </w:footnote>
  <w:footnote w:id="24">
    <w:p w14:paraId="2BF2B64C" w14:textId="49A67092" w:rsidR="00DB1088" w:rsidRPr="00DB1088" w:rsidRDefault="00DB1088">
      <w:pPr>
        <w:pStyle w:val="FootnoteText"/>
      </w:pPr>
      <w:r>
        <w:rPr>
          <w:rStyle w:val="FootnoteReference"/>
        </w:rPr>
        <w:footnoteRef/>
      </w:r>
      <w:r>
        <w:t xml:space="preserve"> </w:t>
      </w:r>
      <w:r w:rsidRPr="00DB1088">
        <w:rPr>
          <w:rFonts w:ascii="Times" w:hAnsi="Times"/>
        </w:rPr>
        <w:t xml:space="preserve">Eur. </w:t>
      </w:r>
      <w:r w:rsidRPr="00DB1088">
        <w:rPr>
          <w:rFonts w:ascii="Times" w:hAnsi="Times"/>
          <w:i/>
        </w:rPr>
        <w:t xml:space="preserve">Alc. </w:t>
      </w:r>
      <w:r w:rsidRPr="00DB1088">
        <w:rPr>
          <w:rFonts w:ascii="Times" w:hAnsi="Times"/>
        </w:rPr>
        <w:t>1135 – 1145.</w:t>
      </w:r>
    </w:p>
  </w:footnote>
  <w:footnote w:id="25">
    <w:p w14:paraId="7FD782F6" w14:textId="5EF0FCD8" w:rsidR="006A5D5F" w:rsidRPr="006A5D5F" w:rsidRDefault="006A5D5F">
      <w:pPr>
        <w:pStyle w:val="FootnoteText"/>
        <w:rPr>
          <w:rFonts w:ascii="Times" w:hAnsi="Times"/>
        </w:rPr>
      </w:pPr>
      <w:r w:rsidRPr="006A5D5F">
        <w:rPr>
          <w:rStyle w:val="FootnoteReference"/>
          <w:rFonts w:ascii="Times" w:hAnsi="Times"/>
        </w:rPr>
        <w:footnoteRef/>
      </w:r>
      <w:r w:rsidRPr="006A5D5F">
        <w:rPr>
          <w:rFonts w:ascii="Times" w:hAnsi="Times"/>
        </w:rPr>
        <w:t xml:space="preserve"> </w:t>
      </w:r>
      <w:r w:rsidRPr="006A5D5F">
        <w:rPr>
          <w:rFonts w:ascii="Times" w:hAnsi="Times"/>
          <w:i/>
        </w:rPr>
        <w:t xml:space="preserve">Strab. </w:t>
      </w:r>
      <w:r>
        <w:rPr>
          <w:rFonts w:ascii="Times" w:hAnsi="Times"/>
        </w:rPr>
        <w:t xml:space="preserve">6. 1. 5; Weaver 2015: 214. </w:t>
      </w:r>
    </w:p>
  </w:footnote>
  <w:footnote w:id="26">
    <w:p w14:paraId="034EF9A8" w14:textId="5D73899B" w:rsidR="006A5D5F" w:rsidRPr="006A5D5F" w:rsidRDefault="006A5D5F">
      <w:pPr>
        <w:pStyle w:val="FootnoteText"/>
        <w:rPr>
          <w:rFonts w:ascii="Times" w:hAnsi="Times"/>
        </w:rPr>
      </w:pPr>
      <w:r w:rsidRPr="006A5D5F">
        <w:rPr>
          <w:rStyle w:val="FootnoteReference"/>
          <w:rFonts w:ascii="Times" w:hAnsi="Times"/>
        </w:rPr>
        <w:footnoteRef/>
      </w:r>
      <w:r w:rsidRPr="006A5D5F">
        <w:rPr>
          <w:rFonts w:ascii="Times" w:hAnsi="Times"/>
        </w:rPr>
        <w:t xml:space="preserve"> Hom. </w:t>
      </w:r>
      <w:r w:rsidRPr="006A5D5F">
        <w:rPr>
          <w:rFonts w:ascii="Times" w:hAnsi="Times"/>
          <w:i/>
        </w:rPr>
        <w:t xml:space="preserve">Od. </w:t>
      </w:r>
      <w:r w:rsidRPr="006A5D5F">
        <w:rPr>
          <w:rFonts w:ascii="Times" w:hAnsi="Times"/>
        </w:rPr>
        <w:t xml:space="preserve">11. 20 – 50. </w:t>
      </w:r>
    </w:p>
  </w:footnote>
  <w:footnote w:id="27">
    <w:p w14:paraId="542F92B8" w14:textId="1CE9906C" w:rsidR="003D78E4" w:rsidRPr="008C0BD0" w:rsidRDefault="003D78E4">
      <w:pPr>
        <w:pStyle w:val="FootnoteText"/>
        <w:rPr>
          <w:rFonts w:ascii="Times" w:hAnsi="Times"/>
        </w:rPr>
      </w:pPr>
      <w:r w:rsidRPr="008C0BD0">
        <w:rPr>
          <w:rStyle w:val="FootnoteReference"/>
          <w:rFonts w:ascii="Times" w:hAnsi="Times"/>
        </w:rPr>
        <w:footnoteRef/>
      </w:r>
      <w:r w:rsidRPr="008C0BD0">
        <w:rPr>
          <w:rFonts w:ascii="Times" w:hAnsi="Times"/>
        </w:rPr>
        <w:t xml:space="preserve"> </w:t>
      </w:r>
      <w:r w:rsidR="006D18A3" w:rsidRPr="008C0BD0">
        <w:rPr>
          <w:rFonts w:ascii="Times" w:hAnsi="Times"/>
        </w:rPr>
        <w:t>Weaver 2015: 213.</w:t>
      </w:r>
    </w:p>
  </w:footnote>
  <w:footnote w:id="28">
    <w:p w14:paraId="0F06BBD5" w14:textId="0BDDD004" w:rsidR="00A97870" w:rsidRPr="008C0BD0" w:rsidRDefault="00A97870">
      <w:pPr>
        <w:pStyle w:val="FootnoteText"/>
        <w:rPr>
          <w:rFonts w:ascii="Times" w:hAnsi="Times"/>
        </w:rPr>
      </w:pPr>
      <w:r w:rsidRPr="008C0BD0">
        <w:rPr>
          <w:rStyle w:val="FootnoteReference"/>
          <w:rFonts w:ascii="Times" w:hAnsi="Times"/>
        </w:rPr>
        <w:footnoteRef/>
      </w:r>
      <w:r w:rsidRPr="008C0BD0">
        <w:rPr>
          <w:rFonts w:ascii="Times" w:hAnsi="Times"/>
        </w:rPr>
        <w:t xml:space="preserve"> Weaver 2015: 213</w:t>
      </w:r>
    </w:p>
  </w:footnote>
  <w:footnote w:id="29">
    <w:p w14:paraId="16DAD96E" w14:textId="423F05A6" w:rsidR="00A97870" w:rsidRPr="008C0BD0" w:rsidRDefault="00A97870">
      <w:pPr>
        <w:pStyle w:val="FootnoteText"/>
        <w:rPr>
          <w:rFonts w:ascii="Times" w:hAnsi="Times"/>
        </w:rPr>
      </w:pPr>
      <w:r w:rsidRPr="008C0BD0">
        <w:rPr>
          <w:rStyle w:val="FootnoteReference"/>
          <w:rFonts w:ascii="Times" w:hAnsi="Times"/>
        </w:rPr>
        <w:footnoteRef/>
      </w:r>
      <w:r w:rsidRPr="008C0BD0">
        <w:rPr>
          <w:rFonts w:ascii="Times" w:hAnsi="Times"/>
        </w:rPr>
        <w:t xml:space="preserve"> Caciola 1996: 31 – 32. </w:t>
      </w:r>
    </w:p>
  </w:footnote>
  <w:footnote w:id="30">
    <w:p w14:paraId="1F50B3D0" w14:textId="6A8621D0" w:rsidR="008C0BD0" w:rsidRPr="008C0BD0" w:rsidRDefault="008C0BD0">
      <w:pPr>
        <w:pStyle w:val="FootnoteText"/>
        <w:rPr>
          <w:rFonts w:ascii="Times" w:hAnsi="Times"/>
        </w:rPr>
      </w:pPr>
      <w:r w:rsidRPr="008C0BD0">
        <w:rPr>
          <w:rStyle w:val="FootnoteReference"/>
          <w:rFonts w:ascii="Times" w:hAnsi="Times"/>
        </w:rPr>
        <w:footnoteRef/>
      </w:r>
      <w:r w:rsidRPr="008C0BD0">
        <w:rPr>
          <w:rFonts w:ascii="Times" w:hAnsi="Times"/>
        </w:rPr>
        <w:t xml:space="preserve"> Weaver 2015: 216.</w:t>
      </w:r>
    </w:p>
  </w:footnote>
  <w:footnote w:id="31">
    <w:p w14:paraId="240D812C" w14:textId="02330037" w:rsidR="008C0BD0" w:rsidRPr="00927D73" w:rsidRDefault="008C0BD0">
      <w:pPr>
        <w:pStyle w:val="FootnoteText"/>
        <w:rPr>
          <w:rFonts w:ascii="Times" w:hAnsi="Times"/>
          <w:i/>
        </w:rPr>
      </w:pPr>
      <w:r w:rsidRPr="00927D73">
        <w:rPr>
          <w:rStyle w:val="FootnoteReference"/>
          <w:rFonts w:ascii="Times" w:hAnsi="Times"/>
        </w:rPr>
        <w:footnoteRef/>
      </w:r>
      <w:r w:rsidRPr="00927D73">
        <w:rPr>
          <w:rFonts w:ascii="Times" w:hAnsi="Times"/>
        </w:rPr>
        <w:t xml:space="preserve"> </w:t>
      </w:r>
      <w:r w:rsidR="00927D73">
        <w:rPr>
          <w:rFonts w:ascii="Times" w:hAnsi="Times"/>
        </w:rPr>
        <w:t xml:space="preserve">Weaver 2015: 214, the </w:t>
      </w:r>
      <w:r w:rsidR="00927D73">
        <w:rPr>
          <w:rFonts w:ascii="Times" w:hAnsi="Times"/>
          <w:i/>
        </w:rPr>
        <w:t xml:space="preserve">aoroi. </w:t>
      </w:r>
    </w:p>
  </w:footnote>
  <w:footnote w:id="32">
    <w:p w14:paraId="40C9AADD" w14:textId="75D6C5CD" w:rsidR="00806FE8" w:rsidRDefault="00806FE8">
      <w:pPr>
        <w:pStyle w:val="FootnoteText"/>
      </w:pPr>
      <w:r>
        <w:rPr>
          <w:rStyle w:val="FootnoteReference"/>
        </w:rPr>
        <w:footnoteRef/>
      </w:r>
      <w:r>
        <w:t xml:space="preserve"> </w:t>
      </w:r>
      <w:r w:rsidR="00607A72" w:rsidRPr="00607A72">
        <w:rPr>
          <w:rFonts w:ascii="Times" w:hAnsi="Times"/>
        </w:rPr>
        <w:t>Weaver 2105: 214.</w:t>
      </w:r>
      <w:r w:rsidR="00607A72">
        <w:rPr>
          <w:rFonts w:ascii="Times" w:hAnsi="Times"/>
        </w:rPr>
        <w:t xml:space="preserve"> Reference to those who typically are buried as Revenants. </w:t>
      </w:r>
    </w:p>
  </w:footnote>
  <w:footnote w:id="33">
    <w:p w14:paraId="18A54043" w14:textId="0B9B85E5" w:rsidR="00D0461F" w:rsidRPr="008C0BD0" w:rsidRDefault="00D0461F">
      <w:pPr>
        <w:pStyle w:val="FootnoteText"/>
        <w:rPr>
          <w:rFonts w:ascii="Times" w:hAnsi="Times"/>
        </w:rPr>
      </w:pPr>
      <w:r w:rsidRPr="008C0BD0">
        <w:rPr>
          <w:rStyle w:val="FootnoteReference"/>
          <w:rFonts w:ascii="Times" w:hAnsi="Times"/>
        </w:rPr>
        <w:footnoteRef/>
      </w:r>
      <w:r w:rsidRPr="008C0BD0">
        <w:rPr>
          <w:rFonts w:ascii="Times" w:hAnsi="Times"/>
        </w:rPr>
        <w:t xml:space="preserve"> Weaver 2015: 217.</w:t>
      </w:r>
    </w:p>
  </w:footnote>
  <w:footnote w:id="34">
    <w:p w14:paraId="04751025" w14:textId="66FD29F0" w:rsidR="000A5B21" w:rsidRPr="000A5B21" w:rsidRDefault="000A5B21">
      <w:pPr>
        <w:pStyle w:val="FootnoteText"/>
        <w:rPr>
          <w:rFonts w:ascii="Times" w:hAnsi="Times"/>
        </w:rPr>
      </w:pPr>
      <w:r w:rsidRPr="000A5B21">
        <w:rPr>
          <w:rStyle w:val="FootnoteReference"/>
          <w:rFonts w:ascii="Times" w:hAnsi="Times"/>
        </w:rPr>
        <w:footnoteRef/>
      </w:r>
      <w:r w:rsidRPr="000A5B21">
        <w:rPr>
          <w:rFonts w:ascii="Times" w:hAnsi="Times"/>
        </w:rPr>
        <w:t xml:space="preserve"> </w:t>
      </w:r>
      <w:r>
        <w:rPr>
          <w:rFonts w:ascii="Times" w:hAnsi="Times"/>
        </w:rPr>
        <w:t>Weaver 2015: 215</w:t>
      </w:r>
      <w:r w:rsidRPr="000A5B21">
        <w:rPr>
          <w:rFonts w:ascii="Times" w:hAnsi="Times"/>
        </w:rPr>
        <w:t>.</w:t>
      </w:r>
    </w:p>
  </w:footnote>
  <w:footnote w:id="35">
    <w:p w14:paraId="1B0A0078" w14:textId="5A6867E3" w:rsidR="000A5B21" w:rsidRDefault="000A5B21">
      <w:pPr>
        <w:pStyle w:val="FootnoteText"/>
      </w:pPr>
      <w:r>
        <w:rPr>
          <w:rStyle w:val="FootnoteReference"/>
        </w:rPr>
        <w:footnoteRef/>
      </w:r>
      <w:r>
        <w:t xml:space="preserve"> </w:t>
      </w:r>
      <w:r w:rsidRPr="000A5B21">
        <w:rPr>
          <w:rFonts w:ascii="Times" w:hAnsi="Times"/>
        </w:rPr>
        <w:t>Weaver 2015: 216.</w:t>
      </w:r>
    </w:p>
  </w:footnote>
  <w:footnote w:id="36">
    <w:p w14:paraId="0AA247F0" w14:textId="20296112" w:rsidR="000A5B21" w:rsidRDefault="000A5B21">
      <w:pPr>
        <w:pStyle w:val="FootnoteText"/>
      </w:pPr>
      <w:r>
        <w:rPr>
          <w:rStyle w:val="FootnoteReference"/>
        </w:rPr>
        <w:footnoteRef/>
      </w:r>
      <w:r>
        <w:t xml:space="preserve"> </w:t>
      </w:r>
      <w:r w:rsidRPr="000A5B21">
        <w:rPr>
          <w:rFonts w:ascii="Times" w:hAnsi="Times"/>
        </w:rPr>
        <w:t>Weaver 2015: 216.</w:t>
      </w:r>
      <w:r>
        <w:t xml:space="preserve"> </w:t>
      </w:r>
    </w:p>
  </w:footnote>
  <w:footnote w:id="37">
    <w:p w14:paraId="5F0B5787" w14:textId="7E98422D" w:rsidR="000A5B21" w:rsidRPr="00607A72" w:rsidRDefault="000A5B21">
      <w:pPr>
        <w:pStyle w:val="FootnoteText"/>
        <w:rPr>
          <w:rFonts w:ascii="Times" w:hAnsi="Times"/>
        </w:rPr>
      </w:pPr>
      <w:r w:rsidRPr="00607A72">
        <w:rPr>
          <w:rStyle w:val="FootnoteReference"/>
          <w:rFonts w:ascii="Times" w:hAnsi="Times"/>
        </w:rPr>
        <w:footnoteRef/>
      </w:r>
      <w:r w:rsidRPr="00607A72">
        <w:rPr>
          <w:rFonts w:ascii="Times" w:hAnsi="Times"/>
        </w:rPr>
        <w:t xml:space="preserve"> Weaver 2015: 213.</w:t>
      </w:r>
    </w:p>
  </w:footnote>
  <w:footnote w:id="38">
    <w:p w14:paraId="4921BBA4" w14:textId="3D03E9D0" w:rsidR="00607A72" w:rsidRDefault="00607A72">
      <w:pPr>
        <w:pStyle w:val="FootnoteText"/>
      </w:pPr>
      <w:r w:rsidRPr="00607A72">
        <w:rPr>
          <w:rStyle w:val="FootnoteReference"/>
          <w:rFonts w:ascii="Times" w:hAnsi="Times"/>
        </w:rPr>
        <w:footnoteRef/>
      </w:r>
      <w:r w:rsidRPr="00607A72">
        <w:rPr>
          <w:rFonts w:ascii="Times" w:hAnsi="Times"/>
        </w:rPr>
        <w:t xml:space="preserve"> Weaver 2015: 215.</w:t>
      </w:r>
    </w:p>
  </w:footnote>
  <w:footnote w:id="39">
    <w:p w14:paraId="16F22013" w14:textId="5F5231A8" w:rsidR="00607A72" w:rsidRPr="00607A72" w:rsidRDefault="00607A72">
      <w:pPr>
        <w:pStyle w:val="FootnoteText"/>
        <w:rPr>
          <w:rFonts w:ascii="Times" w:hAnsi="Times"/>
        </w:rPr>
      </w:pPr>
      <w:r w:rsidRPr="00607A72">
        <w:rPr>
          <w:rStyle w:val="FootnoteReference"/>
          <w:rFonts w:ascii="Times" w:hAnsi="Times"/>
        </w:rPr>
        <w:footnoteRef/>
      </w:r>
      <w:r w:rsidRPr="00607A72">
        <w:rPr>
          <w:rFonts w:ascii="Times" w:hAnsi="Times"/>
        </w:rPr>
        <w:t xml:space="preserve"> Weaver 2015: 215.</w:t>
      </w:r>
    </w:p>
  </w:footnote>
  <w:footnote w:id="40">
    <w:p w14:paraId="3894BAD1" w14:textId="4D2FEE4A" w:rsidR="007536DD" w:rsidRPr="008C0BD0" w:rsidRDefault="007536DD">
      <w:pPr>
        <w:pStyle w:val="FootnoteText"/>
        <w:rPr>
          <w:rFonts w:ascii="Times" w:hAnsi="Times"/>
        </w:rPr>
      </w:pPr>
      <w:r w:rsidRPr="008C0BD0">
        <w:rPr>
          <w:rStyle w:val="FootnoteReference"/>
          <w:rFonts w:ascii="Times" w:hAnsi="Times"/>
        </w:rPr>
        <w:footnoteRef/>
      </w:r>
      <w:r w:rsidRPr="008C0BD0">
        <w:rPr>
          <w:rFonts w:ascii="Times" w:hAnsi="Times"/>
        </w:rPr>
        <w:t xml:space="preserve"> </w:t>
      </w:r>
      <w:r w:rsidR="00D2443D" w:rsidRPr="008C0BD0">
        <w:rPr>
          <w:rFonts w:ascii="Times" w:hAnsi="Times"/>
        </w:rPr>
        <w:t xml:space="preserve">Weaver 2015: 213 </w:t>
      </w:r>
      <w:r w:rsidR="00534E73" w:rsidRPr="008C0BD0">
        <w:rPr>
          <w:rFonts w:ascii="Times" w:hAnsi="Times"/>
        </w:rPr>
        <w:t>‘revenants</w:t>
      </w:r>
      <w:r w:rsidR="00D2443D" w:rsidRPr="008C0BD0">
        <w:rPr>
          <w:rFonts w:ascii="Times" w:hAnsi="Times"/>
        </w:rPr>
        <w:t xml:space="preserve"> must be sufficiently “killed”’. </w:t>
      </w:r>
    </w:p>
  </w:footnote>
  <w:footnote w:id="41">
    <w:p w14:paraId="76CDBE9B" w14:textId="776D1E71" w:rsidR="00C2395D" w:rsidRPr="008C0BD0" w:rsidRDefault="00C2395D">
      <w:pPr>
        <w:pStyle w:val="FootnoteText"/>
        <w:rPr>
          <w:rFonts w:ascii="Times" w:hAnsi="Times"/>
        </w:rPr>
      </w:pPr>
      <w:r w:rsidRPr="008C0BD0">
        <w:rPr>
          <w:rStyle w:val="FootnoteReference"/>
          <w:rFonts w:ascii="Times" w:hAnsi="Times"/>
        </w:rPr>
        <w:footnoteRef/>
      </w:r>
      <w:r w:rsidRPr="008C0BD0">
        <w:rPr>
          <w:rFonts w:ascii="Times" w:hAnsi="Times"/>
        </w:rPr>
        <w:t xml:space="preserve"> Weaver 2015: 211 – 213.</w:t>
      </w:r>
    </w:p>
  </w:footnote>
  <w:footnote w:id="42">
    <w:p w14:paraId="5BC62336" w14:textId="05DA3BD2" w:rsidR="003B7A9E" w:rsidRPr="00AF78E8" w:rsidRDefault="003B7A9E">
      <w:pPr>
        <w:pStyle w:val="FootnoteText"/>
        <w:rPr>
          <w:rFonts w:ascii="Times" w:hAnsi="Times"/>
        </w:rPr>
      </w:pPr>
      <w:r w:rsidRPr="00AF78E8">
        <w:rPr>
          <w:rStyle w:val="FootnoteReference"/>
          <w:rFonts w:ascii="Times" w:hAnsi="Times"/>
        </w:rPr>
        <w:footnoteRef/>
      </w:r>
      <w:r w:rsidRPr="00AF78E8">
        <w:rPr>
          <w:rFonts w:ascii="Times" w:hAnsi="Times"/>
        </w:rPr>
        <w:t xml:space="preserve"> Weaver 2015: </w:t>
      </w:r>
      <w:r w:rsidR="00AF78E8" w:rsidRPr="00AF78E8">
        <w:rPr>
          <w:rFonts w:ascii="Times" w:hAnsi="Times"/>
        </w:rPr>
        <w:t xml:space="preserve">212 – 213. </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419CDF" w14:textId="77777777" w:rsidR="00F34866" w:rsidRPr="00F34866" w:rsidRDefault="00F34866">
    <w:pPr>
      <w:pStyle w:val="Header"/>
      <w:rPr>
        <w:rFonts w:ascii="Times" w:hAnsi="Times"/>
      </w:rPr>
    </w:pPr>
    <w:r>
      <w:rPr>
        <w:rFonts w:ascii="Times" w:hAnsi="Times"/>
      </w:rPr>
      <w:t>Hannah Kozdoj - 1502320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4866"/>
    <w:rsid w:val="000A408F"/>
    <w:rsid w:val="000A5B21"/>
    <w:rsid w:val="001308CB"/>
    <w:rsid w:val="001525D0"/>
    <w:rsid w:val="001A5D8D"/>
    <w:rsid w:val="001D45A7"/>
    <w:rsid w:val="001E21C7"/>
    <w:rsid w:val="0023347B"/>
    <w:rsid w:val="00236008"/>
    <w:rsid w:val="002D00E5"/>
    <w:rsid w:val="002E4576"/>
    <w:rsid w:val="00367746"/>
    <w:rsid w:val="003B120C"/>
    <w:rsid w:val="003B7A9E"/>
    <w:rsid w:val="003D78E4"/>
    <w:rsid w:val="003E65F3"/>
    <w:rsid w:val="0044656C"/>
    <w:rsid w:val="0047766A"/>
    <w:rsid w:val="0049434E"/>
    <w:rsid w:val="004C77B7"/>
    <w:rsid w:val="004D297F"/>
    <w:rsid w:val="004E6C66"/>
    <w:rsid w:val="00534E73"/>
    <w:rsid w:val="00546930"/>
    <w:rsid w:val="00554BBB"/>
    <w:rsid w:val="00594A7D"/>
    <w:rsid w:val="005B1D75"/>
    <w:rsid w:val="005B3CDF"/>
    <w:rsid w:val="00607A72"/>
    <w:rsid w:val="0062490F"/>
    <w:rsid w:val="00640865"/>
    <w:rsid w:val="00652F1A"/>
    <w:rsid w:val="006A5D5F"/>
    <w:rsid w:val="006D18A3"/>
    <w:rsid w:val="006D6EE7"/>
    <w:rsid w:val="00722D98"/>
    <w:rsid w:val="00740254"/>
    <w:rsid w:val="00741B8F"/>
    <w:rsid w:val="007536DD"/>
    <w:rsid w:val="007826A8"/>
    <w:rsid w:val="00784079"/>
    <w:rsid w:val="007938C5"/>
    <w:rsid w:val="007B4454"/>
    <w:rsid w:val="007B6950"/>
    <w:rsid w:val="007E09BA"/>
    <w:rsid w:val="007E4BC4"/>
    <w:rsid w:val="007E4F62"/>
    <w:rsid w:val="008025BF"/>
    <w:rsid w:val="00806FE8"/>
    <w:rsid w:val="00823424"/>
    <w:rsid w:val="00832832"/>
    <w:rsid w:val="00854A39"/>
    <w:rsid w:val="008B2394"/>
    <w:rsid w:val="008B4678"/>
    <w:rsid w:val="008C0433"/>
    <w:rsid w:val="008C0BD0"/>
    <w:rsid w:val="008E1800"/>
    <w:rsid w:val="008E2813"/>
    <w:rsid w:val="00927D73"/>
    <w:rsid w:val="00984307"/>
    <w:rsid w:val="009B4F11"/>
    <w:rsid w:val="009C3E8A"/>
    <w:rsid w:val="009D0BA5"/>
    <w:rsid w:val="00A4133B"/>
    <w:rsid w:val="00A61B7D"/>
    <w:rsid w:val="00A64619"/>
    <w:rsid w:val="00A94BDD"/>
    <w:rsid w:val="00A97870"/>
    <w:rsid w:val="00AC2D81"/>
    <w:rsid w:val="00AC5B34"/>
    <w:rsid w:val="00AE6548"/>
    <w:rsid w:val="00AF78E8"/>
    <w:rsid w:val="00B11352"/>
    <w:rsid w:val="00B15577"/>
    <w:rsid w:val="00B41E45"/>
    <w:rsid w:val="00B478A9"/>
    <w:rsid w:val="00BB103E"/>
    <w:rsid w:val="00BB4162"/>
    <w:rsid w:val="00BD25E7"/>
    <w:rsid w:val="00C2395D"/>
    <w:rsid w:val="00C45BD9"/>
    <w:rsid w:val="00C6711A"/>
    <w:rsid w:val="00CA2E9E"/>
    <w:rsid w:val="00CB7843"/>
    <w:rsid w:val="00D0461F"/>
    <w:rsid w:val="00D2443D"/>
    <w:rsid w:val="00D87356"/>
    <w:rsid w:val="00DB1088"/>
    <w:rsid w:val="00E24959"/>
    <w:rsid w:val="00EA7EB8"/>
    <w:rsid w:val="00ED6E39"/>
    <w:rsid w:val="00F34866"/>
    <w:rsid w:val="00F50A88"/>
    <w:rsid w:val="00F711C6"/>
    <w:rsid w:val="00F76806"/>
    <w:rsid w:val="00FA76ED"/>
    <w:rsid w:val="00FD74C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C7A42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5B1D75"/>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4866"/>
    <w:pPr>
      <w:tabs>
        <w:tab w:val="center" w:pos="4513"/>
        <w:tab w:val="right" w:pos="9026"/>
      </w:tabs>
    </w:pPr>
  </w:style>
  <w:style w:type="character" w:customStyle="1" w:styleId="HeaderChar">
    <w:name w:val="Header Char"/>
    <w:basedOn w:val="DefaultParagraphFont"/>
    <w:link w:val="Header"/>
    <w:uiPriority w:val="99"/>
    <w:rsid w:val="00F34866"/>
  </w:style>
  <w:style w:type="paragraph" w:styleId="Footer">
    <w:name w:val="footer"/>
    <w:basedOn w:val="Normal"/>
    <w:link w:val="FooterChar"/>
    <w:uiPriority w:val="99"/>
    <w:unhideWhenUsed/>
    <w:rsid w:val="00F34866"/>
    <w:pPr>
      <w:tabs>
        <w:tab w:val="center" w:pos="4513"/>
        <w:tab w:val="right" w:pos="9026"/>
      </w:tabs>
    </w:pPr>
  </w:style>
  <w:style w:type="character" w:customStyle="1" w:styleId="FooterChar">
    <w:name w:val="Footer Char"/>
    <w:basedOn w:val="DefaultParagraphFont"/>
    <w:link w:val="Footer"/>
    <w:uiPriority w:val="99"/>
    <w:rsid w:val="00F34866"/>
  </w:style>
  <w:style w:type="character" w:styleId="PageNumber">
    <w:name w:val="page number"/>
    <w:basedOn w:val="DefaultParagraphFont"/>
    <w:uiPriority w:val="99"/>
    <w:semiHidden/>
    <w:unhideWhenUsed/>
    <w:rsid w:val="00F34866"/>
  </w:style>
  <w:style w:type="paragraph" w:styleId="FootnoteText">
    <w:name w:val="footnote text"/>
    <w:basedOn w:val="Normal"/>
    <w:link w:val="FootnoteTextChar"/>
    <w:uiPriority w:val="99"/>
    <w:unhideWhenUsed/>
    <w:rsid w:val="007536DD"/>
  </w:style>
  <w:style w:type="character" w:customStyle="1" w:styleId="FootnoteTextChar">
    <w:name w:val="Footnote Text Char"/>
    <w:basedOn w:val="DefaultParagraphFont"/>
    <w:link w:val="FootnoteText"/>
    <w:uiPriority w:val="99"/>
    <w:rsid w:val="007536DD"/>
  </w:style>
  <w:style w:type="character" w:styleId="FootnoteReference">
    <w:name w:val="footnote reference"/>
    <w:basedOn w:val="DefaultParagraphFont"/>
    <w:uiPriority w:val="99"/>
    <w:unhideWhenUsed/>
    <w:rsid w:val="007536DD"/>
    <w:rPr>
      <w:vertAlign w:val="superscript"/>
    </w:rPr>
  </w:style>
  <w:style w:type="character" w:customStyle="1" w:styleId="Heading1Char">
    <w:name w:val="Heading 1 Char"/>
    <w:basedOn w:val="DefaultParagraphFont"/>
    <w:link w:val="Heading1"/>
    <w:uiPriority w:val="9"/>
    <w:rsid w:val="005B1D75"/>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9386012">
      <w:bodyDiv w:val="1"/>
      <w:marLeft w:val="0"/>
      <w:marRight w:val="0"/>
      <w:marTop w:val="0"/>
      <w:marBottom w:val="0"/>
      <w:divBdr>
        <w:top w:val="none" w:sz="0" w:space="0" w:color="auto"/>
        <w:left w:val="none" w:sz="0" w:space="0" w:color="auto"/>
        <w:bottom w:val="none" w:sz="0" w:space="0" w:color="auto"/>
        <w:right w:val="none" w:sz="0" w:space="0" w:color="auto"/>
      </w:divBdr>
      <w:divsChild>
        <w:div w:id="2077389614">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2F21BCC3-2916-494C-9041-FCF23B9AA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9</Pages>
  <Words>1950</Words>
  <Characters>9693</Characters>
  <Application>Microsoft Macintosh Word</Application>
  <DocSecurity>0</DocSecurity>
  <Lines>242</Lines>
  <Paragraphs>62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LinksUpToDate>false</LinksUpToDate>
  <CharactersWithSpaces>11581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Kozdoj</dc:creator>
  <cp:keywords/>
  <dc:description/>
  <cp:lastModifiedBy>Hannah Kozdoj</cp:lastModifiedBy>
  <cp:revision>59</cp:revision>
  <dcterms:created xsi:type="dcterms:W3CDTF">2018-01-19T09:40:00Z</dcterms:created>
  <dcterms:modified xsi:type="dcterms:W3CDTF">2018-01-19T15:54:00Z</dcterms:modified>
</cp:coreProperties>
</file>