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A7618" w14:textId="77777777" w:rsidR="004B6293" w:rsidRDefault="004B6293" w:rsidP="004B6293">
      <w:pPr>
        <w:jc w:val="center"/>
        <w:rPr>
          <w:b/>
          <w:bCs/>
          <w:sz w:val="160"/>
          <w:szCs w:val="160"/>
        </w:rPr>
      </w:pPr>
      <w:r>
        <w:rPr>
          <w:b/>
          <w:bCs/>
          <w:sz w:val="160"/>
          <w:szCs w:val="160"/>
        </w:rPr>
        <w:t>Paradigm</w:t>
      </w:r>
    </w:p>
    <w:p w14:paraId="46697C73" w14:textId="77777777" w:rsidR="004B6293" w:rsidRDefault="004B6293" w:rsidP="004B6293">
      <w:pPr>
        <w:jc w:val="center"/>
        <w:rPr>
          <w:b/>
          <w:bCs/>
          <w:sz w:val="160"/>
          <w:szCs w:val="160"/>
        </w:rPr>
      </w:pPr>
      <w:r>
        <w:rPr>
          <w:b/>
          <w:bCs/>
          <w:sz w:val="160"/>
          <w:szCs w:val="160"/>
        </w:rPr>
        <w:t>Sorter</w:t>
      </w:r>
    </w:p>
    <w:p w14:paraId="3E11F8FE" w14:textId="5DF61EE8" w:rsidR="004B6293" w:rsidRDefault="004B6293" w:rsidP="004B6293">
      <w:pPr>
        <w:jc w:val="center"/>
        <w:rPr>
          <w:b/>
          <w:bCs/>
        </w:rPr>
      </w:pPr>
      <w:r>
        <w:rPr>
          <w:b/>
          <w:bCs/>
          <w:sz w:val="160"/>
          <w:szCs w:val="160"/>
        </w:rPr>
        <w:t>Exercise</w:t>
      </w:r>
      <w:r>
        <w:rPr>
          <w:b/>
          <w:bCs/>
        </w:rPr>
        <w:br w:type="page"/>
      </w:r>
    </w:p>
    <w:p w14:paraId="0D26C62A" w14:textId="7FBE2EAF" w:rsidR="004E639F" w:rsidRPr="004B6293" w:rsidRDefault="004B6293">
      <w:pPr>
        <w:rPr>
          <w:b/>
          <w:bCs/>
        </w:rPr>
      </w:pPr>
      <w:r w:rsidRPr="004B6293">
        <w:rPr>
          <w:b/>
          <w:bCs/>
        </w:rPr>
        <w:lastRenderedPageBreak/>
        <w:t>Abstract 1</w:t>
      </w:r>
    </w:p>
    <w:p w14:paraId="5A508090" w14:textId="77777777" w:rsidR="00C12023" w:rsidRDefault="004B6293">
      <w:pPr>
        <w:rPr>
          <w:i/>
          <w:iCs/>
        </w:rPr>
      </w:pPr>
      <w:r w:rsidRPr="004B6293">
        <w:br/>
      </w:r>
      <w:r w:rsidR="00C12023" w:rsidRPr="00C12023">
        <w:rPr>
          <w:i/>
          <w:iCs/>
        </w:rPr>
        <w:t>Assessing the Reliability of Decentralized Finance (DeFi) Security Protocols: A Multi-Method Evaluation.</w:t>
      </w:r>
    </w:p>
    <w:p w14:paraId="7090A710" w14:textId="7360B33C" w:rsidR="00C12023" w:rsidRDefault="00C12023">
      <w:r w:rsidRPr="00C12023">
        <w:br/>
        <w:t>This research examines the effectiveness of automated security audits in protecting blockchain assets. While asserting that an objective state of system security exists, the study acknowledges that no single audit can be perfectly objective due to the inherent biases in algorithmic design and researcher interpretation. To address this, the study utilizes a "critical realist" approach, triangulating large-scale quantitative data from 50 protocols with qualitative feedback from independent cybersecurity experts. The goal is to falsify current assumptions about "perfect" security and identify the most probable risk factors. Conclusions are framed as tentative and subject to revision as technological contexts evolve, emphasizing that while we can approximate the truth, our knowledge remains fallible</w:t>
      </w:r>
      <w:r w:rsidR="004B6293">
        <w:br w:type="page"/>
      </w:r>
    </w:p>
    <w:p w14:paraId="5226ED9D" w14:textId="741E477E" w:rsidR="004B6293" w:rsidRPr="004B6293" w:rsidRDefault="004B6293">
      <w:pPr>
        <w:rPr>
          <w:b/>
          <w:bCs/>
        </w:rPr>
      </w:pPr>
      <w:r w:rsidRPr="004B6293">
        <w:rPr>
          <w:b/>
          <w:bCs/>
        </w:rPr>
        <w:lastRenderedPageBreak/>
        <w:t>Abstract 2</w:t>
      </w:r>
    </w:p>
    <w:p w14:paraId="2E35DD66" w14:textId="77777777" w:rsidR="004B6293" w:rsidRDefault="004B6293"/>
    <w:p w14:paraId="4265236A" w14:textId="77777777" w:rsidR="00C7626E" w:rsidRDefault="00C7626E">
      <w:pPr>
        <w:rPr>
          <w:i/>
          <w:iCs/>
        </w:rPr>
      </w:pPr>
      <w:r w:rsidRPr="00C7626E">
        <w:rPr>
          <w:i/>
          <w:iCs/>
        </w:rPr>
        <w:t>Resolving the "Last Mile" Delivery Crisis: An Integrated Strategy for Urban Logistics.</w:t>
      </w:r>
    </w:p>
    <w:p w14:paraId="3CAF19D2" w14:textId="3EF46F78" w:rsidR="004B6293" w:rsidRDefault="004B6293">
      <w:r w:rsidRPr="004B6293">
        <w:br/>
      </w:r>
      <w:r w:rsidR="00C7626E" w:rsidRPr="00C7626E">
        <w:t>This 2026 study addresses the immediate, practical challenge of inefficient delivery networks in high-density metropolitan areas. Rather than committing to a single philosophical framework, the researchers adopted a "results-oriented" approach to identify the most effective solution for city planners. The study utilized a mixed-methods design, combining quantitative GPS efficiency data with qualitative interviews with delivery couriers and residents. The research prioritizes the utility of the findings over theoretical consistency, focusing on which combination of autonomous drones and local micro-hubs produces the best real-world outcome. The final deliverable is an actionable toolkit for municipal authorities that balances operational speed with community satisfaction.</w:t>
      </w:r>
      <w:r>
        <w:br w:type="page"/>
      </w:r>
    </w:p>
    <w:p w14:paraId="01F3928C" w14:textId="459894BE" w:rsidR="004B6293" w:rsidRPr="004B6293" w:rsidRDefault="004B6293">
      <w:pPr>
        <w:rPr>
          <w:b/>
          <w:bCs/>
        </w:rPr>
      </w:pPr>
      <w:r w:rsidRPr="004B6293">
        <w:rPr>
          <w:b/>
          <w:bCs/>
        </w:rPr>
        <w:lastRenderedPageBreak/>
        <w:t>Abstract 3</w:t>
      </w:r>
    </w:p>
    <w:p w14:paraId="506199FC" w14:textId="77777777" w:rsidR="004B6293" w:rsidRDefault="004B6293"/>
    <w:p w14:paraId="7862F577" w14:textId="77777777" w:rsidR="001E1753" w:rsidRDefault="001E1753" w:rsidP="001E1753">
      <w:pPr>
        <w:rPr>
          <w:i/>
          <w:iCs/>
        </w:rPr>
      </w:pPr>
      <w:r w:rsidRPr="001E1753">
        <w:rPr>
          <w:i/>
          <w:iCs/>
        </w:rPr>
        <w:t>Determining the Correlation Between Biometric Sleep Tracking and Cognitive Performance: A Quantitative Assessment.</w:t>
      </w:r>
    </w:p>
    <w:p w14:paraId="74F7CB7B" w14:textId="5CCE7B74" w:rsidR="001E1753" w:rsidRPr="001E1753" w:rsidRDefault="004B6293" w:rsidP="001E1753">
      <w:r w:rsidRPr="004B6293">
        <w:br/>
      </w:r>
      <w:r w:rsidR="001E1753" w:rsidRPr="001E1753">
        <w:t>This 2026 study investigates the impact of sleep-cycle optimization on workplace productivity through a strictly controlled empirical design. Utilizing a sample of 2,500 office workers, researchers collected standardized data via wearable sensors and objective cognitive tests. The study sought to test the hypothesis that exactly seven hours of REM-optimized sleep results in a 12% increase in mental processing speed. Variables were isolated to eliminate interference, and a meta-analysis of the data was conducted using Pearson correlation coefficients. Findings are presented as value-free, replicable facts that establish a predictable relationship between biological inputs and cognitive outputs, providing a foundation for universal corporate wellness standards.</w:t>
      </w:r>
    </w:p>
    <w:p w14:paraId="539BA2DA" w14:textId="6146190E" w:rsidR="004B6293" w:rsidRDefault="004B6293">
      <w:r>
        <w:br w:type="page"/>
      </w:r>
    </w:p>
    <w:p w14:paraId="25CDD36C" w14:textId="60FA2ACA" w:rsidR="004B6293" w:rsidRPr="004B6293" w:rsidRDefault="004B6293">
      <w:pPr>
        <w:rPr>
          <w:b/>
          <w:bCs/>
        </w:rPr>
      </w:pPr>
      <w:r w:rsidRPr="004B6293">
        <w:rPr>
          <w:b/>
          <w:bCs/>
        </w:rPr>
        <w:lastRenderedPageBreak/>
        <w:t>Abstract 4</w:t>
      </w:r>
    </w:p>
    <w:p w14:paraId="0F80EE72" w14:textId="77777777" w:rsidR="004B6293" w:rsidRDefault="004B6293"/>
    <w:p w14:paraId="77DF2542" w14:textId="77777777" w:rsidR="00533AE3" w:rsidRPr="00533AE3" w:rsidRDefault="00533AE3" w:rsidP="00533AE3">
      <w:pPr>
        <w:rPr>
          <w:i/>
          <w:iCs/>
        </w:rPr>
      </w:pPr>
      <w:r w:rsidRPr="00533AE3">
        <w:rPr>
          <w:i/>
          <w:iCs/>
        </w:rPr>
        <w:t>Knowledge as a social product and the active assembly of personal expertise.</w:t>
      </w:r>
    </w:p>
    <w:p w14:paraId="173247D0" w14:textId="77777777" w:rsidR="00533AE3" w:rsidRDefault="00533AE3" w:rsidP="00533AE3">
      <w:pPr>
        <w:rPr>
          <w:i/>
          <w:iCs/>
        </w:rPr>
      </w:pPr>
    </w:p>
    <w:p w14:paraId="14E71E5C" w14:textId="36D3FEBE" w:rsidR="004B6293" w:rsidRPr="00533AE3" w:rsidRDefault="00533AE3" w:rsidP="00533AE3">
      <w:r w:rsidRPr="00533AE3">
        <w:t>This research investigates how members of decentralized digital art collectives develop technical expertise in generative AI without formal institutional instruction. Rather than viewing "creative competence" as a fixed set of skills to be transferred from teacher to student, this study views it as a fluid outcome of social negotiation and individual assembly. Using a multi-case study design, we observed three international collectives as they navigated new software updates. Findings indicate that participants do not "discover" truths about the technology; instead, they build a shared understanding of what constitutes "quality" and "innovation" through constant interaction and collaborative troubleshooting. The data reveals that each artist’s reality is filtered through their unique personal history, which they then reconcile with the collective’s shared language. The study concludes that expertise in these settings is a co-created artifact, suggesting that future vocational training should shift away from standardized curricula toward environments that facilitate the active, collective building of knowledge</w:t>
      </w:r>
      <w:r w:rsidR="00BE675B">
        <w:t>.</w:t>
      </w:r>
      <w:r w:rsidR="004B6293" w:rsidRPr="00533AE3">
        <w:br w:type="page"/>
      </w:r>
    </w:p>
    <w:p w14:paraId="2D3755B1" w14:textId="26F8F52C" w:rsidR="004B6293" w:rsidRPr="004B6293" w:rsidRDefault="004B6293">
      <w:pPr>
        <w:rPr>
          <w:b/>
          <w:bCs/>
        </w:rPr>
      </w:pPr>
      <w:r w:rsidRPr="004B6293">
        <w:rPr>
          <w:b/>
          <w:bCs/>
        </w:rPr>
        <w:lastRenderedPageBreak/>
        <w:t>Abstract 5</w:t>
      </w:r>
    </w:p>
    <w:p w14:paraId="02341EAB" w14:textId="77777777" w:rsidR="004B6293" w:rsidRDefault="004B6293"/>
    <w:p w14:paraId="7E9FBC79" w14:textId="77777777" w:rsidR="00E5626B" w:rsidRPr="00E5626B" w:rsidRDefault="00E5626B" w:rsidP="00E5626B">
      <w:pPr>
        <w:rPr>
          <w:i/>
          <w:iCs/>
        </w:rPr>
      </w:pPr>
      <w:r w:rsidRPr="00E5626B">
        <w:rPr>
          <w:i/>
          <w:iCs/>
        </w:rPr>
        <w:t>Subjective meanings, social-historical context, and the researcher as a human instrument.</w:t>
      </w:r>
    </w:p>
    <w:p w14:paraId="407348BF" w14:textId="643A4F66" w:rsidR="00B44314" w:rsidRDefault="004B6293">
      <w:r w:rsidRPr="004B6293">
        <w:br/>
      </w:r>
      <w:r w:rsidR="00970AA1" w:rsidRPr="00970AA1">
        <w:t>As remote sociali</w:t>
      </w:r>
      <w:r w:rsidR="00E5626B">
        <w:t>s</w:t>
      </w:r>
      <w:r w:rsidR="00970AA1" w:rsidRPr="00970AA1">
        <w:t xml:space="preserve">ation shifts into high-fidelity 3D environments, this study seeks to uncover the nuanced ways individuals experience "presence" and "togetherness." Rather than measuring the frequency of interactions or the technical specs of the software, this research focuses on the deep, personal significances participants assign to their virtual avatars and digital shared spaces. Through an immersive six-month ethnographic study and a series of conversational, open-ended interviews, the researcher functioned as a participant-observer to grasp the unique "life-worlds" of 15 long-term users. The analysis illuminates how participants' real-world cultural backgrounds and past social histories </w:t>
      </w:r>
      <w:r w:rsidR="00E5626B" w:rsidRPr="00970AA1">
        <w:t>colour</w:t>
      </w:r>
      <w:r w:rsidR="00970AA1" w:rsidRPr="00970AA1">
        <w:t xml:space="preserve"> their perception of virtual intimacy. The findings reveal a complex tapestry of multiple, co-existing realities, suggesting that "belonging" is not a universal metric but a deeply individual, subjective interpretation of symbolic cues. The study emphasizes that to understand digital society, one must step into the shoes of the participants to see the world through their specific, context-bound lenses.</w:t>
      </w:r>
    </w:p>
    <w:sectPr w:rsidR="00B443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C100A" w14:textId="77777777" w:rsidR="005E6F6E" w:rsidRDefault="005E6F6E" w:rsidP="00F51361">
      <w:pPr>
        <w:spacing w:after="0" w:line="240" w:lineRule="auto"/>
      </w:pPr>
      <w:r>
        <w:separator/>
      </w:r>
    </w:p>
  </w:endnote>
  <w:endnote w:type="continuationSeparator" w:id="0">
    <w:p w14:paraId="4AD7FDE0" w14:textId="77777777" w:rsidR="005E6F6E" w:rsidRDefault="005E6F6E" w:rsidP="00F51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95DD2" w14:textId="77777777" w:rsidR="005E6F6E" w:rsidRDefault="005E6F6E" w:rsidP="00F51361">
      <w:pPr>
        <w:spacing w:after="0" w:line="240" w:lineRule="auto"/>
      </w:pPr>
      <w:r>
        <w:separator/>
      </w:r>
    </w:p>
  </w:footnote>
  <w:footnote w:type="continuationSeparator" w:id="0">
    <w:p w14:paraId="55F3386C" w14:textId="77777777" w:rsidR="005E6F6E" w:rsidRDefault="005E6F6E" w:rsidP="00F513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9F"/>
    <w:rsid w:val="001D2A31"/>
    <w:rsid w:val="001E1753"/>
    <w:rsid w:val="001E635A"/>
    <w:rsid w:val="001F253F"/>
    <w:rsid w:val="004B6293"/>
    <w:rsid w:val="004C0955"/>
    <w:rsid w:val="004E639F"/>
    <w:rsid w:val="00533AE3"/>
    <w:rsid w:val="005E03CC"/>
    <w:rsid w:val="005E6F6E"/>
    <w:rsid w:val="005F1042"/>
    <w:rsid w:val="00624818"/>
    <w:rsid w:val="007938CC"/>
    <w:rsid w:val="008146E5"/>
    <w:rsid w:val="00835BAE"/>
    <w:rsid w:val="00904DCE"/>
    <w:rsid w:val="00970AA1"/>
    <w:rsid w:val="009D5B0C"/>
    <w:rsid w:val="00B213DE"/>
    <w:rsid w:val="00B44314"/>
    <w:rsid w:val="00B916A8"/>
    <w:rsid w:val="00BE675B"/>
    <w:rsid w:val="00C12023"/>
    <w:rsid w:val="00C56A6C"/>
    <w:rsid w:val="00C7626E"/>
    <w:rsid w:val="00C94207"/>
    <w:rsid w:val="00D8637D"/>
    <w:rsid w:val="00E5626B"/>
    <w:rsid w:val="00EC06E5"/>
    <w:rsid w:val="00F513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F6"/>
  <w15:chartTrackingRefBased/>
  <w15:docId w15:val="{D19B0A3D-6EE3-4380-A5E2-011A376E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3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63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3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3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3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3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3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3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3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3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63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3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3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3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3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3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3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39F"/>
    <w:rPr>
      <w:rFonts w:eastAsiaTheme="majorEastAsia" w:cstheme="majorBidi"/>
      <w:color w:val="272727" w:themeColor="text1" w:themeTint="D8"/>
    </w:rPr>
  </w:style>
  <w:style w:type="paragraph" w:styleId="Title">
    <w:name w:val="Title"/>
    <w:basedOn w:val="Normal"/>
    <w:next w:val="Normal"/>
    <w:link w:val="TitleChar"/>
    <w:uiPriority w:val="10"/>
    <w:qFormat/>
    <w:rsid w:val="004E63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3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3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3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39F"/>
    <w:pPr>
      <w:spacing w:before="160"/>
      <w:jc w:val="center"/>
    </w:pPr>
    <w:rPr>
      <w:i/>
      <w:iCs/>
      <w:color w:val="404040" w:themeColor="text1" w:themeTint="BF"/>
    </w:rPr>
  </w:style>
  <w:style w:type="character" w:customStyle="1" w:styleId="QuoteChar">
    <w:name w:val="Quote Char"/>
    <w:basedOn w:val="DefaultParagraphFont"/>
    <w:link w:val="Quote"/>
    <w:uiPriority w:val="29"/>
    <w:rsid w:val="004E639F"/>
    <w:rPr>
      <w:i/>
      <w:iCs/>
      <w:color w:val="404040" w:themeColor="text1" w:themeTint="BF"/>
    </w:rPr>
  </w:style>
  <w:style w:type="paragraph" w:styleId="ListParagraph">
    <w:name w:val="List Paragraph"/>
    <w:basedOn w:val="Normal"/>
    <w:uiPriority w:val="34"/>
    <w:qFormat/>
    <w:rsid w:val="004E639F"/>
    <w:pPr>
      <w:ind w:left="720"/>
      <w:contextualSpacing/>
    </w:pPr>
  </w:style>
  <w:style w:type="character" w:styleId="IntenseEmphasis">
    <w:name w:val="Intense Emphasis"/>
    <w:basedOn w:val="DefaultParagraphFont"/>
    <w:uiPriority w:val="21"/>
    <w:qFormat/>
    <w:rsid w:val="004E639F"/>
    <w:rPr>
      <w:i/>
      <w:iCs/>
      <w:color w:val="0F4761" w:themeColor="accent1" w:themeShade="BF"/>
    </w:rPr>
  </w:style>
  <w:style w:type="paragraph" w:styleId="IntenseQuote">
    <w:name w:val="Intense Quote"/>
    <w:basedOn w:val="Normal"/>
    <w:next w:val="Normal"/>
    <w:link w:val="IntenseQuoteChar"/>
    <w:uiPriority w:val="30"/>
    <w:qFormat/>
    <w:rsid w:val="004E63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39F"/>
    <w:rPr>
      <w:i/>
      <w:iCs/>
      <w:color w:val="0F4761" w:themeColor="accent1" w:themeShade="BF"/>
    </w:rPr>
  </w:style>
  <w:style w:type="character" w:styleId="IntenseReference">
    <w:name w:val="Intense Reference"/>
    <w:basedOn w:val="DefaultParagraphFont"/>
    <w:uiPriority w:val="32"/>
    <w:qFormat/>
    <w:rsid w:val="004E639F"/>
    <w:rPr>
      <w:b/>
      <w:bCs/>
      <w:smallCaps/>
      <w:color w:val="0F4761" w:themeColor="accent1" w:themeShade="BF"/>
      <w:spacing w:val="5"/>
    </w:rPr>
  </w:style>
  <w:style w:type="paragraph" w:styleId="Header">
    <w:name w:val="header"/>
    <w:basedOn w:val="Normal"/>
    <w:link w:val="HeaderChar"/>
    <w:uiPriority w:val="99"/>
    <w:unhideWhenUsed/>
    <w:rsid w:val="00F51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361"/>
  </w:style>
  <w:style w:type="paragraph" w:styleId="Footer">
    <w:name w:val="footer"/>
    <w:basedOn w:val="Normal"/>
    <w:link w:val="FooterChar"/>
    <w:uiPriority w:val="99"/>
    <w:unhideWhenUsed/>
    <w:rsid w:val="00F51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361"/>
  </w:style>
  <w:style w:type="paragraph" w:styleId="Bibliography">
    <w:name w:val="Bibliography"/>
    <w:basedOn w:val="Normal"/>
    <w:next w:val="Normal"/>
    <w:uiPriority w:val="37"/>
    <w:unhideWhenUsed/>
    <w:rsid w:val="005E0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166616">
      <w:bodyDiv w:val="1"/>
      <w:marLeft w:val="0"/>
      <w:marRight w:val="0"/>
      <w:marTop w:val="0"/>
      <w:marBottom w:val="0"/>
      <w:divBdr>
        <w:top w:val="none" w:sz="0" w:space="0" w:color="auto"/>
        <w:left w:val="none" w:sz="0" w:space="0" w:color="auto"/>
        <w:bottom w:val="none" w:sz="0" w:space="0" w:color="auto"/>
        <w:right w:val="none" w:sz="0" w:space="0" w:color="auto"/>
      </w:divBdr>
    </w:div>
    <w:div w:id="1469397088">
      <w:bodyDiv w:val="1"/>
      <w:marLeft w:val="0"/>
      <w:marRight w:val="0"/>
      <w:marTop w:val="0"/>
      <w:marBottom w:val="0"/>
      <w:divBdr>
        <w:top w:val="none" w:sz="0" w:space="0" w:color="auto"/>
        <w:left w:val="none" w:sz="0" w:space="0" w:color="auto"/>
        <w:bottom w:val="none" w:sz="0" w:space="0" w:color="auto"/>
        <w:right w:val="none" w:sz="0" w:space="0" w:color="auto"/>
      </w:divBdr>
    </w:div>
    <w:div w:id="196256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JSt25</b:Tag>
    <b:SourceType>InternetSite</b:SourceType>
    <b:Guid>{DDEFF705-F7E9-4EA3-B26D-B5287C77556C}</b:Guid>
    <b:Title>UWTSD Referencing Guide</b:Title>
    <b:Year>2025</b:Year>
    <b:Author>
      <b:Author>
        <b:NameList>
          <b:Person>
            <b:Last>Steen</b:Last>
            <b:First>J.</b:First>
          </b:Person>
        </b:NameList>
      </b:Author>
    </b:Author>
    <b:ProductionCompany>UWTSD</b:ProductionCompany>
    <b:Month>08</b:Month>
    <b:Day>12</b:Day>
    <b:YearAccessed>2026</b:YearAccessed>
    <b:MonthAccessed>01</b:MonthAccessed>
    <b:DayAccessed>26</b:DayAccessed>
    <b:URL>https://www.uwtsd.ac.uk/</b:URL>
    <b:RefOrder>1</b:RefOrder>
  </b:Source>
</b:Sources>
</file>

<file path=customXml/itemProps1.xml><?xml version="1.0" encoding="utf-8"?>
<ds:datastoreItem xmlns:ds="http://schemas.openxmlformats.org/officeDocument/2006/customXml" ds:itemID="{E5510DD6-FEBB-460F-95ED-B2765621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695</Words>
  <Characters>4476</Characters>
  <Application>Microsoft Office Word</Application>
  <DocSecurity>0</DocSecurity>
  <Lines>87</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Steen</dc:creator>
  <cp:keywords/>
  <dc:description/>
  <cp:lastModifiedBy>Jenni Steen</cp:lastModifiedBy>
  <cp:revision>19</cp:revision>
  <dcterms:created xsi:type="dcterms:W3CDTF">2026-01-25T19:53:00Z</dcterms:created>
  <dcterms:modified xsi:type="dcterms:W3CDTF">2026-01-27T11:23:00Z</dcterms:modified>
</cp:coreProperties>
</file>