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right"/>
        <w:rPr>
          <w:rFonts w:ascii="宋体" w:hAnsi="Times New Roman" w:eastAsia="宋体" w:cs="宋体"/>
          <w:b/>
          <w:kern w:val="0"/>
          <w:sz w:val="44"/>
          <w:szCs w:val="44"/>
        </w:rPr>
      </w:pPr>
      <w:bookmarkStart w:id="0" w:name="OLE_LINK342"/>
      <w:bookmarkStart w:id="1" w:name="OLE_LINK308"/>
    </w:p>
    <w:p>
      <w:pPr>
        <w:spacing w:line="480" w:lineRule="auto"/>
        <w:jc w:val="right"/>
        <w:rPr>
          <w:b/>
          <w:sz w:val="44"/>
          <w:szCs w:val="44"/>
        </w:rPr>
      </w:pPr>
      <w:r>
        <w:rPr>
          <w:b/>
          <w:sz w:val="44"/>
          <w:szCs w:val="44"/>
        </w:rPr>
        <w:t xml:space="preserve"> </w:t>
      </w:r>
    </w:p>
    <w:p>
      <w:pPr>
        <w:spacing w:line="360" w:lineRule="auto"/>
        <w:jc w:val="right"/>
        <w:rPr>
          <w:b/>
          <w:sz w:val="44"/>
          <w:szCs w:val="44"/>
        </w:rPr>
      </w:pPr>
      <w:r>
        <w:rPr>
          <w:b/>
          <w:sz w:val="44"/>
          <w:szCs w:val="44"/>
        </w:rPr>
        <w:t xml:space="preserve"> </w:t>
      </w:r>
    </w:p>
    <w:p>
      <w:pPr>
        <w:pStyle w:val="21"/>
        <w:widowControl/>
        <w:jc w:val="center"/>
        <w:rPr>
          <w:rFonts w:ascii="Times New Roman" w:hAnsi="Times New Roman"/>
          <w:b/>
          <w:bCs/>
          <w:color w:val="000000"/>
          <w:spacing w:val="-1"/>
          <w:lang w:bidi="ar"/>
        </w:rPr>
      </w:pPr>
      <w:bookmarkStart w:id="2" w:name="OLE_LINK431"/>
      <w:bookmarkStart w:id="3" w:name="OLE_LINK430"/>
      <w:r>
        <w:rPr>
          <w:rFonts w:asciiTheme="minorHAnsi" w:hAnsiTheme="minorHAnsi"/>
          <w:i/>
          <w:sz w:val="56"/>
          <w:szCs w:val="56"/>
          <w:lang w:bidi="ar"/>
        </w:rPr>
        <w:t>Exploring the Understanding and Attitudes of Chinese Students majoring in Education, towards English and English Teaching</w:t>
      </w:r>
    </w:p>
    <w:bookmarkEnd w:id="2"/>
    <w:bookmarkEnd w:id="3"/>
    <w:p>
      <w:pPr>
        <w:jc w:val="right"/>
        <w:rPr>
          <w:b/>
          <w:sz w:val="56"/>
          <w:szCs w:val="56"/>
        </w:rPr>
      </w:pPr>
    </w:p>
    <w:p>
      <w:pPr>
        <w:spacing w:line="480" w:lineRule="auto"/>
        <w:jc w:val="right"/>
        <w:rPr>
          <w:i/>
        </w:rPr>
      </w:pPr>
    </w:p>
    <w:p>
      <w:pPr>
        <w:spacing w:line="480" w:lineRule="auto"/>
        <w:jc w:val="right"/>
        <w:rPr>
          <w:i/>
        </w:rPr>
      </w:pPr>
    </w:p>
    <w:p>
      <w:pPr>
        <w:spacing w:line="480" w:lineRule="auto"/>
        <w:jc w:val="right"/>
        <w:rPr>
          <w:i/>
        </w:rPr>
      </w:pPr>
    </w:p>
    <w:p>
      <w:pPr>
        <w:spacing w:line="480" w:lineRule="auto"/>
        <w:jc w:val="right"/>
        <w:rPr>
          <w:i/>
        </w:rPr>
      </w:pPr>
      <w:r>
        <w:rPr>
          <w:i/>
        </w:rPr>
        <w:t xml:space="preserve"> </w:t>
      </w:r>
    </w:p>
    <w:p>
      <w:pPr>
        <w:wordWrap w:val="0"/>
        <w:spacing w:line="480" w:lineRule="auto"/>
        <w:ind w:right="105"/>
        <w:jc w:val="right"/>
        <w:rPr>
          <w:i/>
        </w:rPr>
      </w:pPr>
      <w:r>
        <w:rPr>
          <w:i/>
        </w:rPr>
        <w:t xml:space="preserve">  </w:t>
      </w:r>
    </w:p>
    <w:p>
      <w:pPr>
        <w:wordWrap w:val="0"/>
        <w:spacing w:line="480" w:lineRule="auto"/>
        <w:jc w:val="right"/>
        <w:rPr>
          <w:i/>
          <w:sz w:val="52"/>
          <w:szCs w:val="52"/>
        </w:rPr>
      </w:pPr>
      <w:r>
        <w:rPr>
          <w:i/>
          <w:sz w:val="52"/>
          <w:szCs w:val="52"/>
        </w:rPr>
        <w:t>X</w:t>
      </w:r>
      <w:r>
        <w:rPr>
          <w:rFonts w:hint="eastAsia"/>
          <w:i/>
          <w:sz w:val="52"/>
          <w:szCs w:val="52"/>
        </w:rPr>
        <w:t>uanxuan</w:t>
      </w:r>
      <w:r>
        <w:rPr>
          <w:i/>
          <w:sz w:val="52"/>
          <w:szCs w:val="52"/>
        </w:rPr>
        <w:t xml:space="preserve"> T</w:t>
      </w:r>
      <w:r>
        <w:rPr>
          <w:rFonts w:hint="eastAsia"/>
          <w:i/>
          <w:sz w:val="52"/>
          <w:szCs w:val="52"/>
        </w:rPr>
        <w:t>ang</w:t>
      </w:r>
    </w:p>
    <w:p>
      <w:pPr>
        <w:spacing w:line="480" w:lineRule="auto"/>
        <w:ind w:right="240"/>
        <w:jc w:val="right"/>
        <w:rPr>
          <w:i/>
          <w:sz w:val="24"/>
        </w:rPr>
      </w:pPr>
    </w:p>
    <w:p>
      <w:pPr>
        <w:spacing w:line="480" w:lineRule="auto"/>
        <w:jc w:val="right"/>
        <w:rPr>
          <w:b/>
          <w:i/>
          <w:sz w:val="48"/>
          <w:szCs w:val="48"/>
        </w:rPr>
      </w:pPr>
      <w:r>
        <w:rPr>
          <w:b/>
          <w:i/>
          <w:sz w:val="48"/>
          <w:szCs w:val="48"/>
        </w:rPr>
        <w:t>ECEG7002Q</w:t>
      </w:r>
    </w:p>
    <w:p>
      <w:pPr>
        <w:spacing w:line="360" w:lineRule="auto"/>
        <w:jc w:val="right"/>
        <w:rPr>
          <w:i/>
          <w:sz w:val="24"/>
        </w:rPr>
      </w:pPr>
      <w:r>
        <w:rPr>
          <w:i/>
        </w:rPr>
        <w:t xml:space="preserve"> </w:t>
      </w:r>
    </w:p>
    <w:p>
      <w:pPr>
        <w:spacing w:line="360" w:lineRule="auto"/>
        <w:jc w:val="right"/>
        <w:rPr>
          <w:i/>
          <w:sz w:val="40"/>
          <w:szCs w:val="40"/>
        </w:rPr>
      </w:pPr>
      <w:r>
        <w:rPr>
          <w:i/>
          <w:sz w:val="40"/>
          <w:szCs w:val="40"/>
        </w:rPr>
        <w:t>14th F</w:t>
      </w:r>
      <w:r>
        <w:rPr>
          <w:rFonts w:hint="eastAsia"/>
          <w:i/>
          <w:sz w:val="40"/>
          <w:szCs w:val="40"/>
        </w:rPr>
        <w:t>ebruary</w:t>
      </w:r>
      <w:r>
        <w:rPr>
          <w:i/>
          <w:sz w:val="40"/>
          <w:szCs w:val="40"/>
        </w:rPr>
        <w:t xml:space="preserve"> 2024</w:t>
      </w:r>
    </w:p>
    <w:p>
      <w:pPr>
        <w:spacing w:line="360" w:lineRule="auto"/>
        <w:jc w:val="right"/>
        <w:rPr>
          <w:i/>
          <w:sz w:val="40"/>
          <w:szCs w:val="40"/>
        </w:rPr>
      </w:pPr>
      <w:r>
        <w:rPr>
          <w:i/>
          <w:sz w:val="40"/>
          <w:szCs w:val="40"/>
        </w:rPr>
        <w:t xml:space="preserve">Yr Athrofa: Education and Humanities </w:t>
      </w:r>
    </w:p>
    <w:bookmarkEnd w:id="0"/>
    <w:bookmarkEnd w:id="1"/>
    <w:p>
      <w:pPr>
        <w:rPr>
          <w:b/>
        </w:rPr>
        <w:sectPr>
          <w:pgSz w:w="11906" w:h="16838"/>
          <w:pgMar w:top="1440" w:right="1134" w:bottom="1440" w:left="1701" w:header="709" w:footer="709" w:gutter="0"/>
          <w:cols w:space="720" w:num="1"/>
          <w:docGrid w:type="lines" w:linePitch="360" w:charSpace="0"/>
        </w:sectPr>
      </w:pPr>
    </w:p>
    <w:p>
      <w:pPr>
        <w:pStyle w:val="38"/>
        <w:rPr>
          <w:sz w:val="24"/>
          <w:szCs w:val="24"/>
        </w:rPr>
      </w:pPr>
      <w:bookmarkStart w:id="4" w:name="_Toc158753946"/>
      <w:bookmarkStart w:id="5" w:name="OLE_LINK343"/>
      <w:bookmarkStart w:id="6" w:name="OLE_LINK344"/>
      <w:r>
        <w:t>DECLARATION FORM</w:t>
      </w:r>
      <w:bookmarkEnd w:id="4"/>
    </w:p>
    <w:p>
      <w:pPr>
        <w:rPr>
          <w:rFonts w:ascii="宋体" w:hAnsi="Times New Roman" w:eastAsia="宋体" w:cs="宋体"/>
          <w:kern w:val="0"/>
          <w:sz w:val="24"/>
        </w:rPr>
      </w:pPr>
      <w:r>
        <w:fldChar w:fldCharType="begin"/>
      </w:r>
      <w:r>
        <w:instrText xml:space="preserve"> INCLUDEPICTURE "C:\\private\\var\\folders\\n7\\q0r7bvk52zx7kty_xc6scpsc0000gn\\T\\com.kingsoft.wpsoffice.mac\\wps-choumeng\\ksohtml\\wps1.jpg" \* MERGEFORMAT </w:instrText>
      </w:r>
      <w:r>
        <w:fldChar w:fldCharType="end"/>
      </w:r>
      <w:r>
        <w:t xml:space="preserve"> </w:t>
      </w:r>
      <w:r>
        <w:fldChar w:fldCharType="begin"/>
      </w:r>
      <w:r>
        <w:instrText xml:space="preserve"> INCLUDEPICTURE "C:\\private\\var\\folders\\n7\\q0r7bvk52zx7kty_xc6scpsc0000gn\\T\\com.kingsoft.wpsoffice.mac\\wps-choumeng\\ksohtml\\wps2.jpg" \* MERGEFORMAT </w:instrText>
      </w:r>
      <w:r>
        <w:fldChar w:fldCharType="separate"/>
      </w:r>
      <w:r>
        <w:drawing>
          <wp:inline distT="0" distB="0" distL="0" distR="0">
            <wp:extent cx="2373630" cy="976630"/>
            <wp:effectExtent l="0" t="0" r="1270" b="1270"/>
            <wp:docPr id="3" name="图片 3" descr="/private/var/folders/n7/q0r7bvk52zx7kty_xc6scpsc0000gn/T/com.kingsoft.wpsoffice.mac/wps-choumeng/ksohtml/wp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rivate/var/folders/n7/q0r7bvk52zx7kty_xc6scpsc0000gn/T/com.kingsoft.wpsoffice.mac/wps-choumeng/ksohtml/wps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397996" cy="986720"/>
                    </a:xfrm>
                    <a:prstGeom prst="rect">
                      <a:avLst/>
                    </a:prstGeom>
                    <a:noFill/>
                    <a:ln>
                      <a:noFill/>
                    </a:ln>
                  </pic:spPr>
                </pic:pic>
              </a:graphicData>
            </a:graphic>
          </wp:inline>
        </w:drawing>
      </w:r>
      <w:r>
        <w:fldChar w:fldCharType="end"/>
      </w:r>
    </w:p>
    <w:p>
      <w:pPr>
        <w:rPr>
          <w:sz w:val="24"/>
        </w:rPr>
      </w:pPr>
    </w:p>
    <w:p>
      <w:pPr>
        <w:rPr>
          <w:b/>
          <w:bCs/>
        </w:rPr>
      </w:pPr>
      <w:r>
        <w:rPr>
          <w:b/>
          <w:bCs/>
        </w:rPr>
        <w:t xml:space="preserve"> </w:t>
      </w:r>
    </w:p>
    <w:p>
      <w:pPr>
        <w:rPr>
          <w:b/>
          <w:bCs/>
        </w:rPr>
      </w:pPr>
      <w:r>
        <w:rPr>
          <w:b/>
          <w:bCs/>
        </w:rPr>
        <w:t>Name of the Programme of Study:</w:t>
      </w:r>
    </w:p>
    <w:p>
      <w:pPr>
        <w:rPr>
          <w:b/>
          <w:bCs/>
        </w:rPr>
      </w:pPr>
      <w:r>
        <w:rPr>
          <w:b/>
          <w:bCs/>
        </w:rPr>
        <w:t xml:space="preserve"> </w:t>
      </w:r>
    </w:p>
    <w:p>
      <w:pPr>
        <w:rPr>
          <w:b/>
          <w:bCs/>
        </w:rPr>
      </w:pPr>
      <w:r>
        <w:rPr>
          <w:b/>
          <w:bCs/>
        </w:rPr>
        <w:t>Name of Student (Capital Letters):</w:t>
      </w:r>
    </w:p>
    <w:p>
      <w:pPr>
        <w:rPr>
          <w:b/>
          <w:bCs/>
        </w:rPr>
      </w:pPr>
      <w:r>
        <w:rPr>
          <w:b/>
          <w:bCs/>
        </w:rPr>
        <w:t xml:space="preserve"> </w:t>
      </w:r>
    </w:p>
    <w:p>
      <w:pPr>
        <w:rPr>
          <w:b/>
          <w:bCs/>
        </w:rPr>
      </w:pPr>
      <w:r>
        <w:rPr>
          <w:b/>
          <w:bCs/>
        </w:rPr>
        <w:t xml:space="preserve"> </w:t>
      </w:r>
    </w:p>
    <w:p>
      <w:pPr>
        <w:rPr>
          <w:b/>
          <w:bCs/>
        </w:rPr>
      </w:pPr>
      <w:r>
        <w:rPr>
          <w:b/>
          <w:bCs/>
        </w:rPr>
        <w:t xml:space="preserve"> </w:t>
      </w:r>
    </w:p>
    <w:p>
      <w:pPr>
        <w:rPr>
          <w:b/>
          <w:bCs/>
        </w:rPr>
      </w:pPr>
      <w:r>
        <w:rPr>
          <w:b/>
          <w:bCs/>
        </w:rPr>
        <w:t>DECLARATION</w:t>
      </w:r>
    </w:p>
    <w:p>
      <w:pPr>
        <w:rPr>
          <w:b/>
          <w:bCs/>
        </w:rPr>
      </w:pPr>
      <w:r>
        <w:rPr>
          <w:b/>
          <w:bCs/>
        </w:rPr>
        <w:t xml:space="preserve"> </w:t>
      </w:r>
    </w:p>
    <w:p>
      <w:pPr>
        <w:rPr>
          <w:b/>
          <w:bCs/>
        </w:rPr>
      </w:pPr>
      <w:r>
        <w:rPr>
          <w:b/>
          <w:bCs/>
        </w:rPr>
        <w:t>I certify that the whole of this work is the result of my individual effort, and that all sources have been acknowledged.</w:t>
      </w:r>
    </w:p>
    <w:p>
      <w:pPr>
        <w:rPr>
          <w:b/>
          <w:bCs/>
        </w:rPr>
      </w:pPr>
      <w:r>
        <w:rPr>
          <w:b/>
          <w:bCs/>
        </w:rPr>
        <w:t xml:space="preserve"> </w:t>
      </w:r>
    </w:p>
    <w:p>
      <w:pPr>
        <w:rPr>
          <w:b/>
          <w:bCs/>
        </w:rPr>
      </w:pPr>
      <w:r>
        <w:rPr>
          <w:b/>
          <w:bCs/>
        </w:rPr>
        <w:t>Signed ..................Xuanxuan Tang............................................ (Student)</w:t>
      </w:r>
    </w:p>
    <w:p>
      <w:pPr>
        <w:rPr>
          <w:b/>
          <w:bCs/>
        </w:rPr>
      </w:pPr>
      <w:r>
        <w:rPr>
          <w:b/>
          <w:bCs/>
        </w:rPr>
        <w:t xml:space="preserve"> </w:t>
      </w:r>
    </w:p>
    <w:p>
      <w:pPr>
        <w:rPr>
          <w:b/>
          <w:bCs/>
        </w:rPr>
      </w:pPr>
      <w:r>
        <w:rPr>
          <w:b/>
          <w:bCs/>
        </w:rPr>
        <w:t>Date     ..............</w:t>
      </w:r>
      <w:r>
        <w:rPr>
          <w:rFonts w:hint="eastAsia"/>
          <w:b/>
          <w:bCs/>
        </w:rPr>
        <w:t>13th February 2024</w:t>
      </w:r>
      <w:r>
        <w:rPr>
          <w:b/>
          <w:bCs/>
        </w:rPr>
        <w:t>.................................................</w:t>
      </w:r>
    </w:p>
    <w:p>
      <w:pPr>
        <w:rPr>
          <w:b/>
          <w:bCs/>
        </w:rPr>
      </w:pPr>
      <w:r>
        <w:rPr>
          <w:b/>
          <w:bCs/>
        </w:rPr>
        <w:t xml:space="preserve"> </w:t>
      </w:r>
    </w:p>
    <w:p>
      <w:pPr>
        <w:rPr>
          <w:b/>
          <w:bCs/>
        </w:rPr>
      </w:pPr>
      <w:r>
        <w:rPr>
          <w:b/>
          <w:bCs/>
        </w:rPr>
        <w:t xml:space="preserve"> </w:t>
      </w:r>
    </w:p>
    <w:p>
      <w:pPr>
        <w:rPr>
          <w:b/>
          <w:bCs/>
        </w:rPr>
      </w:pPr>
      <w:r>
        <w:rPr>
          <w:b/>
          <w:bCs/>
        </w:rPr>
        <w:t xml:space="preserve"> </w:t>
      </w:r>
    </w:p>
    <w:p>
      <w:pPr>
        <w:rPr>
          <w:b/>
          <w:bCs/>
        </w:rPr>
      </w:pPr>
      <w:r>
        <w:rPr>
          <w:b/>
          <w:bCs/>
        </w:rPr>
        <w:t xml:space="preserve"> </w:t>
      </w:r>
    </w:p>
    <w:p>
      <w:pPr>
        <w:rPr>
          <w:b/>
          <w:bCs/>
        </w:rPr>
      </w:pPr>
      <w:r>
        <w:rPr>
          <w:b/>
          <w:bCs/>
        </w:rPr>
        <w:t>DECLARATION</w:t>
      </w:r>
    </w:p>
    <w:p>
      <w:pPr>
        <w:rPr>
          <w:b/>
          <w:bCs/>
        </w:rPr>
      </w:pPr>
      <w:r>
        <w:rPr>
          <w:b/>
          <w:bCs/>
        </w:rPr>
        <w:t xml:space="preserve"> </w:t>
      </w:r>
    </w:p>
    <w:p>
      <w:pPr>
        <w:rPr>
          <w:b/>
          <w:bCs/>
        </w:rPr>
      </w:pPr>
      <w:r>
        <w:rPr>
          <w:b/>
          <w:bCs/>
        </w:rPr>
        <w:t>I am satisfied that this work is the result of the Student’s effort.</w:t>
      </w:r>
    </w:p>
    <w:p>
      <w:pPr>
        <w:rPr>
          <w:b/>
          <w:bCs/>
        </w:rPr>
      </w:pPr>
      <w:r>
        <w:rPr>
          <w:b/>
          <w:bCs/>
        </w:rPr>
        <w:t xml:space="preserve"> </w:t>
      </w:r>
    </w:p>
    <w:p>
      <w:pPr>
        <w:rPr>
          <w:b/>
          <w:bCs/>
        </w:rPr>
      </w:pPr>
      <w:r>
        <w:rPr>
          <w:b/>
          <w:bCs/>
        </w:rPr>
        <w:t>Signed:  Lynda T. Maddock (Lecturer)</w:t>
      </w:r>
    </w:p>
    <w:p>
      <w:pPr>
        <w:rPr>
          <w:b/>
          <w:bCs/>
        </w:rPr>
      </w:pPr>
      <w:r>
        <w:rPr>
          <w:b/>
          <w:bCs/>
        </w:rPr>
        <w:t xml:space="preserve"> </w:t>
      </w:r>
    </w:p>
    <w:p>
      <w:pPr>
        <w:rPr>
          <w:b/>
          <w:bCs/>
        </w:rPr>
      </w:pPr>
      <w:r>
        <w:rPr>
          <w:b/>
          <w:bCs/>
        </w:rPr>
        <w:t>Date:  13/02/2024</w:t>
      </w:r>
    </w:p>
    <w:p>
      <w:pPr>
        <w:rPr>
          <w:b/>
          <w:bCs/>
        </w:rPr>
      </w:pPr>
      <w:r>
        <w:rPr>
          <w:b/>
          <w:bCs/>
        </w:rPr>
        <w:t xml:space="preserve"> </w:t>
      </w: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p>
      <w:pPr>
        <w:pStyle w:val="21"/>
        <w:widowControl/>
        <w:jc w:val="center"/>
        <w:rPr>
          <w:rFonts w:ascii="Times New Roman" w:hAnsi="Times New Roman"/>
          <w:lang w:bidi="ar"/>
        </w:rPr>
      </w:pPr>
    </w:p>
    <w:bookmarkEnd w:id="5"/>
    <w:bookmarkEnd w:id="6"/>
    <w:sdt>
      <w:sdtPr>
        <w:rPr>
          <w:rFonts w:ascii="Times New Roman" w:hAnsi="Times New Roman" w:eastAsia="宋体" w:cs="Times New Roman"/>
          <w:b/>
          <w:bCs/>
          <w:kern w:val="0"/>
          <w:sz w:val="24"/>
        </w:rPr>
        <w:id w:val="169990053"/>
        <w15:color w:val="DBDBDB"/>
        <w:docPartObj>
          <w:docPartGallery w:val="Table of Contents"/>
          <w:docPartUnique/>
        </w:docPartObj>
      </w:sdtPr>
      <w:sdtEndPr>
        <w:rPr>
          <w:rFonts w:ascii="Times New Roman" w:hAnsi="Times New Roman" w:eastAsia="Times New Roman" w:cs="Times New Roman"/>
          <w:b w:val="0"/>
          <w:bCs w:val="0"/>
          <w:kern w:val="0"/>
          <w:sz w:val="24"/>
          <w:lang w:bidi="ar"/>
        </w:rPr>
      </w:sdtEndPr>
      <w:sdtContent>
        <w:p>
          <w:pPr>
            <w:jc w:val="center"/>
            <w:rPr>
              <w:rFonts w:ascii="Times New Roman" w:hAnsi="Times New Roman" w:eastAsia="宋体" w:cs="Times New Roman"/>
              <w:b/>
              <w:bCs/>
              <w:sz w:val="24"/>
              <w:lang w:eastAsia="zh-Hans"/>
            </w:rPr>
          </w:pPr>
          <w:r>
            <w:rPr>
              <w:rFonts w:ascii="Times New Roman" w:hAnsi="Times New Roman" w:eastAsia="宋体" w:cs="Times New Roman"/>
              <w:b/>
              <w:bCs/>
              <w:sz w:val="24"/>
            </w:rPr>
            <w:t>T</w:t>
          </w:r>
          <w:r>
            <w:rPr>
              <w:rFonts w:ascii="Times New Roman" w:hAnsi="Times New Roman" w:eastAsia="宋体" w:cs="Times New Roman"/>
              <w:b/>
              <w:bCs/>
              <w:sz w:val="24"/>
              <w:lang w:eastAsia="zh-Hans"/>
            </w:rPr>
            <w:t>able of Contents</w:t>
          </w:r>
        </w:p>
        <w:p>
          <w:pPr>
            <w:pStyle w:val="15"/>
            <w:tabs>
              <w:tab w:val="right" w:leader="middleDot" w:pos="8296"/>
            </w:tabs>
            <w:rPr>
              <w:rFonts w:ascii="Times New Roman" w:hAnsi="Times New Roman" w:cs="Times New Roman"/>
              <w:b w:val="0"/>
              <w:bCs w:val="0"/>
              <w:i w:val="0"/>
              <w:iCs w:val="0"/>
            </w:rPr>
          </w:pPr>
          <w:r>
            <w:rPr>
              <w:rFonts w:ascii="Times New Roman" w:hAnsi="Times New Roman" w:cs="Times New Roman"/>
              <w:i w:val="0"/>
              <w:iCs w:val="0"/>
              <w:lang w:bidi="ar"/>
            </w:rPr>
            <w:fldChar w:fldCharType="begin"/>
          </w:r>
          <w:r>
            <w:rPr>
              <w:rFonts w:ascii="Times New Roman" w:hAnsi="Times New Roman" w:cs="Times New Roman"/>
              <w:i w:val="0"/>
              <w:iCs w:val="0"/>
              <w:lang w:bidi="ar"/>
            </w:rPr>
            <w:instrText xml:space="preserve">TOC \o "1-3" \h \u </w:instrText>
          </w:r>
          <w:r>
            <w:rPr>
              <w:rFonts w:ascii="Times New Roman" w:hAnsi="Times New Roman" w:cs="Times New Roman"/>
              <w:i w:val="0"/>
              <w:iCs w:val="0"/>
              <w:lang w:bidi="ar"/>
            </w:rPr>
            <w:fldChar w:fldCharType="separate"/>
          </w:r>
          <w:r>
            <w:fldChar w:fldCharType="begin"/>
          </w:r>
          <w:r>
            <w:instrText xml:space="preserve"> HYPERLINK \l "_Toc158753946" </w:instrText>
          </w:r>
          <w:r>
            <w:fldChar w:fldCharType="separate"/>
          </w:r>
          <w:r>
            <w:rPr>
              <w:rStyle w:val="30"/>
              <w:rFonts w:ascii="Times New Roman" w:hAnsi="Times New Roman" w:cs="Times New Roman"/>
              <w:i w:val="0"/>
            </w:rPr>
            <w:t>DECLARATION FORM</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_Toc158753946 \h </w:instrText>
          </w:r>
          <w:r>
            <w:rPr>
              <w:rFonts w:ascii="Times New Roman" w:hAnsi="Times New Roman" w:cs="Times New Roman"/>
              <w:i w:val="0"/>
            </w:rPr>
            <w:fldChar w:fldCharType="separate"/>
          </w:r>
          <w:r>
            <w:rPr>
              <w:rFonts w:ascii="Times New Roman" w:hAnsi="Times New Roman" w:cs="Times New Roman"/>
              <w:i w:val="0"/>
            </w:rPr>
            <w:t>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"_Toc158753947" </w:instrText>
          </w:r>
          <w:r>
            <w:fldChar w:fldCharType="separate"/>
          </w:r>
          <w:r>
            <w:rPr>
              <w:rStyle w:val="30"/>
              <w:rFonts w:ascii="Times New Roman" w:hAnsi="Times New Roman" w:cs="Times New Roman"/>
              <w:i w:val="0"/>
            </w:rPr>
            <w:t>Abstract</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_Toc158753947 \h </w:instrText>
          </w:r>
          <w:r>
            <w:rPr>
              <w:rFonts w:ascii="Times New Roman" w:hAnsi="Times New Roman" w:cs="Times New Roman"/>
              <w:i w:val="0"/>
            </w:rPr>
            <w:fldChar w:fldCharType="separate"/>
          </w:r>
          <w:r>
            <w:rPr>
              <w:rFonts w:ascii="Times New Roman" w:hAnsi="Times New Roman" w:cs="Times New Roman"/>
              <w:i w:val="0"/>
            </w:rPr>
            <w:t>5</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"_Toc158753948" </w:instrText>
          </w:r>
          <w:r>
            <w:fldChar w:fldCharType="separate"/>
          </w:r>
          <w:r>
            <w:rPr>
              <w:rStyle w:val="30"/>
              <w:rFonts w:ascii="Times New Roman" w:hAnsi="Times New Roman" w:cs="Times New Roman"/>
              <w:i w:val="0"/>
            </w:rPr>
            <w:t>Acronym</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_Toc158753948 \h </w:instrText>
          </w:r>
          <w:r>
            <w:rPr>
              <w:rFonts w:ascii="Times New Roman" w:hAnsi="Times New Roman" w:cs="Times New Roman"/>
              <w:i w:val="0"/>
            </w:rPr>
            <w:fldChar w:fldCharType="separate"/>
          </w:r>
          <w:r>
            <w:rPr>
              <w:rFonts w:ascii="Times New Roman" w:hAnsi="Times New Roman" w:cs="Times New Roman"/>
              <w:i w:val="0"/>
            </w:rPr>
            <w:t>6</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"_Toc158753949" </w:instrText>
          </w:r>
          <w:r>
            <w:fldChar w:fldCharType="separate"/>
          </w:r>
          <w:r>
            <w:rPr>
              <w:rStyle w:val="30"/>
              <w:rFonts w:ascii="Times New Roman" w:hAnsi="Times New Roman" w:cs="Times New Roman"/>
              <w:i w:val="0"/>
              <w:lang w:bidi="ar"/>
            </w:rPr>
            <w:t>Chapter One: Introduction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_Toc158753949 \h </w:instrText>
          </w:r>
          <w:r>
            <w:rPr>
              <w:rFonts w:ascii="Times New Roman" w:hAnsi="Times New Roman" w:cs="Times New Roman"/>
              <w:i w:val="0"/>
            </w:rPr>
            <w:fldChar w:fldCharType="separate"/>
          </w:r>
          <w:r>
            <w:rPr>
              <w:rFonts w:ascii="Times New Roman" w:hAnsi="Times New Roman" w:cs="Times New Roman"/>
              <w:i w:val="0"/>
            </w:rPr>
            <w:t>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"_Toc158753950" </w:instrText>
          </w:r>
          <w:r>
            <w:fldChar w:fldCharType="separate"/>
          </w:r>
          <w:r>
            <w:rPr>
              <w:rStyle w:val="30"/>
              <w:rFonts w:ascii="Times New Roman" w:hAnsi="Times New Roman" w:cs="Times New Roman"/>
              <w:i w:val="0"/>
            </w:rPr>
            <w:t>1.1 Research Background</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_Toc158753950 \h </w:instrText>
          </w:r>
          <w:r>
            <w:rPr>
              <w:rFonts w:ascii="Times New Roman" w:hAnsi="Times New Roman" w:cs="Times New Roman"/>
              <w:i w:val="0"/>
            </w:rPr>
            <w:fldChar w:fldCharType="separate"/>
          </w:r>
          <w:r>
            <w:rPr>
              <w:rFonts w:ascii="Times New Roman" w:hAnsi="Times New Roman" w:cs="Times New Roman"/>
              <w:i w:val="0"/>
            </w:rPr>
            <w:t>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"_Toc158753951" </w:instrText>
          </w:r>
          <w:r>
            <w:fldChar w:fldCharType="separate"/>
          </w:r>
          <w:r>
            <w:rPr>
              <w:rStyle w:val="30"/>
              <w:rFonts w:ascii="Times New Roman" w:hAnsi="Times New Roman" w:cs="Times New Roman"/>
              <w:i w:val="0"/>
            </w:rPr>
            <w:t>1.2 Rationale for the Study from Professional Perspectives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_Toc158753951 \h </w:instrText>
          </w:r>
          <w:r>
            <w:rPr>
              <w:rFonts w:ascii="Times New Roman" w:hAnsi="Times New Roman" w:cs="Times New Roman"/>
              <w:i w:val="0"/>
            </w:rPr>
            <w:fldChar w:fldCharType="separate"/>
          </w:r>
          <w:r>
            <w:rPr>
              <w:rFonts w:ascii="Times New Roman" w:hAnsi="Times New Roman" w:cs="Times New Roman"/>
              <w:i w:val="0"/>
            </w:rPr>
            <w:t>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"_Toc158753952" </w:instrText>
          </w:r>
          <w:r>
            <w:fldChar w:fldCharType="separate"/>
          </w:r>
          <w:r>
            <w:rPr>
              <w:rStyle w:val="30"/>
              <w:rFonts w:ascii="Times New Roman" w:hAnsi="Times New Roman" w:cs="Times New Roman"/>
              <w:i w:val="0"/>
            </w:rPr>
            <w:t>1.3 Rationale for the Study from Personal Perspectives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_Toc158753952 \h </w:instrText>
          </w:r>
          <w:r>
            <w:rPr>
              <w:rFonts w:ascii="Times New Roman" w:hAnsi="Times New Roman" w:cs="Times New Roman"/>
              <w:i w:val="0"/>
            </w:rPr>
            <w:fldChar w:fldCharType="separate"/>
          </w:r>
          <w:r>
            <w:rPr>
              <w:rFonts w:ascii="Times New Roman" w:hAnsi="Times New Roman" w:cs="Times New Roman"/>
              <w:i w:val="0"/>
            </w:rPr>
            <w:t>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"_Toc158753953" </w:instrText>
          </w:r>
          <w:r>
            <w:fldChar w:fldCharType="separate"/>
          </w:r>
          <w:r>
            <w:rPr>
              <w:rStyle w:val="30"/>
              <w:rFonts w:ascii="Times New Roman" w:hAnsi="Times New Roman" w:cs="Times New Roman"/>
              <w:i w:val="0"/>
            </w:rPr>
            <w:t>1.4 Research Goals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_Toc158753953 \h </w:instrText>
          </w:r>
          <w:r>
            <w:rPr>
              <w:rFonts w:ascii="Times New Roman" w:hAnsi="Times New Roman" w:cs="Times New Roman"/>
              <w:i w:val="0"/>
            </w:rPr>
            <w:fldChar w:fldCharType="separate"/>
          </w:r>
          <w:r>
            <w:rPr>
              <w:rFonts w:ascii="Times New Roman" w:hAnsi="Times New Roman" w:cs="Times New Roman"/>
              <w:i w:val="0"/>
            </w:rPr>
            <w:t>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"_Toc158753954" </w:instrText>
          </w:r>
          <w:r>
            <w:fldChar w:fldCharType="separate"/>
          </w:r>
          <w:r>
            <w:rPr>
              <w:rStyle w:val="30"/>
              <w:rFonts w:ascii="Times New Roman" w:hAnsi="Times New Roman" w:cs="Times New Roman"/>
              <w:i w:val="0"/>
              <w:lang w:bidi="ar"/>
            </w:rPr>
            <w:t>1.5 Research Significance</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_Toc158753954 \h </w:instrText>
          </w:r>
          <w:r>
            <w:rPr>
              <w:rFonts w:ascii="Times New Roman" w:hAnsi="Times New Roman" w:cs="Times New Roman"/>
              <w:i w:val="0"/>
            </w:rPr>
            <w:fldChar w:fldCharType="separate"/>
          </w:r>
          <w:r>
            <w:rPr>
              <w:rFonts w:ascii="Times New Roman" w:hAnsi="Times New Roman" w:cs="Times New Roman"/>
              <w:i w:val="0"/>
            </w:rPr>
            <w:t>9</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"_Toc158753955" </w:instrText>
          </w:r>
          <w:r>
            <w:fldChar w:fldCharType="separate"/>
          </w:r>
          <w:r>
            <w:rPr>
              <w:rStyle w:val="30"/>
              <w:rFonts w:ascii="Times New Roman" w:hAnsi="Times New Roman" w:cs="Times New Roman"/>
              <w:i w:val="0"/>
              <w:lang w:bidi="ar"/>
            </w:rPr>
            <w:t>1.6 Structure</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_Toc158753955 \h </w:instrText>
          </w:r>
          <w:r>
            <w:rPr>
              <w:rFonts w:ascii="Times New Roman" w:hAnsi="Times New Roman" w:cs="Times New Roman"/>
              <w:i w:val="0"/>
            </w:rPr>
            <w:fldChar w:fldCharType="separate"/>
          </w:r>
          <w:r>
            <w:rPr>
              <w:rFonts w:ascii="Times New Roman" w:hAnsi="Times New Roman" w:cs="Times New Roman"/>
              <w:i w:val="0"/>
            </w:rPr>
            <w:t>9</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"_Toc158753956" </w:instrText>
          </w:r>
          <w:r>
            <w:fldChar w:fldCharType="separate"/>
          </w:r>
          <w:r>
            <w:rPr>
              <w:rStyle w:val="30"/>
              <w:rFonts w:ascii="Times New Roman" w:hAnsi="Times New Roman" w:cs="Times New Roman"/>
              <w:i w:val="0"/>
              <w:lang w:bidi="ar"/>
            </w:rPr>
            <w:t>Chapter Two: Literature Review</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_Toc158753956 \h </w:instrText>
          </w:r>
          <w:r>
            <w:rPr>
              <w:rFonts w:ascii="Times New Roman" w:hAnsi="Times New Roman" w:cs="Times New Roman"/>
              <w:i w:val="0"/>
            </w:rPr>
            <w:fldChar w:fldCharType="separate"/>
          </w:r>
          <w:r>
            <w:rPr>
              <w:rFonts w:ascii="Times New Roman" w:hAnsi="Times New Roman" w:cs="Times New Roman"/>
              <w:i w:val="0"/>
            </w:rPr>
            <w:t>10</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"_Toc158753957" </w:instrText>
          </w:r>
          <w:r>
            <w:fldChar w:fldCharType="separate"/>
          </w:r>
          <w:r>
            <w:rPr>
              <w:rStyle w:val="30"/>
              <w:rFonts w:ascii="Times New Roman" w:hAnsi="Times New Roman" w:cs="Times New Roman"/>
              <w:i w:val="0"/>
              <w:lang w:bidi="ar"/>
            </w:rPr>
            <w:t>2.1 Introduction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_Toc158753957 \h </w:instrText>
          </w:r>
          <w:r>
            <w:rPr>
              <w:rFonts w:ascii="Times New Roman" w:hAnsi="Times New Roman" w:cs="Times New Roman"/>
              <w:i w:val="0"/>
            </w:rPr>
            <w:fldChar w:fldCharType="separate"/>
          </w:r>
          <w:r>
            <w:rPr>
              <w:rFonts w:ascii="Times New Roman" w:hAnsi="Times New Roman" w:cs="Times New Roman"/>
              <w:i w:val="0"/>
            </w:rPr>
            <w:t>10</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"_Toc158753958" </w:instrText>
          </w:r>
          <w:r>
            <w:fldChar w:fldCharType="separate"/>
          </w:r>
          <w:r>
            <w:rPr>
              <w:rStyle w:val="30"/>
              <w:rFonts w:ascii="Times New Roman" w:hAnsi="Times New Roman" w:cs="Times New Roman"/>
              <w:i w:val="0"/>
              <w:lang w:bidi="ar"/>
            </w:rPr>
            <w:t>2.2 The Linguistic Ideology Pertaining to Standard English</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_Toc158753958 \h </w:instrText>
          </w:r>
          <w:r>
            <w:rPr>
              <w:rFonts w:ascii="Times New Roman" w:hAnsi="Times New Roman" w:cs="Times New Roman"/>
              <w:i w:val="0"/>
            </w:rPr>
            <w:fldChar w:fldCharType="separate"/>
          </w:r>
          <w:r>
            <w:rPr>
              <w:rFonts w:ascii="Times New Roman" w:hAnsi="Times New Roman" w:cs="Times New Roman"/>
              <w:i w:val="0"/>
            </w:rPr>
            <w:t>11</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"_Toc158753959" </w:instrText>
          </w:r>
          <w:r>
            <w:fldChar w:fldCharType="separate"/>
          </w:r>
          <w:r>
            <w:rPr>
              <w:rStyle w:val="30"/>
              <w:rFonts w:ascii="Times New Roman" w:hAnsi="Times New Roman" w:cs="Times New Roman"/>
              <w:b w:val="0"/>
              <w:lang w:bidi="ar"/>
            </w:rPr>
            <w:t>Definition of Standard English(SE)</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_Toc158753959 \h </w:instrText>
          </w:r>
          <w:r>
            <w:rPr>
              <w:rFonts w:ascii="Times New Roman" w:hAnsi="Times New Roman" w:cs="Times New Roman"/>
              <w:b w:val="0"/>
            </w:rPr>
            <w:fldChar w:fldCharType="separate"/>
          </w:r>
          <w:r>
            <w:rPr>
              <w:rFonts w:ascii="Times New Roman" w:hAnsi="Times New Roman" w:cs="Times New Roman"/>
              <w:b w:val="0"/>
            </w:rPr>
            <w:t>11</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"_Toc158753960" </w:instrText>
          </w:r>
          <w:r>
            <w:fldChar w:fldCharType="separate"/>
          </w:r>
          <w:r>
            <w:rPr>
              <w:rStyle w:val="30"/>
              <w:rFonts w:ascii="Times New Roman" w:hAnsi="Times New Roman" w:cs="Times New Roman"/>
              <w:b w:val="0"/>
              <w:lang w:bidi="ar"/>
            </w:rPr>
            <w:t>The Concept of Standard-English Ideology</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_Toc158753960 \h </w:instrText>
          </w:r>
          <w:r>
            <w:rPr>
              <w:rFonts w:ascii="Times New Roman" w:hAnsi="Times New Roman" w:cs="Times New Roman"/>
              <w:b w:val="0"/>
            </w:rPr>
            <w:fldChar w:fldCharType="separate"/>
          </w:r>
          <w:r>
            <w:rPr>
              <w:rFonts w:ascii="Times New Roman" w:hAnsi="Times New Roman" w:cs="Times New Roman"/>
              <w:b w:val="0"/>
            </w:rPr>
            <w:t>12</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"_Toc158753961" </w:instrText>
          </w:r>
          <w:r>
            <w:fldChar w:fldCharType="separate"/>
          </w:r>
          <w:r>
            <w:rPr>
              <w:rStyle w:val="30"/>
              <w:rFonts w:ascii="Times New Roman" w:hAnsi="Times New Roman" w:cs="Times New Roman"/>
              <w:i w:val="0"/>
              <w:lang w:bidi="ar"/>
            </w:rPr>
            <w:t>2.3 Native-Speaker Norm in the Field of English Teaching</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_Toc158753961 \h </w:instrText>
          </w:r>
          <w:r>
            <w:rPr>
              <w:rFonts w:ascii="Times New Roman" w:hAnsi="Times New Roman" w:cs="Times New Roman"/>
              <w:i w:val="0"/>
            </w:rPr>
            <w:fldChar w:fldCharType="separate"/>
          </w:r>
          <w:r>
            <w:rPr>
              <w:rFonts w:ascii="Times New Roman" w:hAnsi="Times New Roman" w:cs="Times New Roman"/>
              <w:i w:val="0"/>
            </w:rPr>
            <w:t>13</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"_Toc158753962" </w:instrText>
          </w:r>
          <w:r>
            <w:fldChar w:fldCharType="separate"/>
          </w:r>
          <w:r>
            <w:rPr>
              <w:rStyle w:val="30"/>
              <w:rFonts w:ascii="Times New Roman" w:hAnsi="Times New Roman" w:cs="Times New Roman"/>
              <w:b w:val="0"/>
              <w:lang w:bidi="ar"/>
            </w:rPr>
            <w:t>Definition of the Native-Speaker Norm</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_Toc158753962 \h </w:instrText>
          </w:r>
          <w:r>
            <w:rPr>
              <w:rFonts w:ascii="Times New Roman" w:hAnsi="Times New Roman" w:cs="Times New Roman"/>
              <w:b w:val="0"/>
            </w:rPr>
            <w:fldChar w:fldCharType="separate"/>
          </w:r>
          <w:r>
            <w:rPr>
              <w:rFonts w:ascii="Times New Roman" w:hAnsi="Times New Roman" w:cs="Times New Roman"/>
              <w:b w:val="0"/>
            </w:rPr>
            <w:t>13</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"_Toc158753963" </w:instrText>
          </w:r>
          <w:r>
            <w:fldChar w:fldCharType="separate"/>
          </w:r>
          <w:r>
            <w:rPr>
              <w:rStyle w:val="30"/>
              <w:rFonts w:ascii="Times New Roman" w:hAnsi="Times New Roman" w:cs="Times New Roman"/>
              <w:b w:val="0"/>
              <w:lang w:bidi="ar"/>
            </w:rPr>
            <w:t>The Role of the Native-speaker Norm in ElT</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_Toc158753963 \h </w:instrText>
          </w:r>
          <w:r>
            <w:rPr>
              <w:rFonts w:ascii="Times New Roman" w:hAnsi="Times New Roman" w:cs="Times New Roman"/>
              <w:b w:val="0"/>
            </w:rPr>
            <w:fldChar w:fldCharType="separate"/>
          </w:r>
          <w:r>
            <w:rPr>
              <w:rFonts w:ascii="Times New Roman" w:hAnsi="Times New Roman" w:cs="Times New Roman"/>
              <w:b w:val="0"/>
            </w:rPr>
            <w:t>13</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"_Toc158753964" </w:instrText>
          </w:r>
          <w:r>
            <w:fldChar w:fldCharType="separate"/>
          </w:r>
          <w:r>
            <w:rPr>
              <w:rStyle w:val="30"/>
              <w:rFonts w:ascii="Times New Roman" w:hAnsi="Times New Roman" w:cs="Times New Roman"/>
              <w:i w:val="0"/>
              <w:lang w:bidi="ar"/>
            </w:rPr>
            <w:t>2.4 Investigations of the Attitudes of Non-native Trainee Teachers towards Native-speaker (NS) Norms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_Toc158753964 \h </w:instrText>
          </w:r>
          <w:r>
            <w:rPr>
              <w:rFonts w:ascii="Times New Roman" w:hAnsi="Times New Roman" w:cs="Times New Roman"/>
              <w:i w:val="0"/>
            </w:rPr>
            <w:fldChar w:fldCharType="separate"/>
          </w:r>
          <w:r>
            <w:rPr>
              <w:rFonts w:ascii="Times New Roman" w:hAnsi="Times New Roman" w:cs="Times New Roman"/>
              <w:i w:val="0"/>
            </w:rPr>
            <w:t>15</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"_Toc158753965" </w:instrText>
          </w:r>
          <w:r>
            <w:fldChar w:fldCharType="separate"/>
          </w:r>
          <w:r>
            <w:rPr>
              <w:rStyle w:val="30"/>
              <w:rFonts w:ascii="Times New Roman" w:hAnsi="Times New Roman" w:cs="Times New Roman"/>
              <w:b w:val="0"/>
              <w:lang w:bidi="ar"/>
            </w:rPr>
            <w:t>Attitudes of Learners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_Toc158753965 \h </w:instrText>
          </w:r>
          <w:r>
            <w:rPr>
              <w:rFonts w:ascii="Times New Roman" w:hAnsi="Times New Roman" w:cs="Times New Roman"/>
              <w:b w:val="0"/>
            </w:rPr>
            <w:fldChar w:fldCharType="separate"/>
          </w:r>
          <w:r>
            <w:rPr>
              <w:rFonts w:ascii="Times New Roman" w:hAnsi="Times New Roman" w:cs="Times New Roman"/>
              <w:b w:val="0"/>
            </w:rPr>
            <w:t>15</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"_Toc158753966" </w:instrText>
          </w:r>
          <w:r>
            <w:fldChar w:fldCharType="separate"/>
          </w:r>
          <w:r>
            <w:rPr>
              <w:rStyle w:val="30"/>
              <w:rFonts w:ascii="Times New Roman" w:hAnsi="Times New Roman" w:cs="Times New Roman"/>
              <w:b w:val="0"/>
              <w:lang w:bidi="ar"/>
            </w:rPr>
            <w:t>Attitudes of Teachers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_Toc158753966 \h </w:instrText>
          </w:r>
          <w:r>
            <w:rPr>
              <w:rFonts w:ascii="Times New Roman" w:hAnsi="Times New Roman" w:cs="Times New Roman"/>
              <w:b w:val="0"/>
            </w:rPr>
            <w:fldChar w:fldCharType="separate"/>
          </w:r>
          <w:r>
            <w:rPr>
              <w:rFonts w:ascii="Times New Roman" w:hAnsi="Times New Roman" w:cs="Times New Roman"/>
              <w:b w:val="0"/>
            </w:rPr>
            <w:t>16</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"_Toc158753967" </w:instrText>
          </w:r>
          <w:r>
            <w:fldChar w:fldCharType="separate"/>
          </w:r>
          <w:r>
            <w:rPr>
              <w:rStyle w:val="30"/>
              <w:rFonts w:ascii="Times New Roman" w:hAnsi="Times New Roman" w:cs="Times New Roman"/>
              <w:i w:val="0"/>
              <w:lang w:bidi="ar"/>
            </w:rPr>
            <w:t>2.5 The Research Gap</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_Toc158753967 \h </w:instrText>
          </w:r>
          <w:r>
            <w:rPr>
              <w:rFonts w:ascii="Times New Roman" w:hAnsi="Times New Roman" w:cs="Times New Roman"/>
              <w:i w:val="0"/>
            </w:rPr>
            <w:fldChar w:fldCharType="separate"/>
          </w:r>
          <w:r>
            <w:rPr>
              <w:rFonts w:ascii="Times New Roman" w:hAnsi="Times New Roman" w:cs="Times New Roman"/>
              <w:i w:val="0"/>
            </w:rPr>
            <w:t>17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"_Toc158753968" </w:instrText>
          </w:r>
          <w:r>
            <w:fldChar w:fldCharType="separate"/>
          </w:r>
          <w:r>
            <w:rPr>
              <w:rStyle w:val="30"/>
              <w:rFonts w:ascii="Times New Roman" w:hAnsi="Times New Roman" w:cs="Times New Roman"/>
              <w:i w:val="0"/>
              <w:lang w:bidi="ar"/>
            </w:rPr>
            <w:t>Chapter Three: Methodology</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_Toc158753968 \h </w:instrText>
          </w:r>
          <w:r>
            <w:rPr>
              <w:rFonts w:ascii="Times New Roman" w:hAnsi="Times New Roman" w:cs="Times New Roman"/>
              <w:i w:val="0"/>
            </w:rPr>
            <w:fldChar w:fldCharType="separate"/>
          </w:r>
          <w:r>
            <w:rPr>
              <w:rFonts w:ascii="Times New Roman" w:hAnsi="Times New Roman" w:cs="Times New Roman"/>
              <w:i w:val="0"/>
            </w:rPr>
            <w:t>17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"_Toc158753969" </w:instrText>
          </w:r>
          <w:r>
            <w:fldChar w:fldCharType="separate"/>
          </w:r>
          <w:r>
            <w:rPr>
              <w:rStyle w:val="30"/>
              <w:rFonts w:ascii="Times New Roman" w:hAnsi="Times New Roman" w:cs="Times New Roman"/>
              <w:i w:val="0"/>
              <w:lang w:bidi="ar"/>
            </w:rPr>
            <w:t>3.1 Introduction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_Toc158753969 \h </w:instrText>
          </w:r>
          <w:r>
            <w:rPr>
              <w:rFonts w:ascii="Times New Roman" w:hAnsi="Times New Roman" w:cs="Times New Roman"/>
              <w:i w:val="0"/>
            </w:rPr>
            <w:fldChar w:fldCharType="separate"/>
          </w:r>
          <w:r>
            <w:rPr>
              <w:rFonts w:ascii="Times New Roman" w:hAnsi="Times New Roman" w:cs="Times New Roman"/>
              <w:i w:val="0"/>
            </w:rPr>
            <w:t>17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"_Toc158753970" </w:instrText>
          </w:r>
          <w:r>
            <w:fldChar w:fldCharType="separate"/>
          </w:r>
          <w:r>
            <w:rPr>
              <w:rStyle w:val="30"/>
              <w:rFonts w:ascii="Times New Roman" w:hAnsi="Times New Roman" w:cs="Times New Roman"/>
              <w:i w:val="0"/>
            </w:rPr>
            <w:t>3.2 Research Design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_Toc158753970 \h </w:instrText>
          </w:r>
          <w:r>
            <w:rPr>
              <w:rFonts w:ascii="Times New Roman" w:hAnsi="Times New Roman" w:cs="Times New Roman"/>
              <w:i w:val="0"/>
            </w:rPr>
            <w:fldChar w:fldCharType="separate"/>
          </w:r>
          <w:r>
            <w:rPr>
              <w:rFonts w:ascii="Times New Roman" w:hAnsi="Times New Roman" w:cs="Times New Roman"/>
              <w:i w:val="0"/>
            </w:rPr>
            <w:t>18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"_Toc158753971" </w:instrText>
          </w:r>
          <w:r>
            <w:fldChar w:fldCharType="separate"/>
          </w:r>
          <w:r>
            <w:rPr>
              <w:rStyle w:val="30"/>
              <w:rFonts w:ascii="Times New Roman" w:hAnsi="Times New Roman" w:cs="Times New Roman"/>
              <w:b w:val="0"/>
            </w:rPr>
            <w:t>Philosophical Framework</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_Toc158753971 \h </w:instrText>
          </w:r>
          <w:r>
            <w:rPr>
              <w:rFonts w:ascii="Times New Roman" w:hAnsi="Times New Roman" w:cs="Times New Roman"/>
              <w:b w:val="0"/>
            </w:rPr>
            <w:fldChar w:fldCharType="separate"/>
          </w:r>
          <w:r>
            <w:rPr>
              <w:rFonts w:ascii="Times New Roman" w:hAnsi="Times New Roman" w:cs="Times New Roman"/>
              <w:b w:val="0"/>
            </w:rPr>
            <w:t>18</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"_Toc158753972" </w:instrText>
          </w:r>
          <w:r>
            <w:fldChar w:fldCharType="separate"/>
          </w:r>
          <w:r>
            <w:rPr>
              <w:rStyle w:val="30"/>
              <w:rFonts w:ascii="Times New Roman" w:hAnsi="Times New Roman" w:cs="Times New Roman"/>
              <w:b w:val="0"/>
            </w:rPr>
            <w:t>Positioning of the Researcher</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_Toc158753972 \h </w:instrText>
          </w:r>
          <w:r>
            <w:rPr>
              <w:rFonts w:ascii="Times New Roman" w:hAnsi="Times New Roman" w:cs="Times New Roman"/>
              <w:b w:val="0"/>
            </w:rPr>
            <w:fldChar w:fldCharType="separate"/>
          </w:r>
          <w:r>
            <w:rPr>
              <w:rFonts w:ascii="Times New Roman" w:hAnsi="Times New Roman" w:cs="Times New Roman"/>
              <w:b w:val="0"/>
            </w:rPr>
            <w:t>18</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"_Toc158753973" </w:instrText>
          </w:r>
          <w:r>
            <w:fldChar w:fldCharType="separate"/>
          </w:r>
          <w:r>
            <w:rPr>
              <w:rStyle w:val="30"/>
              <w:rFonts w:ascii="Times New Roman" w:hAnsi="Times New Roman" w:cs="Times New Roman"/>
              <w:b w:val="0"/>
            </w:rPr>
            <w:t>Methodology</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_Toc158753973 \h </w:instrText>
          </w:r>
          <w:r>
            <w:rPr>
              <w:rFonts w:ascii="Times New Roman" w:hAnsi="Times New Roman" w:cs="Times New Roman"/>
              <w:b w:val="0"/>
            </w:rPr>
            <w:fldChar w:fldCharType="separate"/>
          </w:r>
          <w:r>
            <w:rPr>
              <w:rFonts w:ascii="Times New Roman" w:hAnsi="Times New Roman" w:cs="Times New Roman"/>
              <w:b w:val="0"/>
            </w:rPr>
            <w:t>19</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"_Toc158753974" </w:instrText>
          </w:r>
          <w:r>
            <w:fldChar w:fldCharType="separate"/>
          </w:r>
          <w:r>
            <w:rPr>
              <w:rStyle w:val="30"/>
              <w:rFonts w:ascii="Times New Roman" w:hAnsi="Times New Roman" w:cs="Times New Roman"/>
              <w:i w:val="0"/>
            </w:rPr>
            <w:t>3.3 Sampling</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_Toc158753974 \h </w:instrText>
          </w:r>
          <w:r>
            <w:rPr>
              <w:rFonts w:ascii="Times New Roman" w:hAnsi="Times New Roman" w:cs="Times New Roman"/>
              <w:i w:val="0"/>
            </w:rPr>
            <w:fldChar w:fldCharType="separate"/>
          </w:r>
          <w:r>
            <w:rPr>
              <w:rFonts w:ascii="Times New Roman" w:hAnsi="Times New Roman" w:cs="Times New Roman"/>
              <w:i w:val="0"/>
            </w:rPr>
            <w:t>19</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"_Toc158753975" </w:instrText>
          </w:r>
          <w:r>
            <w:fldChar w:fldCharType="separate"/>
          </w:r>
          <w:r>
            <w:rPr>
              <w:rStyle w:val="30"/>
              <w:rFonts w:ascii="Times New Roman" w:hAnsi="Times New Roman" w:cs="Times New Roman"/>
              <w:i w:val="0"/>
            </w:rPr>
            <w:t>3.4 Data Collection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_Toc158753975 \h </w:instrText>
          </w:r>
          <w:r>
            <w:rPr>
              <w:rFonts w:ascii="Times New Roman" w:hAnsi="Times New Roman" w:cs="Times New Roman"/>
              <w:i w:val="0"/>
            </w:rPr>
            <w:fldChar w:fldCharType="separate"/>
          </w:r>
          <w:r>
            <w:rPr>
              <w:rFonts w:ascii="Times New Roman" w:hAnsi="Times New Roman" w:cs="Times New Roman"/>
              <w:i w:val="0"/>
            </w:rPr>
            <w:t>21</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"_Toc158753976" </w:instrText>
          </w:r>
          <w:r>
            <w:fldChar w:fldCharType="separate"/>
          </w:r>
          <w:r>
            <w:rPr>
              <w:rStyle w:val="30"/>
              <w:rFonts w:ascii="Times New Roman" w:hAnsi="Times New Roman" w:cs="Times New Roman"/>
              <w:b w:val="0"/>
            </w:rPr>
            <w:t>Interviews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_Toc158753976 \h </w:instrText>
          </w:r>
          <w:r>
            <w:rPr>
              <w:rFonts w:ascii="Times New Roman" w:hAnsi="Times New Roman" w:cs="Times New Roman"/>
              <w:b w:val="0"/>
            </w:rPr>
            <w:fldChar w:fldCharType="separate"/>
          </w:r>
          <w:r>
            <w:rPr>
              <w:rFonts w:ascii="Times New Roman" w:hAnsi="Times New Roman" w:cs="Times New Roman"/>
              <w:b w:val="0"/>
            </w:rPr>
            <w:t>21</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"_Toc158753977" </w:instrText>
          </w:r>
          <w:r>
            <w:fldChar w:fldCharType="separate"/>
          </w:r>
          <w:r>
            <w:rPr>
              <w:rStyle w:val="30"/>
              <w:rFonts w:ascii="Times New Roman" w:hAnsi="Times New Roman" w:cs="Times New Roman"/>
              <w:b w:val="0"/>
            </w:rPr>
            <w:t>Conducting Pilot Interview and Gathering Data</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_Toc158753977 \h </w:instrText>
          </w:r>
          <w:r>
            <w:rPr>
              <w:rFonts w:ascii="Times New Roman" w:hAnsi="Times New Roman" w:cs="Times New Roman"/>
              <w:b w:val="0"/>
            </w:rPr>
            <w:fldChar w:fldCharType="separate"/>
          </w:r>
          <w:r>
            <w:rPr>
              <w:rFonts w:ascii="Times New Roman" w:hAnsi="Times New Roman" w:cs="Times New Roman"/>
              <w:b w:val="0"/>
            </w:rPr>
            <w:t>22</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"_Toc158753978" </w:instrText>
          </w:r>
          <w:r>
            <w:fldChar w:fldCharType="separate"/>
          </w:r>
          <w:r>
            <w:rPr>
              <w:rStyle w:val="30"/>
              <w:rFonts w:ascii="Times New Roman" w:hAnsi="Times New Roman" w:cs="Times New Roman"/>
              <w:i w:val="0"/>
            </w:rPr>
            <w:t>3.5 Data-analysis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_Toc158753978 \h </w:instrText>
          </w:r>
          <w:r>
            <w:rPr>
              <w:rFonts w:ascii="Times New Roman" w:hAnsi="Times New Roman" w:cs="Times New Roman"/>
              <w:i w:val="0"/>
            </w:rPr>
            <w:fldChar w:fldCharType="separate"/>
          </w:r>
          <w:r>
            <w:rPr>
              <w:rFonts w:ascii="Times New Roman" w:hAnsi="Times New Roman" w:cs="Times New Roman"/>
              <w:i w:val="0"/>
            </w:rPr>
            <w:t>22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"_Toc158753979" </w:instrText>
          </w:r>
          <w:r>
            <w:fldChar w:fldCharType="separate"/>
          </w:r>
          <w:r>
            <w:rPr>
              <w:rStyle w:val="30"/>
              <w:rFonts w:ascii="Times New Roman" w:hAnsi="Times New Roman" w:cs="Times New Roman"/>
              <w:i w:val="0"/>
            </w:rPr>
            <w:t>3.6 Ethics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_Toc158753979 \h </w:instrText>
          </w:r>
          <w:r>
            <w:rPr>
              <w:rFonts w:ascii="Times New Roman" w:hAnsi="Times New Roman" w:cs="Times New Roman"/>
              <w:i w:val="0"/>
            </w:rPr>
            <w:fldChar w:fldCharType="separate"/>
          </w:r>
          <w:r>
            <w:rPr>
              <w:rFonts w:ascii="Times New Roman" w:hAnsi="Times New Roman" w:cs="Times New Roman"/>
              <w:i w:val="0"/>
            </w:rPr>
            <w:t>23</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"_Toc158753980" </w:instrText>
          </w:r>
          <w:r>
            <w:fldChar w:fldCharType="separate"/>
          </w:r>
          <w:r>
            <w:rPr>
              <w:rStyle w:val="30"/>
              <w:rFonts w:ascii="Times New Roman" w:hAnsi="Times New Roman" w:cs="Times New Roman"/>
              <w:i w:val="0"/>
            </w:rPr>
            <w:t>3.7 Assessment</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_Toc158753980 \h </w:instrText>
          </w:r>
          <w:r>
            <w:rPr>
              <w:rFonts w:ascii="Times New Roman" w:hAnsi="Times New Roman" w:cs="Times New Roman"/>
              <w:i w:val="0"/>
            </w:rPr>
            <w:fldChar w:fldCharType="separate"/>
          </w:r>
          <w:r>
            <w:rPr>
              <w:rFonts w:ascii="Times New Roman" w:hAnsi="Times New Roman" w:cs="Times New Roman"/>
              <w:i w:val="0"/>
            </w:rPr>
            <w:t>24</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"_Toc158753981" </w:instrText>
          </w:r>
          <w:r>
            <w:fldChar w:fldCharType="separate"/>
          </w:r>
          <w:r>
            <w:rPr>
              <w:rStyle w:val="30"/>
              <w:rFonts w:ascii="Times New Roman" w:hAnsi="Times New Roman" w:cs="Times New Roman"/>
              <w:b w:val="0"/>
            </w:rPr>
            <w:t>Constraints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_Toc158753981 \h </w:instrText>
          </w:r>
          <w:r>
            <w:rPr>
              <w:rFonts w:ascii="Times New Roman" w:hAnsi="Times New Roman" w:cs="Times New Roman"/>
              <w:b w:val="0"/>
            </w:rPr>
            <w:fldChar w:fldCharType="separate"/>
          </w:r>
          <w:r>
            <w:rPr>
              <w:rFonts w:ascii="Times New Roman" w:hAnsi="Times New Roman" w:cs="Times New Roman"/>
              <w:b w:val="0"/>
            </w:rPr>
            <w:t>24</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"_Toc158753982" </w:instrText>
          </w:r>
          <w:r>
            <w:fldChar w:fldCharType="separate"/>
          </w:r>
          <w:r>
            <w:rPr>
              <w:rStyle w:val="30"/>
              <w:rFonts w:ascii="Times New Roman" w:hAnsi="Times New Roman" w:cs="Times New Roman"/>
              <w:b w:val="0"/>
            </w:rPr>
            <w:t>Assessment of the Accuracy and Consistency</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_Toc158753982 \h </w:instrText>
          </w:r>
          <w:r>
            <w:rPr>
              <w:rFonts w:ascii="Times New Roman" w:hAnsi="Times New Roman" w:cs="Times New Roman"/>
              <w:b w:val="0"/>
            </w:rPr>
            <w:fldChar w:fldCharType="separate"/>
          </w:r>
          <w:r>
            <w:rPr>
              <w:rFonts w:ascii="Times New Roman" w:hAnsi="Times New Roman" w:cs="Times New Roman"/>
              <w:b w:val="0"/>
            </w:rPr>
            <w:t>25</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"_Toc158753983" </w:instrText>
          </w:r>
          <w:r>
            <w:fldChar w:fldCharType="separate"/>
          </w:r>
          <w:r>
            <w:rPr>
              <w:rStyle w:val="30"/>
              <w:rFonts w:ascii="Times New Roman" w:hAnsi="Times New Roman" w:cs="Times New Roman"/>
              <w:i w:val="0"/>
            </w:rPr>
            <w:t>Chapter Four: Findings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_Toc158753983 \h </w:instrText>
          </w:r>
          <w:r>
            <w:rPr>
              <w:rFonts w:ascii="Times New Roman" w:hAnsi="Times New Roman" w:cs="Times New Roman"/>
              <w:i w:val="0"/>
            </w:rPr>
            <w:fldChar w:fldCharType="separate"/>
          </w:r>
          <w:r>
            <w:rPr>
              <w:rFonts w:ascii="Times New Roman" w:hAnsi="Times New Roman" w:cs="Times New Roman"/>
              <w:i w:val="0"/>
            </w:rPr>
            <w:t>26</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"_Toc158753984" </w:instrText>
          </w:r>
          <w:r>
            <w:fldChar w:fldCharType="separate"/>
          </w:r>
          <w:r>
            <w:rPr>
              <w:rStyle w:val="30"/>
              <w:rFonts w:ascii="Times New Roman" w:hAnsi="Times New Roman" w:cs="Times New Roman"/>
              <w:i w:val="0"/>
            </w:rPr>
            <w:t>4.1 Overall Views on English Spoken by Native Speakers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_Toc158753984 \h </w:instrText>
          </w:r>
          <w:r>
            <w:rPr>
              <w:rFonts w:ascii="Times New Roman" w:hAnsi="Times New Roman" w:cs="Times New Roman"/>
              <w:i w:val="0"/>
            </w:rPr>
            <w:fldChar w:fldCharType="separate"/>
          </w:r>
          <w:r>
            <w:rPr>
              <w:rFonts w:ascii="Times New Roman" w:hAnsi="Times New Roman" w:cs="Times New Roman"/>
              <w:i w:val="0"/>
            </w:rPr>
            <w:t>26</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"_Toc158753985" </w:instrText>
          </w:r>
          <w:r>
            <w:fldChar w:fldCharType="separate"/>
          </w:r>
          <w:r>
            <w:rPr>
              <w:rStyle w:val="30"/>
              <w:rFonts w:ascii="Times New Roman" w:hAnsi="Times New Roman" w:cs="Times New Roman"/>
              <w:b w:val="0"/>
            </w:rPr>
            <w:t>The Essence of Native-speaker English (NSE)</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_Toc158753985 \h </w:instrText>
          </w:r>
          <w:r>
            <w:rPr>
              <w:rFonts w:ascii="Times New Roman" w:hAnsi="Times New Roman" w:cs="Times New Roman"/>
              <w:b w:val="0"/>
            </w:rPr>
            <w:fldChar w:fldCharType="separate"/>
          </w:r>
          <w:r>
            <w:rPr>
              <w:rFonts w:ascii="Times New Roman" w:hAnsi="Times New Roman" w:cs="Times New Roman"/>
              <w:b w:val="0"/>
            </w:rPr>
            <w:t>26</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"_Toc158753986" </w:instrText>
          </w:r>
          <w:r>
            <w:fldChar w:fldCharType="separate"/>
          </w:r>
          <w:r>
            <w:rPr>
              <w:rStyle w:val="30"/>
              <w:rFonts w:ascii="Times New Roman" w:hAnsi="Times New Roman" w:cs="Times New Roman"/>
              <w:b w:val="0"/>
            </w:rPr>
            <w:t>Linguistic Characteristics Seen in Native-speaker English</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_Toc158753986 \h </w:instrText>
          </w:r>
          <w:r>
            <w:rPr>
              <w:rFonts w:ascii="Times New Roman" w:hAnsi="Times New Roman" w:cs="Times New Roman"/>
              <w:b w:val="0"/>
            </w:rPr>
            <w:fldChar w:fldCharType="separate"/>
          </w:r>
          <w:r>
            <w:rPr>
              <w:rFonts w:ascii="Times New Roman" w:hAnsi="Times New Roman" w:cs="Times New Roman"/>
              <w:b w:val="0"/>
            </w:rPr>
            <w:t>26</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"_Toc158753987" </w:instrText>
          </w:r>
          <w:r>
            <w:fldChar w:fldCharType="separate"/>
          </w:r>
          <w:r>
            <w:rPr>
              <w:rStyle w:val="30"/>
              <w:rFonts w:ascii="Times New Roman" w:hAnsi="Times New Roman" w:cs="Times New Roman"/>
              <w:i w:val="0"/>
            </w:rPr>
            <w:t>4.2 Evaluations of Non-Native-Speaker English and Chinese English</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_Toc158753987 \h </w:instrText>
          </w:r>
          <w:r>
            <w:rPr>
              <w:rFonts w:ascii="Times New Roman" w:hAnsi="Times New Roman" w:cs="Times New Roman"/>
              <w:i w:val="0"/>
            </w:rPr>
            <w:fldChar w:fldCharType="separate"/>
          </w:r>
          <w:r>
            <w:rPr>
              <w:rFonts w:ascii="Times New Roman" w:hAnsi="Times New Roman" w:cs="Times New Roman"/>
              <w:i w:val="0"/>
            </w:rPr>
            <w:t>27</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"_Toc158753988" </w:instrText>
          </w:r>
          <w:r>
            <w:fldChar w:fldCharType="separate"/>
          </w:r>
          <w:r>
            <w:rPr>
              <w:rStyle w:val="30"/>
              <w:rFonts w:ascii="Times New Roman" w:hAnsi="Times New Roman" w:cs="Times New Roman"/>
              <w:i w:val="0"/>
            </w:rPr>
            <w:t>4.3 Perceived Role of Native-Speaker English When Acquiring Language</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_Toc158753988 \h </w:instrText>
          </w:r>
          <w:r>
            <w:rPr>
              <w:rFonts w:ascii="Times New Roman" w:hAnsi="Times New Roman" w:cs="Times New Roman"/>
              <w:i w:val="0"/>
            </w:rPr>
            <w:fldChar w:fldCharType="separate"/>
          </w:r>
          <w:r>
            <w:rPr>
              <w:rFonts w:ascii="Times New Roman" w:hAnsi="Times New Roman" w:cs="Times New Roman"/>
              <w:i w:val="0"/>
            </w:rPr>
            <w:t>28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"_Toc158753989" </w:instrText>
          </w:r>
          <w:r>
            <w:fldChar w:fldCharType="separate"/>
          </w:r>
          <w:r>
            <w:rPr>
              <w:rStyle w:val="30"/>
              <w:rFonts w:ascii="Times New Roman" w:hAnsi="Times New Roman" w:cs="Times New Roman"/>
              <w:b w:val="0"/>
            </w:rPr>
            <w:t>General Impressions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_Toc158753989 \h </w:instrText>
          </w:r>
          <w:r>
            <w:rPr>
              <w:rFonts w:ascii="Times New Roman" w:hAnsi="Times New Roman" w:cs="Times New Roman"/>
              <w:b w:val="0"/>
            </w:rPr>
            <w:fldChar w:fldCharType="separate"/>
          </w:r>
          <w:r>
            <w:rPr>
              <w:rFonts w:ascii="Times New Roman" w:hAnsi="Times New Roman" w:cs="Times New Roman"/>
              <w:b w:val="0"/>
            </w:rPr>
            <w:t>28</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"_Toc158753990" </w:instrText>
          </w:r>
          <w:r>
            <w:fldChar w:fldCharType="separate"/>
          </w:r>
          <w:r>
            <w:rPr>
              <w:rStyle w:val="30"/>
              <w:rFonts w:ascii="Times New Roman" w:hAnsi="Times New Roman" w:cs="Times New Roman"/>
              <w:b w:val="0"/>
            </w:rPr>
            <w:t>Linguistic Element Preferences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_Toc158753990 \h </w:instrText>
          </w:r>
          <w:r>
            <w:rPr>
              <w:rFonts w:ascii="Times New Roman" w:hAnsi="Times New Roman" w:cs="Times New Roman"/>
              <w:b w:val="0"/>
            </w:rPr>
            <w:fldChar w:fldCharType="separate"/>
          </w:r>
          <w:r>
            <w:rPr>
              <w:rFonts w:ascii="Times New Roman" w:hAnsi="Times New Roman" w:cs="Times New Roman"/>
              <w:b w:val="0"/>
            </w:rPr>
            <w:t>29</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"_Toc158753991" </w:instrText>
          </w:r>
          <w:r>
            <w:fldChar w:fldCharType="separate"/>
          </w:r>
          <w:r>
            <w:rPr>
              <w:rStyle w:val="30"/>
              <w:rFonts w:ascii="Times New Roman" w:hAnsi="Times New Roman" w:cs="Times New Roman"/>
              <w:i w:val="0"/>
            </w:rPr>
            <w:t>4.4 Experiences and Attitudes towards English Education before University</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_Toc158753991 \h </w:instrText>
          </w:r>
          <w:r>
            <w:rPr>
              <w:rFonts w:ascii="Times New Roman" w:hAnsi="Times New Roman" w:cs="Times New Roman"/>
              <w:i w:val="0"/>
            </w:rPr>
            <w:fldChar w:fldCharType="separate"/>
          </w:r>
          <w:r>
            <w:rPr>
              <w:rFonts w:ascii="Times New Roman" w:hAnsi="Times New Roman" w:cs="Times New Roman"/>
              <w:i w:val="0"/>
            </w:rPr>
            <w:t>30</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"_Toc158753992" </w:instrText>
          </w:r>
          <w:r>
            <w:fldChar w:fldCharType="separate"/>
          </w:r>
          <w:r>
            <w:rPr>
              <w:rStyle w:val="30"/>
              <w:rFonts w:ascii="Times New Roman" w:hAnsi="Times New Roman" w:cs="Times New Roman"/>
              <w:b w:val="0"/>
            </w:rPr>
            <w:t>Learning Experience</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_Toc158753992 \h </w:instrText>
          </w:r>
          <w:r>
            <w:rPr>
              <w:rFonts w:ascii="Times New Roman" w:hAnsi="Times New Roman" w:cs="Times New Roman"/>
              <w:b w:val="0"/>
            </w:rPr>
            <w:fldChar w:fldCharType="separate"/>
          </w:r>
          <w:r>
            <w:rPr>
              <w:rFonts w:ascii="Times New Roman" w:hAnsi="Times New Roman" w:cs="Times New Roman"/>
              <w:b w:val="0"/>
            </w:rPr>
            <w:t>30</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"_Toc158753993" </w:instrText>
          </w:r>
          <w:r>
            <w:fldChar w:fldCharType="separate"/>
          </w:r>
          <w:r>
            <w:rPr>
              <w:rStyle w:val="30"/>
              <w:rFonts w:ascii="Times New Roman" w:hAnsi="Times New Roman" w:cs="Times New Roman"/>
              <w:b w:val="0"/>
            </w:rPr>
            <w:t>Sensations and Emotions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_Toc158753993 \h </w:instrText>
          </w:r>
          <w:r>
            <w:rPr>
              <w:rFonts w:ascii="Times New Roman" w:hAnsi="Times New Roman" w:cs="Times New Roman"/>
              <w:b w:val="0"/>
            </w:rPr>
            <w:fldChar w:fldCharType="separate"/>
          </w:r>
          <w:r>
            <w:rPr>
              <w:rFonts w:ascii="Times New Roman" w:hAnsi="Times New Roman" w:cs="Times New Roman"/>
              <w:b w:val="0"/>
            </w:rPr>
            <w:t>31</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"_Toc158753994" </w:instrText>
          </w:r>
          <w:r>
            <w:fldChar w:fldCharType="separate"/>
          </w:r>
          <w:r>
            <w:rPr>
              <w:rStyle w:val="30"/>
              <w:rFonts w:ascii="Times New Roman" w:hAnsi="Times New Roman" w:cs="Times New Roman"/>
              <w:i w:val="0"/>
            </w:rPr>
            <w:t>4.5 Increased Participation of Native-Speaker English at University</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_Toc158753994 \h </w:instrText>
          </w:r>
          <w:r>
            <w:rPr>
              <w:rFonts w:ascii="Times New Roman" w:hAnsi="Times New Roman" w:cs="Times New Roman"/>
              <w:i w:val="0"/>
            </w:rPr>
            <w:fldChar w:fldCharType="separate"/>
          </w:r>
          <w:r>
            <w:rPr>
              <w:rFonts w:ascii="Times New Roman" w:hAnsi="Times New Roman" w:cs="Times New Roman"/>
              <w:i w:val="0"/>
            </w:rPr>
            <w:t>32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"_Toc158753995" </w:instrText>
          </w:r>
          <w:r>
            <w:fldChar w:fldCharType="separate"/>
          </w:r>
          <w:r>
            <w:rPr>
              <w:rStyle w:val="30"/>
              <w:rFonts w:ascii="Times New Roman" w:hAnsi="Times New Roman" w:cs="Times New Roman"/>
              <w:i w:val="0"/>
            </w:rPr>
            <w:t>4.6 Prospective Teaching Plans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_Toc158753995 \h </w:instrText>
          </w:r>
          <w:r>
            <w:rPr>
              <w:rFonts w:ascii="Times New Roman" w:hAnsi="Times New Roman" w:cs="Times New Roman"/>
              <w:i w:val="0"/>
            </w:rPr>
            <w:fldChar w:fldCharType="separate"/>
          </w:r>
          <w:r>
            <w:rPr>
              <w:rFonts w:ascii="Times New Roman" w:hAnsi="Times New Roman" w:cs="Times New Roman"/>
              <w:i w:val="0"/>
            </w:rPr>
            <w:t>32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"_Toc158753996" </w:instrText>
          </w:r>
          <w:r>
            <w:fldChar w:fldCharType="separate"/>
          </w:r>
          <w:r>
            <w:rPr>
              <w:rStyle w:val="30"/>
              <w:rFonts w:ascii="Times New Roman" w:hAnsi="Times New Roman" w:cs="Times New Roman"/>
              <w:b w:val="0"/>
            </w:rPr>
            <w:t>The Function of the Native-Speaker English</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_Toc158753996 \h </w:instrText>
          </w:r>
          <w:r>
            <w:rPr>
              <w:rFonts w:ascii="Times New Roman" w:hAnsi="Times New Roman" w:cs="Times New Roman"/>
              <w:b w:val="0"/>
            </w:rPr>
            <w:fldChar w:fldCharType="separate"/>
          </w:r>
          <w:r>
            <w:rPr>
              <w:rFonts w:ascii="Times New Roman" w:hAnsi="Times New Roman" w:cs="Times New Roman"/>
              <w:b w:val="0"/>
            </w:rPr>
            <w:t>32</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"_Toc158753997" </w:instrText>
          </w:r>
          <w:r>
            <w:fldChar w:fldCharType="separate"/>
          </w:r>
          <w:r>
            <w:rPr>
              <w:rStyle w:val="30"/>
              <w:rFonts w:ascii="Times New Roman" w:hAnsi="Times New Roman" w:cs="Times New Roman"/>
              <w:b w:val="0"/>
            </w:rPr>
            <w:t>The Function of Standard English</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_Toc158753997 \h </w:instrText>
          </w:r>
          <w:r>
            <w:rPr>
              <w:rFonts w:ascii="Times New Roman" w:hAnsi="Times New Roman" w:cs="Times New Roman"/>
              <w:b w:val="0"/>
            </w:rPr>
            <w:fldChar w:fldCharType="separate"/>
          </w:r>
          <w:r>
            <w:rPr>
              <w:rFonts w:ascii="Times New Roman" w:hAnsi="Times New Roman" w:cs="Times New Roman"/>
              <w:b w:val="0"/>
            </w:rPr>
            <w:t>33</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"_Toc158753998" </w:instrText>
          </w:r>
          <w:r>
            <w:fldChar w:fldCharType="separate"/>
          </w:r>
          <w:r>
            <w:rPr>
              <w:rStyle w:val="30"/>
              <w:rFonts w:ascii="Times New Roman" w:hAnsi="Times New Roman" w:cs="Times New Roman"/>
              <w:i w:val="0"/>
            </w:rPr>
            <w:t>Chapter Five: Discussion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_Toc158753998 \h </w:instrText>
          </w:r>
          <w:r>
            <w:rPr>
              <w:rFonts w:ascii="Times New Roman" w:hAnsi="Times New Roman" w:cs="Times New Roman"/>
              <w:i w:val="0"/>
            </w:rPr>
            <w:fldChar w:fldCharType="separate"/>
          </w:r>
          <w:r>
            <w:rPr>
              <w:rFonts w:ascii="Times New Roman" w:hAnsi="Times New Roman" w:cs="Times New Roman"/>
              <w:i w:val="0"/>
            </w:rPr>
            <w:t>34</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"_Toc158753999" </w:instrText>
          </w:r>
          <w:r>
            <w:fldChar w:fldCharType="separate"/>
          </w:r>
          <w:r>
            <w:rPr>
              <w:rStyle w:val="30"/>
              <w:rFonts w:ascii="Times New Roman" w:hAnsi="Times New Roman" w:cs="Times New Roman"/>
              <w:i w:val="0"/>
            </w:rPr>
            <w:t>5.1 What attitudes and impressions of English do Chinese education majors (i.e., pre-service/trainee English teachers) have?</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_Toc158753999 \h </w:instrText>
          </w:r>
          <w:r>
            <w:rPr>
              <w:rFonts w:ascii="Times New Roman" w:hAnsi="Times New Roman" w:cs="Times New Roman"/>
              <w:i w:val="0"/>
            </w:rPr>
            <w:fldChar w:fldCharType="separate"/>
          </w:r>
          <w:r>
            <w:rPr>
              <w:rFonts w:ascii="Times New Roman" w:hAnsi="Times New Roman" w:cs="Times New Roman"/>
              <w:i w:val="0"/>
            </w:rPr>
            <w:t>34</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"_Toc158754000" </w:instrText>
          </w:r>
          <w:r>
            <w:fldChar w:fldCharType="separate"/>
          </w:r>
          <w:r>
            <w:rPr>
              <w:rStyle w:val="30"/>
              <w:rFonts w:ascii="Times New Roman" w:hAnsi="Times New Roman" w:cs="Times New Roman"/>
              <w:b w:val="0"/>
            </w:rPr>
            <w:t>Views of NSE</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_Toc158754000 \h </w:instrText>
          </w:r>
          <w:r>
            <w:rPr>
              <w:rFonts w:ascii="Times New Roman" w:hAnsi="Times New Roman" w:cs="Times New Roman"/>
              <w:b w:val="0"/>
            </w:rPr>
            <w:fldChar w:fldCharType="separate"/>
          </w:r>
          <w:r>
            <w:rPr>
              <w:rFonts w:ascii="Times New Roman" w:hAnsi="Times New Roman" w:cs="Times New Roman"/>
              <w:b w:val="0"/>
            </w:rPr>
            <w:t>34</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"_Toc158754001" </w:instrText>
          </w:r>
          <w:r>
            <w:fldChar w:fldCharType="separate"/>
          </w:r>
          <w:r>
            <w:rPr>
              <w:rStyle w:val="30"/>
              <w:rFonts w:ascii="Times New Roman" w:hAnsi="Times New Roman" w:cs="Times New Roman"/>
              <w:b w:val="0"/>
            </w:rPr>
            <w:t>Views of NNSE (English spoken by non-native speakers)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_Toc158754001 \h </w:instrText>
          </w:r>
          <w:r>
            <w:rPr>
              <w:rFonts w:ascii="Times New Roman" w:hAnsi="Times New Roman" w:cs="Times New Roman"/>
              <w:b w:val="0"/>
            </w:rPr>
            <w:fldChar w:fldCharType="separate"/>
          </w:r>
          <w:r>
            <w:rPr>
              <w:rFonts w:ascii="Times New Roman" w:hAnsi="Times New Roman" w:cs="Times New Roman"/>
              <w:b w:val="0"/>
            </w:rPr>
            <w:t>35</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"_Toc158754002" </w:instrText>
          </w:r>
          <w:r>
            <w:fldChar w:fldCharType="separate"/>
          </w:r>
          <w:r>
            <w:rPr>
              <w:rStyle w:val="30"/>
              <w:rFonts w:ascii="Times New Roman" w:hAnsi="Times New Roman" w:cs="Times New Roman"/>
              <w:b w:val="0"/>
            </w:rPr>
            <w:t>Viewing the NSE as An Objective for Acquiring Knowledge and Skills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_Toc158754002 \h </w:instrText>
          </w:r>
          <w:r>
            <w:rPr>
              <w:rFonts w:ascii="Times New Roman" w:hAnsi="Times New Roman" w:cs="Times New Roman"/>
              <w:b w:val="0"/>
            </w:rPr>
            <w:fldChar w:fldCharType="separate"/>
          </w:r>
          <w:r>
            <w:rPr>
              <w:rFonts w:ascii="Times New Roman" w:hAnsi="Times New Roman" w:cs="Times New Roman"/>
              <w:b w:val="0"/>
            </w:rPr>
            <w:t>36</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120" w:firstLineChars="50"/>
            <w:rPr>
              <w:rFonts w:ascii="Times New Roman" w:hAnsi="Times New Roman" w:cs="Times New Roman"/>
              <w:b w:val="0"/>
              <w:bCs w:val="0"/>
              <w:iCs w:val="0"/>
            </w:rPr>
          </w:pPr>
          <w:r>
            <w:fldChar w:fldCharType="begin"/>
          </w:r>
          <w:r>
            <w:instrText xml:space="preserve"> HYPERLINK \l "_Toc158754003" </w:instrText>
          </w:r>
          <w:r>
            <w:fldChar w:fldCharType="separate"/>
          </w:r>
          <w:r>
            <w:rPr>
              <w:rStyle w:val="30"/>
              <w:rFonts w:ascii="Times New Roman" w:hAnsi="Times New Roman" w:cs="Times New Roman"/>
              <w:i w:val="0"/>
            </w:rPr>
            <w:t>5.2 What Impact will Chinese Education Students’ English Language Learning Experiences have on Their Future Teaching?</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_Toc158754003 \h </w:instrText>
          </w:r>
          <w:r>
            <w:rPr>
              <w:rFonts w:ascii="Times New Roman" w:hAnsi="Times New Roman" w:cs="Times New Roman"/>
              <w:i w:val="0"/>
            </w:rPr>
            <w:fldChar w:fldCharType="separate"/>
          </w:r>
          <w:r>
            <w:rPr>
              <w:rFonts w:ascii="Times New Roman" w:hAnsi="Times New Roman" w:cs="Times New Roman"/>
              <w:i w:val="0"/>
            </w:rPr>
            <w:t>36</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"_Toc158754004" </w:instrText>
          </w:r>
          <w:r>
            <w:fldChar w:fldCharType="separate"/>
          </w:r>
          <w:r>
            <w:rPr>
              <w:rStyle w:val="30"/>
              <w:rFonts w:ascii="Times New Roman" w:hAnsi="Times New Roman" w:cs="Times New Roman"/>
              <w:b w:val="0"/>
            </w:rPr>
            <w:t>The way in which the English language is taught before university</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_Toc158754004 \h </w:instrText>
          </w:r>
          <w:r>
            <w:rPr>
              <w:rFonts w:ascii="Times New Roman" w:hAnsi="Times New Roman" w:cs="Times New Roman"/>
              <w:b w:val="0"/>
            </w:rPr>
            <w:fldChar w:fldCharType="separate"/>
          </w:r>
          <w:r>
            <w:rPr>
              <w:rFonts w:ascii="Times New Roman" w:hAnsi="Times New Roman" w:cs="Times New Roman"/>
              <w:b w:val="0"/>
            </w:rPr>
            <w:t>36</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Cs w:val="0"/>
            </w:rPr>
          </w:pPr>
          <w:r>
            <w:fldChar w:fldCharType="begin"/>
          </w:r>
          <w:r>
            <w:instrText xml:space="preserve"> HYPERLINK \l "_Toc158754005" </w:instrText>
          </w:r>
          <w:r>
            <w:fldChar w:fldCharType="separate"/>
          </w:r>
          <w:r>
            <w:rPr>
              <w:rStyle w:val="30"/>
              <w:rFonts w:ascii="Times New Roman" w:hAnsi="Times New Roman" w:cs="Times New Roman"/>
              <w:b w:val="0"/>
            </w:rPr>
            <w:t>Increased participation of NSE at the university level</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_Toc158754005 \h </w:instrText>
          </w:r>
          <w:r>
            <w:rPr>
              <w:rFonts w:ascii="Times New Roman" w:hAnsi="Times New Roman" w:cs="Times New Roman"/>
              <w:b w:val="0"/>
            </w:rPr>
            <w:fldChar w:fldCharType="separate"/>
          </w:r>
          <w:r>
            <w:rPr>
              <w:rFonts w:ascii="Times New Roman" w:hAnsi="Times New Roman" w:cs="Times New Roman"/>
              <w:b w:val="0"/>
            </w:rPr>
            <w:t>37</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ind w:firstLine="240" w:firstLineChars="100"/>
            <w:rPr>
              <w:rFonts w:ascii="Times New Roman" w:hAnsi="Times New Roman" w:cs="Times New Roman"/>
              <w:b w:val="0"/>
              <w:bCs w:val="0"/>
              <w:i w:val="0"/>
              <w:iCs w:val="0"/>
            </w:rPr>
          </w:pPr>
          <w:r>
            <w:fldChar w:fldCharType="begin"/>
          </w:r>
          <w:r>
            <w:instrText xml:space="preserve"> HYPERLINK \l "_Toc158754006" </w:instrText>
          </w:r>
          <w:r>
            <w:fldChar w:fldCharType="separate"/>
          </w:r>
          <w:r>
            <w:rPr>
              <w:rStyle w:val="30"/>
              <w:rFonts w:ascii="Times New Roman" w:hAnsi="Times New Roman" w:cs="Times New Roman"/>
              <w:b w:val="0"/>
            </w:rPr>
            <w:t>Prospective educational plans</w:t>
          </w:r>
          <w:r>
            <w:rPr>
              <w:rFonts w:ascii="Times New Roman" w:hAnsi="Times New Roman" w:cs="Times New Roman"/>
              <w:b w:val="0"/>
            </w:rPr>
            <w:tab/>
          </w:r>
          <w:r>
            <w:rPr>
              <w:rFonts w:ascii="Times New Roman" w:hAnsi="Times New Roman" w:cs="Times New Roman"/>
              <w:b w:val="0"/>
            </w:rPr>
            <w:fldChar w:fldCharType="begin"/>
          </w:r>
          <w:r>
            <w:rPr>
              <w:rFonts w:ascii="Times New Roman" w:hAnsi="Times New Roman" w:cs="Times New Roman"/>
              <w:b w:val="0"/>
            </w:rPr>
            <w:instrText xml:space="preserve"> PAGEREF _Toc158754006 \h </w:instrText>
          </w:r>
          <w:r>
            <w:rPr>
              <w:rFonts w:ascii="Times New Roman" w:hAnsi="Times New Roman" w:cs="Times New Roman"/>
              <w:b w:val="0"/>
            </w:rPr>
            <w:fldChar w:fldCharType="separate"/>
          </w:r>
          <w:r>
            <w:rPr>
              <w:rFonts w:ascii="Times New Roman" w:hAnsi="Times New Roman" w:cs="Times New Roman"/>
              <w:b w:val="0"/>
            </w:rPr>
            <w:t>37</w:t>
          </w:r>
          <w:r>
            <w:rPr>
              <w:rFonts w:ascii="Times New Roman" w:hAnsi="Times New Roman" w:cs="Times New Roman"/>
              <w:b w:val="0"/>
            </w:rPr>
            <w:fldChar w:fldCharType="end"/>
          </w:r>
          <w:r>
            <w:rPr>
              <w:rFonts w:ascii="Times New Roman" w:hAnsi="Times New Roman" w:cs="Times New Roman"/>
              <w:b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"_Toc158754007" </w:instrText>
          </w:r>
          <w:r>
            <w:fldChar w:fldCharType="separate"/>
          </w:r>
          <w:r>
            <w:rPr>
              <w:rStyle w:val="30"/>
              <w:rFonts w:ascii="Times New Roman" w:hAnsi="Times New Roman" w:cs="Times New Roman"/>
              <w:i w:val="0"/>
              <w:lang w:bidi="ar"/>
            </w:rPr>
            <w:t>Chapter Six: Conclusion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_Toc158754007 \h </w:instrText>
          </w:r>
          <w:r>
            <w:rPr>
              <w:rFonts w:ascii="Times New Roman" w:hAnsi="Times New Roman" w:cs="Times New Roman"/>
              <w:i w:val="0"/>
            </w:rPr>
            <w:fldChar w:fldCharType="separate"/>
          </w:r>
          <w:r>
            <w:rPr>
              <w:rFonts w:ascii="Times New Roman" w:hAnsi="Times New Roman" w:cs="Times New Roman"/>
              <w:i w:val="0"/>
            </w:rPr>
            <w:t>38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"_Toc158754008" </w:instrText>
          </w:r>
          <w:r>
            <w:fldChar w:fldCharType="separate"/>
          </w:r>
          <w:r>
            <w:rPr>
              <w:rStyle w:val="30"/>
              <w:rFonts w:ascii="Times New Roman" w:hAnsi="Times New Roman" w:cs="Times New Roman"/>
              <w:i w:val="0"/>
            </w:rPr>
            <w:t>6.1 Overview</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_Toc158754008 \h </w:instrText>
          </w:r>
          <w:r>
            <w:rPr>
              <w:rFonts w:ascii="Times New Roman" w:hAnsi="Times New Roman" w:cs="Times New Roman"/>
              <w:i w:val="0"/>
            </w:rPr>
            <w:fldChar w:fldCharType="separate"/>
          </w:r>
          <w:r>
            <w:rPr>
              <w:rFonts w:ascii="Times New Roman" w:hAnsi="Times New Roman" w:cs="Times New Roman"/>
              <w:i w:val="0"/>
            </w:rPr>
            <w:t>38</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"_Toc158754009" </w:instrText>
          </w:r>
          <w:r>
            <w:fldChar w:fldCharType="separate"/>
          </w:r>
          <w:r>
            <w:rPr>
              <w:rStyle w:val="30"/>
              <w:rFonts w:ascii="Times New Roman" w:hAnsi="Times New Roman" w:cs="Times New Roman"/>
              <w:i w:val="0"/>
            </w:rPr>
            <w:t>6.2 Educational Implications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_Toc158754009 \h </w:instrText>
          </w:r>
          <w:r>
            <w:rPr>
              <w:rFonts w:ascii="Times New Roman" w:hAnsi="Times New Roman" w:cs="Times New Roman"/>
              <w:i w:val="0"/>
            </w:rPr>
            <w:fldChar w:fldCharType="separate"/>
          </w:r>
          <w:r>
            <w:rPr>
              <w:rFonts w:ascii="Times New Roman" w:hAnsi="Times New Roman" w:cs="Times New Roman"/>
              <w:i w:val="0"/>
            </w:rPr>
            <w:t>39</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ind w:firstLine="120" w:firstLineChars="50"/>
            <w:rPr>
              <w:rFonts w:ascii="Times New Roman" w:hAnsi="Times New Roman" w:cs="Times New Roman"/>
              <w:b w:val="0"/>
              <w:bCs w:val="0"/>
              <w:i w:val="0"/>
              <w:iCs w:val="0"/>
            </w:rPr>
          </w:pPr>
          <w:r>
            <w:fldChar w:fldCharType="begin"/>
          </w:r>
          <w:r>
            <w:instrText xml:space="preserve"> HYPERLINK \l "_Toc158754010" </w:instrText>
          </w:r>
          <w:r>
            <w:fldChar w:fldCharType="separate"/>
          </w:r>
          <w:r>
            <w:rPr>
              <w:rStyle w:val="30"/>
              <w:rFonts w:ascii="Times New Roman" w:hAnsi="Times New Roman" w:cs="Times New Roman"/>
              <w:i w:val="0"/>
            </w:rPr>
            <w:t>6.3 Recommendations for Further Research</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_Toc158754010 \h </w:instrText>
          </w:r>
          <w:r>
            <w:rPr>
              <w:rFonts w:ascii="Times New Roman" w:hAnsi="Times New Roman" w:cs="Times New Roman"/>
              <w:i w:val="0"/>
            </w:rPr>
            <w:fldChar w:fldCharType="separate"/>
          </w:r>
          <w:r>
            <w:rPr>
              <w:rFonts w:ascii="Times New Roman" w:hAnsi="Times New Roman" w:cs="Times New Roman"/>
              <w:i w:val="0"/>
            </w:rPr>
            <w:t>41</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"_Toc158754011" </w:instrText>
          </w:r>
          <w:r>
            <w:fldChar w:fldCharType="separate"/>
          </w:r>
          <w:r>
            <w:rPr>
              <w:rStyle w:val="30"/>
              <w:rFonts w:ascii="Times New Roman" w:hAnsi="Times New Roman" w:cs="Times New Roman"/>
              <w:i w:val="0"/>
            </w:rPr>
            <w:t>References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_Toc158754011 \h </w:instrText>
          </w:r>
          <w:r>
            <w:rPr>
              <w:rFonts w:ascii="Times New Roman" w:hAnsi="Times New Roman" w:cs="Times New Roman"/>
              <w:i w:val="0"/>
            </w:rPr>
            <w:fldChar w:fldCharType="separate"/>
          </w:r>
          <w:r>
            <w:rPr>
              <w:rFonts w:ascii="Times New Roman" w:hAnsi="Times New Roman" w:cs="Times New Roman"/>
              <w:i w:val="0"/>
            </w:rPr>
            <w:t>42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"_Toc158754012" </w:instrText>
          </w:r>
          <w:r>
            <w:fldChar w:fldCharType="separate"/>
          </w:r>
          <w:r>
            <w:rPr>
              <w:rStyle w:val="30"/>
              <w:rFonts w:ascii="Times New Roman" w:hAnsi="Times New Roman" w:cs="Times New Roman"/>
              <w:i w:val="0"/>
            </w:rPr>
            <w:t>Appendix 1</w:t>
          </w:r>
          <w:r>
            <w:rPr>
              <w:rStyle w:val="30"/>
              <w:rFonts w:hint="eastAsia" w:ascii="Times New Roman" w:hAnsi="Times New Roman" w:eastAsia="宋体" w:cs="Times New Roman"/>
              <w:i w:val="0"/>
            </w:rPr>
            <w:t>:</w:t>
          </w:r>
          <w:r>
            <w:rPr>
              <w:rStyle w:val="30"/>
              <w:rFonts w:ascii="Times New Roman" w:hAnsi="Times New Roman" w:eastAsia="宋体" w:cs="Times New Roman"/>
              <w:i w:val="0"/>
            </w:rPr>
            <w:t xml:space="preserve"> </w:t>
          </w:r>
          <w:r>
            <w:rPr>
              <w:rStyle w:val="30"/>
              <w:rFonts w:ascii="Times New Roman" w:hAnsi="Times New Roman" w:cs="Times New Roman"/>
              <w:i w:val="0"/>
            </w:rPr>
            <w:t>Ethics Form</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_Toc158754012 \h </w:instrText>
          </w:r>
          <w:r>
            <w:rPr>
              <w:rFonts w:ascii="Times New Roman" w:hAnsi="Times New Roman" w:cs="Times New Roman"/>
              <w:i w:val="0"/>
            </w:rPr>
            <w:fldChar w:fldCharType="separate"/>
          </w:r>
          <w:r>
            <w:rPr>
              <w:rFonts w:ascii="Times New Roman" w:hAnsi="Times New Roman" w:cs="Times New Roman"/>
              <w:i w:val="0"/>
            </w:rPr>
            <w:t>44</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"_Toc158754013" </w:instrText>
          </w:r>
          <w:r>
            <w:fldChar w:fldCharType="separate"/>
          </w:r>
          <w:r>
            <w:rPr>
              <w:rStyle w:val="30"/>
              <w:rFonts w:ascii="Times New Roman" w:hAnsi="Times New Roman" w:cs="Times New Roman"/>
              <w:i w:val="0"/>
            </w:rPr>
            <w:t>Appendix 2: Schedule of Interviews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_Toc158754013 \h </w:instrText>
          </w:r>
          <w:r>
            <w:rPr>
              <w:rFonts w:ascii="Times New Roman" w:hAnsi="Times New Roman" w:cs="Times New Roman"/>
              <w:i w:val="0"/>
            </w:rPr>
            <w:fldChar w:fldCharType="separate"/>
          </w:r>
          <w:r>
            <w:rPr>
              <w:rFonts w:ascii="Times New Roman" w:hAnsi="Times New Roman" w:cs="Times New Roman"/>
              <w:i w:val="0"/>
            </w:rPr>
            <w:t>61</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"_Toc158754014" </w:instrText>
          </w:r>
          <w:r>
            <w:fldChar w:fldCharType="separate"/>
          </w:r>
          <w:r>
            <w:rPr>
              <w:rStyle w:val="30"/>
              <w:rFonts w:ascii="Times New Roman" w:hAnsi="Times New Roman" w:cs="Times New Roman"/>
              <w:i w:val="0"/>
              <w:lang w:bidi="ar"/>
            </w:rPr>
            <w:t>Appendix 3:</w:t>
          </w:r>
          <w:r>
            <w:rPr>
              <w:rStyle w:val="30"/>
              <w:rFonts w:ascii="Times New Roman" w:hAnsi="Times New Roman" w:cs="Times New Roman"/>
              <w:i w:val="0"/>
              <w:spacing w:val="-14"/>
              <w:lang w:bidi="ar"/>
            </w:rPr>
            <w:t xml:space="preserve"> </w:t>
          </w:r>
          <w:r>
            <w:rPr>
              <w:rStyle w:val="30"/>
              <w:rFonts w:ascii="Times New Roman" w:hAnsi="Times New Roman" w:cs="Times New Roman"/>
              <w:i w:val="0"/>
              <w:lang w:bidi="ar"/>
            </w:rPr>
            <w:t>An Example of An Interview Transcript</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_Toc158754014 \h </w:instrText>
          </w:r>
          <w:r>
            <w:rPr>
              <w:rFonts w:ascii="Times New Roman" w:hAnsi="Times New Roman" w:cs="Times New Roman"/>
              <w:i w:val="0"/>
            </w:rPr>
            <w:fldChar w:fldCharType="separate"/>
          </w:r>
          <w:r>
            <w:rPr>
              <w:rFonts w:ascii="Times New Roman" w:hAnsi="Times New Roman" w:cs="Times New Roman"/>
              <w:i w:val="0"/>
            </w:rPr>
            <w:t>62</w:t>
          </w:r>
          <w:r>
            <w:rPr>
              <w:rFonts w:ascii="Times New Roman" w:hAnsi="Times New Roman" w:cs="Times New Roman"/>
              <w:i w:val="0"/>
            </w:rPr>
            <w:fldChar w:fldCharType="end"/>
          </w:r>
          <w:r>
            <w:rPr>
              <w:rFonts w:ascii="Times New Roman" w:hAnsi="Times New Roman" w:cs="Times New Roman"/>
              <w:i w:val="0"/>
            </w:rPr>
            <w:fldChar w:fldCharType="end"/>
          </w:r>
        </w:p>
        <w:p>
          <w:pPr>
            <w:pStyle w:val="15"/>
            <w:tabs>
              <w:tab w:val="right" w:leader="middleDot" w:pos="8296"/>
            </w:tabs>
            <w:rPr>
              <w:rFonts w:ascii="Times New Roman" w:hAnsi="Times New Roman" w:cs="Times New Roman"/>
              <w:b w:val="0"/>
              <w:bCs w:val="0"/>
              <w:i w:val="0"/>
              <w:iCs w:val="0"/>
            </w:rPr>
          </w:pPr>
          <w:r>
            <w:fldChar w:fldCharType="begin"/>
          </w:r>
          <w:r>
            <w:instrText xml:space="preserve"> HYPERLINK \l "_Toc158754015" </w:instrText>
          </w:r>
          <w:r>
            <w:fldChar w:fldCharType="separate"/>
          </w:r>
          <w:r>
            <w:rPr>
              <w:rStyle w:val="30"/>
              <w:rFonts w:ascii="Times New Roman" w:hAnsi="Times New Roman" w:cs="Times New Roman"/>
              <w:i w:val="0"/>
              <w:lang w:bidi="ar"/>
            </w:rPr>
            <w:t>Appendix 4:</w:t>
          </w:r>
          <w:r>
            <w:rPr>
              <w:rStyle w:val="30"/>
              <w:rFonts w:ascii="Times New Roman" w:hAnsi="Times New Roman" w:cs="Times New Roman"/>
              <w:i w:val="0"/>
              <w:spacing w:val="-14"/>
              <w:lang w:bidi="ar"/>
            </w:rPr>
            <w:t xml:space="preserve"> </w:t>
          </w:r>
          <w:r>
            <w:rPr>
              <w:rStyle w:val="30"/>
              <w:rFonts w:ascii="Times New Roman" w:hAnsi="Times New Roman" w:cs="Times New Roman"/>
              <w:i w:val="0"/>
              <w:lang w:bidi="ar"/>
            </w:rPr>
            <w:t>An Example of Consent Form for Participants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_Toc158754015 \h </w:instrText>
          </w:r>
          <w:r>
            <w:rPr>
              <w:rFonts w:ascii="Times New Roman" w:hAnsi="Times New Roman" w:cs="Times New Roman"/>
              <w:i w:val="0"/>
            </w:rPr>
            <w:fldChar w:fldCharType="separate"/>
          </w:r>
          <w:r>
            <w:rPr>
              <w:rFonts w:ascii="Times New Roman" w:hAnsi="Times New Roman" w:cs="Times New Roman"/>
              <w:i w:val="0"/>
            </w:rPr>
            <w:t>64</w:t>
          </w:r>
          <w:r>
            <w:rPr>
              <w:rFonts w:ascii="Times New Roman" w:hAnsi="Times New Roman" w:cs="Times New Roman"/>
              <w:i w:val="0"/>
            </w:rPr>
            <w:fldChar w:fldCharType="end"/>
          </w:r>
          <w:r>
            <w:rPr>
              <w:rFonts w:ascii="Times New Roman" w:hAnsi="Times New Roman" w:cs="Times New Roman"/>
              <w:i w:val="0"/>
            </w:rPr>
            <w:fldChar w:fldCharType="end"/>
          </w:r>
        </w:p>
        <w:p>
          <w:pPr>
            <w:pStyle w:val="21"/>
            <w:widowControl/>
            <w:jc w:val="center"/>
            <w:rPr>
              <w:rFonts w:ascii="Times New Roman" w:hAnsi="Times New Roman"/>
              <w:lang w:bidi="ar"/>
            </w:rPr>
          </w:pPr>
          <w:r>
            <w:rPr>
              <w:rFonts w:ascii="Times New Roman" w:hAnsi="Times New Roman"/>
              <w:lang w:bidi="ar"/>
            </w:rPr>
            <w:fldChar w:fldCharType="end"/>
          </w:r>
        </w:p>
      </w:sdtContent>
    </w:sdt>
    <w:p>
      <w:pPr>
        <w:pStyle w:val="38"/>
        <w:rPr>
          <w:b w:val="0"/>
        </w:rPr>
      </w:pPr>
      <w:bookmarkStart w:id="7" w:name="_Toc158753947"/>
      <w:bookmarkStart w:id="8" w:name="_Toc2109863318"/>
      <w:bookmarkStart w:id="9" w:name="OLE_LINK26"/>
      <w:bookmarkStart w:id="10" w:name="OLE_LINK17"/>
      <w:bookmarkStart w:id="11" w:name="OLE_LINK16"/>
      <w:r>
        <w:t>Abstract</w:t>
      </w:r>
      <w:bookmarkEnd w:id="7"/>
      <w:bookmarkEnd w:id="8"/>
    </w:p>
    <w:p>
      <w:pPr>
        <w:rPr>
          <w:rFonts w:ascii="Times New Roman" w:hAnsi="Times New Roman" w:cs="Times New Roman"/>
          <w:sz w:val="24"/>
        </w:rPr>
      </w:pPr>
      <w:r>
        <w:rPr>
          <w:rFonts w:ascii="Times New Roman" w:hAnsi="Times New Roman" w:cs="Times New Roman"/>
          <w:sz w:val="24"/>
        </w:rPr>
        <w:t>In recent years, there have been numerous studies examining the perspectives of non-native English speakers towards the English language. These studies indicate that the traditional approaches of language teaching, which emphasize native-speaker norms, are because non-native speakers usually favor mastery of Standard English (SE). This research aims to explore how Chinese pre-service (i.e., trainee) teachers (students studying overseas and majoring in education) interpret English and how their educational experiences have influenced their views on language teaching.</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To gather data, semi-structured interviews were conducted with ten participants. The findings reveal that the participants generally hold unfavorable opinions of the native-speaker norm. Instead, they strive to attain fluency in English and recognize the role of English as a global language. This awareness can be helpful to their learning experiences, exposure to different English dialects, and perceptions of pedagogical approaches. These experiences shape their perspectives as future English teachers.</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These primary results have practical implications for designing university curricula and preparing pre-service teachers in China. It is essential to take into account the participants’ perspectives and incorporate a broader understanding of English language teaching that goes beyond the native-speaker model. By doing so, educational institutions can better prepare future English teachers and adapt their teaching practices accordingly.</w:t>
      </w:r>
    </w:p>
    <w:p>
      <w:pPr>
        <w:rPr>
          <w:rFonts w:ascii="Times New Roman" w:hAnsi="Times New Roman" w:cs="Times New Roman"/>
          <w:sz w:val="24"/>
        </w:rPr>
      </w:pPr>
    </w:p>
    <w:p>
      <w:pPr>
        <w:rPr>
          <w:rFonts w:ascii="Times New Roman" w:hAnsi="Times New Roman" w:cs="Times New Roman"/>
          <w:sz w:val="24"/>
        </w:rPr>
      </w:pPr>
      <w:bookmarkStart w:id="12" w:name="OLE_LINK169"/>
      <w:bookmarkStart w:id="13" w:name="OLE_LINK168"/>
      <w:r>
        <w:rPr>
          <w:rFonts w:ascii="Times New Roman" w:hAnsi="Times New Roman" w:cs="Times New Roman"/>
          <w:sz w:val="24"/>
        </w:rPr>
        <w:t>Key words: native-speaker model, English norms, the notion of standard English,</w:t>
      </w:r>
      <w:r>
        <w:t xml:space="preserve"> </w:t>
      </w:r>
      <w:r>
        <w:rPr>
          <w:rFonts w:hint="eastAsia" w:ascii="Times New Roman" w:hAnsi="Times New Roman" w:cs="Times New Roman"/>
          <w:sz w:val="24"/>
        </w:rPr>
        <w:t>ex</w:t>
      </w:r>
      <w:r>
        <w:rPr>
          <w:rFonts w:ascii="Times New Roman" w:hAnsi="Times New Roman" w:cs="Times New Roman"/>
          <w:sz w:val="24"/>
        </w:rPr>
        <w:t>periences related to acquiring or studying a language</w:t>
      </w:r>
      <w:r>
        <w:rPr>
          <w:rFonts w:hint="eastAsia" w:ascii="Times New Roman" w:hAnsi="Times New Roman" w:cs="Times New Roman"/>
          <w:sz w:val="24"/>
        </w:rPr>
        <w:t>,</w:t>
      </w:r>
      <w:r>
        <w:t xml:space="preserve"> </w:t>
      </w:r>
      <w:r>
        <w:rPr>
          <w:rFonts w:ascii="Times New Roman" w:hAnsi="Times New Roman" w:cs="Times New Roman"/>
          <w:sz w:val="24"/>
        </w:rPr>
        <w:t>English as a lingua franca, English in international contexts.</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bookmarkEnd w:id="12"/>
    <w:bookmarkEnd w:id="13"/>
    <w:p>
      <w:pPr>
        <w:rPr>
          <w:rFonts w:ascii="Times New Roman" w:hAnsi="Times New Roman" w:cs="Times New Roman"/>
          <w:sz w:val="24"/>
        </w:rPr>
      </w:pPr>
    </w:p>
    <w:p>
      <w:pPr>
        <w:rPr>
          <w:rFonts w:ascii="Times New Roman" w:hAnsi="Times New Roman" w:cs="Times New Roman"/>
          <w:sz w:val="24"/>
        </w:rPr>
      </w:pPr>
    </w:p>
    <w:p>
      <w:pPr>
        <w:pStyle w:val="38"/>
      </w:pPr>
      <w:bookmarkStart w:id="14" w:name="_Toc1222806362"/>
      <w:bookmarkStart w:id="15" w:name="_Toc158753948"/>
      <w:r>
        <w:t>Acronym</w:t>
      </w:r>
      <w:bookmarkEnd w:id="14"/>
      <w:bookmarkEnd w:id="15"/>
    </w:p>
    <w:p>
      <w:pPr>
        <w:widowControl/>
        <w:kinsoku w:val="0"/>
        <w:autoSpaceDE w:val="0"/>
        <w:autoSpaceDN w:val="0"/>
        <w:adjustRightInd w:val="0"/>
        <w:snapToGrid w:val="0"/>
        <w:spacing w:line="239" w:lineRule="exact"/>
        <w:textAlignment w:val="baseline"/>
        <w:rPr>
          <w:rFonts w:ascii="Times New Roman" w:hAnsi="Times New Roman" w:cs="Times New Roman"/>
          <w:color w:val="000000"/>
          <w:kern w:val="0"/>
          <w:sz w:val="24"/>
        </w:rPr>
      </w:pPr>
    </w:p>
    <w:tbl>
      <w:tblPr>
        <w:tblStyle w:val="24"/>
        <w:tblW w:w="7846" w:type="dxa"/>
        <w:tblInd w:w="119" w:type="dxa"/>
        <w:tblLayout w:type="fixed"/>
        <w:tblCellMar>
          <w:top w:w="0" w:type="dxa"/>
          <w:left w:w="108" w:type="dxa"/>
          <w:bottom w:w="0" w:type="dxa"/>
          <w:right w:w="108" w:type="dxa"/>
        </w:tblCellMar>
      </w:tblPr>
      <w:tblGrid>
        <w:gridCol w:w="2551"/>
        <w:gridCol w:w="5295"/>
      </w:tblGrid>
      <w:tr>
        <w:trPr>
          <w:trHeight w:val="344"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4"/>
              <w:ind w:left="11"/>
              <w:jc w:val="both"/>
              <w:textAlignment w:val="baseline"/>
              <w:rPr>
                <w:rFonts w:ascii="Times New Roman" w:hAnsi="Times New Roman"/>
                <w:color w:val="000000"/>
              </w:rPr>
            </w:pPr>
            <w:r>
              <w:rPr>
                <w:rFonts w:ascii="Times New Roman" w:hAnsi="Times New Roman"/>
                <w:color w:val="000000"/>
                <w:spacing w:val="-3"/>
              </w:rPr>
              <w:t>CE</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2"/>
              <w:ind w:left="1827"/>
              <w:jc w:val="both"/>
              <w:textAlignment w:val="baseline"/>
              <w:rPr>
                <w:rFonts w:ascii="Times New Roman" w:hAnsi="Times New Roman"/>
                <w:color w:val="000000"/>
              </w:rPr>
            </w:pPr>
            <w:r>
              <w:rPr>
                <w:rFonts w:ascii="Times New Roman" w:hAnsi="Times New Roman"/>
                <w:color w:val="000000"/>
                <w:spacing w:val="-1"/>
              </w:rPr>
              <w:t>Chinese English</w:t>
            </w:r>
          </w:p>
        </w:tc>
      </w:tr>
      <w:tr>
        <w:trPr>
          <w:trHeight w:val="344"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4"/>
              <w:ind w:left="11"/>
              <w:jc w:val="both"/>
              <w:textAlignment w:val="baseline"/>
              <w:rPr>
                <w:rFonts w:ascii="Times New Roman" w:hAnsi="Times New Roman"/>
                <w:color w:val="000000"/>
                <w:spacing w:val="-3"/>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2"/>
              <w:ind w:left="1827"/>
              <w:jc w:val="both"/>
              <w:textAlignment w:val="baseline"/>
              <w:rPr>
                <w:rFonts w:ascii="Times New Roman" w:hAnsi="Times New Roman"/>
                <w:color w:val="000000"/>
                <w:spacing w:val="-1"/>
              </w:rPr>
            </w:pP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rPr>
            </w:pPr>
            <w:r>
              <w:rPr>
                <w:rFonts w:ascii="Times New Roman" w:hAnsi="Times New Roman"/>
                <w:color w:val="000000"/>
                <w:spacing w:val="-2"/>
              </w:rPr>
              <w:t>EFL</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6"/>
              <w:ind w:left="1823"/>
              <w:jc w:val="both"/>
              <w:textAlignment w:val="baseline"/>
              <w:rPr>
                <w:rFonts w:ascii="Times New Roman" w:hAnsi="Times New Roman"/>
                <w:color w:val="000000"/>
                <w:spacing w:val="-1"/>
              </w:rPr>
            </w:pPr>
            <w:r>
              <w:rPr>
                <w:rFonts w:ascii="Times New Roman" w:hAnsi="Times New Roman"/>
                <w:color w:val="000000"/>
                <w:spacing w:val="-1"/>
              </w:rPr>
              <w:t>English as a</w:t>
            </w:r>
            <w:r>
              <w:rPr>
                <w:rFonts w:ascii="Times New Roman" w:hAnsi="Times New Roman"/>
                <w:color w:val="000000"/>
                <w:spacing w:val="11"/>
              </w:rPr>
              <w:t xml:space="preserve"> </w:t>
            </w:r>
            <w:r>
              <w:rPr>
                <w:rFonts w:ascii="Times New Roman" w:hAnsi="Times New Roman"/>
                <w:color w:val="000000"/>
                <w:spacing w:val="-1"/>
              </w:rPr>
              <w:t>foreign</w:t>
            </w:r>
            <w:r>
              <w:rPr>
                <w:rFonts w:ascii="Times New Roman" w:hAnsi="Times New Roman"/>
                <w:color w:val="000000"/>
                <w:spacing w:val="8"/>
              </w:rPr>
              <w:t xml:space="preserve"> </w:t>
            </w:r>
            <w:r>
              <w:rPr>
                <w:rFonts w:ascii="Times New Roman" w:hAnsi="Times New Roman"/>
                <w:color w:val="000000"/>
                <w:spacing w:val="-1"/>
              </w:rPr>
              <w:t>language</w:t>
            </w:r>
          </w:p>
          <w:p>
            <w:pPr>
              <w:pStyle w:val="21"/>
              <w:widowControl/>
              <w:kinsoku w:val="0"/>
              <w:autoSpaceDE w:val="0"/>
              <w:autoSpaceDN w:val="0"/>
              <w:adjustRightInd w:val="0"/>
              <w:snapToGrid w:val="0"/>
              <w:spacing w:before="126"/>
              <w:ind w:left="1823"/>
              <w:jc w:val="both"/>
              <w:textAlignment w:val="baseline"/>
              <w:rPr>
                <w:rFonts w:ascii="Times New Roman" w:hAnsi="Times New Roman"/>
                <w:color w:val="000000"/>
              </w:rPr>
            </w:pP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rPr>
            </w:pPr>
            <w:r>
              <w:rPr>
                <w:rFonts w:ascii="Times New Roman" w:hAnsi="Times New Roman"/>
                <w:color w:val="000000"/>
                <w:spacing w:val="-2"/>
              </w:rPr>
              <w:t xml:space="preserve">EIL   </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6"/>
              <w:ind w:firstLine="240" w:firstLineChars="100"/>
              <w:jc w:val="right"/>
              <w:textAlignment w:val="baseline"/>
              <w:rPr>
                <w:rFonts w:ascii="Times New Roman" w:hAnsi="Times New Roman"/>
                <w:color w:val="000000"/>
              </w:rPr>
            </w:pPr>
            <w:r>
              <w:rPr>
                <w:rFonts w:ascii="Times New Roman" w:hAnsi="Times New Roman"/>
                <w:color w:val="000000"/>
              </w:rPr>
              <w:t>English as an inter</w:t>
            </w:r>
            <w:r>
              <w:rPr>
                <w:rFonts w:ascii="Times New Roman" w:hAnsi="Times New Roman"/>
                <w:color w:val="000000"/>
                <w:spacing w:val="-1"/>
              </w:rPr>
              <w:t>national</w:t>
            </w:r>
            <w:r>
              <w:rPr>
                <w:rFonts w:ascii="Times New Roman" w:hAnsi="Times New Roman"/>
                <w:color w:val="000000"/>
                <w:spacing w:val="7"/>
              </w:rPr>
              <w:t xml:space="preserve"> </w:t>
            </w:r>
            <w:r>
              <w:rPr>
                <w:rFonts w:ascii="Times New Roman" w:hAnsi="Times New Roman"/>
                <w:color w:val="000000"/>
                <w:spacing w:val="-1"/>
              </w:rPr>
              <w:t>language</w:t>
            </w: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spacing w:val="-2"/>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6"/>
              <w:ind w:firstLine="240" w:firstLineChars="100"/>
              <w:jc w:val="right"/>
              <w:textAlignment w:val="baseline"/>
              <w:rPr>
                <w:rFonts w:ascii="Times New Roman" w:hAnsi="Times New Roman"/>
                <w:color w:val="000000"/>
              </w:rPr>
            </w:pP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rPr>
            </w:pPr>
            <w:r>
              <w:rPr>
                <w:rFonts w:ascii="Times New Roman" w:hAnsi="Times New Roman"/>
                <w:color w:val="000000"/>
                <w:spacing w:val="-1"/>
              </w:rPr>
              <w:t>ESL</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ind w:left="1823"/>
              <w:jc w:val="both"/>
              <w:textAlignment w:val="baseline"/>
              <w:rPr>
                <w:rFonts w:ascii="Times New Roman" w:hAnsi="Times New Roman"/>
                <w:color w:val="000000"/>
              </w:rPr>
            </w:pPr>
            <w:r>
              <w:rPr>
                <w:rFonts w:ascii="Times New Roman" w:hAnsi="Times New Roman"/>
                <w:color w:val="000000"/>
                <w:spacing w:val="-1"/>
              </w:rPr>
              <w:t>English as a</w:t>
            </w:r>
            <w:r>
              <w:rPr>
                <w:rFonts w:ascii="Times New Roman" w:hAnsi="Times New Roman"/>
                <w:color w:val="000000"/>
                <w:spacing w:val="11"/>
              </w:rPr>
              <w:t xml:space="preserve"> </w:t>
            </w:r>
            <w:r>
              <w:rPr>
                <w:rFonts w:ascii="Times New Roman" w:hAnsi="Times New Roman"/>
                <w:color w:val="000000"/>
                <w:spacing w:val="-1"/>
              </w:rPr>
              <w:t>second</w:t>
            </w:r>
            <w:r>
              <w:rPr>
                <w:rFonts w:ascii="Times New Roman" w:hAnsi="Times New Roman"/>
                <w:color w:val="000000"/>
                <w:spacing w:val="7"/>
              </w:rPr>
              <w:t xml:space="preserve"> </w:t>
            </w:r>
            <w:r>
              <w:rPr>
                <w:rFonts w:ascii="Times New Roman" w:hAnsi="Times New Roman"/>
                <w:color w:val="000000"/>
                <w:spacing w:val="-1"/>
              </w:rPr>
              <w:t>language</w:t>
            </w: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spacing w:val="-2"/>
              </w:rPr>
            </w:pPr>
          </w:p>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rPr>
            </w:pPr>
            <w:r>
              <w:rPr>
                <w:rFonts w:ascii="Times New Roman" w:hAnsi="Times New Roman"/>
                <w:color w:val="000000"/>
                <w:spacing w:val="-2"/>
              </w:rPr>
              <w:t>ELT</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6"/>
              <w:ind w:left="1823"/>
              <w:jc w:val="both"/>
              <w:textAlignment w:val="baseline"/>
              <w:rPr>
                <w:rFonts w:ascii="Times New Roman" w:hAnsi="Times New Roman"/>
                <w:color w:val="000000"/>
                <w:spacing w:val="-1"/>
              </w:rPr>
            </w:pPr>
          </w:p>
          <w:p>
            <w:pPr>
              <w:pStyle w:val="21"/>
              <w:widowControl/>
              <w:kinsoku w:val="0"/>
              <w:autoSpaceDE w:val="0"/>
              <w:autoSpaceDN w:val="0"/>
              <w:adjustRightInd w:val="0"/>
              <w:snapToGrid w:val="0"/>
              <w:spacing w:before="126"/>
              <w:ind w:left="1823"/>
              <w:jc w:val="both"/>
              <w:textAlignment w:val="baseline"/>
              <w:rPr>
                <w:rFonts w:ascii="Times New Roman" w:hAnsi="Times New Roman"/>
                <w:color w:val="000000"/>
              </w:rPr>
            </w:pPr>
            <w:r>
              <w:rPr>
                <w:rFonts w:ascii="Times New Roman" w:hAnsi="Times New Roman"/>
                <w:color w:val="000000"/>
                <w:spacing w:val="-1"/>
              </w:rPr>
              <w:t>English language teaching</w:t>
            </w: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spacing w:val="-1"/>
              </w:rPr>
            </w:pPr>
          </w:p>
          <w:p>
            <w:pPr>
              <w:pStyle w:val="21"/>
              <w:widowControl/>
              <w:kinsoku w:val="0"/>
              <w:autoSpaceDE w:val="0"/>
              <w:autoSpaceDN w:val="0"/>
              <w:adjustRightInd w:val="0"/>
              <w:snapToGrid w:val="0"/>
              <w:spacing w:before="132"/>
              <w:ind w:left="7"/>
              <w:jc w:val="both"/>
              <w:textAlignment w:val="baseline"/>
              <w:rPr>
                <w:rFonts w:ascii="Times New Roman" w:hAnsi="Times New Roman"/>
                <w:color w:val="000000"/>
                <w:spacing w:val="-1"/>
              </w:rPr>
            </w:pPr>
            <w:r>
              <w:rPr>
                <w:rFonts w:ascii="Times New Roman" w:hAnsi="Times New Roman"/>
                <w:color w:val="000000"/>
              </w:rPr>
              <w:t>NS</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ind w:left="1823"/>
              <w:jc w:val="both"/>
              <w:textAlignment w:val="baseline"/>
              <w:rPr>
                <w:rFonts w:ascii="Times New Roman" w:hAnsi="Times New Roman"/>
                <w:color w:val="000000"/>
                <w:spacing w:val="-1"/>
              </w:rPr>
            </w:pPr>
          </w:p>
          <w:p>
            <w:pPr>
              <w:pStyle w:val="21"/>
              <w:widowControl/>
              <w:kinsoku w:val="0"/>
              <w:autoSpaceDE w:val="0"/>
              <w:autoSpaceDN w:val="0"/>
              <w:adjustRightInd w:val="0"/>
              <w:snapToGrid w:val="0"/>
              <w:spacing w:before="123"/>
              <w:ind w:left="1823"/>
              <w:jc w:val="both"/>
              <w:textAlignment w:val="baseline"/>
              <w:rPr>
                <w:rFonts w:ascii="Times New Roman" w:hAnsi="Times New Roman"/>
                <w:color w:val="000000"/>
                <w:spacing w:val="-1"/>
              </w:rPr>
            </w:pPr>
            <w:r>
              <w:rPr>
                <w:rFonts w:ascii="Times New Roman" w:hAnsi="Times New Roman"/>
                <w:color w:val="000000"/>
              </w:rPr>
              <w:t>Native speaker</w:t>
            </w:r>
          </w:p>
        </w:tc>
      </w:tr>
      <w:tr>
        <w:trPr>
          <w:trHeight w:val="469"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8"/>
              <w:jc w:val="both"/>
              <w:textAlignment w:val="baseline"/>
              <w:rPr>
                <w:rFonts w:ascii="Times New Roman" w:hAnsi="Times New Roman"/>
                <w:color w:val="000000"/>
                <w:spacing w:val="-4"/>
              </w:rPr>
            </w:pPr>
            <w:bookmarkStart w:id="16" w:name="OLE_LINK371"/>
            <w:bookmarkStart w:id="17" w:name="OLE_LINK370"/>
          </w:p>
          <w:p>
            <w:pPr>
              <w:pStyle w:val="21"/>
              <w:widowControl/>
              <w:kinsoku w:val="0"/>
              <w:autoSpaceDE w:val="0"/>
              <w:autoSpaceDN w:val="0"/>
              <w:adjustRightInd w:val="0"/>
              <w:snapToGrid w:val="0"/>
              <w:spacing w:before="128"/>
              <w:jc w:val="both"/>
              <w:textAlignment w:val="baseline"/>
              <w:rPr>
                <w:rFonts w:ascii="Times New Roman" w:hAnsi="Times New Roman"/>
                <w:color w:val="000000"/>
                <w:spacing w:val="-4"/>
              </w:rPr>
            </w:pPr>
            <w:r>
              <w:rPr>
                <w:rFonts w:ascii="Times New Roman" w:hAnsi="Times New Roman"/>
                <w:color w:val="000000"/>
                <w:spacing w:val="-4"/>
              </w:rPr>
              <w:t>SE</w:t>
            </w:r>
          </w:p>
          <w:p>
            <w:pPr>
              <w:pStyle w:val="21"/>
              <w:widowControl/>
              <w:kinsoku w:val="0"/>
              <w:autoSpaceDE w:val="0"/>
              <w:autoSpaceDN w:val="0"/>
              <w:adjustRightInd w:val="0"/>
              <w:snapToGrid w:val="0"/>
              <w:spacing w:before="128"/>
              <w:jc w:val="both"/>
              <w:textAlignment w:val="baseline"/>
              <w:rPr>
                <w:rFonts w:ascii="Times New Roman" w:hAnsi="Times New Roman"/>
                <w:color w:val="000000"/>
              </w:rPr>
            </w:pPr>
          </w:p>
          <w:p>
            <w:pPr>
              <w:pStyle w:val="21"/>
              <w:widowControl/>
              <w:kinsoku w:val="0"/>
              <w:autoSpaceDE w:val="0"/>
              <w:autoSpaceDN w:val="0"/>
              <w:adjustRightInd w:val="0"/>
              <w:snapToGrid w:val="0"/>
              <w:spacing w:before="123"/>
              <w:jc w:val="both"/>
              <w:textAlignment w:val="baseline"/>
              <w:rPr>
                <w:rFonts w:ascii="Times New Roman" w:hAnsi="Times New Roman"/>
                <w:color w:val="000000"/>
              </w:rPr>
            </w:pPr>
            <w:r>
              <w:rPr>
                <w:rFonts w:ascii="Times New Roman" w:hAnsi="Times New Roman"/>
                <w:color w:val="000000"/>
              </w:rPr>
              <w:t>NSE</w:t>
            </w:r>
          </w:p>
          <w:p>
            <w:pPr>
              <w:pStyle w:val="21"/>
              <w:widowControl/>
              <w:kinsoku w:val="0"/>
              <w:autoSpaceDE w:val="0"/>
              <w:autoSpaceDN w:val="0"/>
              <w:adjustRightInd w:val="0"/>
              <w:snapToGrid w:val="0"/>
              <w:spacing w:before="123"/>
              <w:jc w:val="both"/>
              <w:textAlignment w:val="baseline"/>
              <w:rPr>
                <w:rFonts w:ascii="Times New Roman" w:hAnsi="Times New Roman"/>
                <w:color w:val="000000"/>
              </w:rPr>
            </w:pPr>
          </w:p>
          <w:p>
            <w:pPr>
              <w:pStyle w:val="21"/>
              <w:widowControl/>
              <w:kinsoku w:val="0"/>
              <w:autoSpaceDE w:val="0"/>
              <w:autoSpaceDN w:val="0"/>
              <w:adjustRightInd w:val="0"/>
              <w:snapToGrid w:val="0"/>
              <w:spacing w:before="128"/>
              <w:ind w:left="7"/>
              <w:jc w:val="both"/>
              <w:textAlignment w:val="baseline"/>
              <w:rPr>
                <w:rFonts w:ascii="Times New Roman" w:hAnsi="Times New Roman"/>
                <w:color w:val="000000"/>
              </w:rPr>
            </w:pPr>
            <w:r>
              <w:rPr>
                <w:rFonts w:ascii="Times New Roman" w:hAnsi="Times New Roman"/>
                <w:color w:val="000000"/>
              </w:rPr>
              <w:t>NNS</w:t>
            </w: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5"/>
              <w:ind w:left="1815"/>
              <w:jc w:val="both"/>
              <w:textAlignment w:val="baseline"/>
              <w:rPr>
                <w:rFonts w:ascii="Times New Roman" w:hAnsi="Times New Roman"/>
                <w:color w:val="000000"/>
                <w:spacing w:val="-2"/>
              </w:rPr>
            </w:pPr>
          </w:p>
          <w:p>
            <w:pPr>
              <w:pStyle w:val="21"/>
              <w:widowControl/>
              <w:kinsoku w:val="0"/>
              <w:autoSpaceDE w:val="0"/>
              <w:autoSpaceDN w:val="0"/>
              <w:adjustRightInd w:val="0"/>
              <w:snapToGrid w:val="0"/>
              <w:spacing w:before="125"/>
              <w:ind w:left="1815"/>
              <w:jc w:val="both"/>
              <w:textAlignment w:val="baseline"/>
              <w:rPr>
                <w:rFonts w:ascii="Times New Roman" w:hAnsi="Times New Roman"/>
                <w:color w:val="000000"/>
                <w:spacing w:val="-2"/>
              </w:rPr>
            </w:pPr>
            <w:r>
              <w:rPr>
                <w:rFonts w:ascii="Times New Roman" w:hAnsi="Times New Roman"/>
                <w:color w:val="000000"/>
                <w:spacing w:val="-2"/>
              </w:rPr>
              <w:t>Standard English</w:t>
            </w:r>
          </w:p>
          <w:p>
            <w:pPr>
              <w:pStyle w:val="21"/>
              <w:widowControl/>
              <w:kinsoku w:val="0"/>
              <w:autoSpaceDE w:val="0"/>
              <w:autoSpaceDN w:val="0"/>
              <w:adjustRightInd w:val="0"/>
              <w:snapToGrid w:val="0"/>
              <w:spacing w:before="125"/>
              <w:ind w:left="1815"/>
              <w:jc w:val="both"/>
              <w:textAlignment w:val="baseline"/>
              <w:rPr>
                <w:rFonts w:ascii="Times New Roman" w:hAnsi="Times New Roman"/>
                <w:color w:val="000000"/>
              </w:rPr>
            </w:pPr>
          </w:p>
          <w:p>
            <w:pPr>
              <w:pStyle w:val="21"/>
              <w:widowControl/>
              <w:kinsoku w:val="0"/>
              <w:autoSpaceDE w:val="0"/>
              <w:autoSpaceDN w:val="0"/>
              <w:adjustRightInd w:val="0"/>
              <w:snapToGrid w:val="0"/>
              <w:spacing w:before="123"/>
              <w:ind w:left="1815"/>
              <w:jc w:val="both"/>
              <w:textAlignment w:val="baseline"/>
              <w:rPr>
                <w:rFonts w:ascii="Times New Roman" w:hAnsi="Times New Roman"/>
                <w:color w:val="000000"/>
              </w:rPr>
            </w:pPr>
            <w:r>
              <w:rPr>
                <w:rFonts w:ascii="Times New Roman" w:hAnsi="Times New Roman"/>
                <w:color w:val="000000"/>
              </w:rPr>
              <w:t>Native-speaker English</w:t>
            </w:r>
          </w:p>
          <w:p>
            <w:pPr>
              <w:pStyle w:val="21"/>
              <w:widowControl/>
              <w:kinsoku w:val="0"/>
              <w:autoSpaceDE w:val="0"/>
              <w:autoSpaceDN w:val="0"/>
              <w:adjustRightInd w:val="0"/>
              <w:snapToGrid w:val="0"/>
              <w:spacing w:before="123"/>
              <w:ind w:left="1815"/>
              <w:jc w:val="both"/>
              <w:textAlignment w:val="baseline"/>
              <w:rPr>
                <w:rFonts w:ascii="Times New Roman" w:hAnsi="Times New Roman"/>
                <w:color w:val="000000"/>
              </w:rPr>
            </w:pPr>
          </w:p>
          <w:p>
            <w:pPr>
              <w:pStyle w:val="21"/>
              <w:widowControl/>
              <w:kinsoku w:val="0"/>
              <w:autoSpaceDE w:val="0"/>
              <w:autoSpaceDN w:val="0"/>
              <w:adjustRightInd w:val="0"/>
              <w:snapToGrid w:val="0"/>
              <w:spacing w:before="126"/>
              <w:ind w:left="1823"/>
              <w:jc w:val="both"/>
              <w:textAlignment w:val="baseline"/>
              <w:rPr>
                <w:rFonts w:ascii="Times New Roman" w:hAnsi="Times New Roman"/>
                <w:color w:val="000000"/>
              </w:rPr>
            </w:pPr>
            <w:r>
              <w:rPr>
                <w:rFonts w:ascii="Times New Roman" w:hAnsi="Times New Roman"/>
                <w:color w:val="000000"/>
              </w:rPr>
              <w:t>Non-native speaker</w:t>
            </w:r>
          </w:p>
        </w:tc>
      </w:tr>
      <w:bookmarkEnd w:id="16"/>
      <w:bookmarkEnd w:id="17"/>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jc w:val="both"/>
              <w:textAlignment w:val="baseline"/>
              <w:rPr>
                <w:rFonts w:ascii="Times New Roman" w:hAnsi="Times New Roman"/>
                <w:color w:val="000000"/>
              </w:rPr>
            </w:pPr>
            <w:bookmarkStart w:id="18" w:name="_Hlk158385015"/>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ind w:left="1815"/>
              <w:jc w:val="both"/>
              <w:textAlignment w:val="baseline"/>
              <w:rPr>
                <w:rFonts w:ascii="Times New Roman" w:hAnsi="Times New Roman"/>
                <w:color w:val="000000"/>
              </w:rPr>
            </w:pP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jc w:val="both"/>
              <w:textAlignment w:val="baseline"/>
              <w:rPr>
                <w:rFonts w:ascii="Times New Roman" w:hAnsi="Times New Roman"/>
                <w:color w:val="000000"/>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3"/>
              <w:ind w:left="1815"/>
              <w:jc w:val="both"/>
              <w:textAlignment w:val="baseline"/>
              <w:rPr>
                <w:rFonts w:ascii="Times New Roman" w:hAnsi="Times New Roman"/>
                <w:color w:val="000000"/>
              </w:rPr>
            </w:pPr>
          </w:p>
        </w:tc>
      </w:tr>
      <w:bookmarkEnd w:id="18"/>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8"/>
              <w:jc w:val="both"/>
              <w:textAlignment w:val="baseline"/>
              <w:rPr>
                <w:rFonts w:ascii="Times New Roman" w:hAnsi="Times New Roman"/>
                <w:color w:val="000000"/>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5"/>
              <w:ind w:left="1815"/>
              <w:jc w:val="both"/>
              <w:textAlignment w:val="baseline"/>
              <w:rPr>
                <w:rFonts w:ascii="Times New Roman" w:hAnsi="Times New Roman"/>
                <w:color w:val="000000"/>
              </w:rPr>
            </w:pPr>
          </w:p>
        </w:tc>
      </w:tr>
      <w:tr>
        <w:trPr>
          <w:trHeight w:val="468"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8"/>
              <w:jc w:val="both"/>
              <w:textAlignment w:val="baseline"/>
              <w:rPr>
                <w:rFonts w:ascii="Times New Roman" w:hAnsi="Times New Roman"/>
                <w:color w:val="000000"/>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5"/>
              <w:ind w:left="1815"/>
              <w:jc w:val="both"/>
              <w:textAlignment w:val="baseline"/>
              <w:rPr>
                <w:rFonts w:ascii="Times New Roman" w:hAnsi="Times New Roman"/>
                <w:color w:val="000000"/>
              </w:rPr>
            </w:pPr>
          </w:p>
        </w:tc>
      </w:tr>
      <w:tr>
        <w:trPr>
          <w:trHeight w:val="344" w:hRule="atLeast"/>
        </w:trPr>
        <w:tc>
          <w:tcPr>
            <w:tcW w:w="2551"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8"/>
              <w:ind w:left="17"/>
              <w:jc w:val="both"/>
              <w:textAlignment w:val="baseline"/>
              <w:rPr>
                <w:rFonts w:ascii="Times New Roman" w:hAnsi="Times New Roman"/>
                <w:color w:val="000000"/>
              </w:rPr>
            </w:pPr>
          </w:p>
        </w:tc>
        <w:tc>
          <w:tcPr>
            <w:tcW w:w="5295" w:type="dxa"/>
            <w:tcBorders>
              <w:top w:val="nil"/>
              <w:left w:val="nil"/>
              <w:bottom w:val="nil"/>
              <w:right w:val="nil"/>
            </w:tcBorders>
            <w:shd w:val="clear" w:color="auto" w:fill="auto"/>
          </w:tcPr>
          <w:p>
            <w:pPr>
              <w:pStyle w:val="21"/>
              <w:widowControl/>
              <w:kinsoku w:val="0"/>
              <w:autoSpaceDE w:val="0"/>
              <w:autoSpaceDN w:val="0"/>
              <w:adjustRightInd w:val="0"/>
              <w:snapToGrid w:val="0"/>
              <w:spacing w:before="125"/>
              <w:ind w:left="1833"/>
              <w:jc w:val="both"/>
              <w:textAlignment w:val="baseline"/>
              <w:rPr>
                <w:rFonts w:ascii="Times New Roman" w:hAnsi="Times New Roman"/>
                <w:color w:val="000000"/>
              </w:rPr>
            </w:pPr>
          </w:p>
        </w:tc>
      </w:tr>
    </w:tbl>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ascii="Times New Roman" w:hAnsi="Times New Roman" w:cs="Times New Roman"/>
          <w:color w:val="000000"/>
          <w:kern w:val="0"/>
          <w:sz w:val="24"/>
        </w:rPr>
      </w:pPr>
    </w:p>
    <w:p>
      <w:pPr>
        <w:widowControl/>
        <w:kinsoku w:val="0"/>
        <w:autoSpaceDE w:val="0"/>
        <w:autoSpaceDN w:val="0"/>
        <w:adjustRightInd w:val="0"/>
        <w:snapToGrid w:val="0"/>
        <w:textAlignment w:val="baseline"/>
        <w:rPr>
          <w:rFonts w:hint="eastAsia" w:ascii="Times New Roman" w:hAnsi="Times New Roman" w:cs="Times New Roman"/>
          <w:color w:val="000000"/>
          <w:kern w:val="0"/>
          <w:sz w:val="24"/>
        </w:rPr>
      </w:pPr>
    </w:p>
    <w:p>
      <w:pPr>
        <w:pStyle w:val="38"/>
      </w:pPr>
      <w:bookmarkStart w:id="19" w:name="_Toc158753949"/>
      <w:bookmarkStart w:id="20" w:name="_Toc288024344"/>
      <w:r>
        <w:rPr>
          <w:lang w:bidi="ar"/>
        </w:rPr>
        <w:t>Chapter O</w:t>
      </w:r>
      <w:r>
        <w:rPr>
          <w:rFonts w:hint="eastAsia"/>
          <w:lang w:bidi="ar"/>
        </w:rPr>
        <w:t>ne</w:t>
      </w:r>
      <w:r>
        <w:rPr>
          <w:lang w:bidi="ar"/>
        </w:rPr>
        <w:t>: Introduction</w:t>
      </w:r>
      <w:bookmarkEnd w:id="19"/>
      <w:bookmarkEnd w:id="20"/>
    </w:p>
    <w:p>
      <w:pPr>
        <w:pStyle w:val="39"/>
      </w:pPr>
      <w:bookmarkStart w:id="21" w:name="_Toc158753950"/>
      <w:r>
        <w:t>1.1 R</w:t>
      </w:r>
      <w:r>
        <w:rPr>
          <w:rFonts w:hint="eastAsia"/>
        </w:rPr>
        <w:t>esearch</w:t>
      </w:r>
      <w:r>
        <w:t xml:space="preserve"> B</w:t>
      </w:r>
      <w:r>
        <w:rPr>
          <w:rFonts w:hint="eastAsia"/>
        </w:rPr>
        <w:t>ackground</w:t>
      </w:r>
      <w:bookmarkEnd w:id="21"/>
    </w:p>
    <w:p>
      <w:pPr>
        <w:rPr>
          <w:rFonts w:ascii="Times New Roman Regular" w:hAnsi="Times New Roman Regular" w:cs="Times New Roman Regular"/>
          <w:sz w:val="24"/>
        </w:rPr>
      </w:pPr>
      <w:bookmarkStart w:id="22" w:name="OLE_LINK27"/>
      <w:bookmarkStart w:id="23" w:name="OLE_LINK28"/>
      <w:r>
        <w:rPr>
          <w:rFonts w:ascii="Times New Roman Regular" w:hAnsi="Times New Roman Regular" w:cs="Times New Roman Regular"/>
          <w:sz w:val="24"/>
        </w:rPr>
        <w:t>The last several decades have seen a greater spread of English around the globe due to globalization, which has increased the variety of English usage (Zheng, 2009). As a result, the ideas of English as a lingua franca and World English have been put forth. These modifications have questioned both the historical conceptions of the English language and the methods used in language teaching (Mufwene, 2010). Therefore, the main emphasis of this study is how standard English affects the opinions of EFL learners (English as a foreign language), especially regarding their educational experiences.</w:t>
      </w:r>
    </w:p>
    <w:bookmarkEnd w:id="22"/>
    <w:bookmarkEnd w:id="23"/>
    <w:p>
      <w:pPr>
        <w:pStyle w:val="39"/>
      </w:pPr>
      <w:bookmarkStart w:id="24" w:name="_Toc158753951"/>
      <w:r>
        <w:t xml:space="preserve">1.2 </w:t>
      </w:r>
      <w:bookmarkStart w:id="25" w:name="OLE_LINK8"/>
      <w:bookmarkStart w:id="26" w:name="OLE_LINK9"/>
      <w:r>
        <w:t>R</w:t>
      </w:r>
      <w:r>
        <w:rPr>
          <w:rFonts w:hint="eastAsia"/>
        </w:rPr>
        <w:t>ationale</w:t>
      </w:r>
      <w:r>
        <w:t xml:space="preserve"> for the Study from Professional Perspectives</w:t>
      </w:r>
      <w:bookmarkEnd w:id="24"/>
      <w:bookmarkEnd w:id="25"/>
      <w:bookmarkEnd w:id="26"/>
    </w:p>
    <w:p>
      <w:pPr>
        <w:rPr>
          <w:rFonts w:ascii="Times New Roman" w:hAnsi="Times New Roman" w:cs="Times New Roman"/>
          <w:sz w:val="24"/>
        </w:rPr>
      </w:pPr>
      <w:r>
        <w:rPr>
          <w:rFonts w:ascii="Times New Roman" w:hAnsi="Times New Roman" w:cs="Times New Roman"/>
          <w:sz w:val="24"/>
        </w:rPr>
        <w:t>Numerous studies have investigated the attitudes of both EFL students and teachers towards Sociolinguistic Education (SE). However, most research has focused on non-English-speaking students in English-speaking countries. In contrast, the diversity of teacher participants in this area has been relatively limited. Previous studies have primarily concentrated on in-service teachers teaching in national schools, as evidenced by Brutt-Griffler (2002), Hunt and Beglar (2005), and Jenkins et al. (2006).</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Despite the wealth of research on SE, a notable gap exists regarding pre-service  teachers’ perspectives. It is worth mentioning that previous studies, such as those conducted by Davies (2006) and Richardson (2003), have predominantly focused on pre-service teachers. However, these studies primarily examined individuals who received their education exclusively in their home countries. Consequently, the research community has overlooked the consideration of pre-service teachers who have experienced both ESL and EFL learning environments. The unique educational backgrounds of these individuals may lead to distinct perceptions of the English language compared to the participants typically studied.</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Therefore, the main objective of this research is to address this existing gap in the literature by investigating the attitudes of pre-service teachers who have encountered both domestic and foreign learning experiences. By including this specific group of participants, the study aims to provide a more comprehensive understanding of the attitudes towards SE among EFL teachers and contribute to the existing body of knowledge in this field.</w:t>
      </w:r>
    </w:p>
    <w:p>
      <w:pPr>
        <w:pStyle w:val="39"/>
      </w:pPr>
      <w:bookmarkStart w:id="27" w:name="_Toc158753952"/>
      <w:r>
        <w:t>1.3 R</w:t>
      </w:r>
      <w:r>
        <w:rPr>
          <w:rFonts w:hint="eastAsia"/>
        </w:rPr>
        <w:t>ationale</w:t>
      </w:r>
      <w:r>
        <w:t xml:space="preserve"> for the Study from P</w:t>
      </w:r>
      <w:r>
        <w:rPr>
          <w:rFonts w:hint="eastAsia"/>
        </w:rPr>
        <w:t>ersonal</w:t>
      </w:r>
      <w:r>
        <w:t xml:space="preserve"> Perspectives</w:t>
      </w:r>
      <w:bookmarkEnd w:id="27"/>
    </w:p>
    <w:p>
      <w:pPr>
        <w:rPr>
          <w:rFonts w:ascii="Times New Roman" w:hAnsi="Times New Roman" w:cs="Times New Roman"/>
          <w:sz w:val="24"/>
        </w:rPr>
      </w:pPr>
      <w:r>
        <w:rPr>
          <w:rFonts w:ascii="Times New Roman" w:hAnsi="Times New Roman" w:cs="Times New Roman"/>
          <w:sz w:val="24"/>
        </w:rPr>
        <w:t xml:space="preserve">Aside from the academic justification, my selection of this subject has been motivated by personal curiosity. As a Chinese student majoring in education and wishing to be an English teacher in the future, I have encountered two distinct learning environments. Under the guidance of the conventional native-speaker (NS) approach in China, my first objective was to attain native-speaker standards in all linguistic aspects. I have never before considered the practicality and suitability of this teaching style in circumstances where English may be employed as a worldwide language. Nevertheless, my perspectives on English, including the language itself and the learning methods, have transformed since my enrollment as an education student at the University of Wales Trinity Saint David. By immersing myself in other cultures and educational experiences, I have gained a comprehensive understanding of important ideas like Global Englishes and English as a lingua franca (ELF). Additionally, I have developed a heightened awareness of how English learning extends beyond just language proficiency and encompasses larger societal and cultural contexts. </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I have been immersed in an environment that spans a wide range of standards and conventions during the process of learning English, because I have interacted with a large number of native and non-native speakers of English. It has had a significant influence on both my personal learning and the decisions I will make about my future teaching. Hence, exploring the perspectives of other education students who share my educational background in English and language teaching is intriguing and significant. Exploring their attitudes towards NS and understanding how their perceptions have shifted can reduce the influence of Standard English ideology, aid future teaching reforms, and facilitate the teaching of English in China.</w:t>
      </w:r>
    </w:p>
    <w:p>
      <w:pPr>
        <w:pStyle w:val="39"/>
      </w:pPr>
      <w:bookmarkStart w:id="28" w:name="_Toc158753953"/>
      <w:r>
        <w:t xml:space="preserve">1.4 </w:t>
      </w:r>
      <w:bookmarkStart w:id="29" w:name="OLE_LINK226"/>
      <w:bookmarkStart w:id="30" w:name="OLE_LINK225"/>
      <w:r>
        <w:t>Research G</w:t>
      </w:r>
      <w:r>
        <w:rPr>
          <w:rFonts w:hint="eastAsia"/>
        </w:rPr>
        <w:t>o</w:t>
      </w:r>
      <w:r>
        <w:t>al</w:t>
      </w:r>
      <w:r>
        <w:rPr>
          <w:rFonts w:hint="eastAsia"/>
        </w:rPr>
        <w:t>s</w:t>
      </w:r>
      <w:bookmarkEnd w:id="28"/>
      <w:r>
        <w:t xml:space="preserve"> </w:t>
      </w:r>
      <w:bookmarkEnd w:id="29"/>
      <w:bookmarkEnd w:id="30"/>
      <w:bookmarkStart w:id="31" w:name="OLE_LINK436"/>
      <w:bookmarkStart w:id="32" w:name="OLE_LINK437"/>
    </w:p>
    <w:p>
      <w:pPr>
        <w:pStyle w:val="21"/>
        <w:widowControl/>
        <w:jc w:val="both"/>
        <w:rPr>
          <w:rFonts w:ascii="Times New Roman" w:hAnsi="Times New Roman"/>
          <w:lang w:bidi="ar"/>
        </w:rPr>
      </w:pPr>
      <w:r>
        <w:rPr>
          <w:rFonts w:ascii="Times New Roman" w:hAnsi="Times New Roman"/>
          <w:lang w:bidi="ar"/>
        </w:rPr>
        <w:t>The data collected for this study were from Chinese international students, especially those studying in the education program and preparing to become English teachers. Participants came from a wide variety of places in China, which resulted in their educational backgrounds being consistent, while regional disparities in teaching facilities may have existed. Although these students were studying in different sub-divisions of education, in the context of their study abroad background, they used English as a daily language and had a different view of "standard English" than they had before their study abroad; moreover, these students who prefer to teach English had taken courses related to linguistics or pedagogical methodology. Therefore, they have a lot of ideas to share on this topic and are very willing to participate.</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The research mainly aimed to investigate what understanding and attitudes trainee teachers (studying overseas and majoring in education) have towards English and English teaching. Given their dual involvement in this learning phase, the study aims to investigate their perceptions from the viewpoints of both teaching and learning. In other words, the study looks at how their educational experiences will influence the way they teach in the future.</w:t>
      </w:r>
    </w:p>
    <w:p>
      <w:pPr>
        <w:pStyle w:val="21"/>
        <w:widowControl/>
        <w:jc w:val="both"/>
        <w:rPr>
          <w:rFonts w:ascii="Times New Roman" w:hAnsi="Times New Roman"/>
          <w:lang w:bidi="ar"/>
        </w:rPr>
      </w:pPr>
      <w:r>
        <w:rPr>
          <w:rFonts w:hint="eastAsia" w:ascii="Times New Roman" w:hAnsi="Times New Roman"/>
          <w:lang w:bidi="ar"/>
        </w:rPr>
        <w:t>So there are several aims</w:t>
      </w:r>
      <w:r>
        <w:rPr>
          <w:rFonts w:hint="eastAsia" w:ascii="宋体" w:hAnsi="宋体" w:eastAsia="宋体" w:cs="宋体"/>
          <w:lang w:bidi="ar"/>
        </w:rPr>
        <w:t>：</w:t>
      </w:r>
    </w:p>
    <w:p>
      <w:pPr>
        <w:pStyle w:val="21"/>
        <w:widowControl/>
        <w:jc w:val="both"/>
        <w:rPr>
          <w:rFonts w:ascii="Times New Roman" w:hAnsi="Times New Roman"/>
          <w:lang w:bidi="ar"/>
        </w:rPr>
      </w:pPr>
      <w:r>
        <w:rPr>
          <w:rFonts w:ascii="Times New Roman" w:hAnsi="Times New Roman"/>
          <w:lang w:bidi="ar"/>
        </w:rPr>
        <w:t>To investigate what impressions of English these students have.</w:t>
      </w:r>
    </w:p>
    <w:p>
      <w:pPr>
        <w:pStyle w:val="21"/>
        <w:widowControl/>
        <w:jc w:val="both"/>
        <w:rPr>
          <w:rFonts w:ascii="Times New Roman" w:hAnsi="Times New Roman"/>
          <w:lang w:bidi="ar"/>
        </w:rPr>
      </w:pPr>
      <w:r>
        <w:rPr>
          <w:rFonts w:ascii="Times New Roman" w:hAnsi="Times New Roman"/>
          <w:lang w:bidi="ar"/>
        </w:rPr>
        <w:t>To investigate what attitude they have towards English.</w:t>
      </w:r>
    </w:p>
    <w:p>
      <w:pPr>
        <w:pStyle w:val="21"/>
        <w:widowControl/>
        <w:jc w:val="both"/>
        <w:rPr>
          <w:rFonts w:ascii="Times New Roman" w:hAnsi="Times New Roman"/>
          <w:lang w:bidi="ar"/>
        </w:rPr>
      </w:pPr>
      <w:r>
        <w:rPr>
          <w:rFonts w:ascii="Times New Roman" w:hAnsi="Times New Roman"/>
          <w:lang w:bidi="ar"/>
        </w:rPr>
        <w:t>To explore how their English language learning experiences change their impressions and attitudes.</w:t>
      </w:r>
    </w:p>
    <w:p>
      <w:pPr>
        <w:pStyle w:val="21"/>
        <w:widowControl/>
        <w:jc w:val="both"/>
        <w:rPr>
          <w:rFonts w:ascii="Times New Roman" w:hAnsi="Times New Roman"/>
          <w:lang w:bidi="ar"/>
        </w:rPr>
      </w:pPr>
      <w:r>
        <w:rPr>
          <w:rFonts w:ascii="Times New Roman" w:hAnsi="Times New Roman"/>
          <w:lang w:bidi="ar"/>
        </w:rPr>
        <w:t>To explore how these changes will impact these pre-service (i.e., trainee) teachers’ future teaching.</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Two research questions are highlighted as follows:</w:t>
      </w:r>
    </w:p>
    <w:p>
      <w:pPr>
        <w:pStyle w:val="21"/>
        <w:widowControl/>
        <w:jc w:val="both"/>
        <w:rPr>
          <w:rFonts w:ascii="Times New Roman" w:hAnsi="Times New Roman"/>
          <w:lang w:bidi="ar"/>
        </w:rPr>
      </w:pPr>
      <w:bookmarkStart w:id="33" w:name="OLE_LINK48"/>
      <w:bookmarkStart w:id="34" w:name="OLE_LINK47"/>
      <w:r>
        <w:rPr>
          <w:rFonts w:ascii="Times New Roman" w:hAnsi="Times New Roman"/>
          <w:lang w:bidi="ar"/>
        </w:rPr>
        <w:t xml:space="preserve">1) What attitudes and impressions of English do Chinese education majors </w:t>
      </w:r>
      <w:bookmarkStart w:id="35" w:name="OLE_LINK43"/>
      <w:bookmarkStart w:id="36" w:name="OLE_LINK44"/>
      <w:bookmarkStart w:id="37" w:name="OLE_LINK40"/>
      <w:bookmarkStart w:id="38" w:name="OLE_LINK39"/>
      <w:r>
        <w:rPr>
          <w:rFonts w:ascii="Times New Roman" w:hAnsi="Times New Roman"/>
          <w:lang w:bidi="ar"/>
        </w:rPr>
        <w:t>(</w:t>
      </w:r>
      <w:r>
        <w:rPr>
          <w:rFonts w:hint="eastAsia" w:ascii="Times New Roman" w:hAnsi="Times New Roman"/>
          <w:lang w:bidi="ar"/>
        </w:rPr>
        <w:t>i</w:t>
      </w:r>
      <w:r>
        <w:rPr>
          <w:rFonts w:ascii="Times New Roman" w:hAnsi="Times New Roman"/>
          <w:lang w:bidi="ar"/>
        </w:rPr>
        <w:t>.e., pre-service/trainee English teachers)</w:t>
      </w:r>
      <w:bookmarkEnd w:id="35"/>
      <w:bookmarkEnd w:id="36"/>
      <w:r>
        <w:rPr>
          <w:rFonts w:ascii="Times New Roman" w:hAnsi="Times New Roman"/>
          <w:lang w:bidi="ar"/>
        </w:rPr>
        <w:t xml:space="preserve"> </w:t>
      </w:r>
      <w:bookmarkEnd w:id="37"/>
      <w:bookmarkEnd w:id="38"/>
      <w:r>
        <w:rPr>
          <w:rFonts w:ascii="Times New Roman" w:hAnsi="Times New Roman"/>
          <w:lang w:bidi="ar"/>
        </w:rPr>
        <w:t>have?</w:t>
      </w:r>
    </w:p>
    <w:p>
      <w:pPr>
        <w:pStyle w:val="21"/>
        <w:widowControl/>
        <w:jc w:val="both"/>
        <w:rPr>
          <w:rFonts w:ascii="Times New Roman" w:hAnsi="Times New Roman"/>
          <w:lang w:bidi="ar"/>
        </w:rPr>
      </w:pPr>
      <w:r>
        <w:rPr>
          <w:rFonts w:ascii="Times New Roman" w:hAnsi="Times New Roman"/>
          <w:lang w:bidi="ar"/>
        </w:rPr>
        <w:t>2) What impact will Chinese education students’ English language learning experiences have on their future teaching?</w:t>
      </w:r>
      <w:bookmarkEnd w:id="31"/>
      <w:bookmarkEnd w:id="32"/>
    </w:p>
    <w:bookmarkEnd w:id="33"/>
    <w:bookmarkEnd w:id="34"/>
    <w:p>
      <w:pPr>
        <w:pStyle w:val="39"/>
        <w:rPr>
          <w:lang w:bidi="ar"/>
        </w:rPr>
      </w:pPr>
      <w:bookmarkStart w:id="39" w:name="_Toc158753954"/>
      <w:r>
        <w:rPr>
          <w:rFonts w:hint="eastAsia"/>
          <w:lang w:bidi="ar"/>
        </w:rPr>
        <w:t>1</w:t>
      </w:r>
      <w:r>
        <w:rPr>
          <w:lang w:bidi="ar"/>
        </w:rPr>
        <w:t>.5 R</w:t>
      </w:r>
      <w:r>
        <w:rPr>
          <w:rFonts w:hint="eastAsia"/>
          <w:lang w:bidi="ar"/>
        </w:rPr>
        <w:t>esearch</w:t>
      </w:r>
      <w:r>
        <w:rPr>
          <w:lang w:bidi="ar"/>
        </w:rPr>
        <w:t xml:space="preserve"> S</w:t>
      </w:r>
      <w:r>
        <w:rPr>
          <w:rFonts w:hint="eastAsia"/>
          <w:lang w:bidi="ar"/>
        </w:rPr>
        <w:t>ignificance</w:t>
      </w:r>
      <w:bookmarkEnd w:id="39"/>
      <w:r>
        <w:rPr>
          <w:lang w:bidi="ar"/>
        </w:rPr>
        <w:t xml:space="preserve"> </w:t>
      </w:r>
    </w:p>
    <w:p>
      <w:pPr>
        <w:pStyle w:val="21"/>
        <w:widowControl/>
        <w:jc w:val="both"/>
        <w:rPr>
          <w:rFonts w:ascii="Times New Roman" w:hAnsi="Times New Roman"/>
          <w:lang w:bidi="ar"/>
        </w:rPr>
      </w:pPr>
      <w:r>
        <w:rPr>
          <w:rFonts w:ascii="Times New Roman" w:hAnsi="Times New Roman"/>
          <w:lang w:bidi="ar"/>
        </w:rPr>
        <w:t>This investigation endeavors to contribute to the field of Chinese ELT by addressing these research concerns in a theoretical and practical way. Theoretically, it could provide information regarding the future teaching expectations and perspectives of Chinese trainee English teachers regarding the English language. With this knowledge, educational authorities and institutions should have a rough sense of the possible effect these prospective teachers may bring to teaching procedures. As a result, relevant teaching resources, such as teaching materials and teacher education, might be tailored to better suit the teachers’ preferences. Identifying possible aspects of the learning process might help guide future development and study.</w:t>
      </w:r>
    </w:p>
    <w:p>
      <w:pPr>
        <w:pStyle w:val="39"/>
        <w:rPr>
          <w:lang w:bidi="ar"/>
        </w:rPr>
      </w:pPr>
      <w:bookmarkStart w:id="40" w:name="_Toc158753955"/>
      <w:r>
        <w:rPr>
          <w:lang w:bidi="ar"/>
        </w:rPr>
        <w:t xml:space="preserve">1.6 </w:t>
      </w:r>
      <w:bookmarkStart w:id="41" w:name="OLE_LINK234"/>
      <w:bookmarkStart w:id="42" w:name="OLE_LINK233"/>
      <w:r>
        <w:rPr>
          <w:lang w:bidi="ar"/>
        </w:rPr>
        <w:t>Structure</w:t>
      </w:r>
      <w:bookmarkEnd w:id="40"/>
      <w:r>
        <w:rPr>
          <w:lang w:bidi="ar"/>
        </w:rPr>
        <w:t xml:space="preserve"> </w:t>
      </w:r>
      <w:bookmarkEnd w:id="41"/>
      <w:bookmarkEnd w:id="42"/>
    </w:p>
    <w:p>
      <w:pPr>
        <w:pStyle w:val="21"/>
        <w:widowControl/>
        <w:jc w:val="both"/>
        <w:rPr>
          <w:rFonts w:ascii="Times New Roman" w:hAnsi="Times New Roman"/>
          <w:lang w:bidi="ar"/>
        </w:rPr>
      </w:pPr>
      <w:r>
        <w:rPr>
          <w:rFonts w:ascii="Times New Roman" w:hAnsi="Times New Roman"/>
          <w:lang w:bidi="ar"/>
        </w:rPr>
        <w:t>This thesis consists of six chapters. Each chapter begins with a comprehensive study of the foundational literature. The second chapter covers academic definitions, disputes over using the NS model in ELT, and contemporary research on teachers’ and learners’ views towards English and this conventional approach. The third chapter gives information on the study’s research design, discussing how the samples were selected, and why the data was collected and analyzed. Chapter Four uses three figures to report the significant results and data analysis procedure. Chapter Five discusses the analytic results, focusing on the contextual elements contributing to certain scenarios and how the conclusions vary from those of earlier research. In addition to providing a summary of the study, Chapter Six analyses its educational implications and proposes avenues for future study.</w:t>
      </w:r>
    </w:p>
    <w:p>
      <w:pPr>
        <w:pStyle w:val="38"/>
      </w:pPr>
      <w:bookmarkStart w:id="43" w:name="_Toc397009270"/>
      <w:bookmarkStart w:id="44" w:name="_Toc158753956"/>
      <w:r>
        <w:rPr>
          <w:lang w:bidi="ar"/>
        </w:rPr>
        <w:t>Chapter T</w:t>
      </w:r>
      <w:r>
        <w:rPr>
          <w:rFonts w:hint="eastAsia"/>
          <w:lang w:bidi="ar"/>
        </w:rPr>
        <w:t>wo</w:t>
      </w:r>
      <w:r>
        <w:rPr>
          <w:lang w:bidi="ar"/>
        </w:rPr>
        <w:t>: Literature R</w:t>
      </w:r>
      <w:r>
        <w:rPr>
          <w:rFonts w:hint="eastAsia"/>
          <w:lang w:bidi="ar"/>
        </w:rPr>
        <w:t>e</w:t>
      </w:r>
      <w:r>
        <w:rPr>
          <w:lang w:bidi="ar"/>
        </w:rPr>
        <w:t>view</w:t>
      </w:r>
      <w:bookmarkEnd w:id="43"/>
      <w:bookmarkEnd w:id="44"/>
    </w:p>
    <w:p>
      <w:pPr>
        <w:pStyle w:val="39"/>
        <w:rPr>
          <w:lang w:bidi="ar"/>
        </w:rPr>
      </w:pPr>
      <w:bookmarkStart w:id="45" w:name="_Toc158753957"/>
      <w:bookmarkStart w:id="46" w:name="OLE_LINK174"/>
      <w:bookmarkStart w:id="47" w:name="OLE_LINK175"/>
      <w:r>
        <w:rPr>
          <w:lang w:bidi="ar"/>
        </w:rPr>
        <w:t>2.1 I</w:t>
      </w:r>
      <w:r>
        <w:rPr>
          <w:rFonts w:hint="eastAsia"/>
          <w:lang w:bidi="ar"/>
        </w:rPr>
        <w:t>ntroduction</w:t>
      </w:r>
      <w:bookmarkEnd w:id="45"/>
      <w:r>
        <w:rPr>
          <w:lang w:bidi="ar"/>
        </w:rPr>
        <w:t xml:space="preserve"> </w:t>
      </w:r>
    </w:p>
    <w:p>
      <w:pPr>
        <w:pStyle w:val="21"/>
        <w:widowControl/>
        <w:jc w:val="both"/>
        <w:rPr>
          <w:rFonts w:ascii="Times New Roman" w:hAnsi="Times New Roman"/>
          <w:lang w:bidi="ar"/>
        </w:rPr>
      </w:pPr>
      <w:r>
        <w:rPr>
          <w:rFonts w:ascii="Times New Roman" w:hAnsi="Times New Roman"/>
          <w:lang w:bidi="ar"/>
        </w:rPr>
        <w:t xml:space="preserve">This chapter </w:t>
      </w:r>
      <w:r>
        <w:rPr>
          <w:rFonts w:hint="eastAsia" w:ascii="Times New Roman" w:hAnsi="Times New Roman"/>
          <w:lang w:bidi="ar"/>
        </w:rPr>
        <w:t>first</w:t>
      </w:r>
      <w:r>
        <w:rPr>
          <w:rFonts w:ascii="Times New Roman" w:hAnsi="Times New Roman"/>
          <w:lang w:bidi="ar"/>
        </w:rPr>
        <w:t xml:space="preserve"> discusses the current definition of Standard English and how it is widely used in the teaching of English. In addition, how learners perceive Standard English is also an important topic. As key terms are interpreted differently in different literatures, the meaning of each term is clarified at the beginning of each subsection.</w:t>
      </w:r>
      <w:r>
        <w:rPr>
          <w:rFonts w:hint="eastAsia" w:ascii="Times New Roman" w:hAnsi="Times New Roman"/>
          <w:lang w:bidi="ar"/>
        </w:rPr>
        <w:t xml:space="preserve"> </w:t>
      </w:r>
      <w:r>
        <w:rPr>
          <w:rFonts w:ascii="Times New Roman" w:hAnsi="Times New Roman"/>
          <w:lang w:bidi="ar"/>
        </w:rPr>
        <w:t>It is worth noting that SE ideology does not only have an impact on language teaching and learning (for non-native speaker learner countries), but equally has a political impact, which is also explored in this chapter.</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Furthermore, the chapter presents an overview of several empirical investigations conducted in the field. These studies offer valuable insights into the practical manifestations of SE and shed light on the perspectives of non-native speakers towards this linguistic norm.</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In conclusion, the chapter summarizes the key findings and provides an assessment of the existing literature. It also identifies a potential gap or deficiency in the current research, suggesting areas for future investigation and further scholarly inquiry.</w:t>
      </w:r>
    </w:p>
    <w:bookmarkEnd w:id="46"/>
    <w:bookmarkEnd w:id="47"/>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This research study used a sociolinguistic viewpoint to examine the use of language in education. From this viewpoint, the practical application of a language is influenced by many social situations, and effective communication requires more than simply the linguistic proficiency (</w:t>
      </w:r>
      <w:bookmarkStart w:id="48" w:name="OLE_LINK19"/>
      <w:bookmarkStart w:id="49" w:name="OLE_LINK18"/>
      <w:r>
        <w:rPr>
          <w:rFonts w:ascii="Times New Roman" w:hAnsi="Times New Roman"/>
          <w:lang w:bidi="ar"/>
        </w:rPr>
        <w:t>i.e.</w:t>
      </w:r>
      <w:bookmarkEnd w:id="48"/>
      <w:bookmarkEnd w:id="49"/>
      <w:r>
        <w:rPr>
          <w:rFonts w:ascii="Times New Roman" w:hAnsi="Times New Roman"/>
          <w:lang w:bidi="ar"/>
        </w:rPr>
        <w:t xml:space="preserve"> basic language understanding) of individuals (</w:t>
      </w:r>
      <w:bookmarkStart w:id="50" w:name="OLE_LINK256"/>
      <w:bookmarkStart w:id="51" w:name="OLE_LINK255"/>
      <w:r>
        <w:rPr>
          <w:rFonts w:ascii="Times New Roman" w:hAnsi="Times New Roman" w:eastAsia="宋体"/>
        </w:rPr>
        <w:t>Hunt</w:t>
      </w:r>
      <w:bookmarkEnd w:id="50"/>
      <w:bookmarkEnd w:id="51"/>
      <w:r>
        <w:rPr>
          <w:rFonts w:ascii="Times New Roman" w:hAnsi="Times New Roman" w:eastAsia="宋体"/>
        </w:rPr>
        <w:t xml:space="preserve"> </w:t>
      </w:r>
      <w:r>
        <w:rPr>
          <w:rFonts w:hint="eastAsia" w:ascii="Times New Roman" w:hAnsi="Times New Roman" w:eastAsia="宋体"/>
        </w:rPr>
        <w:t>and</w:t>
      </w:r>
      <w:r>
        <w:rPr>
          <w:rFonts w:ascii="Times New Roman" w:hAnsi="Times New Roman" w:eastAsia="宋体"/>
        </w:rPr>
        <w:t xml:space="preserve"> </w:t>
      </w:r>
      <w:bookmarkStart w:id="52" w:name="OLE_LINK258"/>
      <w:bookmarkStart w:id="53" w:name="OLE_LINK257"/>
      <w:r>
        <w:rPr>
          <w:rFonts w:ascii="Times New Roman" w:hAnsi="Times New Roman" w:eastAsia="宋体"/>
        </w:rPr>
        <w:t>Beglar</w:t>
      </w:r>
      <w:bookmarkEnd w:id="52"/>
      <w:bookmarkEnd w:id="53"/>
      <w:r>
        <w:rPr>
          <w:rFonts w:ascii="Times New Roman" w:hAnsi="Times New Roman" w:eastAsia="宋体"/>
        </w:rPr>
        <w:t>, 2005</w:t>
      </w:r>
      <w:r>
        <w:rPr>
          <w:rFonts w:ascii="Times New Roman" w:hAnsi="Times New Roman"/>
          <w:lang w:bidi="ar"/>
        </w:rPr>
        <w:t>). Language fulfills a social function by facilitating communication and enabling individuals to overcome barriers during social interactions (</w:t>
      </w:r>
      <w:bookmarkStart w:id="54" w:name="OLE_LINK176"/>
      <w:bookmarkStart w:id="55" w:name="OLE_LINK177"/>
      <w:r>
        <w:rPr>
          <w:rFonts w:ascii="Times New Roman" w:hAnsi="Times New Roman"/>
          <w:lang w:bidi="ar"/>
        </w:rPr>
        <w:t>Mitchell, Myles</w:t>
      </w:r>
      <w:bookmarkEnd w:id="54"/>
      <w:bookmarkEnd w:id="55"/>
      <w:r>
        <w:rPr>
          <w:rFonts w:ascii="Times New Roman" w:hAnsi="Times New Roman"/>
          <w:lang w:bidi="ar"/>
        </w:rPr>
        <w:t xml:space="preserve">, and </w:t>
      </w:r>
      <w:bookmarkStart w:id="56" w:name="OLE_LINK190"/>
      <w:bookmarkStart w:id="57" w:name="OLE_LINK178"/>
      <w:r>
        <w:rPr>
          <w:rFonts w:ascii="Times New Roman" w:hAnsi="Times New Roman"/>
          <w:lang w:bidi="ar"/>
        </w:rPr>
        <w:t>Marsden</w:t>
      </w:r>
      <w:bookmarkEnd w:id="56"/>
      <w:bookmarkEnd w:id="57"/>
      <w:r>
        <w:rPr>
          <w:rFonts w:ascii="Times New Roman" w:hAnsi="Times New Roman"/>
          <w:lang w:bidi="ar"/>
        </w:rPr>
        <w:t>, 2019). Sociolinguistics views language learning as a process constructed by the learner’s interaction with society. In this process, learners learn language by participating in social activities (</w:t>
      </w:r>
      <w:r>
        <w:rPr>
          <w:rFonts w:ascii="Times New Roman" w:hAnsi="Times New Roman" w:eastAsia="宋体"/>
          <w:color w:val="222222"/>
          <w:shd w:val="clear" w:color="auto" w:fill="FFFFFF"/>
        </w:rPr>
        <w:t>Akiba</w:t>
      </w:r>
      <w:r>
        <w:rPr>
          <w:rFonts w:ascii="Times New Roman" w:hAnsi="Times New Roman"/>
          <w:lang w:bidi="ar"/>
        </w:rPr>
        <w:t xml:space="preserve">, </w:t>
      </w:r>
      <w:r>
        <w:rPr>
          <w:rFonts w:ascii="Times New Roman" w:hAnsi="Times New Roman" w:eastAsia="宋体"/>
          <w:color w:val="222222"/>
          <w:shd w:val="clear" w:color="auto" w:fill="FFFFFF"/>
        </w:rPr>
        <w:t>2011</w:t>
      </w:r>
      <w:r>
        <w:rPr>
          <w:rFonts w:ascii="Times New Roman" w:hAnsi="Times New Roman"/>
          <w:lang w:bidi="ar"/>
        </w:rPr>
        <w:t>); moreover, different social activities or environments can enhance learners’ acquisition skills. (</w:t>
      </w:r>
      <w:bookmarkStart w:id="58" w:name="OLE_LINK192"/>
      <w:bookmarkStart w:id="59" w:name="OLE_LINK191"/>
      <w:r>
        <w:rPr>
          <w:rFonts w:ascii="Times New Roman" w:hAnsi="Times New Roman"/>
          <w:lang w:bidi="ar"/>
        </w:rPr>
        <w:t>Saville-Troike and Barto</w:t>
      </w:r>
      <w:bookmarkEnd w:id="58"/>
      <w:bookmarkEnd w:id="59"/>
      <w:r>
        <w:rPr>
          <w:rFonts w:ascii="Times New Roman" w:hAnsi="Times New Roman"/>
          <w:lang w:bidi="ar"/>
        </w:rPr>
        <w:t>, 2017). Therefore, us</w:t>
      </w:r>
      <w:r>
        <w:rPr>
          <w:rFonts w:hint="eastAsia" w:ascii="Times New Roman" w:hAnsi="Times New Roman"/>
          <w:lang w:bidi="ar"/>
        </w:rPr>
        <w:t>ing</w:t>
      </w:r>
      <w:r>
        <w:rPr>
          <w:rFonts w:ascii="Times New Roman" w:hAnsi="Times New Roman"/>
          <w:lang w:bidi="ar"/>
        </w:rPr>
        <w:t xml:space="preserve"> the Ethnography of Communication framework (</w:t>
      </w:r>
      <w:bookmarkStart w:id="60" w:name="OLE_LINK253"/>
      <w:bookmarkStart w:id="61" w:name="OLE_LINK254"/>
      <w:r>
        <w:rPr>
          <w:rFonts w:ascii="Times New Roman" w:hAnsi="Times New Roman" w:eastAsia="宋体"/>
          <w:color w:val="222222"/>
          <w:shd w:val="clear" w:color="auto" w:fill="FFFFFF"/>
        </w:rPr>
        <w:t>Jenkins</w:t>
      </w:r>
      <w:bookmarkEnd w:id="60"/>
      <w:bookmarkEnd w:id="61"/>
      <w:r>
        <w:rPr>
          <w:rFonts w:ascii="Times New Roman" w:hAnsi="Times New Roman"/>
          <w:lang w:bidi="ar"/>
        </w:rPr>
        <w:t xml:space="preserve">, 2006) to examine the impact of social circumstances on language acquisition </w:t>
      </w:r>
      <w:r>
        <w:rPr>
          <w:rFonts w:hint="eastAsia" w:ascii="Times New Roman" w:hAnsi="Times New Roman"/>
          <w:lang w:bidi="ar"/>
        </w:rPr>
        <w:t>is</w:t>
      </w:r>
      <w:r>
        <w:rPr>
          <w:rFonts w:ascii="Times New Roman" w:hAnsi="Times New Roman"/>
          <w:lang w:bidi="ar"/>
        </w:rPr>
        <w:t xml:space="preserve"> </w:t>
      </w:r>
      <w:r>
        <w:rPr>
          <w:rFonts w:hint="eastAsia" w:ascii="Times New Roman" w:hAnsi="Times New Roman"/>
          <w:lang w:bidi="ar"/>
        </w:rPr>
        <w:t>advantageous</w:t>
      </w:r>
      <w:r>
        <w:rPr>
          <w:rFonts w:ascii="Times New Roman" w:hAnsi="Times New Roman"/>
          <w:lang w:bidi="ar"/>
        </w:rPr>
        <w:t>, especially. In the process of language acquisition, several microsocial and macrosocial elements play a role. These aspects include the power dynamics between the learner’s native language and second language, as well as their relative status (Saville-Troike and Barto, 2017). In addition, linguistic ideologies serve as a means of expressing commonly held beliefs about these more extensive societal variables in the context of language acquisition (Murtafiah et al., 2024).</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Essentially, this study posits that language acquisition is not just a matter of linguistics, but is also impacted by social elements. Hence, this study is based on the premise that the power dynamics between languages, along with linguistic ideologies, are expected to influence the research topic - the views of English and prospective pedagogical applications among Chinese pre-service teachers.</w:t>
      </w:r>
    </w:p>
    <w:p>
      <w:pPr>
        <w:pStyle w:val="39"/>
      </w:pPr>
      <w:bookmarkStart w:id="62" w:name="_Toc158753958"/>
      <w:bookmarkStart w:id="63" w:name="OLE_LINK242"/>
      <w:bookmarkStart w:id="64" w:name="OLE_LINK241"/>
      <w:r>
        <w:rPr>
          <w:lang w:bidi="ar"/>
        </w:rPr>
        <w:t>2.2 The L</w:t>
      </w:r>
      <w:r>
        <w:rPr>
          <w:rFonts w:hint="eastAsia"/>
          <w:lang w:bidi="ar"/>
        </w:rPr>
        <w:t>i</w:t>
      </w:r>
      <w:r>
        <w:rPr>
          <w:lang w:bidi="ar"/>
        </w:rPr>
        <w:t>nguistic Ideology Pertaining to S</w:t>
      </w:r>
      <w:r>
        <w:rPr>
          <w:rFonts w:hint="eastAsia"/>
          <w:lang w:bidi="ar"/>
        </w:rPr>
        <w:t>t</w:t>
      </w:r>
      <w:r>
        <w:rPr>
          <w:lang w:bidi="ar"/>
        </w:rPr>
        <w:t>andard English</w:t>
      </w:r>
      <w:bookmarkEnd w:id="62"/>
    </w:p>
    <w:bookmarkEnd w:id="63"/>
    <w:bookmarkEnd w:id="64"/>
    <w:p>
      <w:pPr>
        <w:pStyle w:val="21"/>
        <w:widowControl/>
        <w:jc w:val="both"/>
        <w:rPr>
          <w:rFonts w:ascii="Times New Roman" w:hAnsi="Times New Roman"/>
        </w:rPr>
      </w:pPr>
      <w:bookmarkStart w:id="65" w:name="OLE_LINK179"/>
      <w:bookmarkStart w:id="66" w:name="OLE_LINK180"/>
      <w:r>
        <w:rPr>
          <w:rFonts w:ascii="Times New Roman" w:hAnsi="Times New Roman"/>
          <w:lang w:bidi="ar"/>
        </w:rPr>
        <w:t xml:space="preserve">In this section, the focus is on exploring the ideology surrounding standard language, with a specific emphasis on English, in order to establish the conceptual background for the present study. To facilitate the discussion, the section begins by examining the fundamental characteristics of standard English (SE), and </w:t>
      </w:r>
      <w:r>
        <w:rPr>
          <w:rFonts w:hint="eastAsia" w:ascii="Times New Roman" w:hAnsi="Times New Roman"/>
          <w:lang w:bidi="ar"/>
        </w:rPr>
        <w:t>then</w:t>
      </w:r>
      <w:r>
        <w:rPr>
          <w:rFonts w:ascii="Times New Roman" w:hAnsi="Times New Roman"/>
          <w:lang w:bidi="ar"/>
        </w:rPr>
        <w:t xml:space="preserve"> by </w:t>
      </w:r>
      <w:r>
        <w:rPr>
          <w:rFonts w:hint="eastAsia" w:ascii="Times New Roman" w:hAnsi="Times New Roman"/>
          <w:lang w:bidi="ar"/>
        </w:rPr>
        <w:t>the</w:t>
      </w:r>
      <w:r>
        <w:rPr>
          <w:rFonts w:ascii="Times New Roman" w:hAnsi="Times New Roman"/>
          <w:lang w:bidi="ar"/>
        </w:rPr>
        <w:t xml:space="preserve"> assessment of its </w:t>
      </w:r>
      <w:r>
        <w:rPr>
          <w:rFonts w:hint="eastAsia" w:ascii="Times New Roman" w:hAnsi="Times New Roman"/>
          <w:lang w:bidi="ar"/>
        </w:rPr>
        <w:t>effect</w:t>
      </w:r>
      <w:r>
        <w:rPr>
          <w:rFonts w:ascii="Times New Roman" w:hAnsi="Times New Roman"/>
          <w:lang w:bidi="ar"/>
        </w:rPr>
        <w:t xml:space="preserve"> </w:t>
      </w:r>
      <w:r>
        <w:rPr>
          <w:rFonts w:hint="eastAsia" w:ascii="Times New Roman" w:hAnsi="Times New Roman"/>
          <w:lang w:bidi="ar"/>
        </w:rPr>
        <w:t>o</w:t>
      </w:r>
      <w:r>
        <w:rPr>
          <w:rFonts w:ascii="Times New Roman" w:hAnsi="Times New Roman"/>
          <w:lang w:bidi="ar"/>
        </w:rPr>
        <w:t>n society.</w:t>
      </w:r>
    </w:p>
    <w:bookmarkEnd w:id="65"/>
    <w:bookmarkEnd w:id="66"/>
    <w:p>
      <w:pPr>
        <w:pStyle w:val="22"/>
      </w:pPr>
      <w:bookmarkStart w:id="67" w:name="_Toc303109661"/>
      <w:bookmarkStart w:id="68" w:name="_Toc158753959"/>
      <w:bookmarkStart w:id="69" w:name="OLE_LINK244"/>
      <w:bookmarkStart w:id="70" w:name="OLE_LINK243"/>
      <w:r>
        <w:rPr>
          <w:lang w:bidi="ar"/>
        </w:rPr>
        <w:t>Definition</w:t>
      </w:r>
      <w:bookmarkEnd w:id="67"/>
      <w:r>
        <w:rPr>
          <w:lang w:bidi="ar"/>
        </w:rPr>
        <w:t xml:space="preserve"> </w:t>
      </w:r>
      <w:r>
        <w:rPr>
          <w:rFonts w:hint="eastAsia"/>
          <w:lang w:bidi="ar"/>
        </w:rPr>
        <w:t>of</w:t>
      </w:r>
      <w:r>
        <w:rPr>
          <w:lang w:bidi="ar"/>
        </w:rPr>
        <w:t xml:space="preserve"> S</w:t>
      </w:r>
      <w:r>
        <w:rPr>
          <w:rFonts w:hint="eastAsia"/>
          <w:lang w:bidi="ar"/>
        </w:rPr>
        <w:t>tandard</w:t>
      </w:r>
      <w:r>
        <w:rPr>
          <w:lang w:bidi="ar"/>
        </w:rPr>
        <w:t xml:space="preserve"> E</w:t>
      </w:r>
      <w:r>
        <w:rPr>
          <w:rFonts w:hint="eastAsia"/>
          <w:lang w:bidi="ar"/>
        </w:rPr>
        <w:t>nglish</w:t>
      </w:r>
      <w:r>
        <w:rPr>
          <w:lang w:bidi="ar"/>
        </w:rPr>
        <w:t xml:space="preserve"> (SE)</w:t>
      </w:r>
      <w:bookmarkEnd w:id="68"/>
    </w:p>
    <w:bookmarkEnd w:id="69"/>
    <w:bookmarkEnd w:id="70"/>
    <w:p>
      <w:pPr>
        <w:pStyle w:val="21"/>
        <w:widowControl/>
        <w:jc w:val="both"/>
        <w:rPr>
          <w:rFonts w:ascii="Times New Roman" w:hAnsi="Times New Roman"/>
          <w:lang w:bidi="ar"/>
        </w:rPr>
      </w:pPr>
      <w:bookmarkStart w:id="71" w:name="OLE_LINK279"/>
      <w:bookmarkStart w:id="72" w:name="OLE_LINK278"/>
      <w:r>
        <w:rPr>
          <w:rFonts w:ascii="Times New Roman" w:hAnsi="Times New Roman"/>
          <w:color w:val="222222"/>
          <w:shd w:val="clear" w:color="auto" w:fill="FFFFFF"/>
        </w:rPr>
        <w:t>Strevens</w:t>
      </w:r>
      <w:r>
        <w:rPr>
          <w:rFonts w:ascii="Times New Roman" w:hAnsi="Times New Roman"/>
          <w:lang w:bidi="ar"/>
        </w:rPr>
        <w:t xml:space="preserve"> </w:t>
      </w:r>
      <w:bookmarkEnd w:id="71"/>
      <w:bookmarkEnd w:id="72"/>
      <w:r>
        <w:rPr>
          <w:rFonts w:ascii="Times New Roman" w:hAnsi="Times New Roman"/>
          <w:lang w:bidi="ar"/>
        </w:rPr>
        <w:t>(</w:t>
      </w:r>
      <w:r>
        <w:rPr>
          <w:rFonts w:ascii="Times New Roman" w:hAnsi="Times New Roman"/>
          <w:color w:val="222222"/>
          <w:shd w:val="clear" w:color="auto" w:fill="FFFFFF"/>
        </w:rPr>
        <w:t>1981</w:t>
      </w:r>
      <w:r>
        <w:rPr>
          <w:rFonts w:ascii="Times New Roman" w:hAnsi="Times New Roman"/>
          <w:lang w:bidi="ar"/>
        </w:rPr>
        <w:t xml:space="preserve">) contended that language </w:t>
      </w:r>
      <w:r>
        <w:rPr>
          <w:rFonts w:hint="eastAsia" w:ascii="Times New Roman" w:hAnsi="Times New Roman"/>
          <w:lang w:bidi="ar"/>
        </w:rPr>
        <w:t>learners</w:t>
      </w:r>
      <w:r>
        <w:rPr>
          <w:rFonts w:ascii="Times New Roman" w:hAnsi="Times New Roman"/>
          <w:lang w:bidi="ar"/>
        </w:rPr>
        <w:t xml:space="preserve"> and critics see Standard English (SE) from distinct viewpoints. </w:t>
      </w:r>
      <w:r>
        <w:rPr>
          <w:rFonts w:ascii="Times New Roman" w:hAnsi="Times New Roman"/>
          <w:color w:val="222222"/>
          <w:shd w:val="clear" w:color="auto" w:fill="FFFFFF"/>
        </w:rPr>
        <w:t>Strevens’s</w:t>
      </w:r>
      <w:r>
        <w:rPr>
          <w:rFonts w:ascii="Times New Roman" w:hAnsi="Times New Roman"/>
          <w:lang w:bidi="ar"/>
        </w:rPr>
        <w:t xml:space="preserve"> perspective on Standard English (SE) has been widely cited in the relevant literature, such as in the works of </w:t>
      </w:r>
      <w:r>
        <w:rPr>
          <w:rFonts w:ascii="Times New Roman" w:hAnsi="Times New Roman"/>
        </w:rPr>
        <w:t>Trudgill</w:t>
      </w:r>
      <w:r>
        <w:rPr>
          <w:rFonts w:ascii="Times New Roman" w:hAnsi="Times New Roman"/>
          <w:lang w:bidi="ar"/>
        </w:rPr>
        <w:t xml:space="preserve"> (2002) and Gupta (2006). It has maintained a prominent place in </w:t>
      </w:r>
      <w:r>
        <w:rPr>
          <w:rFonts w:hint="eastAsia" w:ascii="Times New Roman" w:hAnsi="Times New Roman"/>
          <w:lang w:bidi="ar"/>
        </w:rPr>
        <w:t>the</w:t>
      </w:r>
      <w:r>
        <w:rPr>
          <w:rFonts w:ascii="Times New Roman" w:hAnsi="Times New Roman"/>
          <w:lang w:bidi="ar"/>
        </w:rPr>
        <w:t xml:space="preserve"> </w:t>
      </w:r>
      <w:r>
        <w:rPr>
          <w:rFonts w:hint="eastAsia" w:ascii="Times New Roman" w:hAnsi="Times New Roman"/>
          <w:lang w:bidi="ar"/>
        </w:rPr>
        <w:t>field</w:t>
      </w:r>
      <w:r>
        <w:rPr>
          <w:rFonts w:ascii="Times New Roman" w:hAnsi="Times New Roman"/>
          <w:lang w:bidi="ar"/>
        </w:rPr>
        <w:t xml:space="preserve"> </w:t>
      </w:r>
      <w:r>
        <w:rPr>
          <w:rFonts w:hint="eastAsia" w:ascii="Times New Roman" w:hAnsi="Times New Roman"/>
          <w:lang w:bidi="ar"/>
        </w:rPr>
        <w:t>for</w:t>
      </w:r>
      <w:r>
        <w:rPr>
          <w:rFonts w:ascii="Times New Roman" w:hAnsi="Times New Roman"/>
          <w:lang w:bidi="ar"/>
        </w:rPr>
        <w:t xml:space="preserve"> </w:t>
      </w:r>
      <w:r>
        <w:rPr>
          <w:rFonts w:hint="eastAsia" w:ascii="Times New Roman" w:hAnsi="Times New Roman"/>
          <w:lang w:bidi="ar"/>
        </w:rPr>
        <w:t>years</w:t>
      </w:r>
      <w:r>
        <w:rPr>
          <w:rFonts w:ascii="Times New Roman" w:hAnsi="Times New Roman"/>
          <w:lang w:bidi="ar"/>
        </w:rPr>
        <w:t>. Subsequently, they have also published several articles to further substantiate the idea (</w:t>
      </w:r>
      <w:r>
        <w:rPr>
          <w:rFonts w:hint="eastAsia" w:ascii="Times New Roman" w:hAnsi="Times New Roman"/>
          <w:lang w:bidi="ar"/>
        </w:rPr>
        <w:t>e</w:t>
      </w:r>
      <w:r>
        <w:rPr>
          <w:rFonts w:ascii="Times New Roman" w:hAnsi="Times New Roman"/>
          <w:lang w:bidi="ar"/>
        </w:rPr>
        <w:t>.g. Trudgill and Hannah, 2013), since they have consistently maintained their conceptualization of Standard English without any alterations. According to Trudgill and Hannah, SE refers to a form of English that is mostly used in written and spoken communication, and it involves the use of two key linguistic components: grammar and vocabulary. They said that SE brings up the concept of well-informed native speakers, especially in terms of speaking.</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 xml:space="preserve">Nevertheless, the concept of educated native speakers has faced criticism for being implicit and unachievable. Trudgill and Hannah (2013) did not clearly define the level of education required to be considered a native speaker, as pointed out by </w:t>
      </w:r>
      <w:r>
        <w:rPr>
          <w:rFonts w:ascii="Times New Roman"/>
        </w:rPr>
        <w:t>Seidlhofer</w:t>
      </w:r>
      <w:r>
        <w:rPr>
          <w:rFonts w:ascii="Times New Roman" w:hAnsi="Times New Roman"/>
          <w:lang w:bidi="ar"/>
        </w:rPr>
        <w:t xml:space="preserve"> (2017). As a result, several perspectives may have arisen on the precise meaning of SE. Concisely, the precise meaning of SE has remained ambiguous (</w:t>
      </w:r>
      <w:r>
        <w:rPr>
          <w:rFonts w:ascii="Times New Roman" w:hAnsi="Times New Roman"/>
        </w:rPr>
        <w:t>Kohn</w:t>
      </w:r>
      <w:r>
        <w:rPr>
          <w:rFonts w:ascii="Times New Roman" w:hAnsi="Times New Roman"/>
          <w:lang w:bidi="ar"/>
        </w:rPr>
        <w:t xml:space="preserve">, 2011). Furthermore, Their assertion that the proficiency of native speakers may be seen is also questionable, because it </w:t>
      </w:r>
      <w:r>
        <w:rPr>
          <w:rFonts w:hint="eastAsia" w:ascii="Times New Roman" w:hAnsi="Times New Roman"/>
          <w:lang w:bidi="ar"/>
        </w:rPr>
        <w:t>fails</w:t>
      </w:r>
      <w:r>
        <w:rPr>
          <w:rFonts w:ascii="Times New Roman" w:hAnsi="Times New Roman"/>
          <w:lang w:bidi="ar"/>
        </w:rPr>
        <w:t xml:space="preserve"> to consider how English is used in real-life situations (</w:t>
      </w:r>
      <w:bookmarkStart w:id="73" w:name="OLE_LINK289"/>
      <w:bookmarkStart w:id="74" w:name="OLE_LINK288"/>
      <w:r>
        <w:t>Milroy</w:t>
      </w:r>
      <w:bookmarkEnd w:id="73"/>
      <w:bookmarkEnd w:id="74"/>
      <w:r>
        <w:rPr>
          <w:rFonts w:ascii="Times New Roman" w:hAnsi="Times New Roman"/>
          <w:lang w:bidi="ar"/>
        </w:rPr>
        <w:t>, 2019). This topic will later be discussed in detail as an argument against the use of N</w:t>
      </w:r>
      <w:r>
        <w:rPr>
          <w:rFonts w:hint="eastAsia" w:ascii="Times New Roman" w:hAnsi="Times New Roman"/>
          <w:lang w:bidi="ar"/>
        </w:rPr>
        <w:t>ative</w:t>
      </w:r>
      <w:r>
        <w:rPr>
          <w:rFonts w:ascii="Times New Roman" w:hAnsi="Times New Roman"/>
          <w:lang w:bidi="ar"/>
        </w:rPr>
        <w:t>-S</w:t>
      </w:r>
      <w:r>
        <w:rPr>
          <w:rFonts w:hint="eastAsia" w:ascii="Times New Roman" w:hAnsi="Times New Roman"/>
          <w:lang w:bidi="ar"/>
        </w:rPr>
        <w:t>peaker</w:t>
      </w:r>
      <w:r>
        <w:rPr>
          <w:rFonts w:ascii="Times New Roman" w:hAnsi="Times New Roman"/>
          <w:lang w:bidi="ar"/>
        </w:rPr>
        <w:t xml:space="preserve"> </w:t>
      </w:r>
      <w:r>
        <w:rPr>
          <w:rFonts w:hint="eastAsia" w:ascii="Times New Roman" w:hAnsi="Times New Roman"/>
          <w:lang w:bidi="ar"/>
        </w:rPr>
        <w:t>norm</w:t>
      </w:r>
      <w:r>
        <w:rPr>
          <w:rFonts w:ascii="Times New Roman" w:hAnsi="Times New Roman"/>
          <w:lang w:bidi="ar"/>
        </w:rPr>
        <w:t xml:space="preserve"> </w:t>
      </w:r>
      <w:r>
        <w:rPr>
          <w:rFonts w:hint="eastAsia" w:ascii="Times New Roman" w:hAnsi="Times New Roman"/>
          <w:lang w:bidi="ar"/>
        </w:rPr>
        <w:t>when</w:t>
      </w:r>
      <w:r>
        <w:rPr>
          <w:rFonts w:ascii="Times New Roman" w:hAnsi="Times New Roman"/>
          <w:lang w:bidi="ar"/>
        </w:rPr>
        <w:t xml:space="preserve"> </w:t>
      </w:r>
      <w:r>
        <w:rPr>
          <w:rFonts w:hint="eastAsia" w:ascii="Times New Roman" w:hAnsi="Times New Roman"/>
          <w:lang w:bidi="ar"/>
        </w:rPr>
        <w:t>t</w:t>
      </w:r>
      <w:r>
        <w:rPr>
          <w:rFonts w:ascii="Times New Roman" w:hAnsi="Times New Roman"/>
          <w:lang w:bidi="ar"/>
        </w:rPr>
        <w:t>each E</w:t>
      </w:r>
      <w:r>
        <w:rPr>
          <w:rFonts w:hint="eastAsia" w:ascii="Times New Roman" w:hAnsi="Times New Roman"/>
          <w:lang w:bidi="ar"/>
        </w:rPr>
        <w:t>nglish</w:t>
      </w:r>
      <w:r>
        <w:rPr>
          <w:rFonts w:ascii="Times New Roman" w:hAnsi="Times New Roman"/>
          <w:lang w:bidi="ar"/>
        </w:rPr>
        <w:t>. Nevertheless, despite the possible disadvantages of the theory, it seems somewhat advantageous to use Trudgill and Hannah’s (2013) definition of SE in order to get a broad comprehension of th</w:t>
      </w:r>
      <w:r>
        <w:rPr>
          <w:rFonts w:hint="eastAsia" w:ascii="Times New Roman" w:hAnsi="Times New Roman"/>
          <w:lang w:bidi="ar"/>
        </w:rPr>
        <w:t>is</w:t>
      </w:r>
      <w:r>
        <w:rPr>
          <w:rFonts w:ascii="Times New Roman" w:hAnsi="Times New Roman"/>
          <w:lang w:bidi="ar"/>
        </w:rPr>
        <w:t xml:space="preserve"> idea.</w:t>
      </w:r>
    </w:p>
    <w:p>
      <w:pPr>
        <w:pStyle w:val="22"/>
      </w:pPr>
      <w:bookmarkStart w:id="75" w:name="_Toc532861743"/>
      <w:bookmarkStart w:id="76" w:name="_Toc158753960"/>
      <w:r>
        <w:rPr>
          <w:lang w:bidi="ar"/>
        </w:rPr>
        <w:t>The Concept of Standard-E</w:t>
      </w:r>
      <w:r>
        <w:rPr>
          <w:rFonts w:hint="eastAsia"/>
          <w:lang w:bidi="ar"/>
        </w:rPr>
        <w:t>nglish</w:t>
      </w:r>
      <w:r>
        <w:rPr>
          <w:lang w:bidi="ar"/>
        </w:rPr>
        <w:t xml:space="preserve"> Ideology</w:t>
      </w:r>
      <w:bookmarkEnd w:id="75"/>
      <w:bookmarkEnd w:id="76"/>
    </w:p>
    <w:p>
      <w:pPr>
        <w:pStyle w:val="21"/>
        <w:widowControl/>
        <w:jc w:val="both"/>
        <w:rPr>
          <w:rFonts w:ascii="Times New Roman" w:hAnsi="Times New Roman"/>
          <w:lang w:bidi="ar"/>
        </w:rPr>
      </w:pPr>
      <w:bookmarkStart w:id="77" w:name="OLE_LINK181"/>
      <w:bookmarkStart w:id="78" w:name="OLE_LINK182"/>
      <w:r>
        <w:rPr>
          <w:rFonts w:ascii="Times New Roman" w:hAnsi="Times New Roman"/>
          <w:lang w:bidi="ar"/>
        </w:rPr>
        <w:t xml:space="preserve">Linguists and sociolinguists have also explored the impact of SE on the teaching of English from different perspectives, and these discussions are valuable. The concept of </w:t>
      </w:r>
      <w:r>
        <w:rPr>
          <w:rFonts w:hint="eastAsia" w:ascii="Times New Roman" w:hAnsi="Times New Roman"/>
          <w:lang w:bidi="ar"/>
        </w:rPr>
        <w:t>‘</w:t>
      </w:r>
      <w:bookmarkStart w:id="79" w:name="OLE_LINK286"/>
      <w:bookmarkStart w:id="80" w:name="OLE_LINK287"/>
      <w:r>
        <w:rPr>
          <w:rFonts w:ascii="Times New Roman" w:hAnsi="Times New Roman"/>
          <w:lang w:bidi="ar"/>
        </w:rPr>
        <w:t>standard-English ideology</w:t>
      </w:r>
      <w:bookmarkEnd w:id="79"/>
      <w:bookmarkEnd w:id="80"/>
      <w:r>
        <w:rPr>
          <w:rFonts w:ascii="Times New Roman" w:hAnsi="Times New Roman"/>
          <w:lang w:bidi="ar"/>
        </w:rPr>
        <w:t xml:space="preserve">’ was introduced by </w:t>
      </w:r>
      <w:bookmarkStart w:id="81" w:name="OLE_LINK301"/>
      <w:bookmarkStart w:id="82" w:name="OLE_LINK302"/>
      <w:r>
        <w:rPr>
          <w:rFonts w:ascii="Times New Roman" w:hAnsi="Times New Roman"/>
        </w:rPr>
        <w:t>Widdowson</w:t>
      </w:r>
      <w:r>
        <w:rPr>
          <w:rFonts w:ascii="Times New Roman" w:hAnsi="Times New Roman"/>
          <w:lang w:bidi="ar"/>
        </w:rPr>
        <w:t xml:space="preserve"> </w:t>
      </w:r>
      <w:bookmarkEnd w:id="81"/>
      <w:bookmarkEnd w:id="82"/>
      <w:r>
        <w:rPr>
          <w:rFonts w:ascii="Times New Roman" w:hAnsi="Times New Roman"/>
          <w:lang w:bidi="ar"/>
        </w:rPr>
        <w:t>(2012) to capture the prevalent attitudes towards this specific form of English. Milroy defines standard language ideology as the establishment of linguistic norms, including vocabulary, grammar, and pronunciation, particularly in spoken language, that have undergone a substantial process of standardization.</w:t>
      </w:r>
    </w:p>
    <w:bookmarkEnd w:id="77"/>
    <w:bookmarkEnd w:id="78"/>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 xml:space="preserve">The concept of standard language ideology has faced criticism from several sources, with </w:t>
      </w:r>
      <w:bookmarkStart w:id="83" w:name="OLE_LINK292"/>
      <w:bookmarkStart w:id="84" w:name="OLE_LINK293"/>
      <w:r>
        <w:rPr>
          <w:rFonts w:ascii="Times New Roman" w:hAnsi="Times New Roman"/>
        </w:rPr>
        <w:t>MacSwan’s</w:t>
      </w:r>
      <w:r>
        <w:rPr>
          <w:rFonts w:ascii="Times New Roman" w:hAnsi="Times New Roman"/>
          <w:lang w:bidi="ar"/>
        </w:rPr>
        <w:t xml:space="preserve"> </w:t>
      </w:r>
      <w:bookmarkEnd w:id="83"/>
      <w:bookmarkEnd w:id="84"/>
      <w:r>
        <w:rPr>
          <w:rFonts w:ascii="Times New Roman" w:hAnsi="Times New Roman"/>
          <w:lang w:bidi="ar"/>
        </w:rPr>
        <w:t xml:space="preserve">(2020) critique being particularly noteworthy. </w:t>
      </w:r>
      <w:r>
        <w:rPr>
          <w:rFonts w:ascii="Times New Roman" w:hAnsi="Times New Roman"/>
        </w:rPr>
        <w:t>MacSwan’s critique is regarded as essential and comprehensive since it addresses both linguistic and sociolinguistic aspects.</w:t>
      </w:r>
      <w:r>
        <w:rPr>
          <w:rFonts w:ascii="Times New Roman" w:hAnsi="Times New Roman"/>
          <w:lang w:bidi="ar"/>
        </w:rPr>
        <w:t xml:space="preserve"> She specifically characterized standard language ideology as biased due to the creation of an unrealistic and uninformed paradigm for written language based on the results of speech. In other words, the ideology prohibits any deviation among all language components (</w:t>
      </w:r>
      <w:bookmarkStart w:id="85" w:name="OLE_LINK284"/>
      <w:bookmarkStart w:id="86" w:name="OLE_LINK285"/>
      <w:r>
        <w:rPr>
          <w:rFonts w:ascii="Times New Roman" w:hAnsi="Times New Roman"/>
        </w:rPr>
        <w:t>Kohn</w:t>
      </w:r>
      <w:bookmarkEnd w:id="85"/>
      <w:bookmarkEnd w:id="86"/>
      <w:r>
        <w:rPr>
          <w:rFonts w:ascii="Times New Roman" w:hAnsi="Times New Roman"/>
          <w:lang w:bidi="ar"/>
        </w:rPr>
        <w:t xml:space="preserve">, </w:t>
      </w:r>
      <w:r>
        <w:rPr>
          <w:rFonts w:ascii="Times New Roman" w:hAnsi="Times New Roman"/>
        </w:rPr>
        <w:t>2011</w:t>
      </w:r>
      <w:r>
        <w:rPr>
          <w:rFonts w:ascii="Times New Roman" w:hAnsi="Times New Roman"/>
          <w:lang w:bidi="ar"/>
        </w:rPr>
        <w:t>), since this would be deemed a mistake according to the definition (</w:t>
      </w:r>
      <w:bookmarkStart w:id="87" w:name="OLE_LINK262"/>
      <w:bookmarkStart w:id="88" w:name="OLE_LINK261"/>
      <w:r>
        <w:rPr>
          <w:rFonts w:ascii="Times New Roman" w:hAnsi="Times New Roman" w:eastAsia="宋体"/>
          <w:color w:val="222222"/>
          <w:shd w:val="clear" w:color="auto" w:fill="FFFFFF"/>
        </w:rPr>
        <w:t>Davies</w:t>
      </w:r>
      <w:bookmarkEnd w:id="87"/>
      <w:bookmarkEnd w:id="88"/>
      <w:r>
        <w:rPr>
          <w:rFonts w:ascii="Times New Roman" w:hAnsi="Times New Roman"/>
          <w:lang w:bidi="ar"/>
        </w:rPr>
        <w:t>, 2006).</w:t>
      </w:r>
    </w:p>
    <w:p>
      <w:pPr>
        <w:pStyle w:val="21"/>
        <w:widowControl/>
        <w:jc w:val="both"/>
        <w:rPr>
          <w:rFonts w:ascii="Times New Roman" w:hAnsi="Times New Roman"/>
          <w:lang w:bidi="ar"/>
        </w:rPr>
      </w:pPr>
    </w:p>
    <w:p>
      <w:pPr>
        <w:pStyle w:val="21"/>
        <w:widowControl/>
        <w:jc w:val="both"/>
        <w:rPr>
          <w:rFonts w:ascii="Arial" w:hAnsi="Arial" w:cs="Arial"/>
          <w:color w:val="222222"/>
          <w:sz w:val="20"/>
          <w:szCs w:val="20"/>
          <w:shd w:val="clear" w:color="auto" w:fill="FFFFFF"/>
        </w:rPr>
      </w:pPr>
      <w:r>
        <w:rPr>
          <w:rFonts w:ascii="Times New Roman" w:hAnsi="Times New Roman"/>
          <w:lang w:bidi="ar"/>
        </w:rPr>
        <w:t>Lippi-Green (1994) posited that standard language ideology not only affects language itself, but also has an impact on various social activities. Due to a lack of critical analysis of the underlying factors in social practices, this sociolinguistic phenomenon leads to the development of unequal power dynamics between languages. Consequently, English varieties other than Standard English are often perceived as inferior within the language system (</w:t>
      </w:r>
      <w:r>
        <w:rPr>
          <w:rFonts w:ascii="Times New Roman" w:hAnsi="Times New Roman"/>
          <w:color w:val="222222"/>
          <w:shd w:val="clear" w:color="auto" w:fill="FFFFFF"/>
        </w:rPr>
        <w:t>Cushing, 2021</w:t>
      </w:r>
      <w:r>
        <w:rPr>
          <w:rFonts w:ascii="Times New Roman" w:hAnsi="Times New Roman"/>
          <w:lang w:bidi="ar"/>
        </w:rPr>
        <w:t>).</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 xml:space="preserve">Both Lippi-Green’s (1994) and </w:t>
      </w:r>
      <w:r>
        <w:rPr>
          <w:rFonts w:ascii="Times New Roman" w:hAnsi="Times New Roman"/>
        </w:rPr>
        <w:t>Milroy’s</w:t>
      </w:r>
      <w:r>
        <w:rPr>
          <w:rFonts w:ascii="Times New Roman" w:hAnsi="Times New Roman"/>
          <w:lang w:bidi="ar"/>
        </w:rPr>
        <w:t xml:space="preserve"> (2001) ideas pertain to the twentieth century. Therefore, the views of standard language ideology could have undergone a transformation. Nevertheless, subsequent theoretical work has continued to acknowledge the adverse consequences and challenges associated with the standard language ideology to a certain degree (e.g. </w:t>
      </w:r>
      <w:bookmarkStart w:id="89" w:name="OLE_LINK290"/>
      <w:bookmarkStart w:id="90" w:name="OLE_LINK291"/>
      <w:bookmarkStart w:id="91" w:name="OLE_LINK316"/>
      <w:bookmarkStart w:id="92" w:name="OLE_LINK315"/>
      <w:bookmarkStart w:id="93" w:name="OLE_LINK310"/>
      <w:bookmarkStart w:id="94" w:name="OLE_LINK309"/>
      <w:r>
        <w:rPr>
          <w:rFonts w:ascii="Times New Roman" w:hAnsi="Times New Roman"/>
        </w:rPr>
        <w:t>MacSwan</w:t>
      </w:r>
      <w:bookmarkEnd w:id="89"/>
      <w:bookmarkEnd w:id="90"/>
      <w:r>
        <w:rPr>
          <w:rFonts w:ascii="Times New Roman" w:hAnsi="Times New Roman"/>
        </w:rPr>
        <w:t>, 2020</w:t>
      </w:r>
      <w:bookmarkEnd w:id="91"/>
      <w:bookmarkEnd w:id="92"/>
      <w:r>
        <w:rPr>
          <w:rFonts w:ascii="Times New Roman" w:hAnsi="Times New Roman"/>
          <w:lang w:bidi="ar"/>
        </w:rPr>
        <w:t xml:space="preserve">; </w:t>
      </w:r>
      <w:bookmarkStart w:id="95" w:name="OLE_LINK299"/>
      <w:bookmarkStart w:id="96" w:name="OLE_LINK300"/>
      <w:bookmarkStart w:id="97" w:name="OLE_LINK314"/>
      <w:bookmarkStart w:id="98" w:name="OLE_LINK313"/>
      <w:r>
        <w:rPr>
          <w:rFonts w:ascii="Times New Roman" w:hAnsi="Times New Roman"/>
          <w:color w:val="222222"/>
          <w:shd w:val="clear" w:color="auto" w:fill="FFFFFF"/>
        </w:rPr>
        <w:t>Cushing</w:t>
      </w:r>
      <w:bookmarkEnd w:id="95"/>
      <w:bookmarkEnd w:id="96"/>
      <w:r>
        <w:rPr>
          <w:rFonts w:ascii="Times New Roman" w:hAnsi="Times New Roman"/>
          <w:lang w:bidi="ar"/>
        </w:rPr>
        <w:t>, 2012</w:t>
      </w:r>
      <w:bookmarkEnd w:id="93"/>
      <w:bookmarkEnd w:id="94"/>
      <w:bookmarkEnd w:id="97"/>
      <w:bookmarkEnd w:id="98"/>
      <w:r>
        <w:rPr>
          <w:rFonts w:ascii="Times New Roman" w:hAnsi="Times New Roman"/>
          <w:lang w:bidi="ar"/>
        </w:rPr>
        <w:t xml:space="preserve">; </w:t>
      </w:r>
      <w:bookmarkStart w:id="99" w:name="OLE_LINK294"/>
      <w:bookmarkStart w:id="100" w:name="OLE_LINK312"/>
      <w:bookmarkStart w:id="101" w:name="OLE_LINK311"/>
      <w:r>
        <w:rPr>
          <w:rFonts w:ascii="Times New Roman" w:hAnsi="Times New Roman"/>
        </w:rPr>
        <w:t>Kohn</w:t>
      </w:r>
      <w:bookmarkEnd w:id="99"/>
      <w:r>
        <w:rPr>
          <w:rFonts w:ascii="Times New Roman" w:hAnsi="Times New Roman"/>
        </w:rPr>
        <w:t>, 2011</w:t>
      </w:r>
      <w:bookmarkEnd w:id="100"/>
      <w:bookmarkEnd w:id="101"/>
      <w:r>
        <w:rPr>
          <w:rFonts w:ascii="Times New Roman" w:hAnsi="Times New Roman"/>
          <w:lang w:bidi="ar"/>
        </w:rPr>
        <w:t>). Moreover, empirical research has consistently shown that second-language users tend to favour native-speaker norms, as shown by studies conducted by Nero (2021).  This suggests that in the twenty-first century, there has been a prevailing inclination towards favoring the linguistic and sociolinguistic outcomes produced by the ideology of standard language.</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Lippi-Green’s (1994) assertions suggest that standard language ideology has a role in several facets of social existence, particularly in education, which is seen as a significant factor in advancing this ideology. The ELT field has unified and disseminated the concepts of standard language philosophy via many means. In the domain of written literacy, the concept of standard language ideology is shown by the abundance of English Language Teaching (ELT) reading materials (Jenkins, 2007), as well as the presence of grammar books and dictionaries that adhere to certain and rigid rules (</w:t>
      </w:r>
      <w:r>
        <w:rPr>
          <w:rFonts w:ascii="Times New Roman" w:hAnsi="Times New Roman"/>
        </w:rPr>
        <w:t>MacSwan, 2020</w:t>
      </w:r>
      <w:r>
        <w:rPr>
          <w:rFonts w:ascii="Times New Roman" w:hAnsi="Times New Roman"/>
          <w:lang w:bidi="ar"/>
        </w:rPr>
        <w:t xml:space="preserve">; </w:t>
      </w:r>
      <w:r>
        <w:rPr>
          <w:rFonts w:ascii="Times New Roman" w:hAnsi="Times New Roman"/>
          <w:color w:val="222222"/>
          <w:shd w:val="clear" w:color="auto" w:fill="FFFFFF"/>
        </w:rPr>
        <w:t>Cushing</w:t>
      </w:r>
      <w:r>
        <w:rPr>
          <w:rFonts w:ascii="Times New Roman" w:hAnsi="Times New Roman"/>
          <w:lang w:bidi="ar"/>
        </w:rPr>
        <w:t xml:space="preserve">, 2012). Regarding evaluation techniques, national tests or </w:t>
      </w:r>
      <w:bookmarkStart w:id="102" w:name="OLE_LINK4"/>
      <w:bookmarkStart w:id="103" w:name="OLE_LINK11"/>
      <w:r>
        <w:rPr>
          <w:rFonts w:ascii="Times New Roman" w:hAnsi="Times New Roman"/>
          <w:lang w:bidi="ar"/>
        </w:rPr>
        <w:t>university admission</w:t>
      </w:r>
      <w:bookmarkEnd w:id="102"/>
      <w:bookmarkEnd w:id="103"/>
      <w:r>
        <w:rPr>
          <w:rFonts w:ascii="Times New Roman" w:hAnsi="Times New Roman"/>
          <w:lang w:bidi="ar"/>
        </w:rPr>
        <w:t xml:space="preserve"> exams are typical examples using SE competence as a standard (Kohn, 2011).</w:t>
      </w:r>
    </w:p>
    <w:p>
      <w:pPr>
        <w:pStyle w:val="21"/>
        <w:widowControl/>
        <w:jc w:val="both"/>
        <w:rPr>
          <w:rFonts w:ascii="Times New Roman" w:hAnsi="Times New Roman"/>
          <w:lang w:bidi="ar"/>
        </w:rPr>
      </w:pPr>
    </w:p>
    <w:p>
      <w:pPr>
        <w:pStyle w:val="21"/>
        <w:widowControl/>
        <w:jc w:val="both"/>
      </w:pPr>
      <w:r>
        <w:rPr>
          <w:rFonts w:ascii="Times New Roman" w:hAnsi="Times New Roman"/>
          <w:lang w:bidi="ar"/>
        </w:rPr>
        <w:t>To summarise, the belief in the superiority of standard language has played a role in elevating Standard English (SE) and creating a feeling of uneasiness towards non-SE variations (</w:t>
      </w:r>
      <w:bookmarkStart w:id="104" w:name="OLE_LINK463"/>
      <w:bookmarkStart w:id="105" w:name="OLE_LINK462"/>
      <w:r>
        <w:rPr>
          <w:rFonts w:ascii="Times New Roman" w:hAnsi="Times New Roman"/>
          <w:color w:val="222222"/>
          <w:shd w:val="clear" w:color="auto" w:fill="FFFFFF"/>
        </w:rPr>
        <w:t>Cushing</w:t>
      </w:r>
      <w:r>
        <w:rPr>
          <w:rFonts w:ascii="Times New Roman" w:hAnsi="Times New Roman"/>
          <w:lang w:bidi="ar"/>
        </w:rPr>
        <w:t>, 2012</w:t>
      </w:r>
      <w:bookmarkEnd w:id="104"/>
      <w:bookmarkEnd w:id="105"/>
      <w:r>
        <w:rPr>
          <w:rFonts w:ascii="Times New Roman" w:hAnsi="Times New Roman"/>
          <w:lang w:bidi="ar"/>
        </w:rPr>
        <w:t>). This belief permeates daily social interactions (</w:t>
      </w:r>
      <w:r>
        <w:rPr>
          <w:rFonts w:ascii="Times New Roman" w:hAnsi="Times New Roman"/>
        </w:rPr>
        <w:t>Kohn, 2011</w:t>
      </w:r>
      <w:r>
        <w:rPr>
          <w:rFonts w:ascii="Times New Roman" w:hAnsi="Times New Roman"/>
          <w:lang w:bidi="ar"/>
        </w:rPr>
        <w:t>). In the field of English Language Teaching (ELT), the concept of standard language ideology has mostly influenced the areas of literacy and evaluations (</w:t>
      </w:r>
      <w:r>
        <w:rPr>
          <w:rFonts w:ascii="Times New Roman" w:hAnsi="Times New Roman"/>
        </w:rPr>
        <w:t>MacSwan, 2020</w:t>
      </w:r>
      <w:r>
        <w:rPr>
          <w:rFonts w:ascii="Times New Roman" w:hAnsi="Times New Roman"/>
          <w:lang w:bidi="ar"/>
        </w:rPr>
        <w:t>).</w:t>
      </w:r>
    </w:p>
    <w:p>
      <w:pPr>
        <w:pStyle w:val="39"/>
      </w:pPr>
      <w:bookmarkStart w:id="106" w:name="_Toc158753961"/>
      <w:r>
        <w:rPr>
          <w:lang w:bidi="ar"/>
        </w:rPr>
        <w:t>2.3 Native-Speaker Norm</w:t>
      </w:r>
      <w:r>
        <w:rPr>
          <w:rFonts w:hint="eastAsia"/>
          <w:lang w:bidi="ar"/>
        </w:rPr>
        <w:t xml:space="preserve"> </w:t>
      </w:r>
      <w:r>
        <w:rPr>
          <w:lang w:bidi="ar"/>
        </w:rPr>
        <w:t>in the Field of English Teaching</w:t>
      </w:r>
      <w:bookmarkEnd w:id="106"/>
      <w:r>
        <w:rPr>
          <w:lang w:bidi="ar"/>
        </w:rPr>
        <w:t xml:space="preserve"> </w:t>
      </w:r>
      <w:bookmarkStart w:id="107" w:name="OLE_LINK184"/>
      <w:bookmarkStart w:id="108" w:name="OLE_LINK183"/>
    </w:p>
    <w:p>
      <w:pPr>
        <w:pStyle w:val="21"/>
        <w:widowControl/>
        <w:jc w:val="both"/>
        <w:rPr>
          <w:rFonts w:ascii="Times New Roman" w:hAnsi="Times New Roman"/>
        </w:rPr>
      </w:pPr>
      <w:r>
        <w:rPr>
          <w:rFonts w:ascii="Times New Roman" w:hAnsi="Times New Roman"/>
        </w:rPr>
        <w:t xml:space="preserve">The previous discussion has centred on sociolinguistic theories. However, this study is mainly concerned with learners and teachers of English, so it is even more crucial to explore what role the NS ideology is playing in the teaching and learning process. </w:t>
      </w:r>
      <w:r>
        <w:rPr>
          <w:rFonts w:ascii="Times New Roman" w:hAnsi="Times New Roman"/>
          <w:lang w:bidi="ar"/>
        </w:rPr>
        <w:t>Consequently</w:t>
      </w:r>
      <w:r>
        <w:rPr>
          <w:rFonts w:ascii="Times New Roman" w:hAnsi="Times New Roman"/>
        </w:rPr>
        <w:t xml:space="preserve">, this section will </w:t>
      </w:r>
      <w:r>
        <w:rPr>
          <w:rFonts w:ascii="Times New Roman" w:hAnsi="Times New Roman"/>
          <w:lang w:bidi="ar"/>
        </w:rPr>
        <w:t>provid</w:t>
      </w:r>
      <w:r>
        <w:rPr>
          <w:rFonts w:hint="eastAsia" w:ascii="Times New Roman" w:hAnsi="Times New Roman"/>
          <w:lang w:bidi="ar"/>
        </w:rPr>
        <w:t>e</w:t>
      </w:r>
      <w:r>
        <w:rPr>
          <w:rFonts w:ascii="Times New Roman" w:hAnsi="Times New Roman"/>
          <w:lang w:bidi="ar"/>
        </w:rPr>
        <w:t xml:space="preserve"> an examination of its importance and a review of current debates regarding its role in English Language Teaching.</w:t>
      </w:r>
    </w:p>
    <w:bookmarkEnd w:id="107"/>
    <w:bookmarkEnd w:id="108"/>
    <w:p>
      <w:pPr>
        <w:pStyle w:val="22"/>
      </w:pPr>
      <w:bookmarkStart w:id="109" w:name="_Toc800506611"/>
      <w:bookmarkStart w:id="110" w:name="_Toc158753962"/>
      <w:r>
        <w:rPr>
          <w:lang w:bidi="ar"/>
        </w:rPr>
        <w:t>Definition of the N</w:t>
      </w:r>
      <w:r>
        <w:rPr>
          <w:rFonts w:hint="eastAsia"/>
          <w:lang w:bidi="ar"/>
        </w:rPr>
        <w:t>ative</w:t>
      </w:r>
      <w:r>
        <w:rPr>
          <w:lang w:bidi="ar"/>
        </w:rPr>
        <w:t>-S</w:t>
      </w:r>
      <w:r>
        <w:rPr>
          <w:rFonts w:hint="eastAsia"/>
          <w:lang w:bidi="ar"/>
        </w:rPr>
        <w:t>peaker</w:t>
      </w:r>
      <w:r>
        <w:rPr>
          <w:lang w:bidi="ar"/>
        </w:rPr>
        <w:t xml:space="preserve"> </w:t>
      </w:r>
      <w:bookmarkEnd w:id="109"/>
      <w:r>
        <w:rPr>
          <w:lang w:bidi="ar"/>
        </w:rPr>
        <w:t>Norm</w:t>
      </w:r>
      <w:bookmarkEnd w:id="110"/>
    </w:p>
    <w:p>
      <w:pPr>
        <w:pStyle w:val="21"/>
        <w:widowControl/>
        <w:jc w:val="both"/>
        <w:rPr>
          <w:rFonts w:ascii="Times New Roman" w:hAnsi="Times New Roman"/>
          <w:lang w:bidi="ar"/>
        </w:rPr>
      </w:pPr>
      <w:r>
        <w:rPr>
          <w:rFonts w:ascii="Times New Roman" w:hAnsi="Times New Roman"/>
          <w:lang w:bidi="ar"/>
        </w:rPr>
        <w:t>While Standard English is only one aspect of the English language (</w:t>
      </w:r>
      <w:r>
        <w:rPr>
          <w:rFonts w:ascii="Times New Roman" w:hAnsi="Times New Roman"/>
          <w:color w:val="222222"/>
          <w:shd w:val="clear" w:color="auto" w:fill="FFFFFF"/>
        </w:rPr>
        <w:t>Cushing</w:t>
      </w:r>
      <w:r>
        <w:rPr>
          <w:rFonts w:ascii="Times New Roman" w:hAnsi="Times New Roman"/>
          <w:lang w:bidi="ar"/>
        </w:rPr>
        <w:t xml:space="preserve">, 2012), it can be very difficult to learn and apply the language </w:t>
      </w:r>
      <w:bookmarkStart w:id="111" w:name="OLE_LINK465"/>
      <w:bookmarkStart w:id="112" w:name="OLE_LINK464"/>
      <w:r>
        <w:rPr>
          <w:rFonts w:hint="eastAsia" w:ascii="Times New Roman" w:hAnsi="Times New Roman"/>
          <w:lang w:bidi="ar"/>
        </w:rPr>
        <w:t>w</w:t>
      </w:r>
      <w:r>
        <w:rPr>
          <w:rFonts w:ascii="Times New Roman" w:hAnsi="Times New Roman"/>
          <w:lang w:bidi="ar"/>
        </w:rPr>
        <w:t>ithout a practical framework</w:t>
      </w:r>
      <w:bookmarkEnd w:id="111"/>
      <w:bookmarkEnd w:id="112"/>
      <w:r>
        <w:rPr>
          <w:rFonts w:ascii="Times New Roman" w:hAnsi="Times New Roman"/>
          <w:lang w:bidi="ar"/>
        </w:rPr>
        <w:t xml:space="preserve"> (</w:t>
      </w:r>
      <w:bookmarkStart w:id="113" w:name="OLE_LINK282"/>
      <w:bookmarkStart w:id="114" w:name="OLE_LINK283"/>
      <w:r>
        <w:rPr>
          <w:rFonts w:ascii="Times New Roman"/>
        </w:rPr>
        <w:t>Seidlhofer</w:t>
      </w:r>
      <w:bookmarkEnd w:id="113"/>
      <w:bookmarkEnd w:id="114"/>
      <w:r>
        <w:rPr>
          <w:rFonts w:ascii="Times New Roman"/>
        </w:rPr>
        <w:t>,</w:t>
      </w:r>
      <w:r>
        <w:rPr>
          <w:rFonts w:ascii="Times New Roman" w:hAnsi="Times New Roman"/>
          <w:lang w:bidi="ar"/>
        </w:rPr>
        <w:t xml:space="preserve"> 2017). In this context, the word </w:t>
      </w:r>
      <w:r>
        <w:rPr>
          <w:rFonts w:hint="eastAsia" w:ascii="Times New Roman" w:hAnsi="Times New Roman"/>
          <w:lang w:bidi="ar"/>
        </w:rPr>
        <w:t>‘</w:t>
      </w:r>
      <w:r>
        <w:rPr>
          <w:rFonts w:ascii="Times New Roman" w:hAnsi="Times New Roman"/>
          <w:lang w:bidi="ar"/>
        </w:rPr>
        <w:t>model’ refers to a pedagogical framework that establishes the direction of learning (</w:t>
      </w:r>
      <w:bookmarkStart w:id="115" w:name="OLE_LINK307"/>
      <w:r>
        <w:rPr>
          <w:rFonts w:ascii="Times New Roman" w:hAnsi="Times New Roman"/>
        </w:rPr>
        <w:t>Kohn</w:t>
      </w:r>
      <w:bookmarkEnd w:id="115"/>
      <w:r>
        <w:rPr>
          <w:rFonts w:ascii="Times New Roman" w:hAnsi="Times New Roman"/>
          <w:lang w:bidi="ar"/>
        </w:rPr>
        <w:t>, 2011). </w:t>
      </w:r>
    </w:p>
    <w:p>
      <w:pPr>
        <w:pStyle w:val="21"/>
        <w:widowControl/>
        <w:jc w:val="both"/>
        <w:rPr>
          <w:rFonts w:ascii="Times New Roman" w:hAnsi="Times New Roman"/>
        </w:rPr>
      </w:pPr>
    </w:p>
    <w:p>
      <w:pPr>
        <w:pStyle w:val="21"/>
        <w:widowControl/>
        <w:jc w:val="both"/>
        <w:rPr>
          <w:rFonts w:ascii="Times New Roman" w:hAnsi="Times New Roman"/>
        </w:rPr>
      </w:pPr>
      <w:r>
        <w:rPr>
          <w:rFonts w:ascii="Times New Roman" w:hAnsi="Times New Roman"/>
          <w:lang w:bidi="ar"/>
        </w:rPr>
        <w:t xml:space="preserve">The phrase </w:t>
      </w:r>
      <w:r>
        <w:rPr>
          <w:rFonts w:hint="eastAsia" w:ascii="Times New Roman" w:hAnsi="Times New Roman"/>
          <w:lang w:bidi="ar"/>
        </w:rPr>
        <w:t>‘</w:t>
      </w:r>
      <w:r>
        <w:rPr>
          <w:rFonts w:ascii="Times New Roman" w:hAnsi="Times New Roman"/>
          <w:lang w:bidi="ar"/>
        </w:rPr>
        <w:t>NS model’ refers to a theoretical framework in English Language Teaching (ELT) that is based on the linguistic norms of Standard English (SE). Its purpose is to enable learners to achieve a native speaker (NS) level of proficiency in S</w:t>
      </w:r>
      <w:r>
        <w:rPr>
          <w:rFonts w:hint="eastAsia" w:ascii="Times New Roman" w:hAnsi="Times New Roman"/>
          <w:lang w:bidi="ar"/>
        </w:rPr>
        <w:t>tandard</w:t>
      </w:r>
      <w:r>
        <w:rPr>
          <w:rFonts w:ascii="Times New Roman" w:hAnsi="Times New Roman"/>
          <w:lang w:bidi="ar"/>
        </w:rPr>
        <w:t xml:space="preserve"> E</w:t>
      </w:r>
      <w:r>
        <w:rPr>
          <w:rFonts w:hint="eastAsia" w:ascii="Times New Roman" w:hAnsi="Times New Roman"/>
          <w:lang w:bidi="ar"/>
        </w:rPr>
        <w:t>nglish</w:t>
      </w:r>
      <w:r>
        <w:rPr>
          <w:rFonts w:ascii="Times New Roman" w:hAnsi="Times New Roman"/>
          <w:lang w:bidi="ar"/>
        </w:rPr>
        <w:t>.</w:t>
      </w:r>
    </w:p>
    <w:p>
      <w:pPr>
        <w:pStyle w:val="22"/>
      </w:pPr>
      <w:bookmarkStart w:id="116" w:name="_Toc158753963"/>
      <w:bookmarkStart w:id="117" w:name="_Toc129562622"/>
      <w:r>
        <w:rPr>
          <w:lang w:bidi="ar"/>
        </w:rPr>
        <w:t>The Role of the N</w:t>
      </w:r>
      <w:r>
        <w:rPr>
          <w:rFonts w:hint="eastAsia"/>
          <w:lang w:bidi="ar"/>
        </w:rPr>
        <w:t>ative</w:t>
      </w:r>
      <w:r>
        <w:rPr>
          <w:lang w:bidi="ar"/>
        </w:rPr>
        <w:t>-</w:t>
      </w:r>
      <w:r>
        <w:rPr>
          <w:rFonts w:hint="eastAsia"/>
          <w:lang w:bidi="ar"/>
        </w:rPr>
        <w:t>speaker</w:t>
      </w:r>
      <w:r>
        <w:rPr>
          <w:lang w:bidi="ar"/>
        </w:rPr>
        <w:t xml:space="preserve"> Norm in ELT</w:t>
      </w:r>
      <w:bookmarkEnd w:id="116"/>
      <w:r>
        <w:rPr>
          <w:lang w:bidi="ar"/>
        </w:rPr>
        <w:t xml:space="preserve"> </w:t>
      </w:r>
      <w:bookmarkEnd w:id="117"/>
    </w:p>
    <w:p>
      <w:pPr>
        <w:pStyle w:val="21"/>
        <w:widowControl/>
        <w:jc w:val="both"/>
        <w:rPr>
          <w:rFonts w:ascii="Times New Roman" w:hAnsi="Times New Roman"/>
          <w:lang w:bidi="ar"/>
        </w:rPr>
      </w:pPr>
      <w:bookmarkStart w:id="118" w:name="OLE_LINK185"/>
      <w:bookmarkStart w:id="119" w:name="OLE_LINK186"/>
      <w:r>
        <w:rPr>
          <w:rFonts w:ascii="Times New Roman" w:hAnsi="Times New Roman"/>
          <w:lang w:bidi="ar"/>
        </w:rPr>
        <w:t>In the field of English Language Teaching (ELT), there has been an increasing discourse surrounding the Native Speaker (NS) paradigm and whether it should be abandoned, particularly in the context of teaching English as an international language (</w:t>
      </w:r>
      <w:bookmarkStart w:id="120" w:name="OLE_LINK249"/>
      <w:bookmarkStart w:id="121" w:name="OLE_LINK250"/>
      <w:r>
        <w:rPr>
          <w:rFonts w:ascii="Times New Roman" w:hAnsi="Times New Roman" w:eastAsia="宋体"/>
          <w:color w:val="222222"/>
          <w:shd w:val="clear" w:color="auto" w:fill="FFFFFF"/>
        </w:rPr>
        <w:t>Kachru</w:t>
      </w:r>
      <w:bookmarkEnd w:id="120"/>
      <w:bookmarkEnd w:id="121"/>
      <w:r>
        <w:rPr>
          <w:rFonts w:ascii="Times New Roman" w:hAnsi="Times New Roman"/>
          <w:lang w:bidi="ar"/>
        </w:rPr>
        <w:t xml:space="preserve">, 1997). Originally, </w:t>
      </w:r>
      <w:bookmarkStart w:id="122" w:name="OLE_LINK325"/>
      <w:bookmarkStart w:id="123" w:name="OLE_LINK252"/>
      <w:bookmarkStart w:id="124" w:name="OLE_LINK251"/>
      <w:r>
        <w:rPr>
          <w:rFonts w:ascii="Times New Roman" w:hAnsi="Times New Roman" w:eastAsia="宋体"/>
        </w:rPr>
        <w:t>Brutt-Griffler</w:t>
      </w:r>
      <w:bookmarkEnd w:id="122"/>
      <w:bookmarkEnd w:id="123"/>
      <w:bookmarkEnd w:id="124"/>
      <w:r>
        <w:rPr>
          <w:rFonts w:ascii="Times New Roman" w:hAnsi="Times New Roman"/>
          <w:lang w:bidi="ar"/>
        </w:rPr>
        <w:t xml:space="preserve"> (2002) argued that the NS model could be viewed as an initial framework in language </w:t>
      </w:r>
      <w:r>
        <w:rPr>
          <w:rFonts w:ascii="Times New Roman Regular" w:hAnsi="Times New Roman Regular" w:cs="Times New Roman Regular"/>
        </w:rPr>
        <w:t>teaching</w:t>
      </w:r>
      <w:r>
        <w:rPr>
          <w:rFonts w:ascii="Times New Roman" w:hAnsi="Times New Roman"/>
          <w:lang w:bidi="ar"/>
        </w:rPr>
        <w:t>, rather than being entirely discarded or replaced.</w:t>
      </w:r>
    </w:p>
    <w:p>
      <w:pPr>
        <w:pStyle w:val="21"/>
        <w:widowControl/>
        <w:jc w:val="both"/>
        <w:rPr>
          <w:rFonts w:ascii="Times New Roman" w:hAnsi="Times New Roman"/>
        </w:rPr>
      </w:pPr>
    </w:p>
    <w:bookmarkEnd w:id="118"/>
    <w:bookmarkEnd w:id="119"/>
    <w:p>
      <w:pPr>
        <w:pStyle w:val="21"/>
        <w:widowControl/>
        <w:jc w:val="both"/>
        <w:rPr>
          <w:rFonts w:ascii="Times New Roman" w:hAnsi="Times New Roman"/>
        </w:rPr>
      </w:pPr>
      <w:r>
        <w:rPr>
          <w:rFonts w:ascii="Times New Roman" w:hAnsi="Times New Roman"/>
          <w:lang w:bidi="ar"/>
        </w:rPr>
        <w:t xml:space="preserve">Similarly, </w:t>
      </w:r>
      <w:bookmarkStart w:id="125" w:name="OLE_LINK271"/>
      <w:bookmarkStart w:id="126" w:name="OLE_LINK326"/>
      <w:bookmarkStart w:id="127" w:name="OLE_LINK327"/>
      <w:r>
        <w:rPr>
          <w:rFonts w:ascii="Times New Roman" w:hAnsi="Times New Roman" w:eastAsia="宋体"/>
          <w:color w:val="222222"/>
          <w:shd w:val="clear" w:color="auto" w:fill="FFFFFF"/>
        </w:rPr>
        <w:t>Jenkins</w:t>
      </w:r>
      <w:bookmarkEnd w:id="125"/>
      <w:r>
        <w:rPr>
          <w:rFonts w:ascii="Times New Roman" w:hAnsi="Times New Roman"/>
          <w:lang w:bidi="ar"/>
        </w:rPr>
        <w:t xml:space="preserve"> </w:t>
      </w:r>
      <w:bookmarkEnd w:id="126"/>
      <w:bookmarkEnd w:id="127"/>
      <w:r>
        <w:rPr>
          <w:rFonts w:ascii="Times New Roman" w:hAnsi="Times New Roman"/>
          <w:lang w:bidi="ar"/>
        </w:rPr>
        <w:t xml:space="preserve">(2006) proposed that the NS model might maintain a prominent role in the field of English Language Teaching (ELT). The primary justification of this perspective is to guarantee clarity in global communication. </w:t>
      </w:r>
      <w:bookmarkStart w:id="128" w:name="OLE_LINK329"/>
      <w:bookmarkStart w:id="129" w:name="OLE_LINK466"/>
      <w:bookmarkStart w:id="130" w:name="OLE_LINK328"/>
      <w:r>
        <w:rPr>
          <w:rFonts w:ascii="Times New Roman" w:hAnsi="Times New Roman"/>
          <w:lang w:bidi="ar"/>
        </w:rPr>
        <w:t xml:space="preserve">This is because if both parties to a conversation adopt the same linguistic standards, the communication barriers will be reduced, thus ensuring that both written and spoken expressions are accurate and fluent. </w:t>
      </w:r>
      <w:r>
        <w:rPr>
          <w:rFonts w:ascii="Times New Roman" w:hAnsi="Times New Roman" w:eastAsia="宋体"/>
        </w:rPr>
        <w:t>Brutt-Griffler</w:t>
      </w:r>
      <w:bookmarkEnd w:id="128"/>
      <w:bookmarkEnd w:id="129"/>
      <w:bookmarkEnd w:id="130"/>
      <w:r>
        <w:rPr>
          <w:rFonts w:ascii="Times New Roman" w:hAnsi="Times New Roman"/>
          <w:lang w:bidi="ar"/>
        </w:rPr>
        <w:t xml:space="preserve"> (2002) and </w:t>
      </w:r>
      <w:r>
        <w:rPr>
          <w:rFonts w:ascii="Times New Roman" w:hAnsi="Times New Roman" w:eastAsia="宋体"/>
          <w:color w:val="222222"/>
          <w:shd w:val="clear" w:color="auto" w:fill="FFFFFF"/>
        </w:rPr>
        <w:t>Jenkins</w:t>
      </w:r>
      <w:r>
        <w:rPr>
          <w:rFonts w:ascii="Times New Roman" w:hAnsi="Times New Roman"/>
          <w:lang w:bidi="ar"/>
        </w:rPr>
        <w:t xml:space="preserve"> (2006) contend that learners’ demands are crucial in determining the appropriate model to use in English Language Teaching (ELT). According to Brutt-Griffler (2002), the NS model effectively fulfills learners' requirements for acquiring native-speaker language proficiency, which is often seen as an advanced objective beyond mere comprehension. Moreover, although this particular need may be driven by many incentives (Kirkpatrick, 2006), it is a prevailing inclination that cannot be disregarded among English as a Foreign Language (EFL) learners. The empirical data supporting this choice is examined in Section 2.3.</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Nevertheless, it is crucial to acknowledge that this occurrence may be impacted by learners’ deficiency in understanding various pedagogical approaches (</w:t>
      </w:r>
      <w:bookmarkStart w:id="131" w:name="OLE_LINK361"/>
      <w:bookmarkStart w:id="132" w:name="OLE_LINK360"/>
      <w:r>
        <w:rPr>
          <w:rFonts w:ascii="Times New Roman" w:hAnsi="Times New Roman"/>
          <w:lang w:bidi="ar"/>
        </w:rPr>
        <w:t>Jenkins, 2006</w:t>
      </w:r>
      <w:bookmarkEnd w:id="131"/>
      <w:bookmarkEnd w:id="132"/>
      <w:r>
        <w:rPr>
          <w:rFonts w:ascii="Times New Roman" w:hAnsi="Times New Roman"/>
          <w:lang w:bidi="ar"/>
        </w:rPr>
        <w:t xml:space="preserve">; </w:t>
      </w:r>
      <w:bookmarkStart w:id="133" w:name="OLE_LINK245"/>
      <w:bookmarkStart w:id="134" w:name="OLE_LINK246"/>
      <w:r>
        <w:rPr>
          <w:rFonts w:ascii="Times New Roman" w:hAnsi="Times New Roman" w:eastAsia="宋体"/>
        </w:rPr>
        <w:t>Zheng</w:t>
      </w:r>
      <w:bookmarkEnd w:id="133"/>
      <w:bookmarkEnd w:id="134"/>
      <w:r>
        <w:rPr>
          <w:rFonts w:ascii="Times New Roman" w:hAnsi="Times New Roman" w:eastAsia="宋体"/>
        </w:rPr>
        <w:t>; 2009;</w:t>
      </w:r>
      <w:r>
        <w:rPr>
          <w:rFonts w:ascii="Times New Roman" w:hAnsi="Times New Roman"/>
          <w:lang w:bidi="ar"/>
        </w:rPr>
        <w:t xml:space="preserve"> </w:t>
      </w:r>
      <w:bookmarkStart w:id="135" w:name="OLE_LINK265"/>
      <w:bookmarkStart w:id="136" w:name="OLE_LINK338"/>
      <w:bookmarkStart w:id="137" w:name="OLE_LINK337"/>
      <w:bookmarkStart w:id="138" w:name="OLE_LINK359"/>
      <w:r>
        <w:rPr>
          <w:rFonts w:ascii="Times New Roman" w:hAnsi="Times New Roman" w:eastAsia="宋体"/>
        </w:rPr>
        <w:t>Hunt</w:t>
      </w:r>
      <w:bookmarkEnd w:id="135"/>
      <w:r>
        <w:rPr>
          <w:rFonts w:ascii="Times New Roman" w:hAnsi="Times New Roman"/>
          <w:lang w:bidi="ar"/>
        </w:rPr>
        <w:t xml:space="preserve"> and </w:t>
      </w:r>
      <w:bookmarkStart w:id="139" w:name="OLE_LINK266"/>
      <w:r>
        <w:rPr>
          <w:rFonts w:ascii="Times New Roman" w:hAnsi="Times New Roman" w:eastAsia="宋体"/>
        </w:rPr>
        <w:t>Beglar</w:t>
      </w:r>
      <w:bookmarkEnd w:id="139"/>
      <w:r>
        <w:rPr>
          <w:rFonts w:ascii="Times New Roman" w:hAnsi="Times New Roman"/>
          <w:lang w:bidi="ar"/>
        </w:rPr>
        <w:t>, 2005</w:t>
      </w:r>
      <w:bookmarkEnd w:id="136"/>
      <w:bookmarkEnd w:id="137"/>
      <w:bookmarkEnd w:id="138"/>
      <w:r>
        <w:rPr>
          <w:rFonts w:ascii="Times New Roman" w:hAnsi="Times New Roman"/>
          <w:lang w:bidi="ar"/>
        </w:rPr>
        <w:t>). In addition, it seems that teachers and education officials also have a limited understanding of alternative models (</w:t>
      </w:r>
      <w:bookmarkStart w:id="140" w:name="OLE_LINK336"/>
      <w:bookmarkStart w:id="141" w:name="OLE_LINK335"/>
      <w:r>
        <w:rPr>
          <w:rFonts w:ascii="Times New Roman" w:hAnsi="Times New Roman" w:eastAsia="宋体"/>
        </w:rPr>
        <w:t>Liton</w:t>
      </w:r>
      <w:r>
        <w:rPr>
          <w:rFonts w:ascii="Times New Roman" w:hAnsi="Times New Roman"/>
          <w:lang w:bidi="ar"/>
        </w:rPr>
        <w:t>, 2012</w:t>
      </w:r>
      <w:bookmarkEnd w:id="140"/>
      <w:bookmarkEnd w:id="141"/>
      <w:r>
        <w:rPr>
          <w:rFonts w:ascii="Times New Roman" w:hAnsi="Times New Roman"/>
          <w:lang w:bidi="ar"/>
        </w:rPr>
        <w:t>). Therefore, the NS model is seen as more developed and comprehensive compared to the newer models, making it the preferred option in both theory and practice (</w:t>
      </w:r>
      <w:r>
        <w:rPr>
          <w:rFonts w:ascii="Times New Roman" w:hAnsi="Times New Roman" w:eastAsia="宋体"/>
        </w:rPr>
        <w:t>Liton</w:t>
      </w:r>
      <w:r>
        <w:rPr>
          <w:rFonts w:ascii="Times New Roman" w:hAnsi="Times New Roman"/>
          <w:lang w:bidi="ar"/>
        </w:rPr>
        <w:t xml:space="preserve">, 2012; </w:t>
      </w:r>
      <w:r>
        <w:rPr>
          <w:rFonts w:ascii="Times New Roman" w:hAnsi="Times New Roman" w:eastAsia="宋体"/>
        </w:rPr>
        <w:t>Hunt</w:t>
      </w:r>
      <w:r>
        <w:rPr>
          <w:rFonts w:ascii="Times New Roman" w:hAnsi="Times New Roman"/>
          <w:lang w:bidi="ar"/>
        </w:rPr>
        <w:t xml:space="preserve"> and </w:t>
      </w:r>
      <w:r>
        <w:rPr>
          <w:rFonts w:ascii="Times New Roman" w:hAnsi="Times New Roman" w:eastAsia="宋体"/>
        </w:rPr>
        <w:t>Beglar</w:t>
      </w:r>
      <w:r>
        <w:rPr>
          <w:rFonts w:ascii="Times New Roman" w:hAnsi="Times New Roman"/>
          <w:lang w:bidi="ar"/>
        </w:rPr>
        <w:t>, 2005). In conclusion, proponents of the NS model argue that it guarantees the standard of global communication and fulfils the requirements of learners. Consequently, there is no need to adhere to native-speaker conventions in English interactions since the main focus is on being understood.</w:t>
      </w:r>
    </w:p>
    <w:p>
      <w:pPr>
        <w:pStyle w:val="21"/>
        <w:widowControl/>
        <w:jc w:val="both"/>
        <w:rPr>
          <w:rFonts w:ascii="Times New Roman" w:hAnsi="Times New Roman"/>
        </w:rPr>
      </w:pPr>
    </w:p>
    <w:p>
      <w:pPr>
        <w:pStyle w:val="21"/>
        <w:widowControl/>
        <w:jc w:val="both"/>
        <w:rPr>
          <w:rFonts w:ascii="Times New Roman" w:hAnsi="Times New Roman"/>
          <w:lang w:bidi="ar"/>
        </w:rPr>
      </w:pPr>
      <w:r>
        <w:rPr>
          <w:rFonts w:ascii="Times New Roman" w:hAnsi="Times New Roman"/>
          <w:lang w:bidi="ar"/>
        </w:rPr>
        <w:t>However, the esteemed status of the NS model has been contested and supplanted by other models that rely on two prominent positions. The first argument claims that adhering to NS rules is superfluous when English is used as a global language. Over the last several decades, there has been an increase in the frequency of interactions with individuals who do not speak English as their first language, compared to interactions with native English speakers (</w:t>
      </w:r>
      <w:bookmarkStart w:id="142" w:name="OLE_LINK298"/>
      <w:r>
        <w:rPr>
          <w:rFonts w:ascii="Times New Roman" w:hAnsi="Times New Roman" w:eastAsia="宋体"/>
          <w:color w:val="222222"/>
          <w:shd w:val="clear" w:color="auto" w:fill="FFFFFF"/>
        </w:rPr>
        <w:t>Davies</w:t>
      </w:r>
      <w:bookmarkEnd w:id="142"/>
      <w:r>
        <w:rPr>
          <w:rFonts w:ascii="Times New Roman" w:hAnsi="Times New Roman"/>
          <w:lang w:bidi="ar"/>
        </w:rPr>
        <w:t>, 2006). Consequently, there is no need to adhere to native speaker conventions in English interactions, since the main focus is on being understood.</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The second argument suggests that the NS model is not suitable for E</w:t>
      </w:r>
      <w:r>
        <w:rPr>
          <w:rFonts w:hint="eastAsia" w:ascii="Times New Roman" w:hAnsi="Times New Roman"/>
          <w:lang w:bidi="ar"/>
        </w:rPr>
        <w:t>nglish</w:t>
      </w:r>
      <w:r>
        <w:rPr>
          <w:rFonts w:ascii="Times New Roman" w:hAnsi="Times New Roman"/>
          <w:lang w:bidi="ar"/>
        </w:rPr>
        <w:t xml:space="preserve"> </w:t>
      </w:r>
      <w:r>
        <w:rPr>
          <w:rFonts w:hint="eastAsia" w:ascii="Times New Roman" w:hAnsi="Times New Roman"/>
          <w:lang w:bidi="ar"/>
        </w:rPr>
        <w:t>teaching</w:t>
      </w:r>
      <w:r>
        <w:rPr>
          <w:rFonts w:ascii="Times New Roman" w:hAnsi="Times New Roman"/>
          <w:lang w:bidi="ar"/>
        </w:rPr>
        <w:t xml:space="preserve">, </w:t>
      </w:r>
      <w:r>
        <w:rPr>
          <w:rFonts w:hint="eastAsia" w:ascii="Times New Roman" w:hAnsi="Times New Roman"/>
          <w:lang w:bidi="ar"/>
        </w:rPr>
        <w:t>especially</w:t>
      </w:r>
      <w:r>
        <w:rPr>
          <w:rFonts w:ascii="Times New Roman" w:hAnsi="Times New Roman"/>
          <w:lang w:bidi="ar"/>
        </w:rPr>
        <w:t xml:space="preserve"> </w:t>
      </w:r>
      <w:r>
        <w:rPr>
          <w:rFonts w:hint="eastAsia" w:ascii="Times New Roman" w:hAnsi="Times New Roman"/>
          <w:lang w:bidi="ar"/>
        </w:rPr>
        <w:t>in</w:t>
      </w:r>
      <w:r>
        <w:rPr>
          <w:rFonts w:ascii="Times New Roman" w:hAnsi="Times New Roman"/>
          <w:lang w:bidi="ar"/>
        </w:rPr>
        <w:t xml:space="preserve"> </w:t>
      </w:r>
      <w:r>
        <w:rPr>
          <w:rFonts w:hint="eastAsia" w:ascii="Times New Roman" w:hAnsi="Times New Roman"/>
          <w:lang w:bidi="ar"/>
        </w:rPr>
        <w:t>the</w:t>
      </w:r>
      <w:r>
        <w:rPr>
          <w:rFonts w:ascii="Times New Roman" w:hAnsi="Times New Roman"/>
          <w:lang w:bidi="ar"/>
        </w:rPr>
        <w:t xml:space="preserve"> </w:t>
      </w:r>
      <w:r>
        <w:rPr>
          <w:rFonts w:hint="eastAsia" w:ascii="Times New Roman" w:hAnsi="Times New Roman"/>
          <w:lang w:bidi="ar"/>
        </w:rPr>
        <w:t>classroom</w:t>
      </w:r>
      <w:r>
        <w:rPr>
          <w:rFonts w:ascii="Times New Roman" w:hAnsi="Times New Roman"/>
          <w:lang w:bidi="ar"/>
        </w:rPr>
        <w:t xml:space="preserve"> </w:t>
      </w:r>
      <w:r>
        <w:rPr>
          <w:rFonts w:hint="eastAsia" w:ascii="Times New Roman" w:hAnsi="Times New Roman"/>
          <w:lang w:bidi="ar"/>
        </w:rPr>
        <w:t>where</w:t>
      </w:r>
      <w:r>
        <w:rPr>
          <w:rFonts w:ascii="Times New Roman" w:hAnsi="Times New Roman"/>
          <w:lang w:bidi="ar"/>
        </w:rPr>
        <w:t xml:space="preserve"> </w:t>
      </w:r>
      <w:r>
        <w:rPr>
          <w:rFonts w:hint="eastAsia" w:ascii="Times New Roman" w:hAnsi="Times New Roman"/>
          <w:lang w:bidi="ar"/>
        </w:rPr>
        <w:t>learners</w:t>
      </w:r>
      <w:r>
        <w:rPr>
          <w:rFonts w:ascii="Times New Roman" w:hAnsi="Times New Roman"/>
          <w:lang w:bidi="ar"/>
        </w:rPr>
        <w:t xml:space="preserve"> </w:t>
      </w:r>
      <w:r>
        <w:rPr>
          <w:rFonts w:hint="eastAsia" w:ascii="Times New Roman" w:hAnsi="Times New Roman"/>
          <w:lang w:bidi="ar"/>
        </w:rPr>
        <w:t>acquire</w:t>
      </w:r>
      <w:r>
        <w:rPr>
          <w:rFonts w:ascii="Times New Roman" w:hAnsi="Times New Roman"/>
          <w:lang w:bidi="ar"/>
        </w:rPr>
        <w:t xml:space="preserve"> English </w:t>
      </w:r>
      <w:r>
        <w:rPr>
          <w:rFonts w:hint="eastAsia" w:ascii="Times New Roman" w:hAnsi="Times New Roman"/>
          <w:lang w:bidi="ar"/>
        </w:rPr>
        <w:t>as</w:t>
      </w:r>
      <w:r>
        <w:rPr>
          <w:rFonts w:ascii="Times New Roman" w:hAnsi="Times New Roman"/>
          <w:lang w:bidi="ar"/>
        </w:rPr>
        <w:t xml:space="preserve"> </w:t>
      </w:r>
      <w:r>
        <w:rPr>
          <w:rFonts w:hint="eastAsia" w:ascii="Times New Roman" w:hAnsi="Times New Roman"/>
          <w:lang w:bidi="ar"/>
        </w:rPr>
        <w:t>a</w:t>
      </w:r>
      <w:r>
        <w:rPr>
          <w:rFonts w:ascii="Times New Roman" w:hAnsi="Times New Roman"/>
          <w:lang w:bidi="ar"/>
        </w:rPr>
        <w:t xml:space="preserve"> </w:t>
      </w:r>
      <w:r>
        <w:rPr>
          <w:rFonts w:hint="eastAsia" w:ascii="Times New Roman" w:hAnsi="Times New Roman"/>
          <w:lang w:bidi="ar"/>
        </w:rPr>
        <w:t>foreign</w:t>
      </w:r>
      <w:r>
        <w:rPr>
          <w:rFonts w:ascii="Times New Roman" w:hAnsi="Times New Roman"/>
          <w:lang w:bidi="ar"/>
        </w:rPr>
        <w:t xml:space="preserve"> </w:t>
      </w:r>
      <w:r>
        <w:rPr>
          <w:rFonts w:hint="eastAsia" w:ascii="Times New Roman" w:hAnsi="Times New Roman"/>
          <w:lang w:bidi="ar"/>
        </w:rPr>
        <w:t>language</w:t>
      </w:r>
      <w:r>
        <w:rPr>
          <w:rFonts w:ascii="Times New Roman" w:hAnsi="Times New Roman"/>
          <w:lang w:bidi="ar"/>
        </w:rPr>
        <w:t xml:space="preserve"> </w:t>
      </w:r>
      <w:r>
        <w:rPr>
          <w:rFonts w:hint="eastAsia" w:ascii="Times New Roman" w:hAnsi="Times New Roman"/>
          <w:lang w:bidi="ar"/>
        </w:rPr>
        <w:t>or</w:t>
      </w:r>
      <w:r>
        <w:rPr>
          <w:rFonts w:ascii="Times New Roman" w:hAnsi="Times New Roman"/>
          <w:lang w:bidi="ar"/>
        </w:rPr>
        <w:t xml:space="preserve"> </w:t>
      </w:r>
      <w:r>
        <w:rPr>
          <w:rFonts w:hint="eastAsia" w:ascii="Times New Roman" w:hAnsi="Times New Roman"/>
          <w:lang w:bidi="ar"/>
        </w:rPr>
        <w:t>second</w:t>
      </w:r>
      <w:r>
        <w:rPr>
          <w:rFonts w:ascii="Times New Roman" w:hAnsi="Times New Roman"/>
          <w:lang w:bidi="ar"/>
        </w:rPr>
        <w:t xml:space="preserve"> </w:t>
      </w:r>
      <w:r>
        <w:rPr>
          <w:rFonts w:hint="eastAsia" w:ascii="Times New Roman" w:hAnsi="Times New Roman"/>
          <w:lang w:bidi="ar"/>
        </w:rPr>
        <w:t>language.</w:t>
      </w:r>
      <w:r>
        <w:rPr>
          <w:rFonts w:ascii="Times New Roman" w:hAnsi="Times New Roman"/>
          <w:lang w:bidi="ar"/>
        </w:rPr>
        <w:t xml:space="preserve"> This is mainly because although non-native learners can learn standard English, they cannot accurately access the context in which it is used. Moreover, in order to facilitate communication, non-English-speaking countries may also produce local norms. Compared to </w:t>
      </w:r>
      <w:r>
        <w:rPr>
          <w:rFonts w:hint="eastAsia" w:ascii="Times New Roman" w:hAnsi="Times New Roman"/>
          <w:lang w:bidi="ar"/>
        </w:rPr>
        <w:t>rigid</w:t>
      </w:r>
      <w:r>
        <w:rPr>
          <w:rFonts w:ascii="Times New Roman" w:hAnsi="Times New Roman"/>
          <w:lang w:bidi="ar"/>
        </w:rPr>
        <w:t xml:space="preserve"> Standard English, local norms may be more in line with local learners’ preferences and communication contexts, may be more suitable for wider dissemination (</w:t>
      </w:r>
      <w:bookmarkStart w:id="143" w:name="OLE_LINK268"/>
      <w:bookmarkStart w:id="144" w:name="OLE_LINK267"/>
      <w:r>
        <w:rPr>
          <w:rFonts w:ascii="Times New Roman" w:hAnsi="Times New Roman" w:eastAsia="宋体"/>
          <w:color w:val="222222"/>
          <w:shd w:val="clear" w:color="auto" w:fill="FFFFFF"/>
        </w:rPr>
        <w:t>Akiba</w:t>
      </w:r>
      <w:bookmarkEnd w:id="143"/>
      <w:bookmarkEnd w:id="144"/>
      <w:r>
        <w:rPr>
          <w:rFonts w:ascii="Times New Roman" w:hAnsi="Times New Roman"/>
          <w:lang w:bidi="ar"/>
        </w:rPr>
        <w:t xml:space="preserve">, 2011; </w:t>
      </w:r>
      <w:bookmarkStart w:id="145" w:name="OLE_LINK272"/>
      <w:bookmarkStart w:id="146" w:name="OLE_LINK297"/>
      <w:bookmarkStart w:id="147" w:name="OLE_LINK273"/>
      <w:bookmarkStart w:id="148" w:name="OLE_LINK341"/>
      <w:r>
        <w:rPr>
          <w:rFonts w:ascii="Times New Roman" w:hAnsi="Times New Roman" w:eastAsia="宋体"/>
          <w:color w:val="222222"/>
          <w:shd w:val="clear" w:color="auto" w:fill="FFFFFF"/>
        </w:rPr>
        <w:t>Murtafiah</w:t>
      </w:r>
      <w:bookmarkEnd w:id="145"/>
      <w:bookmarkEnd w:id="146"/>
      <w:bookmarkEnd w:id="147"/>
      <w:bookmarkEnd w:id="148"/>
      <w:r>
        <w:rPr>
          <w:rFonts w:ascii="Times New Roman" w:hAnsi="Times New Roman"/>
          <w:lang w:bidi="ar"/>
        </w:rPr>
        <w:t xml:space="preserve"> et al., 2007). </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In summary, current discussions have revolved around the question of whether to discard the NS model in international educational settings (</w:t>
      </w:r>
      <w:bookmarkStart w:id="149" w:name="OLE_LINK350"/>
      <w:bookmarkStart w:id="150" w:name="OLE_LINK349"/>
      <w:r>
        <w:rPr>
          <w:rFonts w:ascii="Times New Roman" w:hAnsi="Times New Roman" w:eastAsia="宋体"/>
          <w:color w:val="222222"/>
          <w:shd w:val="clear" w:color="auto" w:fill="FFFFFF"/>
        </w:rPr>
        <w:t>Reisoğlu</w:t>
      </w:r>
      <w:r>
        <w:rPr>
          <w:rFonts w:ascii="Times New Roman" w:hAnsi="Times New Roman"/>
          <w:lang w:bidi="ar"/>
        </w:rPr>
        <w:t xml:space="preserve"> and </w:t>
      </w:r>
      <w:r>
        <w:rPr>
          <w:rFonts w:ascii="Times New Roman" w:hAnsi="Times New Roman" w:eastAsia="宋体"/>
          <w:color w:val="222222"/>
          <w:shd w:val="clear" w:color="auto" w:fill="FFFFFF"/>
        </w:rPr>
        <w:t>Çebi,</w:t>
      </w:r>
      <w:r>
        <w:rPr>
          <w:rFonts w:ascii="Times New Roman" w:hAnsi="Times New Roman"/>
          <w:lang w:bidi="ar"/>
        </w:rPr>
        <w:t xml:space="preserve"> 2023</w:t>
      </w:r>
      <w:bookmarkEnd w:id="149"/>
      <w:bookmarkEnd w:id="150"/>
      <w:r>
        <w:rPr>
          <w:rFonts w:ascii="Times New Roman" w:hAnsi="Times New Roman"/>
          <w:lang w:bidi="ar"/>
        </w:rPr>
        <w:t xml:space="preserve">). The critics of the model (e.g. </w:t>
      </w:r>
      <w:bookmarkStart w:id="151" w:name="OLE_LINK264"/>
      <w:bookmarkStart w:id="152" w:name="OLE_LINK263"/>
      <w:bookmarkStart w:id="153" w:name="OLE_LINK340"/>
      <w:r>
        <w:rPr>
          <w:rFonts w:ascii="Times New Roman" w:hAnsi="Times New Roman" w:eastAsia="宋体"/>
          <w:color w:val="222222"/>
          <w:shd w:val="clear" w:color="auto" w:fill="FFFFFF"/>
        </w:rPr>
        <w:t>Richardson</w:t>
      </w:r>
      <w:bookmarkEnd w:id="151"/>
      <w:bookmarkEnd w:id="152"/>
      <w:r>
        <w:rPr>
          <w:rFonts w:ascii="Times New Roman" w:hAnsi="Times New Roman" w:eastAsia="宋体"/>
          <w:color w:val="222222"/>
          <w:shd w:val="clear" w:color="auto" w:fill="FFFFFF"/>
        </w:rPr>
        <w:t>, 2003; Akiba</w:t>
      </w:r>
      <w:bookmarkEnd w:id="153"/>
      <w:r>
        <w:rPr>
          <w:rFonts w:ascii="Times New Roman" w:hAnsi="Times New Roman" w:eastAsia="宋体"/>
          <w:color w:val="222222"/>
          <w:shd w:val="clear" w:color="auto" w:fill="FFFFFF"/>
        </w:rPr>
        <w:t>, 2011; Miranda</w:t>
      </w:r>
      <w:r>
        <w:rPr>
          <w:rFonts w:ascii="Times New Roman" w:hAnsi="Times New Roman"/>
          <w:lang w:bidi="ar"/>
        </w:rPr>
        <w:t xml:space="preserve"> and </w:t>
      </w:r>
      <w:r>
        <w:rPr>
          <w:rFonts w:ascii="Times New Roman" w:hAnsi="Times New Roman" w:eastAsia="宋体"/>
          <w:color w:val="222222"/>
          <w:shd w:val="clear" w:color="auto" w:fill="FFFFFF"/>
        </w:rPr>
        <w:t>Wahyudin,</w:t>
      </w:r>
      <w:r>
        <w:rPr>
          <w:rFonts w:ascii="Times New Roman" w:hAnsi="Times New Roman"/>
          <w:lang w:bidi="ar"/>
        </w:rPr>
        <w:t xml:space="preserve"> 2023) have argued that it is unnecessary and unrealistic in practice for effective communication. In contrast, the proponents of the model (</w:t>
      </w:r>
      <w:r>
        <w:rPr>
          <w:rFonts w:ascii="Times New Roman" w:hAnsi="Times New Roman" w:eastAsia="宋体"/>
        </w:rPr>
        <w:t>Hunt</w:t>
      </w:r>
      <w:r>
        <w:rPr>
          <w:rFonts w:ascii="Times New Roman" w:hAnsi="Times New Roman"/>
          <w:lang w:bidi="ar"/>
        </w:rPr>
        <w:t xml:space="preserve"> and </w:t>
      </w:r>
      <w:r>
        <w:rPr>
          <w:rFonts w:ascii="Times New Roman" w:hAnsi="Times New Roman" w:eastAsia="宋体"/>
        </w:rPr>
        <w:t>Beglar</w:t>
      </w:r>
      <w:r>
        <w:rPr>
          <w:rFonts w:ascii="Times New Roman" w:hAnsi="Times New Roman"/>
          <w:lang w:bidi="ar"/>
        </w:rPr>
        <w:t>, 2005; Jenkins, 2006) have contended that its importance cannot be replaced without substantial evidence and the theoretical advancement of alternative approaches.</w:t>
      </w:r>
    </w:p>
    <w:p>
      <w:pPr>
        <w:pStyle w:val="39"/>
      </w:pPr>
      <w:bookmarkStart w:id="154" w:name="_Toc158753964"/>
      <w:r>
        <w:rPr>
          <w:lang w:bidi="ar"/>
        </w:rPr>
        <w:t>2.4 Investigations of the Attitudes of Non-native Trainee Teachers towards Native-speaker (NS) Norms</w:t>
      </w:r>
      <w:bookmarkEnd w:id="154"/>
    </w:p>
    <w:p>
      <w:pPr>
        <w:pStyle w:val="21"/>
        <w:widowControl/>
        <w:jc w:val="both"/>
        <w:rPr>
          <w:rFonts w:ascii="Times New Roman" w:hAnsi="Times New Roman"/>
        </w:rPr>
      </w:pPr>
      <w:r>
        <w:rPr>
          <w:rFonts w:ascii="Times New Roman" w:hAnsi="Times New Roman"/>
          <w:lang w:bidi="ar"/>
        </w:rPr>
        <w:t xml:space="preserve">While scholarly conversations have significance, it is crucial to prioritize the views of teachers and learners, since they are the primary </w:t>
      </w:r>
      <w:r>
        <w:rPr>
          <w:rFonts w:hint="eastAsia" w:ascii="Times New Roman" w:hAnsi="Times New Roman"/>
          <w:lang w:bidi="ar"/>
        </w:rPr>
        <w:t>‘</w:t>
      </w:r>
      <w:r>
        <w:rPr>
          <w:rFonts w:ascii="Times New Roman" w:hAnsi="Times New Roman"/>
          <w:lang w:bidi="ar"/>
        </w:rPr>
        <w:t>consumers’ of classroom learning (Jenkins, 2006). This section examines many empirical studies on perceptions of English undertaken in diverse circumstances. The purpose is to inform the current study design and identify any possible gaps in the area.</w:t>
      </w:r>
    </w:p>
    <w:p>
      <w:pPr>
        <w:pStyle w:val="22"/>
      </w:pPr>
      <w:bookmarkStart w:id="155" w:name="_Toc158753965"/>
      <w:bookmarkStart w:id="156" w:name="_Toc10569896"/>
      <w:r>
        <w:rPr>
          <w:lang w:bidi="ar"/>
        </w:rPr>
        <w:t>Attitudes of Learners</w:t>
      </w:r>
      <w:bookmarkEnd w:id="155"/>
      <w:bookmarkEnd w:id="156"/>
    </w:p>
    <w:p>
      <w:pPr>
        <w:pStyle w:val="21"/>
        <w:widowControl/>
        <w:jc w:val="both"/>
        <w:rPr>
          <w:rFonts w:ascii="Times New Roman" w:hAnsi="Times New Roman"/>
          <w:lang w:bidi="ar"/>
        </w:rPr>
      </w:pPr>
      <w:r>
        <w:rPr>
          <w:rFonts w:ascii="Times New Roman" w:hAnsi="Times New Roman"/>
          <w:lang w:bidi="ar"/>
        </w:rPr>
        <w:t>In groundbreaking research, Timmis (2002) examined the preferences of around 600 teachers and students from 45 different nations regarding four distinct kinds of language norms. The findings indicated that participants in both groups had a preference for non-standard language norms, while the teachers show</w:t>
      </w:r>
      <w:r>
        <w:rPr>
          <w:rFonts w:hint="eastAsia" w:ascii="Times New Roman" w:hAnsi="Times New Roman"/>
          <w:lang w:bidi="ar"/>
        </w:rPr>
        <w:t>ed</w:t>
      </w:r>
      <w:r>
        <w:rPr>
          <w:rFonts w:ascii="Times New Roman" w:hAnsi="Times New Roman"/>
          <w:lang w:bidi="ar"/>
        </w:rPr>
        <w:t xml:space="preserve"> a little lower level of compliance compared to the students. </w:t>
      </w:r>
    </w:p>
    <w:p>
      <w:pPr>
        <w:pStyle w:val="21"/>
        <w:widowControl/>
        <w:jc w:val="both"/>
        <w:rPr>
          <w:rFonts w:ascii="Times New Roman" w:hAnsi="Times New Roman"/>
        </w:rPr>
      </w:pPr>
    </w:p>
    <w:p>
      <w:pPr>
        <w:pStyle w:val="21"/>
        <w:widowControl/>
        <w:jc w:val="both"/>
        <w:rPr>
          <w:rFonts w:ascii="Times New Roman" w:hAnsi="Times New Roman"/>
        </w:rPr>
      </w:pPr>
      <w:r>
        <w:rPr>
          <w:rFonts w:ascii="Times New Roman" w:hAnsi="Times New Roman"/>
          <w:lang w:bidi="ar"/>
        </w:rPr>
        <w:t>Despite being a comprehensive study that introduced new perspectives on classroom ideas, the research had numerous faults, notably in its methodology, criticised by Jenkins (2007) and Subtirelu (2013). The research used a questionnaire that required participants to choose between two choices to determine learner preference for proximity to native or non-native English speakers. However, this study had to be based on learners having a clear preference for one of the options, which is clearly an arbitrary assumption since learners do not have only these two preferences; in other words, they may not have a clear preference (Jenkins, 2007). Consequently, the study may not have uncovered profound insights into the true perspectives of the participants and the intricate reality that goes beyond what the descriptive statistics indicated.</w:t>
      </w:r>
    </w:p>
    <w:p>
      <w:pPr>
        <w:pStyle w:val="21"/>
        <w:widowControl/>
        <w:jc w:val="both"/>
        <w:rPr>
          <w:rFonts w:ascii="Times New Roman" w:hAnsi="Times New Roman"/>
          <w:lang w:bidi="ar"/>
        </w:rPr>
      </w:pPr>
    </w:p>
    <w:p>
      <w:pPr>
        <w:pStyle w:val="21"/>
        <w:widowControl/>
        <w:jc w:val="both"/>
        <w:rPr>
          <w:rFonts w:ascii="Times New Roman" w:hAnsi="Times New Roman"/>
          <w:lang w:bidi="ar"/>
        </w:rPr>
      </w:pPr>
      <w:r>
        <w:rPr>
          <w:rFonts w:ascii="Times New Roman" w:hAnsi="Times New Roman"/>
          <w:lang w:bidi="ar"/>
        </w:rPr>
        <w:t>In their study, He and Zhang (2010) examined the linguistic attitudes of Chinese university students toward native speaker standards. The study utilized a variety of instruments, including questionnaires and interviews. Their results indicated that these students did not pay much attention to achieving a native speaker's level of pronunciation. Alternatively, their emphasis was mainly on the comprehensibility of communication (He and Zhang, 2010). With a substantial sample size of nearly 1000 participants from diverse regions of Chin, this research employed methodological triangulation. Their findings suggested the typical college students in China has changed their attitudes towards NS norms not only cognitively but also emotionally.</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rPr>
        <w:t>In contrast to the aforementioned extensive study, Seidlhofer (2017) performed a limited-scale, nevertheless longitudinal research investigating the desire to attain native speaker language norms among eight Asian students enrolled at an American college. Based on extensive study, it was found that participants not only expressed a solid inclination to adhere to societal standards, but also that the level of diversity in their views decreased with time. According to Subtirelu (2013), this may be attributed to the growing prevalence of situations where English is spoken as both a mother tongue and a global language. The researcher was encouraged by his arguments to investigate the particular educational background of the target demographic, which consists of Asian students now studying in an English-speaking nation. Under such conditions, it is probable that this research will provide divergent outcomes compared to those documented in nations where English is used as a non-native language.</w:t>
      </w:r>
    </w:p>
    <w:p>
      <w:pPr>
        <w:pStyle w:val="22"/>
      </w:pPr>
      <w:bookmarkStart w:id="157" w:name="_Toc1554583018"/>
      <w:bookmarkStart w:id="158" w:name="_Toc158753966"/>
      <w:r>
        <w:rPr>
          <w:lang w:bidi="ar"/>
        </w:rPr>
        <w:t>Attitudes of Teachers</w:t>
      </w:r>
      <w:bookmarkEnd w:id="157"/>
      <w:bookmarkEnd w:id="158"/>
    </w:p>
    <w:p>
      <w:pPr>
        <w:pStyle w:val="21"/>
        <w:widowControl/>
        <w:jc w:val="both"/>
        <w:rPr>
          <w:rFonts w:ascii="Times New Roman" w:hAnsi="Times New Roman"/>
        </w:rPr>
      </w:pPr>
      <w:r>
        <w:rPr>
          <w:rFonts w:ascii="Times New Roman" w:hAnsi="Times New Roman"/>
          <w:lang w:bidi="ar"/>
        </w:rPr>
        <w:t>Research has focused on teachers’ impressions in addition to language learners’ opinions. A section of the participants in the research by He and Zhang (2010), which was previously addressed, were Chinese English teachers. When it came to expectations for their students’ performance, the teachers seemed to have a clearer preference for NS pronunciation than did the student participants. It is noteworthy that this result contradicts the conclusions made by Timmis in 2002. This might be because the study was conducted at various eras and in distinct research contexts, such as intra-national or international settings. This suggests that opinions among participants might evolve over time.</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rPr>
        <w:t>The study conducted by Grau (2008) focused on the preferences of aspiring teachers with relation to general teaching goals and grammar and pronunciation aims. The study's participants were 231 first-year students enrolled in a German university's English teaching programme. The main results of the study showed that, rather than achieving NS standards generally, the majority of student teachers believed that the teaching objective in secondary schools should be communicative intelligibility, which is similar to the conclusions noted by He and Zhang (2010) and Timmis (2002). In fact, it seems that this preference holds true in a variety of situations and eras. However, when specific phonological and grammatical aspects were asked about in the questionnaire, the student teachers in Grau's (2008) research still favored NS standards. The results' ambivalence, which is a typical finding in previous research of a similar kind, suggests that participant views were inconsistent in theoretical and practical contexts (Jenkins, 2007).</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Grau (2008) aimed to explore the perceptions of aspiring teachers by acknowledging the integration of their distinct backgrounds, which included their experience as language learners, and their expectations for their future teaching careers, despite the inconsistent results. However, it seems that Grau had little desire to investigate the connection between the viewpoints of the professors and the students. Therefore, it’s uncertain whether pre-service (i.e. trainee) teachers would believe that their education shaped their perspectives on teaching.</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In conclusion, the language level has been the primary focus of most research on NNSs’ views towards NS norms (Tajeddin et al., 2018; Jenkins, 2007; Tajeddin et al. 2022). Furthermore, research has shown that both educators and learners in English as a foreign language (EFL) environments often have favourable opinions about the NS norm (</w:t>
      </w:r>
      <w:r>
        <w:rPr>
          <w:rFonts w:ascii="Times New Roman" w:hAnsi="Times New Roman"/>
        </w:rPr>
        <w:t>Milroy</w:t>
      </w:r>
      <w:r>
        <w:rPr>
          <w:rFonts w:ascii="Times New Roman" w:hAnsi="Times New Roman"/>
          <w:lang w:bidi="ar"/>
        </w:rPr>
        <w:t xml:space="preserve">, 2001; </w:t>
      </w:r>
      <w:bookmarkStart w:id="159" w:name="OLE_LINK320"/>
      <w:bookmarkStart w:id="160" w:name="OLE_LINK470"/>
      <w:r>
        <w:rPr>
          <w:rFonts w:ascii="Times New Roman" w:hAnsi="Times New Roman"/>
        </w:rPr>
        <w:t>Kohn</w:t>
      </w:r>
      <w:bookmarkEnd w:id="159"/>
      <w:bookmarkEnd w:id="160"/>
      <w:r>
        <w:rPr>
          <w:rFonts w:ascii="Times New Roman" w:hAnsi="Times New Roman"/>
          <w:lang w:bidi="ar"/>
        </w:rPr>
        <w:t xml:space="preserve">, 2011; </w:t>
      </w:r>
      <w:bookmarkStart w:id="161" w:name="OLE_LINK1"/>
      <w:bookmarkStart w:id="162" w:name="OLE_LINK469"/>
      <w:bookmarkStart w:id="163" w:name="OLE_LINK319"/>
      <w:r>
        <w:rPr>
          <w:rFonts w:ascii="Times New Roman" w:hAnsi="Times New Roman"/>
        </w:rPr>
        <w:t>Seidlhofer</w:t>
      </w:r>
      <w:bookmarkEnd w:id="161"/>
      <w:bookmarkEnd w:id="162"/>
      <w:bookmarkEnd w:id="163"/>
      <w:r>
        <w:rPr>
          <w:rFonts w:ascii="Times New Roman" w:hAnsi="Times New Roman"/>
          <w:lang w:bidi="ar"/>
        </w:rPr>
        <w:t>, 2017).</w:t>
      </w:r>
    </w:p>
    <w:p>
      <w:pPr>
        <w:pStyle w:val="39"/>
      </w:pPr>
      <w:bookmarkStart w:id="164" w:name="_Toc158753967"/>
      <w:r>
        <w:rPr>
          <w:lang w:bidi="ar"/>
        </w:rPr>
        <w:t>2.5 The Research Gap</w:t>
      </w:r>
      <w:bookmarkEnd w:id="164"/>
      <w:r>
        <w:rPr>
          <w:lang w:bidi="ar"/>
        </w:rPr>
        <w:t xml:space="preserve"> </w:t>
      </w:r>
    </w:p>
    <w:p>
      <w:pPr>
        <w:pStyle w:val="21"/>
        <w:widowControl/>
        <w:jc w:val="both"/>
        <w:rPr>
          <w:rFonts w:ascii="Times New Roman" w:hAnsi="Times New Roman"/>
        </w:rPr>
      </w:pPr>
      <w:r>
        <w:rPr>
          <w:rFonts w:ascii="Times New Roman" w:hAnsi="Times New Roman"/>
          <w:lang w:bidi="ar"/>
        </w:rPr>
        <w:t xml:space="preserve">According to </w:t>
      </w:r>
      <w:bookmarkStart w:id="165" w:name="OLE_LINK71"/>
      <w:bookmarkStart w:id="166" w:name="OLE_LINK75"/>
      <w:bookmarkStart w:id="167" w:name="OLE_LINK72"/>
      <w:r>
        <w:rPr>
          <w:rFonts w:ascii="Times New Roman" w:hAnsi="Times New Roman"/>
          <w:color w:val="222222"/>
          <w:shd w:val="clear" w:color="auto" w:fill="FFFFFF"/>
        </w:rPr>
        <w:t>Alyousef</w:t>
      </w:r>
      <w:r>
        <w:rPr>
          <w:rFonts w:ascii="Times New Roman" w:hAnsi="Times New Roman"/>
          <w:lang w:bidi="ar"/>
        </w:rPr>
        <w:t xml:space="preserve"> </w:t>
      </w:r>
      <w:bookmarkEnd w:id="165"/>
      <w:bookmarkEnd w:id="166"/>
      <w:bookmarkEnd w:id="167"/>
      <w:r>
        <w:rPr>
          <w:rFonts w:ascii="Times New Roman" w:hAnsi="Times New Roman"/>
          <w:lang w:bidi="ar"/>
        </w:rPr>
        <w:t xml:space="preserve">(2006), EFL </w:t>
      </w:r>
      <w:r>
        <w:rPr>
          <w:rFonts w:hint="eastAsia" w:ascii="Times New Roman" w:hAnsi="Times New Roman"/>
          <w:lang w:bidi="ar"/>
        </w:rPr>
        <w:t>learners</w:t>
      </w:r>
      <w:r>
        <w:rPr>
          <w:rFonts w:ascii="Times New Roman" w:hAnsi="Times New Roman"/>
          <w:lang w:bidi="ar"/>
        </w:rPr>
        <w:t xml:space="preserve">’ </w:t>
      </w:r>
      <w:r>
        <w:rPr>
          <w:rFonts w:hint="eastAsia" w:ascii="Times New Roman" w:hAnsi="Times New Roman"/>
          <w:lang w:bidi="ar"/>
        </w:rPr>
        <w:t>o</w:t>
      </w:r>
      <w:r>
        <w:rPr>
          <w:rFonts w:ascii="Times New Roman" w:hAnsi="Times New Roman"/>
          <w:lang w:bidi="ar"/>
        </w:rPr>
        <w:t>pinions are often disregarded when deciding which dialect of English to learn; on the other hand, proponents of the NS model value these opinions highly. While the number of relevant research has lately increased somewhat, pre-service (i.e. trainee) teachers are one category that has not received much attention yet. Additionally, compared to those who have finished their domestic education (in China) and are now studying overseas, domestic novice teachers are more likely to be engaged in studies. This gap necessitates more investigation in the future.</w:t>
      </w:r>
    </w:p>
    <w:p>
      <w:pPr>
        <w:pStyle w:val="21"/>
        <w:widowControl/>
        <w:jc w:val="both"/>
        <w:rPr>
          <w:rFonts w:ascii="Times New Roman" w:hAnsi="Times New Roman"/>
          <w:lang w:bidi="ar"/>
        </w:rPr>
      </w:pPr>
    </w:p>
    <w:p>
      <w:pPr>
        <w:pStyle w:val="21"/>
        <w:widowControl/>
        <w:jc w:val="both"/>
        <w:rPr>
          <w:rFonts w:ascii="Times New Roman" w:hAnsi="Times New Roman"/>
        </w:rPr>
      </w:pPr>
      <w:r>
        <w:rPr>
          <w:rFonts w:ascii="Times New Roman" w:hAnsi="Times New Roman"/>
          <w:lang w:bidi="ar"/>
        </w:rPr>
        <w:t>The current study is predicated on the claim that ideological power affects people’s perceptions of other English dialects that are seen to be inferior than SE, with the aim of closing this research gap and providing empirical support for the theoretical discussions (</w:t>
      </w:r>
      <w:r>
        <w:rPr>
          <w:rFonts w:ascii="Times New Roman" w:hAnsi="Times New Roman"/>
          <w:color w:val="222222"/>
          <w:shd w:val="clear" w:color="auto" w:fill="FFFFFF"/>
        </w:rPr>
        <w:t>Alyousef</w:t>
      </w:r>
      <w:r>
        <w:rPr>
          <w:rFonts w:ascii="Times New Roman" w:hAnsi="Times New Roman" w:eastAsia="宋体"/>
          <w:lang w:bidi="ar"/>
        </w:rPr>
        <w:t xml:space="preserve">, 2006; </w:t>
      </w:r>
      <w:r>
        <w:rPr>
          <w:rFonts w:ascii="Times New Roman" w:hAnsi="Times New Roman"/>
          <w:color w:val="222222"/>
          <w:shd w:val="clear" w:color="auto" w:fill="FFFFFF"/>
        </w:rPr>
        <w:t>Derakhshan et al.</w:t>
      </w:r>
      <w:r>
        <w:rPr>
          <w:rFonts w:ascii="Times New Roman" w:hAnsi="Times New Roman"/>
          <w:lang w:bidi="ar"/>
        </w:rPr>
        <w:t xml:space="preserve">, 2007;). According to </w:t>
      </w:r>
      <w:bookmarkStart w:id="168" w:name="OLE_LINK78"/>
      <w:bookmarkStart w:id="169" w:name="OLE_LINK77"/>
      <w:bookmarkStart w:id="170" w:name="OLE_LINK76"/>
      <w:bookmarkStart w:id="171" w:name="OLE_LINK79"/>
      <w:bookmarkStart w:id="172" w:name="OLE_LINK80"/>
      <w:r>
        <w:rPr>
          <w:rFonts w:ascii="Times New Roman" w:hAnsi="Times New Roman"/>
          <w:lang w:bidi="ar"/>
        </w:rPr>
        <w:t xml:space="preserve">Tajeddin </w:t>
      </w:r>
      <w:bookmarkEnd w:id="168"/>
      <w:bookmarkEnd w:id="169"/>
      <w:bookmarkEnd w:id="170"/>
      <w:r>
        <w:rPr>
          <w:rFonts w:ascii="Times New Roman" w:hAnsi="Times New Roman"/>
          <w:lang w:bidi="ar"/>
        </w:rPr>
        <w:t>et al. (2022</w:t>
      </w:r>
      <w:bookmarkEnd w:id="171"/>
      <w:bookmarkEnd w:id="172"/>
      <w:r>
        <w:rPr>
          <w:rFonts w:ascii="Times New Roman" w:hAnsi="Times New Roman"/>
          <w:lang w:bidi="ar"/>
        </w:rPr>
        <w:t>), these ideas are shared in ELT and have weakened NNS standards.</w:t>
      </w:r>
    </w:p>
    <w:p>
      <w:pPr>
        <w:pStyle w:val="38"/>
        <w:rPr>
          <w:lang w:bidi="ar"/>
        </w:rPr>
      </w:pPr>
      <w:bookmarkStart w:id="173" w:name="_Toc158753968"/>
      <w:bookmarkStart w:id="174" w:name="_Toc1590734124"/>
    </w:p>
    <w:p>
      <w:pPr>
        <w:pStyle w:val="38"/>
        <w:rPr>
          <w:lang w:bidi="ar"/>
        </w:rPr>
      </w:pPr>
      <w:r>
        <w:rPr>
          <w:lang w:bidi="ar"/>
        </w:rPr>
        <w:t>Chapter T</w:t>
      </w:r>
      <w:r>
        <w:rPr>
          <w:rFonts w:hint="eastAsia"/>
          <w:lang w:bidi="ar"/>
        </w:rPr>
        <w:t>hree:</w:t>
      </w:r>
      <w:r>
        <w:rPr>
          <w:lang w:bidi="ar"/>
        </w:rPr>
        <w:t xml:space="preserve"> Methodology</w:t>
      </w:r>
      <w:bookmarkEnd w:id="173"/>
      <w:bookmarkEnd w:id="174"/>
    </w:p>
    <w:p>
      <w:pPr>
        <w:pStyle w:val="39"/>
        <w:rPr>
          <w:lang w:bidi="ar"/>
        </w:rPr>
      </w:pPr>
      <w:bookmarkStart w:id="175" w:name="_Toc158753969"/>
      <w:bookmarkStart w:id="176" w:name="OLE_LINK188"/>
      <w:bookmarkStart w:id="177" w:name="OLE_LINK187"/>
      <w:bookmarkStart w:id="178" w:name="OLE_LINK189"/>
      <w:r>
        <w:rPr>
          <w:lang w:bidi="ar"/>
        </w:rPr>
        <w:t>3.1 Introduction</w:t>
      </w:r>
      <w:bookmarkEnd w:id="175"/>
    </w:p>
    <w:p>
      <w:pPr>
        <w:pStyle w:val="21"/>
        <w:widowControl/>
        <w:jc w:val="both"/>
        <w:rPr>
          <w:rFonts w:ascii="Times New Roman" w:hAnsi="Times New Roman"/>
          <w:lang w:bidi="ar"/>
        </w:rPr>
      </w:pPr>
      <w:r>
        <w:rPr>
          <w:rFonts w:ascii="Times New Roman" w:hAnsi="Times New Roman"/>
          <w:lang w:bidi="ar"/>
        </w:rPr>
        <w:t xml:space="preserve">This chapter outlines the fundamental methodology of this study, beginning with the theoretical principles that form its philosophical foundation. It then introduces the case study approach and justifies its application </w:t>
      </w:r>
      <w:r>
        <w:rPr>
          <w:rFonts w:hint="eastAsia" w:ascii="Times New Roman" w:hAnsi="Times New Roman"/>
          <w:lang w:bidi="ar"/>
        </w:rPr>
        <w:t>in</w:t>
      </w:r>
      <w:r>
        <w:rPr>
          <w:rFonts w:ascii="Times New Roman" w:hAnsi="Times New Roman"/>
          <w:lang w:bidi="ar"/>
        </w:rPr>
        <w:t xml:space="preserve"> </w:t>
      </w:r>
      <w:r>
        <w:rPr>
          <w:rFonts w:hint="eastAsia" w:ascii="Times New Roman" w:hAnsi="Times New Roman"/>
          <w:lang w:bidi="ar"/>
        </w:rPr>
        <w:t>this</w:t>
      </w:r>
      <w:r>
        <w:rPr>
          <w:rFonts w:ascii="Times New Roman" w:hAnsi="Times New Roman"/>
          <w:lang w:bidi="ar"/>
        </w:rPr>
        <w:t xml:space="preserve"> </w:t>
      </w:r>
      <w:r>
        <w:rPr>
          <w:rFonts w:hint="eastAsia" w:ascii="Times New Roman" w:hAnsi="Times New Roman"/>
          <w:lang w:bidi="ar"/>
        </w:rPr>
        <w:t>study</w:t>
      </w:r>
      <w:r>
        <w:rPr>
          <w:rFonts w:ascii="Times New Roman" w:hAnsi="Times New Roman"/>
          <w:lang w:bidi="ar"/>
        </w:rPr>
        <w:t>. Immediately following this, the chapter explores ethical considerations in relation to how participants and data are protected. Finally, an attempt was made to evaluate this qualitative study, focusing on assessing its feasibility and limitations as a contribution to future research.</w:t>
      </w:r>
    </w:p>
    <w:bookmarkEnd w:id="176"/>
    <w:bookmarkEnd w:id="177"/>
    <w:bookmarkEnd w:id="178"/>
    <w:p>
      <w:pPr>
        <w:pStyle w:val="39"/>
      </w:pPr>
      <w:bookmarkStart w:id="179" w:name="_Toc158753970"/>
      <w:r>
        <w:t>3.2 Research Design</w:t>
      </w:r>
      <w:bookmarkEnd w:id="179"/>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As discussed earlier, empirical research on non-native English learners' perceptions of English is quite scarce. In contrast, some researchers have identified such perceptions and attitudes as influential factors in determining the appropriate teaching approach to be employed. Among English learners and users, the perceptions and attitudes of trainee teachers with experience of studying in English-speaking countries are particularly worth exploring, as they are likely to hold a wealth of valuable views. Consequently, the objective of this research is to address this gap by investigating the current impressions of Chinese trainee teachers regarding the English language, their previous experiences in language learning within educational settings, and their prospective opportunities for teaching. To achieve this, the following research questions have been put forward:</w:t>
      </w:r>
    </w:p>
    <w:p>
      <w:pPr>
        <w:widowControl/>
        <w:rPr>
          <w:rFonts w:ascii="Times New Roman" w:hAnsi="Times New Roman" w:eastAsia="Times New Roman" w:cs="Times New Roman"/>
          <w:bCs/>
          <w:sz w:val="24"/>
        </w:rPr>
      </w:pPr>
    </w:p>
    <w:p>
      <w:pPr>
        <w:pStyle w:val="21"/>
        <w:widowControl/>
        <w:numPr>
          <w:ilvl w:val="0"/>
          <w:numId w:val="1"/>
        </w:numPr>
        <w:rPr>
          <w:rFonts w:ascii="Times New Roman" w:hAnsi="Times New Roman"/>
          <w:lang w:bidi="ar"/>
        </w:rPr>
      </w:pPr>
      <w:bookmarkStart w:id="180" w:name="OLE_LINK50"/>
      <w:bookmarkStart w:id="181" w:name="OLE_LINK49"/>
      <w:r>
        <w:rPr>
          <w:rFonts w:ascii="Times New Roman" w:hAnsi="Times New Roman"/>
          <w:lang w:bidi="ar"/>
        </w:rPr>
        <w:t>What attitudes and impressions of English do Chinese education majors (</w:t>
      </w:r>
      <w:r>
        <w:rPr>
          <w:rFonts w:hint="eastAsia" w:ascii="Times New Roman" w:hAnsi="Times New Roman"/>
          <w:lang w:bidi="ar"/>
        </w:rPr>
        <w:t>i</w:t>
      </w:r>
      <w:r>
        <w:rPr>
          <w:rFonts w:ascii="Times New Roman" w:hAnsi="Times New Roman"/>
          <w:lang w:bidi="ar"/>
        </w:rPr>
        <w:t>.e., pre-service/trainee English teachers) have?</w:t>
      </w:r>
    </w:p>
    <w:bookmarkEnd w:id="180"/>
    <w:bookmarkEnd w:id="181"/>
    <w:p>
      <w:pPr>
        <w:pStyle w:val="21"/>
        <w:widowControl/>
        <w:jc w:val="both"/>
        <w:rPr>
          <w:rFonts w:ascii="Times New Roman" w:hAnsi="Times New Roman"/>
          <w:lang w:bidi="ar"/>
        </w:rPr>
      </w:pPr>
      <w:r>
        <w:rPr>
          <w:rFonts w:ascii="Times New Roman" w:hAnsi="Times New Roman"/>
          <w:lang w:bidi="ar"/>
        </w:rPr>
        <w:t>2) What impact will Chinese education students’ English language learning experiences have on their future teaching?</w:t>
      </w:r>
    </w:p>
    <w:p>
      <w:pPr>
        <w:pStyle w:val="22"/>
      </w:pPr>
      <w:bookmarkStart w:id="182" w:name="_Toc1444500565"/>
      <w:bookmarkStart w:id="183" w:name="_Toc158753971"/>
      <w:r>
        <w:t xml:space="preserve">Philosophical </w:t>
      </w:r>
      <w:bookmarkEnd w:id="182"/>
      <w:r>
        <w:t>F</w:t>
      </w:r>
      <w:r>
        <w:rPr>
          <w:rFonts w:hint="eastAsia"/>
        </w:rPr>
        <w:t>ramework</w:t>
      </w:r>
      <w:bookmarkEnd w:id="183"/>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To answer the previously mentioned research questions, the researcher needs to have a detailed and in-depth discussion with the participants in order to understand how they experienced circumstances and reality differently. In these situations, it’s helpful to ask straightforward questions to elicit participants’ responses and then evaluate the results.</w:t>
      </w:r>
      <w:r>
        <w:t xml:space="preserve"> </w:t>
      </w:r>
      <w:r>
        <w:rPr>
          <w:rFonts w:ascii="Times New Roman" w:hAnsi="Times New Roman" w:eastAsia="Times New Roman" w:cs="Times New Roman"/>
          <w:bCs/>
          <w:sz w:val="24"/>
        </w:rPr>
        <w:t xml:space="preserve">This displays a vision about interpreting the truth through a constructed lens, where society doesn’t exist objectively, but is constructed by </w:t>
      </w:r>
      <w:r>
        <w:rPr>
          <w:rFonts w:hint="eastAsia" w:ascii="Times New Roman" w:hAnsi="Times New Roman" w:eastAsia="Times New Roman" w:cs="Times New Roman"/>
          <w:bCs/>
          <w:sz w:val="24"/>
        </w:rPr>
        <w:t>individuals</w:t>
      </w:r>
      <w:r>
        <w:rPr>
          <w:rFonts w:ascii="Times New Roman" w:hAnsi="Times New Roman" w:eastAsia="Times New Roman" w:cs="Times New Roman"/>
          <w:bCs/>
          <w:sz w:val="24"/>
        </w:rPr>
        <w:t xml:space="preserve"> in their own personal and unique ways (</w:t>
      </w:r>
      <w:bookmarkStart w:id="184" w:name="OLE_LINK82"/>
      <w:bookmarkStart w:id="185" w:name="OLE_LINK81"/>
      <w:r>
        <w:rPr>
          <w:rFonts w:ascii="Times New Roman" w:hAnsi="Times New Roman" w:eastAsia="Times New Roman" w:cs="Times New Roman"/>
          <w:bCs/>
          <w:sz w:val="24"/>
        </w:rPr>
        <w:t>Della Porta and Keating</w:t>
      </w:r>
      <w:bookmarkEnd w:id="184"/>
      <w:bookmarkEnd w:id="185"/>
      <w:r>
        <w:rPr>
          <w:rFonts w:ascii="Times New Roman" w:hAnsi="Times New Roman" w:eastAsia="Times New Roman" w:cs="Times New Roman"/>
          <w:bCs/>
          <w:sz w:val="24"/>
        </w:rPr>
        <w:t>, 2008). B</w:t>
      </w:r>
      <w:r>
        <w:rPr>
          <w:rFonts w:hint="eastAsia" w:ascii="Times New Roman" w:hAnsi="Times New Roman" w:eastAsia="Times New Roman" w:cs="Times New Roman"/>
          <w:bCs/>
          <w:sz w:val="24"/>
        </w:rPr>
        <w:t>ased</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on</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this,</w:t>
      </w:r>
      <w:r>
        <w:rPr>
          <w:rFonts w:ascii="Times New Roman" w:hAnsi="Times New Roman" w:eastAsia="Times New Roman" w:cs="Times New Roman"/>
          <w:bCs/>
          <w:sz w:val="24"/>
        </w:rPr>
        <w:t xml:space="preserve"> the social environment with its subjective meanings served as the focus of this inquiry (Thomas, 2013; </w:t>
      </w:r>
      <w:r>
        <w:rPr>
          <w:rFonts w:ascii="Times New Roman" w:hAnsi="Times New Roman" w:cs="Times New Roman"/>
          <w:color w:val="222222"/>
          <w:sz w:val="24"/>
          <w:shd w:val="clear" w:color="auto" w:fill="FFFFFF"/>
        </w:rPr>
        <w:t>Alharahsheh and Pius</w:t>
      </w:r>
      <w:r>
        <w:rPr>
          <w:rFonts w:ascii="Times New Roman" w:hAnsi="Times New Roman" w:eastAsia="Times New Roman" w:cs="Times New Roman"/>
          <w:bCs/>
          <w:sz w:val="24"/>
        </w:rPr>
        <w:t>, 2020). By distinguishing the kind of knowledge being investigated, the ontological viewpoint of this research was disclosed. In terms of epistemology, researchers must find and interpret the meanings (</w:t>
      </w:r>
      <w:bookmarkStart w:id="186" w:name="OLE_LINK86"/>
      <w:bookmarkStart w:id="187" w:name="OLE_LINK85"/>
      <w:r>
        <w:rPr>
          <w:rFonts w:ascii="Times New Roman" w:hAnsi="Times New Roman" w:eastAsia="Times New Roman" w:cs="Times New Roman"/>
          <w:bCs/>
          <w:sz w:val="24"/>
        </w:rPr>
        <w:t>O’</w:t>
      </w:r>
      <w:bookmarkStart w:id="188" w:name="OLE_LINK83"/>
      <w:bookmarkStart w:id="189" w:name="OLE_LINK84"/>
      <w:r>
        <w:rPr>
          <w:rFonts w:ascii="Times New Roman" w:hAnsi="Times New Roman" w:eastAsia="Times New Roman" w:cs="Times New Roman"/>
          <w:bCs/>
          <w:sz w:val="24"/>
        </w:rPr>
        <w:t>Donoghue</w:t>
      </w:r>
      <w:bookmarkEnd w:id="186"/>
      <w:bookmarkEnd w:id="187"/>
      <w:bookmarkEnd w:id="188"/>
      <w:bookmarkEnd w:id="189"/>
      <w:r>
        <w:rPr>
          <w:rFonts w:ascii="Times New Roman" w:hAnsi="Times New Roman" w:eastAsia="Times New Roman" w:cs="Times New Roman"/>
          <w:bCs/>
          <w:sz w:val="24"/>
        </w:rPr>
        <w:t>, 2006) that humans use to indicate their knowledge of the world and, more particularly, of certain events and actions (</w:t>
      </w:r>
      <w:bookmarkStart w:id="190" w:name="OLE_LINK484"/>
      <w:bookmarkStart w:id="191" w:name="OLE_LINK485"/>
      <w:r>
        <w:rPr>
          <w:rFonts w:ascii="Times New Roman" w:hAnsi="Times New Roman" w:eastAsia="Times New Roman" w:cs="Times New Roman"/>
          <w:bCs/>
          <w:sz w:val="24"/>
        </w:rPr>
        <w:t>Crotty, 1998</w:t>
      </w:r>
      <w:bookmarkEnd w:id="190"/>
      <w:bookmarkEnd w:id="191"/>
      <w:r>
        <w:rPr>
          <w:rFonts w:ascii="Times New Roman" w:hAnsi="Times New Roman" w:eastAsia="Times New Roman" w:cs="Times New Roman"/>
          <w:bCs/>
          <w:sz w:val="24"/>
        </w:rPr>
        <w:t>). Interpretivism (</w:t>
      </w:r>
      <w:bookmarkStart w:id="192" w:name="OLE_LINK491"/>
      <w:bookmarkStart w:id="193" w:name="OLE_LINK490"/>
      <w:r>
        <w:rPr>
          <w:rFonts w:ascii="Times New Roman" w:hAnsi="Times New Roman" w:eastAsia="Times New Roman" w:cs="Times New Roman"/>
          <w:bCs/>
          <w:sz w:val="24"/>
        </w:rPr>
        <w:t>Della Porta and Keating, 20</w:t>
      </w:r>
      <w:bookmarkEnd w:id="192"/>
      <w:bookmarkEnd w:id="193"/>
      <w:r>
        <w:rPr>
          <w:rFonts w:ascii="Times New Roman" w:hAnsi="Times New Roman" w:eastAsia="Times New Roman" w:cs="Times New Roman"/>
          <w:bCs/>
          <w:sz w:val="24"/>
        </w:rPr>
        <w:t>08) served as the theoretical underpinning for this study’s research design and methodologies.</w:t>
      </w:r>
    </w:p>
    <w:p>
      <w:pPr>
        <w:pStyle w:val="22"/>
      </w:pPr>
      <w:bookmarkStart w:id="194" w:name="_Toc158753972"/>
      <w:r>
        <w:t xml:space="preserve">Positioning of </w:t>
      </w:r>
      <w:r>
        <w:rPr>
          <w:rFonts w:hint="eastAsia"/>
        </w:rPr>
        <w:t>the</w:t>
      </w:r>
      <w:r>
        <w:t xml:space="preserve"> Researcher</w:t>
      </w:r>
      <w:bookmarkEnd w:id="194"/>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As this study is an investigation into the participants’ understanding and attitudes towards English, the researcher will need to access the participants’ subjective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contextual knowledge and make interpretations, so it will be advantageous to adopt </w:t>
      </w:r>
      <w:r>
        <w:rPr>
          <w:rFonts w:hint="eastAsia" w:ascii="Times New Roman" w:hAnsi="Times New Roman" w:eastAsia="Times New Roman" w:cs="Times New Roman"/>
          <w:bCs/>
          <w:sz w:val="24"/>
        </w:rPr>
        <w:t>the</w:t>
      </w:r>
      <w:r>
        <w:rPr>
          <w:rFonts w:ascii="Times New Roman" w:hAnsi="Times New Roman" w:eastAsia="Times New Roman" w:cs="Times New Roman"/>
          <w:bCs/>
          <w:sz w:val="24"/>
        </w:rPr>
        <w:t xml:space="preserve"> </w:t>
      </w:r>
      <w:bookmarkStart w:id="195" w:name="OLE_LINK88"/>
      <w:bookmarkStart w:id="196" w:name="OLE_LINK87"/>
      <w:r>
        <w:rPr>
          <w:rFonts w:ascii="Times New Roman" w:hAnsi="Times New Roman" w:eastAsia="Times New Roman" w:cs="Times New Roman"/>
          <w:bCs/>
          <w:sz w:val="24"/>
        </w:rPr>
        <w:t>interpretivist paradigm</w:t>
      </w:r>
      <w:bookmarkEnd w:id="195"/>
      <w:bookmarkEnd w:id="196"/>
      <w:r>
        <w:rPr>
          <w:rFonts w:ascii="Times New Roman" w:hAnsi="Times New Roman" w:eastAsia="Times New Roman" w:cs="Times New Roman"/>
          <w:bCs/>
          <w:sz w:val="24"/>
        </w:rPr>
        <w:t xml:space="preserve"> (</w:t>
      </w:r>
      <w:bookmarkStart w:id="197" w:name="OLE_LINK93"/>
      <w:bookmarkStart w:id="198" w:name="OLE_LINK94"/>
      <w:bookmarkStart w:id="199" w:name="OLE_LINK99"/>
      <w:r>
        <w:rPr>
          <w:rFonts w:ascii="Times New Roman" w:hAnsi="Times New Roman" w:cs="Times New Roman"/>
          <w:color w:val="222222"/>
          <w:sz w:val="24"/>
          <w:shd w:val="clear" w:color="auto" w:fill="FFFFFF"/>
        </w:rPr>
        <w:t>Alharahsheh and Pius</w:t>
      </w:r>
      <w:r>
        <w:rPr>
          <w:rFonts w:ascii="Times New Roman" w:hAnsi="Times New Roman" w:eastAsia="Times New Roman" w:cs="Times New Roman"/>
          <w:bCs/>
          <w:sz w:val="24"/>
        </w:rPr>
        <w:t>, 2020</w:t>
      </w:r>
      <w:bookmarkEnd w:id="197"/>
      <w:bookmarkEnd w:id="198"/>
      <w:bookmarkEnd w:id="199"/>
      <w:r>
        <w:rPr>
          <w:rFonts w:ascii="Times New Roman" w:hAnsi="Times New Roman" w:eastAsia="Times New Roman" w:cs="Times New Roman"/>
          <w:bCs/>
          <w:sz w:val="24"/>
        </w:rPr>
        <w:t>). Interacting with participants allows researchers to find and grasp important information as insiders. However, as the researcher needs to interpret the experimental data, his or her personal factors (e.g., knowledge, background, preferences, biases, etc.) may affect the interpretation of the data, thereby reducing the reliability of the study (Della Porta and Keating, 2008). T</w:t>
      </w:r>
      <w:r>
        <w:rPr>
          <w:rFonts w:hint="eastAsia" w:ascii="Times New Roman" w:hAnsi="Times New Roman" w:eastAsia="Times New Roman" w:cs="Times New Roman"/>
          <w:bCs/>
          <w:sz w:val="24"/>
        </w:rPr>
        <w:t>herefore</w:t>
      </w:r>
      <w:r>
        <w:rPr>
          <w:rFonts w:ascii="Times New Roman" w:hAnsi="Times New Roman" w:eastAsia="Times New Roman" w:cs="Times New Roman"/>
          <w:bCs/>
          <w:sz w:val="24"/>
        </w:rPr>
        <w:t>, interpretive researchers must keep positionality in mind at all times. With this in mind, the beginning to this research includes self-introduction remarks and a personal justification for choosing this subject. Throughout the study, the researcher constructed meaning by using carefully designed and updated interview schedules and reflective analytic processes, which are explained in the following paragraphs.</w:t>
      </w:r>
    </w:p>
    <w:p>
      <w:pPr>
        <w:pStyle w:val="22"/>
      </w:pPr>
      <w:bookmarkStart w:id="200" w:name="_Toc158753973"/>
      <w:bookmarkStart w:id="201" w:name="_Toc626322062"/>
      <w:r>
        <w:t>Methodology</w:t>
      </w:r>
      <w:bookmarkEnd w:id="200"/>
      <w:bookmarkEnd w:id="201"/>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This research used a case study methodology, which examines a specific phenomena within defined situations (</w:t>
      </w:r>
      <w:bookmarkStart w:id="202" w:name="OLE_LINK95"/>
      <w:bookmarkStart w:id="203" w:name="OLE_LINK96"/>
      <w:bookmarkStart w:id="204" w:name="OLE_LINK506"/>
      <w:bookmarkStart w:id="205" w:name="OLE_LINK507"/>
      <w:r>
        <w:rPr>
          <w:rFonts w:ascii="Times New Roman" w:hAnsi="Times New Roman" w:eastAsia="Times New Roman" w:cs="Times New Roman"/>
          <w:bCs/>
          <w:sz w:val="24"/>
        </w:rPr>
        <w:t>Punch and Oancea</w:t>
      </w:r>
      <w:bookmarkEnd w:id="202"/>
      <w:bookmarkEnd w:id="203"/>
      <w:r>
        <w:rPr>
          <w:rFonts w:ascii="Times New Roman" w:hAnsi="Times New Roman" w:eastAsia="Times New Roman" w:cs="Times New Roman"/>
          <w:bCs/>
          <w:sz w:val="24"/>
        </w:rPr>
        <w:t>, 2014</w:t>
      </w:r>
      <w:bookmarkEnd w:id="204"/>
      <w:bookmarkEnd w:id="205"/>
      <w:r>
        <w:rPr>
          <w:rFonts w:ascii="Times New Roman" w:hAnsi="Times New Roman" w:eastAsia="Times New Roman" w:cs="Times New Roman"/>
          <w:bCs/>
          <w:sz w:val="24"/>
        </w:rPr>
        <w:t>).  The objective of researching a case is to acquire a profound and comprehensive comprehension of its intricacy and the inherent environment in which it occurs (</w:t>
      </w:r>
      <w:bookmarkStart w:id="206" w:name="OLE_LINK97"/>
      <w:bookmarkStart w:id="207" w:name="OLE_LINK98"/>
      <w:r>
        <w:rPr>
          <w:rFonts w:ascii="Times New Roman" w:hAnsi="Times New Roman" w:eastAsia="Times New Roman" w:cs="Times New Roman"/>
          <w:bCs/>
          <w:sz w:val="24"/>
        </w:rPr>
        <w:t>Miles and Huberman</w:t>
      </w:r>
      <w:bookmarkEnd w:id="206"/>
      <w:bookmarkEnd w:id="207"/>
      <w:r>
        <w:rPr>
          <w:rFonts w:ascii="Times New Roman" w:hAnsi="Times New Roman" w:eastAsia="Times New Roman" w:cs="Times New Roman"/>
          <w:bCs/>
          <w:sz w:val="24"/>
        </w:rPr>
        <w:t>, 1984), or in other terms, to comprehend it from many viewpoints (</w:t>
      </w:r>
      <w:bookmarkStart w:id="208" w:name="OLE_LINK511"/>
      <w:r>
        <w:rPr>
          <w:rFonts w:ascii="Times New Roman" w:hAnsi="Times New Roman" w:eastAsia="Times New Roman" w:cs="Times New Roman"/>
          <w:bCs/>
          <w:sz w:val="24"/>
        </w:rPr>
        <w:t>Yin, 2009</w:t>
      </w:r>
      <w:bookmarkEnd w:id="208"/>
      <w:r>
        <w:rPr>
          <w:rFonts w:ascii="Times New Roman" w:hAnsi="Times New Roman" w:eastAsia="Times New Roman" w:cs="Times New Roman"/>
          <w:bCs/>
          <w:sz w:val="24"/>
        </w:rPr>
        <w:t xml:space="preserve">).  Based on these </w:t>
      </w:r>
      <w:r>
        <w:rPr>
          <w:rFonts w:hint="eastAsia" w:ascii="Times New Roman" w:hAnsi="Times New Roman" w:eastAsia="Times New Roman" w:cs="Times New Roman"/>
          <w:bCs/>
          <w:sz w:val="24"/>
        </w:rPr>
        <w:t>views,</w:t>
      </w:r>
      <w:r>
        <w:rPr>
          <w:rFonts w:ascii="Times New Roman" w:hAnsi="Times New Roman" w:eastAsia="Times New Roman" w:cs="Times New Roman"/>
          <w:bCs/>
          <w:sz w:val="24"/>
        </w:rPr>
        <w:t xml:space="preserve"> the current </w:t>
      </w:r>
      <w:r>
        <w:rPr>
          <w:rFonts w:hint="eastAsia" w:ascii="Times New Roman" w:hAnsi="Times New Roman" w:eastAsia="Times New Roman" w:cs="Times New Roman"/>
          <w:bCs/>
          <w:sz w:val="24"/>
        </w:rPr>
        <w:t>study</w:t>
      </w:r>
      <w:r>
        <w:rPr>
          <w:rFonts w:ascii="Times New Roman" w:hAnsi="Times New Roman" w:eastAsia="Times New Roman" w:cs="Times New Roman"/>
          <w:bCs/>
          <w:sz w:val="24"/>
        </w:rPr>
        <w:t xml:space="preserve"> aimed to investigate how </w:t>
      </w:r>
      <w:r>
        <w:rPr>
          <w:rFonts w:ascii="Times New Roman" w:hAnsi="Times New Roman" w:cs="Times New Roman"/>
          <w:kern w:val="0"/>
          <w:sz w:val="24"/>
        </w:rPr>
        <w:t xml:space="preserve">Chinese pre-service teachers </w:t>
      </w:r>
      <w:r>
        <w:rPr>
          <w:rFonts w:ascii="Times New Roman" w:hAnsi="Times New Roman" w:eastAsia="Times New Roman" w:cs="Times New Roman"/>
          <w:bCs/>
          <w:sz w:val="24"/>
        </w:rPr>
        <w:t xml:space="preserve">view English. And </w:t>
      </w:r>
      <w:r>
        <w:rPr>
          <w:rFonts w:hint="eastAsia" w:ascii="Times New Roman" w:hAnsi="Times New Roman" w:eastAsia="Times New Roman" w:cs="Times New Roman"/>
          <w:bCs/>
          <w:sz w:val="24"/>
        </w:rPr>
        <w:t>use such</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attitudes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understanding</w:t>
      </w:r>
      <w:r>
        <w:rPr>
          <w:rFonts w:ascii="Times New Roman" w:hAnsi="Times New Roman" w:eastAsia="Times New Roman" w:cs="Times New Roman"/>
          <w:bCs/>
          <w:sz w:val="24"/>
        </w:rPr>
        <w:t xml:space="preserve"> as a case, to explore the kinds of ideologies to which EFL learners may be subjected. The study focused on exploring the participants’ understanding of this contemporary phenomenon, taking into account the features discussed earlier. This research used many units of analysis to identify the various viewpoints inside the case study, making it an embedded single case study (</w:t>
      </w:r>
      <w:r>
        <w:rPr>
          <w:rFonts w:ascii="Times New Roman" w:hAnsi="Times New Roman" w:cs="Times New Roman"/>
          <w:color w:val="222222"/>
          <w:sz w:val="24"/>
          <w:shd w:val="clear" w:color="auto" w:fill="FFFFFF"/>
        </w:rPr>
        <w:t>Alharahsheh and Pius</w:t>
      </w:r>
      <w:r>
        <w:rPr>
          <w:rFonts w:ascii="Times New Roman" w:hAnsi="Times New Roman" w:eastAsia="Times New Roman" w:cs="Times New Roman"/>
          <w:bCs/>
          <w:sz w:val="24"/>
        </w:rPr>
        <w:t>, 2020). The study specifically examined the viewpoints of learners and pre-service (i.e. trainee) teachers in connection to their prior experience and present circumstances.</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By using a case study methodology, this study ensured alignment with theoretical perspectives, therefore enhancing the overall research design. Furthermore, case studies not only provide a</w:t>
      </w:r>
      <w:r>
        <w:rPr>
          <w:rFonts w:hint="eastAsia" w:ascii="Times New Roman" w:hAnsi="Times New Roman" w:eastAsia="Times New Roman" w:cs="Times New Roman"/>
          <w:bCs/>
          <w:sz w:val="24"/>
        </w:rPr>
        <w:t>n</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essential</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c</w:t>
      </w:r>
      <w:r>
        <w:rPr>
          <w:rFonts w:ascii="Times New Roman" w:hAnsi="Times New Roman" w:eastAsia="Times New Roman" w:cs="Times New Roman"/>
          <w:bCs/>
          <w:sz w:val="24"/>
        </w:rPr>
        <w:t xml:space="preserve">ontribution, but they also enable researchers to concentrate on a highly-specific instance, while exploring a </w:t>
      </w:r>
      <w:r>
        <w:rPr>
          <w:rFonts w:hint="eastAsia" w:ascii="Times New Roman" w:hAnsi="Times New Roman" w:eastAsia="Times New Roman" w:cs="Times New Roman"/>
          <w:bCs/>
          <w:sz w:val="24"/>
        </w:rPr>
        <w:t>more</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comprehensive</w:t>
      </w:r>
      <w:r>
        <w:rPr>
          <w:rFonts w:ascii="Times New Roman" w:hAnsi="Times New Roman" w:eastAsia="Times New Roman" w:cs="Times New Roman"/>
          <w:bCs/>
          <w:sz w:val="24"/>
        </w:rPr>
        <w:t xml:space="preserve"> range of topics and issues in greater detail (</w:t>
      </w:r>
      <w:bookmarkStart w:id="209" w:name="OLE_LINK104"/>
      <w:bookmarkStart w:id="210" w:name="OLE_LINK105"/>
      <w:r>
        <w:rPr>
          <w:rFonts w:ascii="Times New Roman" w:hAnsi="Times New Roman" w:cs="Times New Roman"/>
          <w:color w:val="222222"/>
          <w:sz w:val="24"/>
          <w:shd w:val="clear" w:color="auto" w:fill="FFFFFF"/>
        </w:rPr>
        <w:t>Flyvbjerg</w:t>
      </w:r>
      <w:r>
        <w:rPr>
          <w:rFonts w:ascii="Times New Roman" w:hAnsi="Times New Roman" w:eastAsia="Times New Roman" w:cs="Times New Roman"/>
          <w:bCs/>
          <w:sz w:val="24"/>
        </w:rPr>
        <w:t>, 2011</w:t>
      </w:r>
      <w:bookmarkEnd w:id="209"/>
      <w:bookmarkEnd w:id="210"/>
      <w:r>
        <w:rPr>
          <w:rFonts w:ascii="Times New Roman" w:hAnsi="Times New Roman" w:eastAsia="Times New Roman" w:cs="Times New Roman"/>
          <w:bCs/>
          <w:sz w:val="24"/>
        </w:rPr>
        <w:t>). The case study technique minimizes the impact of extraneous circumstances, enabling a more concentrated examination of a single issue (</w:t>
      </w:r>
      <w:bookmarkStart w:id="211" w:name="OLE_LINK107"/>
      <w:bookmarkStart w:id="212" w:name="OLE_LINK106"/>
      <w:r>
        <w:rPr>
          <w:rFonts w:ascii="Times New Roman" w:hAnsi="Times New Roman" w:cs="Times New Roman"/>
          <w:color w:val="222222"/>
          <w:sz w:val="24"/>
          <w:shd w:val="clear" w:color="auto" w:fill="FFFFFF"/>
        </w:rPr>
        <w:t>Feagin et,al.</w:t>
      </w:r>
      <w:r>
        <w:rPr>
          <w:rFonts w:ascii="Times New Roman" w:hAnsi="Times New Roman" w:eastAsia="Times New Roman" w:cs="Times New Roman"/>
          <w:bCs/>
          <w:sz w:val="24"/>
        </w:rPr>
        <w:t>, 2016</w:t>
      </w:r>
      <w:bookmarkEnd w:id="211"/>
      <w:bookmarkEnd w:id="212"/>
      <w:r>
        <w:rPr>
          <w:rFonts w:ascii="Times New Roman" w:hAnsi="Times New Roman" w:eastAsia="Times New Roman" w:cs="Times New Roman"/>
          <w:bCs/>
          <w:sz w:val="24"/>
        </w:rPr>
        <w:t>). This was particularly significant for me, given I am a beginner researcher.</w:t>
      </w:r>
    </w:p>
    <w:p>
      <w:pPr>
        <w:pStyle w:val="39"/>
      </w:pPr>
      <w:bookmarkStart w:id="213" w:name="_Toc158753974"/>
      <w:r>
        <w:t>3.3 S</w:t>
      </w:r>
      <w:r>
        <w:rPr>
          <w:rFonts w:hint="eastAsia"/>
        </w:rPr>
        <w:t>ampling</w:t>
      </w:r>
      <w:bookmarkEnd w:id="213"/>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The research used purposive sampling. Purposive sampling required the researcher </w:t>
      </w:r>
      <w:r>
        <w:rPr>
          <w:rFonts w:hint="eastAsia" w:ascii="Times New Roman" w:hAnsi="Times New Roman" w:eastAsia="Times New Roman" w:cs="Times New Roman"/>
          <w:bCs/>
          <w:sz w:val="24"/>
        </w:rPr>
        <w:t>to</w:t>
      </w:r>
      <w:r>
        <w:rPr>
          <w:rFonts w:ascii="Times New Roman" w:hAnsi="Times New Roman" w:eastAsia="Times New Roman" w:cs="Times New Roman"/>
          <w:bCs/>
          <w:sz w:val="24"/>
        </w:rPr>
        <w:t xml:space="preserve"> mak</w:t>
      </w:r>
      <w:r>
        <w:rPr>
          <w:rFonts w:hint="eastAsia" w:ascii="Times New Roman" w:hAnsi="Times New Roman" w:eastAsia="Times New Roman" w:cs="Times New Roman"/>
          <w:bCs/>
          <w:sz w:val="24"/>
        </w:rPr>
        <w:t>e</w:t>
      </w:r>
      <w:r>
        <w:rPr>
          <w:rFonts w:ascii="Times New Roman" w:hAnsi="Times New Roman" w:eastAsia="Times New Roman" w:cs="Times New Roman"/>
          <w:bCs/>
          <w:sz w:val="24"/>
        </w:rPr>
        <w:t xml:space="preserve"> judgment</w:t>
      </w:r>
      <w:r>
        <w:rPr>
          <w:rFonts w:hint="eastAsia" w:ascii="Times New Roman" w:hAnsi="Times New Roman" w:eastAsia="Times New Roman" w:cs="Times New Roman"/>
          <w:bCs/>
          <w:sz w:val="24"/>
        </w:rPr>
        <w:t>s</w:t>
      </w:r>
      <w:r>
        <w:rPr>
          <w:rFonts w:ascii="Times New Roman" w:hAnsi="Times New Roman" w:eastAsia="Times New Roman" w:cs="Times New Roman"/>
          <w:bCs/>
          <w:sz w:val="24"/>
        </w:rPr>
        <w:t xml:space="preserve"> about who would provide the most valuable insights into the topic being studied (</w:t>
      </w:r>
      <w:r>
        <w:rPr>
          <w:rFonts w:ascii="Times New Roman" w:hAnsi="Times New Roman" w:cs="Times New Roman"/>
          <w:color w:val="222222"/>
          <w:sz w:val="24"/>
          <w:shd w:val="clear" w:color="auto" w:fill="FFFFFF"/>
        </w:rPr>
        <w:t>Flyvbjerg</w:t>
      </w:r>
      <w:r>
        <w:rPr>
          <w:rFonts w:ascii="Times New Roman" w:hAnsi="Times New Roman" w:eastAsia="Times New Roman" w:cs="Times New Roman"/>
          <w:bCs/>
          <w:sz w:val="24"/>
        </w:rPr>
        <w:t>, 2011). This approach is highly favourable to this study than random sampling. This is because this study is all about studying a specific group of people (trainee teachers). The participants who were screened by the researcher were able to provide accurate data needed for the study. Most of the participants were trainee teachers with no formal teaching experience, with the exception of some students who already had teaching experience. This had two advantages. Assuming that participants' attitudes towards English would be influenced by their teaching experience, inexperienced trainee teachers would be more complementary to their understanding and attitudes as learners. They would express an honest and open view of the transition from learner to teacher. Experienced teachers, on the other hand, may have gained a deeper and more practical understanding of attitudes and teaching methods in English after studying abroad.</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The study sample comprised of </w:t>
      </w:r>
      <w:r>
        <w:rPr>
          <w:rFonts w:hint="eastAsia" w:ascii="Times New Roman" w:hAnsi="Times New Roman" w:eastAsia="Times New Roman" w:cs="Times New Roman"/>
          <w:bCs/>
          <w:sz w:val="24"/>
        </w:rPr>
        <w:t>ten</w:t>
      </w:r>
      <w:r>
        <w:rPr>
          <w:rFonts w:ascii="Times New Roman" w:hAnsi="Times New Roman" w:eastAsia="Times New Roman" w:cs="Times New Roman"/>
          <w:bCs/>
          <w:sz w:val="24"/>
        </w:rPr>
        <w:t xml:space="preserve"> Chinese </w:t>
      </w:r>
      <w:r>
        <w:rPr>
          <w:rFonts w:hint="eastAsia" w:ascii="Times New Roman" w:hAnsi="Times New Roman" w:eastAsia="Times New Roman" w:cs="Times New Roman"/>
          <w:bCs/>
          <w:sz w:val="24"/>
        </w:rPr>
        <w:t>trainee</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teachers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seven</w:t>
      </w:r>
      <w:r>
        <w:rPr>
          <w:rFonts w:ascii="Times New Roman" w:hAnsi="Times New Roman" w:eastAsia="Times New Roman" w:cs="Times New Roman"/>
          <w:bCs/>
          <w:sz w:val="24"/>
        </w:rPr>
        <w:t xml:space="preserve"> females and </w:t>
      </w:r>
      <w:r>
        <w:rPr>
          <w:rFonts w:hint="eastAsia" w:ascii="Times New Roman" w:hAnsi="Times New Roman" w:eastAsia="Times New Roman" w:cs="Times New Roman"/>
          <w:bCs/>
          <w:sz w:val="24"/>
        </w:rPr>
        <w:t>three</w:t>
      </w:r>
      <w:r>
        <w:rPr>
          <w:rFonts w:ascii="Times New Roman" w:hAnsi="Times New Roman" w:eastAsia="Times New Roman" w:cs="Times New Roman"/>
          <w:bCs/>
          <w:sz w:val="24"/>
        </w:rPr>
        <w:t xml:space="preserve"> male</w:t>
      </w:r>
      <w:r>
        <w:rPr>
          <w:rFonts w:hint="eastAsia" w:ascii="Times New Roman" w:hAnsi="Times New Roman" w:eastAsia="Times New Roman" w:cs="Times New Roman"/>
          <w:bCs/>
          <w:sz w:val="24"/>
        </w:rPr>
        <w:t>s</w:t>
      </w:r>
      <w:r>
        <w:rPr>
          <w:rFonts w:ascii="Times New Roman" w:hAnsi="Times New Roman" w:eastAsia="Times New Roman" w:cs="Times New Roman"/>
          <w:bCs/>
          <w:sz w:val="24"/>
        </w:rPr>
        <w:t xml:space="preserve">) from the </w:t>
      </w:r>
      <w:r>
        <w:rPr>
          <w:rFonts w:hint="eastAsia" w:ascii="Times New Roman" w:hAnsi="Times New Roman" w:eastAsia="Times New Roman" w:cs="Times New Roman"/>
          <w:bCs/>
          <w:sz w:val="24"/>
        </w:rPr>
        <w:t>overseas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students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in</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education</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or</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related</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programme</w:t>
      </w:r>
      <w:r>
        <w:rPr>
          <w:rFonts w:ascii="Times New Roman" w:hAnsi="Times New Roman" w:eastAsia="Times New Roman" w:cs="Times New Roman"/>
          <w:bCs/>
          <w:sz w:val="24"/>
        </w:rPr>
        <w:t xml:space="preserve">, as supported by this sampling procedure. To begin, </w:t>
      </w:r>
      <w:r>
        <w:rPr>
          <w:rFonts w:hint="eastAsia" w:ascii="Times New Roman" w:hAnsi="Times New Roman" w:eastAsia="Times New Roman" w:cs="Times New Roman"/>
          <w:bCs/>
          <w:sz w:val="24"/>
        </w:rPr>
        <w:t>i</w:t>
      </w:r>
      <w:r>
        <w:rPr>
          <w:rFonts w:ascii="Times New Roman" w:hAnsi="Times New Roman" w:eastAsia="Times New Roman" w:cs="Times New Roman"/>
          <w:bCs/>
          <w:sz w:val="24"/>
        </w:rPr>
        <w:t>n order to invite possible volunteers, the researcher first sen</w:t>
      </w:r>
      <w:r>
        <w:rPr>
          <w:rFonts w:hint="eastAsia" w:ascii="Times New Roman" w:hAnsi="Times New Roman" w:eastAsia="Times New Roman" w:cs="Times New Roman"/>
          <w:bCs/>
          <w:sz w:val="24"/>
        </w:rPr>
        <w:t>t</w:t>
      </w:r>
      <w:r>
        <w:rPr>
          <w:rFonts w:ascii="Times New Roman" w:hAnsi="Times New Roman" w:eastAsia="Times New Roman" w:cs="Times New Roman"/>
          <w:bCs/>
          <w:sz w:val="24"/>
        </w:rPr>
        <w:t xml:space="preserve"> out an invitation that includes a brief description of the study and the kinds of people that are needed. A total of </w:t>
      </w:r>
      <w:r>
        <w:rPr>
          <w:rFonts w:hint="eastAsia" w:ascii="Times New Roman" w:hAnsi="Times New Roman" w:eastAsia="Times New Roman" w:cs="Times New Roman"/>
          <w:bCs/>
          <w:sz w:val="24"/>
        </w:rPr>
        <w:t>fifteen</w:t>
      </w:r>
      <w:r>
        <w:rPr>
          <w:rFonts w:ascii="Times New Roman" w:hAnsi="Times New Roman" w:eastAsia="Times New Roman" w:cs="Times New Roman"/>
          <w:bCs/>
          <w:sz w:val="24"/>
        </w:rPr>
        <w:t xml:space="preserve"> individuals provided their responses willingly.</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Among them, those who met the requirements of this study were invited. They needed to meet the following three conditions: 1) have educational experience other than in China, 2) major in education, and 3) plan to become an English teacher. After verifying that they were trainee teachers, one participant was randomly chosen to finish the pilot interview, while others served as the primary sources of data. At the start of the interviews, demographic information was gathered, explicitly about participants' prior educational experiences in China and their intended teaching focus in the future.</w:t>
      </w:r>
    </w:p>
    <w:p>
      <w:pPr>
        <w:widowControl/>
        <w:rPr>
          <w:rFonts w:ascii="Times New Roman" w:hAnsi="Times New Roman" w:eastAsia="Times New Roman" w:cs="Times New Roman"/>
          <w:bCs/>
          <w:sz w:val="24"/>
        </w:rPr>
      </w:pPr>
    </w:p>
    <w:p>
      <w:pPr>
        <w:widowControl/>
        <w:kinsoku w:val="0"/>
        <w:autoSpaceDE w:val="0"/>
        <w:autoSpaceDN w:val="0"/>
        <w:adjustRightInd w:val="0"/>
        <w:snapToGrid w:val="0"/>
        <w:spacing w:before="69"/>
        <w:ind w:left="21"/>
        <w:textAlignment w:val="baseline"/>
        <w:rPr>
          <w:rFonts w:ascii="Times New Roman" w:hAnsi="Times New Roman" w:cs="Times New Roman"/>
          <w:i/>
          <w:color w:val="000000"/>
          <w:spacing w:val="5"/>
          <w:kern w:val="0"/>
          <w:sz w:val="24"/>
          <w:lang w:bidi="ar"/>
        </w:rPr>
      </w:pPr>
      <w:r>
        <w:rPr>
          <w:rFonts w:ascii="Times New Roman" w:hAnsi="Times New Roman" w:cs="Times New Roman"/>
          <w:i/>
          <w:color w:val="000000"/>
          <w:kern w:val="0"/>
          <w:sz w:val="24"/>
          <w:lang w:bidi="ar"/>
        </w:rPr>
        <w:t>Table</w:t>
      </w:r>
      <w:r>
        <w:rPr>
          <w:rFonts w:ascii="Times New Roman" w:hAnsi="Times New Roman" w:cs="Times New Roman"/>
          <w:i/>
          <w:color w:val="000000"/>
          <w:spacing w:val="5"/>
          <w:kern w:val="0"/>
          <w:sz w:val="24"/>
          <w:lang w:bidi="ar"/>
        </w:rPr>
        <w:t xml:space="preserve"> 3.1 Basic information of </w:t>
      </w:r>
      <w:r>
        <w:rPr>
          <w:rFonts w:ascii="Times New Roman" w:hAnsi="Times New Roman" w:cs="Times New Roman"/>
          <w:i/>
          <w:color w:val="000000"/>
          <w:kern w:val="0"/>
          <w:sz w:val="24"/>
          <w:lang w:bidi="ar"/>
        </w:rPr>
        <w:t>participants</w:t>
      </w:r>
      <w:r>
        <w:rPr>
          <w:rFonts w:ascii="Times New Roman" w:hAnsi="Times New Roman" w:cs="Times New Roman"/>
          <w:i/>
          <w:color w:val="000000"/>
          <w:spacing w:val="-34"/>
          <w:kern w:val="0"/>
          <w:sz w:val="24"/>
          <w:lang w:bidi="ar"/>
        </w:rPr>
        <w:t xml:space="preserve"> </w:t>
      </w:r>
      <w:r>
        <w:rPr>
          <w:rFonts w:ascii="Times New Roman" w:hAnsi="Times New Roman" w:cs="Times New Roman"/>
          <w:i/>
          <w:color w:val="000000"/>
          <w:spacing w:val="5"/>
          <w:kern w:val="0"/>
          <w:sz w:val="24"/>
          <w:lang w:bidi="ar"/>
        </w:rPr>
        <w:t xml:space="preserve"> (P: </w:t>
      </w:r>
      <w:r>
        <w:rPr>
          <w:rFonts w:ascii="Times New Roman" w:hAnsi="Times New Roman" w:cs="Times New Roman"/>
          <w:i/>
          <w:color w:val="000000"/>
          <w:kern w:val="0"/>
          <w:sz w:val="24"/>
          <w:lang w:bidi="ar"/>
        </w:rPr>
        <w:t>the</w:t>
      </w:r>
      <w:r>
        <w:rPr>
          <w:rFonts w:ascii="Times New Roman" w:hAnsi="Times New Roman" w:cs="Times New Roman"/>
          <w:i/>
          <w:color w:val="000000"/>
          <w:spacing w:val="5"/>
          <w:kern w:val="0"/>
          <w:sz w:val="24"/>
          <w:lang w:bidi="ar"/>
        </w:rPr>
        <w:t xml:space="preserve"> </w:t>
      </w:r>
      <w:r>
        <w:rPr>
          <w:rFonts w:ascii="Times New Roman" w:hAnsi="Times New Roman" w:cs="Times New Roman"/>
          <w:i/>
          <w:color w:val="000000"/>
          <w:kern w:val="0"/>
          <w:sz w:val="24"/>
          <w:lang w:bidi="ar"/>
        </w:rPr>
        <w:t>participants</w:t>
      </w:r>
      <w:r>
        <w:rPr>
          <w:rFonts w:ascii="Times New Roman" w:hAnsi="Times New Roman" w:cs="Times New Roman"/>
          <w:i/>
          <w:color w:val="000000"/>
          <w:spacing w:val="5"/>
          <w:kern w:val="0"/>
          <w:sz w:val="24"/>
          <w:lang w:bidi="ar"/>
        </w:rPr>
        <w:t>)</w:t>
      </w:r>
    </w:p>
    <w:tbl>
      <w:tblPr>
        <w:tblStyle w:val="24"/>
        <w:tblW w:w="8479" w:type="dxa"/>
        <w:tblInd w:w="21" w:type="dxa"/>
        <w:tblLayout w:type="autofit"/>
        <w:tblCellMar>
          <w:top w:w="0" w:type="dxa"/>
          <w:left w:w="108" w:type="dxa"/>
          <w:bottom w:w="0" w:type="dxa"/>
          <w:right w:w="108" w:type="dxa"/>
        </w:tblCellMar>
      </w:tblPr>
      <w:tblGrid>
        <w:gridCol w:w="1256"/>
        <w:gridCol w:w="1019"/>
        <w:gridCol w:w="1725"/>
        <w:gridCol w:w="1922"/>
        <w:gridCol w:w="1354"/>
        <w:gridCol w:w="1203"/>
      </w:tblGrid>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articipant</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G</w:t>
            </w:r>
            <w:r>
              <w:rPr>
                <w:rFonts w:ascii="Times New Roman" w:hAnsi="Times New Roman" w:cs="Times New Roman"/>
                <w:color w:val="000000"/>
                <w:kern w:val="0"/>
                <w:sz w:val="24"/>
              </w:rPr>
              <w:t>ender</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Undergraduate programme</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Graduate programme</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Learning experience outside China</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Future teaching intentions</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1</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14" w:name="OLE_LINK404"/>
            <w:bookmarkStart w:id="215" w:name="OLE_LINK405"/>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bookmarkEnd w:id="214"/>
            <w:bookmarkEnd w:id="215"/>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16" w:name="OLE_LINK411"/>
            <w:bookmarkStart w:id="217" w:name="OLE_LINK410"/>
            <w:r>
              <w:rPr>
                <w:rFonts w:ascii="Times New Roman" w:hAnsi="Times New Roman" w:cs="Times New Roman"/>
                <w:color w:val="000000"/>
                <w:kern w:val="0"/>
                <w:sz w:val="24"/>
              </w:rPr>
              <w:t>English-related</w:t>
            </w:r>
            <w:bookmarkEnd w:id="216"/>
            <w:bookmarkEnd w:id="217"/>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18" w:name="OLE_LINK412"/>
            <w:bookmarkStart w:id="219" w:name="OLE_LINK413"/>
            <w:r>
              <w:rPr>
                <w:rFonts w:ascii="Times New Roman" w:hAnsi="Times New Roman" w:cs="Times New Roman"/>
                <w:color w:val="000000"/>
                <w:kern w:val="0"/>
                <w:sz w:val="24"/>
              </w:rPr>
              <w:t>Education-related</w:t>
            </w:r>
            <w:bookmarkEnd w:id="218"/>
            <w:bookmarkEnd w:id="219"/>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0" w:name="OLE_LINK422"/>
            <w:bookmarkStart w:id="221" w:name="OLE_LINK423"/>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bookmarkEnd w:id="220"/>
            <w:bookmarkEnd w:id="221"/>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2" w:name="OLE_LINK425"/>
            <w:bookmarkStart w:id="223" w:name="OLE_LINK424"/>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bookmarkEnd w:id="222"/>
            <w:bookmarkEnd w:id="223"/>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2</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4" w:name="OLE_LINK406"/>
            <w:bookmarkStart w:id="225" w:name="OLE_LINK407"/>
            <w:r>
              <w:rPr>
                <w:rFonts w:hint="eastAsia" w:ascii="Times New Roman" w:hAnsi="Times New Roman" w:cs="Times New Roman"/>
                <w:color w:val="000000"/>
                <w:kern w:val="0"/>
                <w:sz w:val="24"/>
              </w:rPr>
              <w:t>m</w:t>
            </w:r>
            <w:r>
              <w:rPr>
                <w:rFonts w:ascii="Times New Roman" w:hAnsi="Times New Roman" w:cs="Times New Roman"/>
                <w:color w:val="000000"/>
                <w:kern w:val="0"/>
                <w:sz w:val="24"/>
              </w:rPr>
              <w:t>ale</w:t>
            </w:r>
            <w:bookmarkEnd w:id="224"/>
            <w:bookmarkEnd w:id="225"/>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A</w:t>
            </w:r>
            <w:r>
              <w:rPr>
                <w:rFonts w:ascii="Times New Roman" w:hAnsi="Times New Roman" w:cs="Times New Roman"/>
                <w:color w:val="000000"/>
                <w:kern w:val="0"/>
                <w:sz w:val="24"/>
              </w:rPr>
              <w:t>rt</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Education-related</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3</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6" w:name="OLE_LINK418"/>
            <w:bookmarkStart w:id="227" w:name="OLE_LINK419"/>
            <w:r>
              <w:rPr>
                <w:rFonts w:ascii="Times New Roman" w:hAnsi="Times New Roman" w:cs="Times New Roman"/>
                <w:color w:val="000000"/>
                <w:kern w:val="0"/>
                <w:sz w:val="24"/>
              </w:rPr>
              <w:t>Applied Linguistics</w:t>
            </w:r>
            <w:bookmarkEnd w:id="226"/>
            <w:bookmarkEnd w:id="227"/>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 xml:space="preserve">nglish teacher or linguist </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4</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C</w:t>
            </w:r>
            <w:r>
              <w:rPr>
                <w:rFonts w:ascii="Times New Roman" w:hAnsi="Times New Roman" w:cs="Times New Roman"/>
                <w:color w:val="000000"/>
                <w:kern w:val="0"/>
                <w:sz w:val="24"/>
              </w:rPr>
              <w:t>hinese</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Education-related</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8" w:name="_Hlk158388412"/>
            <w:r>
              <w:rPr>
                <w:rFonts w:hint="eastAsia" w:ascii="Times New Roman" w:hAnsi="Times New Roman" w:cs="Times New Roman"/>
                <w:color w:val="000000"/>
                <w:kern w:val="0"/>
                <w:sz w:val="24"/>
              </w:rPr>
              <w:t>P</w:t>
            </w:r>
            <w:r>
              <w:rPr>
                <w:rFonts w:ascii="Times New Roman" w:hAnsi="Times New Roman" w:cs="Times New Roman"/>
                <w:color w:val="000000"/>
                <w:kern w:val="0"/>
                <w:sz w:val="24"/>
              </w:rPr>
              <w:t>5</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29" w:name="OLE_LINK408"/>
            <w:bookmarkStart w:id="230" w:name="OLE_LINK409"/>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bookmarkEnd w:id="229"/>
            <w:bookmarkEnd w:id="230"/>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Education-related</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bookmarkEnd w:id="228"/>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6</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m</w:t>
            </w:r>
            <w:r>
              <w:rPr>
                <w:rFonts w:ascii="Times New Roman" w:hAnsi="Times New Roman" w:cs="Times New Roman"/>
                <w:color w:val="000000"/>
                <w:kern w:val="0"/>
                <w:sz w:val="24"/>
              </w:rPr>
              <w:t>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31" w:name="OLE_LINK415"/>
            <w:bookmarkStart w:id="232" w:name="OLE_LINK414"/>
            <w:r>
              <w:rPr>
                <w:rFonts w:ascii="Times New Roman" w:hAnsi="Times New Roman" w:cs="Times New Roman"/>
                <w:color w:val="000000"/>
                <w:kern w:val="0"/>
                <w:sz w:val="24"/>
              </w:rPr>
              <w:t>Education-related</w:t>
            </w:r>
            <w:bookmarkEnd w:id="231"/>
            <w:bookmarkEnd w:id="232"/>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7</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bookmarkStart w:id="233" w:name="OLE_LINK420"/>
            <w:bookmarkStart w:id="234" w:name="OLE_LINK421"/>
            <w:r>
              <w:rPr>
                <w:rFonts w:ascii="Times New Roman" w:hAnsi="Times New Roman" w:cs="Times New Roman"/>
                <w:color w:val="000000"/>
                <w:kern w:val="0"/>
                <w:sz w:val="24"/>
              </w:rPr>
              <w:t>Education-related</w:t>
            </w:r>
            <w:bookmarkEnd w:id="233"/>
            <w:bookmarkEnd w:id="234"/>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8</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m</w:t>
            </w:r>
            <w:r>
              <w:rPr>
                <w:rFonts w:ascii="Times New Roman" w:hAnsi="Times New Roman" w:cs="Times New Roman"/>
                <w:color w:val="000000"/>
                <w:kern w:val="0"/>
                <w:sz w:val="24"/>
              </w:rPr>
              <w:t>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Applied Linguistics</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 xml:space="preserve">Translator or </w:t>
            </w: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9</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Education-related</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r>
        <w:tc>
          <w:tcPr>
            <w:tcW w:w="125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P</w:t>
            </w:r>
            <w:r>
              <w:rPr>
                <w:rFonts w:ascii="Times New Roman" w:hAnsi="Times New Roman" w:cs="Times New Roman"/>
                <w:color w:val="000000"/>
                <w:kern w:val="0"/>
                <w:sz w:val="24"/>
              </w:rPr>
              <w:t>10</w:t>
            </w:r>
          </w:p>
        </w:tc>
        <w:tc>
          <w:tcPr>
            <w:tcW w:w="1227"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f</w:t>
            </w:r>
            <w:r>
              <w:rPr>
                <w:rFonts w:ascii="Times New Roman" w:hAnsi="Times New Roman" w:cs="Times New Roman"/>
                <w:color w:val="000000"/>
                <w:kern w:val="0"/>
                <w:sz w:val="24"/>
              </w:rPr>
              <w:t>emale</w:t>
            </w:r>
          </w:p>
        </w:tc>
        <w:tc>
          <w:tcPr>
            <w:tcW w:w="1815"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English-related</w:t>
            </w:r>
          </w:p>
        </w:tc>
        <w:tc>
          <w:tcPr>
            <w:tcW w:w="1441"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ascii="Times New Roman" w:hAnsi="Times New Roman" w:cs="Times New Roman"/>
                <w:color w:val="000000"/>
                <w:kern w:val="0"/>
                <w:sz w:val="24"/>
              </w:rPr>
              <w:t>Education-related</w:t>
            </w:r>
          </w:p>
        </w:tc>
        <w:tc>
          <w:tcPr>
            <w:tcW w:w="1566"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Y</w:t>
            </w:r>
            <w:r>
              <w:rPr>
                <w:rFonts w:ascii="Times New Roman" w:hAnsi="Times New Roman" w:cs="Times New Roman"/>
                <w:color w:val="000000"/>
                <w:kern w:val="0"/>
                <w:sz w:val="24"/>
              </w:rPr>
              <w:t>es</w:t>
            </w:r>
          </w:p>
        </w:tc>
        <w:tc>
          <w:tcPr>
            <w:tcW w:w="1174" w:type="dxa"/>
          </w:tcPr>
          <w:p>
            <w:pPr>
              <w:widowControl/>
              <w:kinsoku w:val="0"/>
              <w:autoSpaceDE w:val="0"/>
              <w:autoSpaceDN w:val="0"/>
              <w:adjustRightInd w:val="0"/>
              <w:snapToGrid w:val="0"/>
              <w:spacing w:before="69"/>
              <w:textAlignment w:val="baseline"/>
              <w:rPr>
                <w:rFonts w:ascii="Times New Roman" w:hAnsi="Times New Roman" w:cs="Times New Roman"/>
                <w:color w:val="000000"/>
                <w:kern w:val="0"/>
                <w:sz w:val="24"/>
              </w:rPr>
            </w:pPr>
            <w:r>
              <w:rPr>
                <w:rFonts w:hint="eastAsia" w:ascii="Times New Roman" w:hAnsi="Times New Roman" w:cs="Times New Roman"/>
                <w:color w:val="000000"/>
                <w:kern w:val="0"/>
                <w:sz w:val="24"/>
              </w:rPr>
              <w:t>E</w:t>
            </w:r>
            <w:r>
              <w:rPr>
                <w:rFonts w:ascii="Times New Roman" w:hAnsi="Times New Roman" w:cs="Times New Roman"/>
                <w:color w:val="000000"/>
                <w:kern w:val="0"/>
                <w:sz w:val="24"/>
              </w:rPr>
              <w:t>nglish teacher</w:t>
            </w:r>
          </w:p>
        </w:tc>
      </w:tr>
    </w:tbl>
    <w:p>
      <w:pPr>
        <w:pStyle w:val="39"/>
      </w:pPr>
      <w:bookmarkStart w:id="235" w:name="_Toc158753975"/>
      <w:r>
        <w:t>3.4 Data C</w:t>
      </w:r>
      <w:r>
        <w:rPr>
          <w:rFonts w:hint="eastAsia"/>
        </w:rPr>
        <w:t>ollection</w:t>
      </w:r>
      <w:bookmarkEnd w:id="235"/>
      <w:r>
        <w:t xml:space="preserve"> </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In order to gain a deeper understanding of the participants’ thoughts, the researcher tried to collect every word from the full interview. T</w:t>
      </w:r>
      <w:r>
        <w:rPr>
          <w:rFonts w:hint="eastAsia" w:ascii="Times New Roman" w:hAnsi="Times New Roman" w:eastAsia="Times New Roman" w:cs="Times New Roman"/>
          <w:bCs/>
          <w:sz w:val="24"/>
        </w:rPr>
        <w:t>his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is</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because</w:t>
      </w:r>
      <w:r>
        <w:rPr>
          <w:rFonts w:ascii="Times New Roman" w:hAnsi="Times New Roman" w:eastAsia="Times New Roman" w:cs="Times New Roman"/>
          <w:bCs/>
          <w:sz w:val="24"/>
        </w:rPr>
        <w:t xml:space="preserve"> it is advantageous to get a more profound understanding of the subject matter from primary, firsthand information (Yin, 2009). Additionally, prior studies have shown that observational methods, which include documenting firsthand details about the environment and the conduct of individuals involved (Punch and Oancea, 2014</w:t>
      </w:r>
      <w:r>
        <w:rPr>
          <w:rFonts w:ascii="Times New Roman" w:hAnsi="Times New Roman" w:eastAsia="宋体" w:cs="Times New Roman"/>
          <w:bCs/>
          <w:sz w:val="24"/>
        </w:rPr>
        <w:t xml:space="preserve">; </w:t>
      </w:r>
      <w:r>
        <w:rPr>
          <w:rFonts w:ascii="Times New Roman" w:hAnsi="Times New Roman" w:cs="Times New Roman"/>
          <w:color w:val="222222"/>
          <w:sz w:val="24"/>
          <w:shd w:val="clear" w:color="auto" w:fill="FFFFFF"/>
        </w:rPr>
        <w:t>Feagin et,al.</w:t>
      </w:r>
      <w:r>
        <w:rPr>
          <w:rFonts w:ascii="Times New Roman" w:hAnsi="Times New Roman" w:eastAsia="Times New Roman" w:cs="Times New Roman"/>
          <w:bCs/>
          <w:sz w:val="24"/>
        </w:rPr>
        <w:t>, 2016), may help connect theoretical assertions with practical implementation. Indeed, closely examining the actions of individuals in real-life situations may serve as a reliable method to authenticate the accuracy of their statements. Nevertheless, the process of identifying disparities between the two data sources might be time-consuming. Due to the limited time and the researcher’s lack of experience, it was not feasible or suitable to use observational techniques for gathering the required data in the present study. Hence, the study used semi-structured interviews as the data gathering strategy. The following sub-sections provide comprehensive information about the methodology used for data collecting and its practical implementation in fieldwork.</w:t>
      </w:r>
    </w:p>
    <w:p>
      <w:pPr>
        <w:pStyle w:val="22"/>
      </w:pPr>
      <w:bookmarkStart w:id="236" w:name="_Toc1777542087"/>
      <w:bookmarkStart w:id="237" w:name="_Toc158753976"/>
      <w:r>
        <w:t>Interviews</w:t>
      </w:r>
      <w:bookmarkEnd w:id="236"/>
      <w:bookmarkEnd w:id="237"/>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This study employed semi-structured interview. I</w:t>
      </w:r>
      <w:r>
        <w:rPr>
          <w:rFonts w:hint="eastAsia" w:ascii="Times New Roman" w:hAnsi="Times New Roman" w:eastAsia="Times New Roman" w:cs="Times New Roman"/>
          <w:bCs/>
          <w:sz w:val="24"/>
        </w:rPr>
        <w:t>t</w:t>
      </w:r>
      <w:r>
        <w:rPr>
          <w:rFonts w:ascii="Times New Roman" w:hAnsi="Times New Roman" w:eastAsia="Times New Roman" w:cs="Times New Roman"/>
          <w:bCs/>
          <w:sz w:val="24"/>
        </w:rPr>
        <w:t xml:space="preserve"> refer</w:t>
      </w:r>
      <w:r>
        <w:rPr>
          <w:rFonts w:hint="eastAsia" w:ascii="Times New Roman" w:hAnsi="Times New Roman" w:eastAsia="Times New Roman" w:cs="Times New Roman"/>
          <w:bCs/>
          <w:sz w:val="24"/>
        </w:rPr>
        <w:t>s</w:t>
      </w:r>
      <w:r>
        <w:rPr>
          <w:rFonts w:ascii="Times New Roman" w:hAnsi="Times New Roman" w:eastAsia="Times New Roman" w:cs="Times New Roman"/>
          <w:bCs/>
          <w:sz w:val="24"/>
        </w:rPr>
        <w:t xml:space="preserve"> to a dialogue where questions are asked and information is obtained, with the primary objective of gaining insight from the respondents (</w:t>
      </w:r>
      <w:r>
        <w:rPr>
          <w:rFonts w:ascii="Times New Roman" w:hAnsi="Times New Roman" w:cs="Times New Roman"/>
          <w:color w:val="222222"/>
          <w:sz w:val="24"/>
          <w:shd w:val="clear" w:color="auto" w:fill="FFFFFF"/>
        </w:rPr>
        <w:t>Miles and Huberman, 1984</w:t>
      </w:r>
      <w:bookmarkStart w:id="238" w:name="OLE_LINK89"/>
      <w:bookmarkStart w:id="239" w:name="OLE_LINK90"/>
      <w:r>
        <w:rPr>
          <w:rFonts w:ascii="Times New Roman" w:hAnsi="Times New Roman" w:eastAsia="Times New Roman" w:cs="Times New Roman"/>
          <w:bCs/>
          <w:sz w:val="24"/>
        </w:rPr>
        <w:t xml:space="preserve">; Grey, 2014; </w:t>
      </w:r>
      <w:r>
        <w:rPr>
          <w:rFonts w:ascii="Times New Roman" w:hAnsi="Times New Roman" w:cs="Times New Roman"/>
          <w:color w:val="222222"/>
          <w:sz w:val="24"/>
          <w:shd w:val="clear" w:color="auto" w:fill="FFFFFF"/>
        </w:rPr>
        <w:t>Alharahsheh</w:t>
      </w:r>
      <w:bookmarkEnd w:id="238"/>
      <w:bookmarkEnd w:id="239"/>
      <w:r>
        <w:rPr>
          <w:rFonts w:ascii="Times New Roman" w:hAnsi="Times New Roman" w:eastAsia="Times New Roman" w:cs="Times New Roman"/>
          <w:bCs/>
          <w:sz w:val="24"/>
        </w:rPr>
        <w:t xml:space="preserve"> and </w:t>
      </w:r>
      <w:bookmarkStart w:id="240" w:name="OLE_LINK91"/>
      <w:bookmarkStart w:id="241" w:name="OLE_LINK92"/>
      <w:r>
        <w:rPr>
          <w:rFonts w:ascii="Times New Roman" w:hAnsi="Times New Roman" w:cs="Times New Roman"/>
          <w:color w:val="222222"/>
          <w:sz w:val="24"/>
          <w:shd w:val="clear" w:color="auto" w:fill="FFFFFF"/>
        </w:rPr>
        <w:t>Pius</w:t>
      </w:r>
      <w:bookmarkEnd w:id="240"/>
      <w:bookmarkEnd w:id="241"/>
      <w:r>
        <w:rPr>
          <w:rFonts w:ascii="Times New Roman" w:hAnsi="Times New Roman" w:cs="Times New Roman"/>
          <w:color w:val="222222"/>
          <w:sz w:val="24"/>
          <w:shd w:val="clear" w:color="auto" w:fill="FFFFFF"/>
        </w:rPr>
        <w:t>, 2020</w:t>
      </w:r>
      <w:r>
        <w:rPr>
          <w:rFonts w:ascii="Times New Roman" w:hAnsi="Times New Roman" w:eastAsia="Times New Roman" w:cs="Times New Roman"/>
          <w:bCs/>
          <w:sz w:val="24"/>
        </w:rPr>
        <w:t>). Semi-structured interviews provide intrinsic flexibility and practicality, making them advantageous compared to structured and group interviews in qualitative research. More precisely, they have the capability to provide a framework that encompasses the topics or inquiries that must be addressed, along with the flexibility to alter the queries that are mentioned (Thomas, 2013).</w:t>
      </w:r>
      <w:r>
        <w:t xml:space="preserve"> </w:t>
      </w:r>
      <w:r>
        <w:rPr>
          <w:rFonts w:ascii="Times New Roman" w:hAnsi="Times New Roman" w:eastAsia="Times New Roman" w:cs="Times New Roman"/>
          <w:bCs/>
          <w:sz w:val="24"/>
        </w:rPr>
        <w:t>Interviewers can adjust and respond well to specific interviewees or circumstances because of their adaptable character (</w:t>
      </w:r>
      <w:bookmarkStart w:id="242" w:name="OLE_LINK118"/>
      <w:bookmarkStart w:id="243" w:name="OLE_LINK119"/>
      <w:r>
        <w:rPr>
          <w:rFonts w:ascii="Times New Roman" w:hAnsi="Times New Roman" w:eastAsia="Times New Roman" w:cs="Times New Roman"/>
          <w:bCs/>
          <w:sz w:val="24"/>
        </w:rPr>
        <w:t>Denzin and Lincoln, 1994</w:t>
      </w:r>
      <w:bookmarkEnd w:id="242"/>
      <w:bookmarkEnd w:id="243"/>
      <w:r>
        <w:rPr>
          <w:rFonts w:ascii="Times New Roman" w:hAnsi="Times New Roman" w:eastAsia="Times New Roman" w:cs="Times New Roman"/>
          <w:bCs/>
          <w:sz w:val="24"/>
        </w:rPr>
        <w:t>). Structured interviews use a predetermined interview format that prioritizes standardization and reason above emotional characteristics. Consequently, compared to semi-structured interviews, they may not efficiently capture in-depth data (</w:t>
      </w:r>
      <w:bookmarkStart w:id="244" w:name="OLE_LINK124"/>
      <w:bookmarkStart w:id="245" w:name="OLE_LINK123"/>
      <w:r>
        <w:rPr>
          <w:rFonts w:ascii="Times New Roman" w:hAnsi="Times New Roman" w:cs="Times New Roman"/>
          <w:color w:val="222222"/>
          <w:sz w:val="24"/>
          <w:shd w:val="clear" w:color="auto" w:fill="FFFFFF"/>
        </w:rPr>
        <w:t>Reyes et, al.</w:t>
      </w:r>
      <w:r>
        <w:rPr>
          <w:rFonts w:ascii="Times New Roman" w:hAnsi="Times New Roman" w:eastAsia="Times New Roman" w:cs="Times New Roman"/>
          <w:bCs/>
          <w:sz w:val="24"/>
        </w:rPr>
        <w:t>, 2011</w:t>
      </w:r>
      <w:bookmarkEnd w:id="244"/>
      <w:bookmarkEnd w:id="245"/>
      <w:r>
        <w:rPr>
          <w:rFonts w:ascii="Times New Roman" w:hAnsi="Times New Roman" w:eastAsia="Times New Roman" w:cs="Times New Roman"/>
          <w:bCs/>
          <w:sz w:val="24"/>
        </w:rPr>
        <w:t>). Group interviews were excluded from this research because they focus on group insights (Fontana and Frey, 1994), and were deemed unhelpful.</w:t>
      </w:r>
    </w:p>
    <w:p>
      <w:pPr>
        <w:pStyle w:val="22"/>
      </w:pPr>
      <w:bookmarkStart w:id="246" w:name="_Toc1504842792"/>
      <w:bookmarkStart w:id="247" w:name="_Toc158753977"/>
      <w:r>
        <w:t>Conducting Pilot Interview and Gathering Data</w:t>
      </w:r>
      <w:bookmarkEnd w:id="246"/>
      <w:bookmarkEnd w:id="247"/>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In order to establish the reliability of the research results, this paragraph provides a detailed account of the data gathering method, commencing with the piloting phase. To begin, a draft of an interview was created based on past empirical research that explored the same subject. The interview draft had three sections: a warm-up, the major portion, and a close (see to Appendix 2). Upon consulting with my supervisor, I have come to the realisation that the current number of questions may be inadequate in order to achieve the desired interview duration of at least 30 minutes. Therefore, I enhanced the quantity of inquiries by subdividing a broad query into two subordinate queries and included additional probes for each enumerated question.</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The subsequent phase included carrying out pilot interviews to enhance the data </w:t>
      </w:r>
      <w:r>
        <w:rPr>
          <w:rFonts w:hint="eastAsia" w:ascii="Times New Roman" w:hAnsi="Times New Roman" w:eastAsia="Times New Roman" w:cs="Times New Roman"/>
          <w:bCs/>
          <w:sz w:val="24"/>
        </w:rPr>
        <w:t>credibility</w:t>
      </w:r>
      <w:r>
        <w:rPr>
          <w:rFonts w:ascii="Times New Roman" w:hAnsi="Times New Roman" w:eastAsia="Times New Roman" w:cs="Times New Roman"/>
          <w:bCs/>
          <w:sz w:val="24"/>
        </w:rPr>
        <w:t>. By doing so, it was ensured that the interview questions and process were closely related to the research questions and contributed to this study, and to uncover any practical concerns (Grey, 2013</w:t>
      </w:r>
      <w:r>
        <w:rPr>
          <w:rFonts w:ascii="Times New Roman" w:hAnsi="Times New Roman" w:eastAsia="宋体" w:cs="Times New Roman"/>
          <w:bCs/>
          <w:sz w:val="24"/>
        </w:rPr>
        <w:t>;</w:t>
      </w:r>
      <w:r>
        <w:rPr>
          <w:rFonts w:ascii="Times New Roman" w:hAnsi="Times New Roman" w:cs="Times New Roman"/>
          <w:color w:val="222222"/>
          <w:sz w:val="24"/>
          <w:shd w:val="clear" w:color="auto" w:fill="FFFFFF"/>
        </w:rPr>
        <w:t xml:space="preserve"> Reyes et, al.</w:t>
      </w:r>
      <w:r>
        <w:rPr>
          <w:rFonts w:ascii="Times New Roman" w:hAnsi="Times New Roman" w:eastAsia="Times New Roman" w:cs="Times New Roman"/>
          <w:bCs/>
          <w:sz w:val="24"/>
        </w:rPr>
        <w:t>, 2011). Through the pilot interviews, the researcher identified several problems with the original design and made timely adjustments. Firstly, participants gave feedback that some terms were not common (e.g. Native-speaker norm), so the researcher should have communicated terminology prior to questioning to ensure that participants understood each term, and the interviewer should have explained the terminology if necessary. Secondly, some of the questions were too broad or vague (e.g. How do you feel about Standard English?), resulting in participants who may be confused or unsure of how to answer. Therefore, the researcher made a list of areas where participants might be confused prior to the formal interview and predetermined how participants should be encouraged to answer if they encountered difficulties. Specifically, during the formal interview, the interviewer firstly communicated with the participants about each of the terms that might be involved, and secondly guided them throughout the process to think about their language learning process and to extract their own ideas from it.</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Subsequently, using the revised interview schedule (refer to Appendix 2), a total of 10 interviews were carried out and audio recorded, with an average duration of 33 minutes. Chinese was utilised as the language in both the pilot and official interviews to create a sense of natural communication for the participants.</w:t>
      </w:r>
    </w:p>
    <w:p>
      <w:pPr>
        <w:pStyle w:val="39"/>
      </w:pPr>
      <w:bookmarkStart w:id="248" w:name="_Toc158753978"/>
      <w:r>
        <w:t>3.5 Data-analysis</w:t>
      </w:r>
      <w:bookmarkEnd w:id="248"/>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Once the qualitative data has been collected from the semi-structured interviews, it was be fully analysed by the theme analysis approach. The selection of this specific approach was based on its superior adaptability in comparison to other qualitative analysis methodologies. Thematic analysis, free from any predetermined theoretical framework, encompasses a sequence of fundamental qualitative analysis tasks. These tasks facilitate researchers, particularly novices like the researcher in the present study, in obtaining extensive, profound, and intricate data (</w:t>
      </w:r>
      <w:bookmarkStart w:id="249" w:name="OLE_LINK126"/>
      <w:bookmarkStart w:id="250" w:name="OLE_LINK125"/>
      <w:r>
        <w:rPr>
          <w:rFonts w:ascii="Times New Roman" w:hAnsi="Times New Roman" w:eastAsia="Times New Roman" w:cs="Times New Roman"/>
          <w:bCs/>
          <w:sz w:val="24"/>
        </w:rPr>
        <w:t>Braun and Clarke</w:t>
      </w:r>
      <w:bookmarkEnd w:id="249"/>
      <w:bookmarkEnd w:id="250"/>
      <w:r>
        <w:rPr>
          <w:rFonts w:ascii="Times New Roman" w:hAnsi="Times New Roman" w:eastAsia="Times New Roman" w:cs="Times New Roman"/>
          <w:bCs/>
          <w:sz w:val="24"/>
        </w:rPr>
        <w:t>, 2022). T</w:t>
      </w:r>
      <w:r>
        <w:rPr>
          <w:rFonts w:hint="eastAsia" w:ascii="Times New Roman" w:hAnsi="Times New Roman" w:eastAsia="Times New Roman" w:cs="Times New Roman"/>
          <w:bCs/>
          <w:sz w:val="24"/>
        </w:rPr>
        <w:t>heir</w:t>
      </w:r>
      <w:r>
        <w:rPr>
          <w:rFonts w:ascii="Times New Roman" w:hAnsi="Times New Roman" w:eastAsia="Times New Roman" w:cs="Times New Roman"/>
          <w:bCs/>
          <w:sz w:val="24"/>
        </w:rPr>
        <w:t xml:space="preserve"> work was extensively cited at this point, both for its theoretical and practical insights, due to its prominence in this field.</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The next step of the inquiry was guided by the idea of analytic induction. Systematic examination of shared characteristics between two individual examples in order to generate conceptual concepts is referred to as comparative analysis (</w:t>
      </w:r>
      <w:bookmarkStart w:id="251" w:name="OLE_LINK127"/>
      <w:bookmarkStart w:id="252" w:name="OLE_LINK128"/>
      <w:r>
        <w:rPr>
          <w:rFonts w:ascii="Times New Roman" w:hAnsi="Times New Roman" w:cs="Times New Roman"/>
          <w:color w:val="222222"/>
          <w:sz w:val="24"/>
          <w:shd w:val="clear" w:color="auto" w:fill="FFFFFF"/>
        </w:rPr>
        <w:t>Aktinson</w:t>
      </w:r>
      <w:r>
        <w:rPr>
          <w:rFonts w:ascii="Times New Roman" w:hAnsi="Times New Roman" w:eastAsia="Times New Roman" w:cs="Times New Roman"/>
          <w:bCs/>
          <w:sz w:val="24"/>
        </w:rPr>
        <w:t xml:space="preserve"> and Hammersley</w:t>
      </w:r>
      <w:bookmarkEnd w:id="251"/>
      <w:bookmarkEnd w:id="252"/>
      <w:r>
        <w:rPr>
          <w:rFonts w:ascii="Times New Roman" w:hAnsi="Times New Roman" w:eastAsia="Times New Roman" w:cs="Times New Roman"/>
          <w:bCs/>
          <w:sz w:val="24"/>
        </w:rPr>
        <w:t xml:space="preserve">, 1998). In the current research study, this reasoning guided the analysis, while the coding method required some deductive reasoning, which involves using theoretical ideas from the literature. Yin (2009) suggests that analysing case study evidence in this manner is advantageous because it allows researchers to discover new patterns directly from the data </w:t>
      </w:r>
      <w:r>
        <w:rPr>
          <w:rFonts w:hint="eastAsia" w:ascii="Times New Roman" w:hAnsi="Times New Roman" w:eastAsia="Times New Roman" w:cs="Times New Roman"/>
          <w:bCs/>
          <w:sz w:val="24"/>
        </w:rPr>
        <w:t>by</w:t>
      </w:r>
      <w:r>
        <w:rPr>
          <w:rFonts w:ascii="Times New Roman" w:hAnsi="Times New Roman" w:eastAsia="Times New Roman" w:cs="Times New Roman"/>
          <w:bCs/>
          <w:sz w:val="24"/>
        </w:rPr>
        <w:t xml:space="preserve"> thoroughly examin</w:t>
      </w:r>
      <w:r>
        <w:rPr>
          <w:rFonts w:hint="eastAsia" w:ascii="Times New Roman" w:hAnsi="Times New Roman" w:eastAsia="Times New Roman" w:cs="Times New Roman"/>
          <w:bCs/>
          <w:sz w:val="24"/>
        </w:rPr>
        <w:t>ing</w:t>
      </w:r>
      <w:r>
        <w:rPr>
          <w:rFonts w:ascii="Times New Roman" w:hAnsi="Times New Roman" w:eastAsia="Times New Roman" w:cs="Times New Roman"/>
          <w:bCs/>
          <w:sz w:val="24"/>
        </w:rPr>
        <w:t xml:space="preserve"> certain elements.</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bookmarkStart w:id="253" w:name="OLE_LINK196"/>
      <w:bookmarkStart w:id="254" w:name="OLE_LINK197"/>
      <w:r>
        <w:rPr>
          <w:rFonts w:ascii="Times New Roman" w:hAnsi="Times New Roman" w:eastAsia="Times New Roman" w:cs="Times New Roman"/>
          <w:bCs/>
          <w:sz w:val="24"/>
        </w:rPr>
        <w:t xml:space="preserve">Following the framework proposed by Braun and Clarke (2006), this research study adopted a six-phase approach. After analyzing 10 complete interview recordings, the main segments from each interview were extracted. The subsequent phase involved transcription and translation processes. In order to fully present the data, the researcher transcribed key segments of the recordings and translated them from Chinese to English (refer to Appendix 3 for an example). In addition, preliminary coding was employed to break down the extensive dataset into more manageable segments and organize them coherently (Tuckett, 2005). As a result, six distinct themes were generated, each comprising six to twenty codes. Throughout the following phases, a recursive procedure was implemented, wherein the researcher consistently evaluated the coherence between </w:t>
      </w:r>
      <w:r>
        <w:rPr>
          <w:rFonts w:hint="eastAsia" w:ascii="Times New Roman" w:hAnsi="Times New Roman" w:eastAsia="Times New Roman" w:cs="Times New Roman"/>
          <w:bCs/>
          <w:sz w:val="24"/>
        </w:rPr>
        <w:t>research</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questions</w:t>
      </w:r>
      <w:r>
        <w:rPr>
          <w:rFonts w:ascii="Times New Roman" w:hAnsi="Times New Roman" w:eastAsia="Times New Roman" w:cs="Times New Roman"/>
          <w:bCs/>
          <w:sz w:val="24"/>
        </w:rPr>
        <w:t xml:space="preserve"> and the dataset and </w:t>
      </w:r>
      <w:r>
        <w:rPr>
          <w:rFonts w:hint="eastAsia" w:ascii="Times New Roman" w:hAnsi="Times New Roman" w:eastAsia="Times New Roman" w:cs="Times New Roman"/>
          <w:bCs/>
          <w:sz w:val="24"/>
        </w:rPr>
        <w:t>ke</w:t>
      </w:r>
      <w:r>
        <w:rPr>
          <w:rFonts w:ascii="Times New Roman" w:hAnsi="Times New Roman" w:eastAsia="Times New Roman" w:cs="Times New Roman"/>
          <w:bCs/>
          <w:sz w:val="24"/>
        </w:rPr>
        <w:t>pt refin</w:t>
      </w:r>
      <w:r>
        <w:rPr>
          <w:rFonts w:hint="eastAsia" w:ascii="Times New Roman" w:hAnsi="Times New Roman" w:eastAsia="Times New Roman" w:cs="Times New Roman"/>
          <w:bCs/>
          <w:sz w:val="24"/>
        </w:rPr>
        <w:t>ing</w:t>
      </w:r>
      <w:r>
        <w:rPr>
          <w:rFonts w:ascii="Times New Roman" w:hAnsi="Times New Roman" w:eastAsia="Times New Roman" w:cs="Times New Roman"/>
          <w:bCs/>
          <w:sz w:val="24"/>
        </w:rPr>
        <w:t xml:space="preserve"> potential themes. After the initial analysis, an iterative review process was conducted to find valuable data and themes that had been overlooked. At the end of the data analysis, six themes were eventually summarised, each with two sub-themes.</w:t>
      </w:r>
    </w:p>
    <w:bookmarkEnd w:id="253"/>
    <w:bookmarkEnd w:id="254"/>
    <w:p>
      <w:pPr>
        <w:pStyle w:val="39"/>
      </w:pPr>
      <w:bookmarkStart w:id="255" w:name="_Toc158753979"/>
      <w:r>
        <w:t>3.6 Ethics</w:t>
      </w:r>
      <w:bookmarkEnd w:id="255"/>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The primary objective of this research study was to prevent any potential damage or deceit towards the participants, while also ensuring the utmost protection of their privacy. Before the interview, the participants will sign a consent </w:t>
      </w:r>
      <w:r>
        <w:rPr>
          <w:rFonts w:hint="eastAsia" w:ascii="Times New Roman" w:hAnsi="Times New Roman" w:eastAsia="Times New Roman" w:cs="Times New Roman"/>
          <w:bCs/>
          <w:sz w:val="24"/>
        </w:rPr>
        <w:t>form</w:t>
      </w:r>
      <w:r>
        <w:rPr>
          <w:rFonts w:ascii="Times New Roman" w:hAnsi="Times New Roman" w:eastAsia="Times New Roman" w:cs="Times New Roman"/>
          <w:bCs/>
          <w:sz w:val="24"/>
        </w:rPr>
        <w:t xml:space="preserve"> to show that they volunteer to take part in this study after knowing how their data will be collected (with semi-interview) and how their data will be used in the research. This form provided information about the research’s objective, the reasons for their invitation to participate, the data that would be gathered, the individuals with access to the data, and the measures taken to ensure confidentiality. Upon reviewing the questionnaire, they were prompted to inquire about any aspects of the research.  By affixing their signature to the document, they acknowledged their comprehension of all pertinent facts and regulations pertaining to the research and expressed their voluntary agreement to participate (see to Appendix 4 for an ex</w:t>
      </w:r>
      <w:r>
        <w:rPr>
          <w:rFonts w:hint="eastAsia" w:ascii="Times New Roman" w:hAnsi="Times New Roman" w:eastAsia="Times New Roman" w:cs="Times New Roman"/>
          <w:bCs/>
          <w:sz w:val="24"/>
        </w:rPr>
        <w:t>a</w:t>
      </w:r>
      <w:r>
        <w:rPr>
          <w:rFonts w:ascii="Times New Roman" w:hAnsi="Times New Roman" w:eastAsia="Times New Roman" w:cs="Times New Roman"/>
          <w:bCs/>
          <w:sz w:val="24"/>
        </w:rPr>
        <w:t xml:space="preserve">mple of </w:t>
      </w:r>
      <w:r>
        <w:rPr>
          <w:rFonts w:hint="eastAsia" w:ascii="Times New Roman" w:hAnsi="Times New Roman" w:eastAsia="Times New Roman" w:cs="Times New Roman"/>
          <w:bCs/>
          <w:sz w:val="24"/>
        </w:rPr>
        <w:t>the</w:t>
      </w:r>
      <w:r>
        <w:rPr>
          <w:rFonts w:ascii="Times New Roman" w:hAnsi="Times New Roman" w:eastAsia="Times New Roman" w:cs="Times New Roman"/>
          <w:bCs/>
          <w:sz w:val="24"/>
        </w:rPr>
        <w:t xml:space="preserve"> consent form). All respondents are clearly informed of their right to withdraw from the study at any stage.</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C</w:t>
      </w:r>
      <w:r>
        <w:rPr>
          <w:rFonts w:hint="eastAsia" w:ascii="Times New Roman" w:hAnsi="Times New Roman" w:eastAsia="Times New Roman" w:cs="Times New Roman"/>
          <w:bCs/>
          <w:sz w:val="24"/>
        </w:rPr>
        <w:t>onsidering</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that</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participants</w:t>
      </w:r>
      <w:r>
        <w:rPr>
          <w:rFonts w:ascii="Times New Roman" w:hAnsi="Times New Roman" w:eastAsia="Times New Roman" w:cs="Times New Roman"/>
          <w:bCs/>
          <w:sz w:val="24"/>
        </w:rPr>
        <w:t xml:space="preserve"> will be asked to talk about their personal experiences and may feel pressurised if they have had a negative experience, </w:t>
      </w:r>
      <w:r>
        <w:rPr>
          <w:rFonts w:hint="eastAsia" w:ascii="Times New Roman" w:hAnsi="Times New Roman" w:eastAsia="Times New Roman" w:cs="Times New Roman"/>
          <w:bCs/>
          <w:sz w:val="24"/>
        </w:rPr>
        <w:t>the</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researcher</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made</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several</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attempts</w:t>
      </w:r>
      <w:r>
        <w:rPr>
          <w:rFonts w:ascii="Times New Roman" w:hAnsi="Times New Roman" w:eastAsia="Times New Roman" w:cs="Times New Roman"/>
          <w:bCs/>
          <w:sz w:val="24"/>
        </w:rPr>
        <w:t>. Firstly, the interviewer trie</w:t>
      </w:r>
      <w:r>
        <w:rPr>
          <w:rFonts w:hint="eastAsia" w:ascii="Times New Roman" w:hAnsi="Times New Roman" w:eastAsia="Times New Roman" w:cs="Times New Roman"/>
          <w:bCs/>
          <w:sz w:val="24"/>
        </w:rPr>
        <w:t>d</w:t>
      </w:r>
      <w:r>
        <w:rPr>
          <w:rFonts w:ascii="Times New Roman" w:hAnsi="Times New Roman" w:eastAsia="Times New Roman" w:cs="Times New Roman"/>
          <w:bCs/>
          <w:sz w:val="24"/>
        </w:rPr>
        <w:t xml:space="preserve"> to make the respondent feel safe by showing unconditional listening and not making any subjective judgements or rebuttals. If the interviewee d</w:t>
      </w:r>
      <w:r>
        <w:rPr>
          <w:rFonts w:hint="eastAsia" w:ascii="Times New Roman" w:hAnsi="Times New Roman" w:eastAsia="Times New Roman" w:cs="Times New Roman"/>
          <w:bCs/>
          <w:sz w:val="24"/>
        </w:rPr>
        <w:t>id</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not</w:t>
      </w:r>
      <w:r>
        <w:rPr>
          <w:rFonts w:ascii="Times New Roman" w:hAnsi="Times New Roman" w:eastAsia="Times New Roman" w:cs="Times New Roman"/>
          <w:bCs/>
          <w:sz w:val="24"/>
        </w:rPr>
        <w:t xml:space="preserve"> want to answer a question, they can always skip it. There </w:t>
      </w:r>
      <w:r>
        <w:rPr>
          <w:rFonts w:hint="eastAsia" w:ascii="Times New Roman" w:hAnsi="Times New Roman" w:eastAsia="Times New Roman" w:cs="Times New Roman"/>
          <w:bCs/>
          <w:sz w:val="24"/>
        </w:rPr>
        <w:t>were</w:t>
      </w:r>
      <w:r>
        <w:rPr>
          <w:rFonts w:ascii="Times New Roman" w:hAnsi="Times New Roman" w:eastAsia="Times New Roman" w:cs="Times New Roman"/>
          <w:bCs/>
          <w:sz w:val="24"/>
        </w:rPr>
        <w:t xml:space="preserve"> not any sensitive, awkward or disturbing topics in the interview, and if any topic ma</w:t>
      </w:r>
      <w:r>
        <w:rPr>
          <w:rFonts w:hint="eastAsia" w:ascii="Times New Roman" w:hAnsi="Times New Roman" w:eastAsia="Times New Roman" w:cs="Times New Roman"/>
          <w:bCs/>
          <w:sz w:val="24"/>
        </w:rPr>
        <w:t>de</w:t>
      </w:r>
      <w:r>
        <w:rPr>
          <w:rFonts w:ascii="Times New Roman" w:hAnsi="Times New Roman" w:eastAsia="Times New Roman" w:cs="Times New Roman"/>
          <w:bCs/>
          <w:sz w:val="24"/>
        </w:rPr>
        <w:t xml:space="preserve"> the interviewee uncomfortable, they </w:t>
      </w:r>
      <w:r>
        <w:rPr>
          <w:rFonts w:hint="eastAsia" w:ascii="Times New Roman" w:hAnsi="Times New Roman" w:eastAsia="Times New Roman" w:cs="Times New Roman"/>
          <w:bCs/>
          <w:sz w:val="24"/>
        </w:rPr>
        <w:t>could</w:t>
      </w:r>
      <w:r>
        <w:rPr>
          <w:rFonts w:ascii="Times New Roman" w:hAnsi="Times New Roman" w:eastAsia="Times New Roman" w:cs="Times New Roman"/>
          <w:bCs/>
          <w:sz w:val="24"/>
        </w:rPr>
        <w:t xml:space="preserve"> either not answer or discontinue the interview. In addition, </w:t>
      </w:r>
      <w:r>
        <w:rPr>
          <w:rFonts w:hint="eastAsia" w:ascii="Times New Roman" w:hAnsi="Times New Roman" w:eastAsia="Times New Roman" w:cs="Times New Roman"/>
          <w:bCs/>
          <w:sz w:val="24"/>
        </w:rPr>
        <w:t>if</w:t>
      </w:r>
      <w:r>
        <w:rPr>
          <w:rFonts w:ascii="Times New Roman" w:hAnsi="Times New Roman" w:eastAsia="Times New Roman" w:cs="Times New Roman"/>
          <w:bCs/>
          <w:sz w:val="24"/>
        </w:rPr>
        <w:t xml:space="preserve"> necessary,</w:t>
      </w:r>
      <w:r>
        <w:rPr>
          <w:rFonts w:hint="eastAsia" w:ascii="Times New Roman" w:hAnsi="Times New Roman" w:eastAsia="Times New Roman" w:cs="Times New Roman"/>
          <w:bCs/>
          <w:sz w:val="24"/>
        </w:rPr>
        <w:t xml:space="preserve"> </w:t>
      </w:r>
      <w:r>
        <w:rPr>
          <w:rFonts w:ascii="Times New Roman" w:hAnsi="Times New Roman" w:eastAsia="Times New Roman" w:cs="Times New Roman"/>
          <w:bCs/>
          <w:sz w:val="24"/>
        </w:rPr>
        <w:t>appropriate helplines (e.g. psychological counselling) were  provided to the interviewees.</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Besides, participants might be concerned about privacy or being recognized by others. all participants were anonymized or used a pseudonym (as they wished). If someone mentioned details that could easily be used for identification (e.g. their city, university), these details were slightly modified (with their consent) to protect their privacy without compromising the research. If any participant wanted to withdraw at any stage, he/she would have been given permission to do so. They would be explicitly informed that all information would be kept strictly confidential (only the researcher would have read access) and that all relevant data would be deleted three months after the end of the study.</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Nine face-to-face interviews were done as part of the data-gathering process. An interview was performed via an Internet audio call since the participant was temporarily unavailable. All participants were explicitly aware that the interviews would be taped and agreed to it. The researcher stored and saved all the data on her computer (with passwords), and only the researcher had access to it and used it during the research. Also, all data were backed up on the researcher's private hard drive (with a password) and kept in a safe deposit box to which only the researcher had access. All information will be deleted three months after completion of the study.</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In terms of data presentation, any personally identifiable information of the participants was altered in a generic manner, including details on their undergraduate courses and geographical information related to their educational background.</w:t>
      </w:r>
    </w:p>
    <w:p>
      <w:pPr>
        <w:pStyle w:val="39"/>
      </w:pPr>
      <w:bookmarkStart w:id="256" w:name="_Toc158753980"/>
      <w:r>
        <w:t>3.7 Assessment</w:t>
      </w:r>
      <w:bookmarkEnd w:id="256"/>
    </w:p>
    <w:p>
      <w:pPr>
        <w:pStyle w:val="22"/>
      </w:pPr>
      <w:bookmarkStart w:id="257" w:name="_Toc158753981"/>
      <w:bookmarkStart w:id="258" w:name="_Toc977894425"/>
      <w:r>
        <w:t>Constraints</w:t>
      </w:r>
      <w:bookmarkEnd w:id="257"/>
      <w:bookmarkEnd w:id="258"/>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A significant drawback of this research design is its reliance on a single data collection method. In contrast, a case study approach typically employs multiple methods to gather data from various sources, enabling a comprehensive comprehension of a specific situation (Thomas, 2013). However, </w:t>
      </w:r>
      <w:bookmarkStart w:id="259" w:name="OLE_LINK132"/>
      <w:bookmarkStart w:id="260" w:name="OLE_LINK131"/>
      <w:r>
        <w:rPr>
          <w:rFonts w:ascii="Times New Roman" w:hAnsi="Times New Roman" w:eastAsia="Times New Roman" w:cs="Times New Roman"/>
          <w:bCs/>
          <w:sz w:val="24"/>
        </w:rPr>
        <w:t xml:space="preserve">Ritchie </w:t>
      </w:r>
      <w:bookmarkEnd w:id="259"/>
      <w:bookmarkEnd w:id="260"/>
      <w:r>
        <w:rPr>
          <w:rFonts w:ascii="Times New Roman" w:hAnsi="Times New Roman" w:eastAsia="Times New Roman" w:cs="Times New Roman"/>
          <w:bCs/>
          <w:sz w:val="24"/>
        </w:rPr>
        <w:t xml:space="preserve">and other researchers (2013) contended that an alternative approach to obtaining a variety of viewpoints from data is by producing various accounts inside a single data-gathering process. Hence, several units of analysis, namely viewpoints, were engaged in the process of data collecting, recognizing the inadequacy of relying just on a single technique. Nevertheless, a subset of interviews exhibited subpar quality, perhaps due to the reliance on a single data-collecting technique and the researcher's limited interviewing expertise. To enhance the depth of the data, it would be beneficial for future studies to use a broader range of data-gathering techniques and enhance interview proficiency. </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Another constraint is the limited size of the sample. The exclusion of some atypical or exceptional instances may have limited the thorough examination of certain issues, such as gender or geographical disparities. Regrettably, this qualitative study was unable to document and examine changes in the attitudes of the participants, which may have impacted the formation of their views (</w:t>
      </w:r>
      <w:bookmarkStart w:id="261" w:name="OLE_LINK134"/>
      <w:bookmarkStart w:id="262" w:name="OLE_LINK133"/>
      <w:r>
        <w:rPr>
          <w:rFonts w:ascii="Times New Roman" w:hAnsi="Times New Roman" w:eastAsia="Times New Roman" w:cs="Times New Roman"/>
          <w:bCs/>
          <w:sz w:val="24"/>
        </w:rPr>
        <w:t>Adolphs</w:t>
      </w:r>
      <w:bookmarkEnd w:id="261"/>
      <w:bookmarkEnd w:id="262"/>
      <w:r>
        <w:rPr>
          <w:rFonts w:ascii="Times New Roman" w:hAnsi="Times New Roman" w:eastAsia="Times New Roman" w:cs="Times New Roman"/>
          <w:bCs/>
          <w:sz w:val="24"/>
        </w:rPr>
        <w:t>, 2002) owing to limitations in time. In general, due to its limited scope and cross-sectional design, this research may be considered a preliminary study for a bigger, more comprehensive investigation with a similar aim.</w:t>
      </w:r>
    </w:p>
    <w:p>
      <w:pPr>
        <w:pStyle w:val="22"/>
      </w:pPr>
      <w:bookmarkStart w:id="263" w:name="_Toc779250484"/>
      <w:bookmarkStart w:id="264" w:name="_Toc158753982"/>
      <w:r>
        <w:t>Assessment of the Accuracy and Consistency</w:t>
      </w:r>
      <w:bookmarkEnd w:id="263"/>
      <w:bookmarkEnd w:id="264"/>
    </w:p>
    <w:p>
      <w:pPr>
        <w:widowControl/>
        <w:rPr>
          <w:rFonts w:ascii="Times New Roman" w:hAnsi="Times New Roman" w:eastAsia="Times New Roman" w:cs="Times New Roman"/>
          <w:bCs/>
          <w:sz w:val="24"/>
        </w:rPr>
      </w:pPr>
      <w:bookmarkStart w:id="265" w:name="OLE_LINK198"/>
      <w:bookmarkStart w:id="266" w:name="OLE_LINK199"/>
      <w:r>
        <w:rPr>
          <w:rFonts w:ascii="Times New Roman" w:hAnsi="Times New Roman" w:eastAsia="Times New Roman" w:cs="Times New Roman"/>
          <w:bCs/>
          <w:sz w:val="24"/>
        </w:rPr>
        <w:t>To enhance the validity and reliability of this qualitative research, a range of strategies were implemented throughout the investigation. Internal validity, which concerns the accuracy of assessing intended factors, was given careful consideration (</w:t>
      </w:r>
      <w:bookmarkStart w:id="267" w:name="OLE_LINK122"/>
      <w:bookmarkStart w:id="268" w:name="OLE_LINK121"/>
      <w:r>
        <w:rPr>
          <w:rFonts w:ascii="Times New Roman" w:hAnsi="Times New Roman" w:cs="Times New Roman"/>
          <w:color w:val="222222"/>
          <w:sz w:val="24"/>
          <w:shd w:val="clear" w:color="auto" w:fill="FFFFFF"/>
        </w:rPr>
        <w:t>Reyes</w:t>
      </w:r>
      <w:bookmarkEnd w:id="267"/>
      <w:bookmarkEnd w:id="268"/>
      <w:r>
        <w:rPr>
          <w:rFonts w:ascii="Times New Roman" w:hAnsi="Times New Roman" w:cs="Times New Roman"/>
          <w:color w:val="222222"/>
          <w:sz w:val="24"/>
          <w:shd w:val="clear" w:color="auto" w:fill="FFFFFF"/>
        </w:rPr>
        <w:t xml:space="preserve"> et, al.</w:t>
      </w:r>
      <w:r>
        <w:rPr>
          <w:rFonts w:ascii="Times New Roman" w:hAnsi="Times New Roman" w:eastAsia="Times New Roman" w:cs="Times New Roman"/>
          <w:bCs/>
          <w:sz w:val="24"/>
        </w:rPr>
        <w:t>, 2011). Specifically, ensuring the gathered data's precision and the interpretations' reliability were paramount.</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To address the issue of internal validity, member checking was employed as a data collection method in this study. This involved the researcher consistently seeking verification and validation from the participants regarding the accuracy and comprehensiveness of the data collected. By consulting with the respondents, the researcher aimed to establish a collaborative process that minimized the potential for misinterpretation or misrepresentation of the participants’ perspectives. Detailed transcripts of the interviews, where the member checking process is evident, can be found in Appendix F. This transparency enhances the credibility and trustworthiness of the study.</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Reliability, which pertains to the consistency of results obtained from using the same research instrument (Thomas, 2013), was also a critical aspect of this investigation. Given that the interviews were conducted by a single interviewer, it was crucial to employ a standardized interview schedule (refer to Appendix B). This interview schedule provided a structured framework that guided the data collection process and ensured consistency in the questions asked across all interviews. By adhering to a standardized approach, the researcher aimed to minimize potential biases and variations in data collection, thereby enhancing the reliability of the study.</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By employing member checking and a standardized interview schedule, this research study sought to strengthen the internal validity and reliability of the findings. These strategies aimed to ensure that the collected data accurately represented the participants' perspectives and that the interpretations were consistent and dependable. Such rigorous approaches contribute to the overall rigor and trustworthiness of the qualitative research conducted.</w:t>
      </w:r>
    </w:p>
    <w:bookmarkEnd w:id="9"/>
    <w:bookmarkEnd w:id="10"/>
    <w:bookmarkEnd w:id="11"/>
    <w:bookmarkEnd w:id="265"/>
    <w:bookmarkEnd w:id="266"/>
    <w:p>
      <w:pPr>
        <w:pStyle w:val="38"/>
      </w:pPr>
      <w:bookmarkStart w:id="269" w:name="_Toc158753983"/>
      <w:bookmarkStart w:id="270" w:name="_Toc1507605182"/>
    </w:p>
    <w:p>
      <w:pPr>
        <w:pStyle w:val="38"/>
      </w:pPr>
      <w:r>
        <w:t>Chapter F</w:t>
      </w:r>
      <w:r>
        <w:rPr>
          <w:rFonts w:hint="eastAsia"/>
        </w:rPr>
        <w:t>our</w:t>
      </w:r>
      <w:r>
        <w:t>: Findings</w:t>
      </w:r>
      <w:bookmarkEnd w:id="269"/>
      <w:bookmarkEnd w:id="270"/>
    </w:p>
    <w:p>
      <w:pPr>
        <w:widowControl/>
        <w:rPr>
          <w:rFonts w:ascii="Times New Roman" w:hAnsi="Times New Roman" w:eastAsia="Times New Roman" w:cs="Times New Roman"/>
          <w:bCs/>
          <w:sz w:val="24"/>
        </w:rPr>
      </w:pPr>
      <w:bookmarkStart w:id="271" w:name="OLE_LINK200"/>
      <w:bookmarkStart w:id="272" w:name="OLE_LINK201"/>
      <w:r>
        <w:rPr>
          <w:rFonts w:ascii="Times New Roman" w:hAnsi="Times New Roman" w:eastAsia="Times New Roman" w:cs="Times New Roman"/>
          <w:bCs/>
          <w:sz w:val="24"/>
        </w:rPr>
        <w:t xml:space="preserve">This chapter presents the research findings, organized into two sections. The first </w:t>
      </w:r>
      <w:r>
        <w:rPr>
          <w:rFonts w:hint="eastAsia" w:ascii="Times New Roman" w:hAnsi="Times New Roman" w:eastAsia="Times New Roman" w:cs="Times New Roman"/>
          <w:bCs/>
          <w:sz w:val="24"/>
        </w:rPr>
        <w:t>three</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sub-</w:t>
      </w:r>
      <w:r>
        <w:rPr>
          <w:rFonts w:ascii="Times New Roman" w:hAnsi="Times New Roman" w:eastAsia="Times New Roman" w:cs="Times New Roman"/>
          <w:bCs/>
          <w:sz w:val="24"/>
        </w:rPr>
        <w:t>section</w:t>
      </w:r>
      <w:r>
        <w:rPr>
          <w:rFonts w:hint="eastAsia" w:ascii="Times New Roman" w:hAnsi="Times New Roman" w:eastAsia="Times New Roman" w:cs="Times New Roman"/>
          <w:bCs/>
          <w:sz w:val="24"/>
        </w:rPr>
        <w:t>s</w:t>
      </w:r>
      <w:r>
        <w:rPr>
          <w:rFonts w:ascii="Times New Roman" w:hAnsi="Times New Roman" w:eastAsia="Times New Roman" w:cs="Times New Roman"/>
          <w:bCs/>
          <w:sz w:val="24"/>
        </w:rPr>
        <w:t xml:space="preserve"> </w:t>
      </w:r>
      <w:bookmarkStart w:id="273" w:name="OLE_LINK557"/>
      <w:bookmarkStart w:id="274" w:name="OLE_LINK556"/>
      <w:r>
        <w:rPr>
          <w:rFonts w:ascii="Times New Roman" w:hAnsi="Times New Roman" w:eastAsia="Times New Roman" w:cs="Times New Roman"/>
          <w:bCs/>
          <w:sz w:val="24"/>
        </w:rPr>
        <w:t>address the initial research question</w:t>
      </w:r>
      <w:bookmarkEnd w:id="273"/>
      <w:bookmarkEnd w:id="274"/>
      <w:r>
        <w:rPr>
          <w:rFonts w:ascii="Times New Roman" w:hAnsi="Times New Roman" w:eastAsia="Times New Roman" w:cs="Times New Roman"/>
          <w:bCs/>
          <w:sz w:val="24"/>
        </w:rPr>
        <w:t>, identifying three distinct themes. The subsequent section</w:t>
      </w:r>
      <w:r>
        <w:rPr>
          <w:rFonts w:hint="eastAsia" w:ascii="Times New Roman" w:hAnsi="Times New Roman" w:eastAsia="Times New Roman" w:cs="Times New Roman"/>
          <w:bCs/>
          <w:sz w:val="24"/>
        </w:rPr>
        <w:t>s</w:t>
      </w:r>
      <w:r>
        <w:rPr>
          <w:rFonts w:ascii="Times New Roman" w:hAnsi="Times New Roman" w:eastAsia="Times New Roman" w:cs="Times New Roman"/>
          <w:bCs/>
          <w:sz w:val="24"/>
        </w:rPr>
        <w:t xml:space="preserve"> address the </w:t>
      </w:r>
      <w:r>
        <w:rPr>
          <w:rFonts w:hint="eastAsia" w:ascii="Times New Roman" w:hAnsi="Times New Roman" w:eastAsia="Times New Roman" w:cs="Times New Roman"/>
          <w:bCs/>
          <w:sz w:val="24"/>
        </w:rPr>
        <w:t>second</w:t>
      </w:r>
      <w:r>
        <w:rPr>
          <w:rFonts w:ascii="Times New Roman" w:hAnsi="Times New Roman" w:eastAsia="Times New Roman" w:cs="Times New Roman"/>
          <w:bCs/>
          <w:sz w:val="24"/>
        </w:rPr>
        <w:t xml:space="preserve"> research question. Each section utilizes the identified themes as headings to elucidate their interconnections. Thematic maps provide concise summaries of the findings, while comprehensive coding frame tables enhance the accuracy of the data analysis process. This structured approach ensures a coherent and rigorous presentation of the results, contributing to the scholarly rigour of the study.</w:t>
      </w:r>
    </w:p>
    <w:bookmarkEnd w:id="271"/>
    <w:bookmarkEnd w:id="272"/>
    <w:p>
      <w:pPr>
        <w:pStyle w:val="39"/>
      </w:pPr>
      <w:bookmarkStart w:id="275" w:name="_Toc158753984"/>
      <w:r>
        <w:t>4.1 Overall Views on English Spoken by Native Speakers</w:t>
      </w:r>
      <w:bookmarkEnd w:id="275"/>
      <w:r>
        <w:t xml:space="preserve"> </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Participants often used the concept of the native speaker (NS) while discussing their views on English. To be more precise, they often used the linguistic proficiency of native speakers to classify English variants into two distinct groups: native-speaker English (NSE) and non-native-speaker English (NNSE). The participants distinguished NSE from SE, as indicated in the literature study, resulting in the emergence of a novel pattern from the data. The subsequent sub-sections delve into this emergent issue with further exploration.</w:t>
      </w:r>
    </w:p>
    <w:p>
      <w:pPr>
        <w:pStyle w:val="22"/>
      </w:pPr>
      <w:bookmarkStart w:id="276" w:name="_Toc160742921"/>
      <w:bookmarkStart w:id="277" w:name="_Toc158753985"/>
      <w:r>
        <w:t xml:space="preserve">The Essence of </w:t>
      </w:r>
      <w:bookmarkStart w:id="278" w:name="OLE_LINK426"/>
      <w:bookmarkStart w:id="279" w:name="OLE_LINK427"/>
      <w:r>
        <w:t>Native-speaker E</w:t>
      </w:r>
      <w:bookmarkEnd w:id="276"/>
      <w:r>
        <w:t>nglish</w:t>
      </w:r>
      <w:bookmarkEnd w:id="278"/>
      <w:bookmarkEnd w:id="279"/>
      <w:r>
        <w:t xml:space="preserve"> (NSE)</w:t>
      </w:r>
      <w:bookmarkEnd w:id="277"/>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Initially, many viewpoints arose about the linguistic proficiency of native speakers. In three interviews, the first occurrence included participants emphasising the linguistic proficiency of native speakers (NSs) in daily communication, specifically referring to their frequent use and public perception. Another viewpoint that arose from the interviews focused on the specific elements of NSE. The participant, who mentioned the language proficiency of all native speakers, also pointed out that there are several variations within the notion of Native Speaker English, such as "</w:t>
      </w:r>
      <w:r>
        <w:rPr>
          <w:rFonts w:ascii="Times New Roman" w:hAnsi="Times New Roman" w:eastAsia="Times New Roman" w:cs="Times New Roman"/>
          <w:bCs/>
          <w:i/>
          <w:sz w:val="24"/>
        </w:rPr>
        <w:t>Australian English</w:t>
      </w:r>
      <w:r>
        <w:rPr>
          <w:rFonts w:ascii="Times New Roman" w:hAnsi="Times New Roman" w:eastAsia="Times New Roman" w:cs="Times New Roman"/>
          <w:bCs/>
          <w:sz w:val="24"/>
        </w:rPr>
        <w:t>" (</w:t>
      </w:r>
      <w:r>
        <w:rPr>
          <w:rFonts w:hint="eastAsia" w:ascii="Times New Roman" w:hAnsi="Times New Roman" w:eastAsia="Times New Roman" w:cs="Times New Roman"/>
          <w:bCs/>
          <w:sz w:val="24"/>
        </w:rPr>
        <w:t>mentioned</w:t>
      </w:r>
      <w:r>
        <w:rPr>
          <w:rFonts w:ascii="Times New Roman" w:hAnsi="Times New Roman" w:eastAsia="Times New Roman" w:cs="Times New Roman"/>
          <w:bCs/>
          <w:sz w:val="24"/>
        </w:rPr>
        <w:t xml:space="preserve"> </w:t>
      </w:r>
      <w:r>
        <w:rPr>
          <w:rFonts w:hint="eastAsia" w:ascii="Times New Roman" w:hAnsi="Times New Roman" w:eastAsia="Times New Roman" w:cs="Times New Roman"/>
          <w:bCs/>
          <w:sz w:val="24"/>
        </w:rPr>
        <w:t>by</w:t>
      </w:r>
      <w:r>
        <w:rPr>
          <w:rFonts w:ascii="Times New Roman" w:hAnsi="Times New Roman" w:eastAsia="Times New Roman" w:cs="Times New Roman"/>
          <w:bCs/>
          <w:sz w:val="24"/>
        </w:rPr>
        <w:t xml:space="preserve"> </w:t>
      </w:r>
      <w:bookmarkStart w:id="280" w:name="OLE_LINK560"/>
      <w:bookmarkStart w:id="281" w:name="OLE_LINK561"/>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.1</w:t>
      </w:r>
      <w:bookmarkEnd w:id="280"/>
      <w:bookmarkEnd w:id="281"/>
      <w:r>
        <w:rPr>
          <w:rFonts w:ascii="Times New Roman" w:hAnsi="Times New Roman" w:eastAsia="Times New Roman" w:cs="Times New Roman"/>
          <w:bCs/>
          <w:sz w:val="24"/>
        </w:rPr>
        <w:t>).</w:t>
      </w:r>
    </w:p>
    <w:p>
      <w:pPr>
        <w:pStyle w:val="22"/>
      </w:pPr>
      <w:bookmarkStart w:id="282" w:name="_Toc71845321"/>
      <w:bookmarkStart w:id="283" w:name="_Toc158753986"/>
      <w:r>
        <w:t xml:space="preserve">Linguistic Characteristics Seen in </w:t>
      </w:r>
      <w:bookmarkEnd w:id="282"/>
      <w:r>
        <w:t>Native-speaker English</w:t>
      </w:r>
      <w:bookmarkEnd w:id="283"/>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Furthermore, the data was used to explicitly extract language aspects, so establishing a comprehensive basis for the participants’ overall impressions. One prominent aspect of NSs’ spoken grammar, as seen by the majority of participants, is the absence of perfect precision. One participant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.8) remarked that not all statements made by native speakers (NSs) adhere strictly to grammatical standards.</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Various characteristics of NSE were observed regarding vocabularies, such as the use of straightforward but genuine terms and an expanding lexicon framework. Furthermore, two participants emphasized the significance of not just the content of words but also their use. Specifically, they said that using NSE terminology is suitable for the given situation and demonstrates a natural and instinctive command of language. Pronunciation was the last language aspect discussed in most interviews. The investigation indicated that over 50% of the interviewees believed that NSE incorporates both British and American pronunciation, without any notable variation from the standard pronunciation.</w:t>
      </w:r>
    </w:p>
    <w:p>
      <w:pPr>
        <w:pStyle w:val="39"/>
      </w:pPr>
      <w:bookmarkStart w:id="284" w:name="_Toc158753987"/>
      <w:r>
        <w:t xml:space="preserve">4.2 Evaluations of </w:t>
      </w:r>
      <w:bookmarkStart w:id="285" w:name="OLE_LINK559"/>
      <w:bookmarkStart w:id="286" w:name="OLE_LINK558"/>
      <w:r>
        <w:t>Non-Native-Speaker English</w:t>
      </w:r>
      <w:bookmarkEnd w:id="285"/>
      <w:bookmarkEnd w:id="286"/>
      <w:r>
        <w:t xml:space="preserve"> and Chinese English</w:t>
      </w:r>
      <w:bookmarkEnd w:id="284"/>
      <w:r>
        <w:t xml:space="preserve"> </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Regarding </w:t>
      </w:r>
      <w:r>
        <w:rPr>
          <w:rFonts w:hint="eastAsia" w:ascii="Times New Roman" w:hAnsi="Times New Roman" w:eastAsia="Times New Roman" w:cs="Times New Roman"/>
          <w:bCs/>
          <w:sz w:val="24"/>
        </w:rPr>
        <w:t>n</w:t>
      </w:r>
      <w:r>
        <w:rPr>
          <w:rFonts w:ascii="Times New Roman" w:hAnsi="Times New Roman" w:cs="Times New Roman"/>
          <w:sz w:val="24"/>
        </w:rPr>
        <w:t>on-</w:t>
      </w:r>
      <w:r>
        <w:rPr>
          <w:rFonts w:hint="eastAsia" w:ascii="Times New Roman" w:hAnsi="Times New Roman" w:cs="Times New Roman"/>
          <w:sz w:val="24"/>
        </w:rPr>
        <w:t>n</w:t>
      </w:r>
      <w:r>
        <w:rPr>
          <w:rFonts w:ascii="Times New Roman" w:hAnsi="Times New Roman" w:cs="Times New Roman"/>
          <w:sz w:val="24"/>
        </w:rPr>
        <w:t>ative-</w:t>
      </w:r>
      <w:r>
        <w:rPr>
          <w:rFonts w:hint="eastAsia" w:ascii="Times New Roman" w:hAnsi="Times New Roman" w:cs="Times New Roman"/>
          <w:sz w:val="24"/>
        </w:rPr>
        <w:t>s</w:t>
      </w:r>
      <w:r>
        <w:rPr>
          <w:rFonts w:ascii="Times New Roman" w:hAnsi="Times New Roman" w:cs="Times New Roman"/>
          <w:sz w:val="24"/>
        </w:rPr>
        <w:t>peaker English</w:t>
      </w:r>
      <w:r>
        <w:rPr>
          <w:rFonts w:ascii="Times New Roman" w:hAnsi="Times New Roman" w:eastAsia="Times New Roman" w:cs="Times New Roman"/>
          <w:bCs/>
          <w:sz w:val="24"/>
        </w:rPr>
        <w:t xml:space="preserve"> (NNSE), which refers to the language proficiency of non-native English speakers (NNSs), three interviewees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 xml:space="preserve">.1, 2,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5) expressly acknowledged that this notion encompasses several types of English. Furthermore, although not directly expressing this perspective, one participant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.8) did exhibit an understanding of this concept by linking the accents of other nations with NNSE, as seen by her mention of "</w:t>
      </w:r>
      <w:r>
        <w:rPr>
          <w:rFonts w:ascii="Times New Roman" w:hAnsi="Times New Roman" w:eastAsia="Times New Roman" w:cs="Times New Roman"/>
          <w:bCs/>
          <w:i/>
          <w:sz w:val="24"/>
        </w:rPr>
        <w:t>the Thai accent, the Japanese accent, and the Chinese accent</w:t>
      </w:r>
      <w:r>
        <w:rPr>
          <w:rFonts w:ascii="Times New Roman" w:hAnsi="Times New Roman" w:eastAsia="Times New Roman" w:cs="Times New Roman"/>
          <w:bCs/>
          <w:sz w:val="24"/>
        </w:rPr>
        <w:t>".</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Consequently, the recognition of language variations in non-native-speaker English (NNSE) was more pronounced than the recognition of language variations in non-native speakers (NNS). These Chinese participants naturally discussed CE in various non-native kinds of English, which also appeared as a novel trend from the data. Specifically, they reached a consensus that CE is an evolving form of the English language. Several linguistic characteristics were proposed, with the Chinese accent being the most often stated. Additionally, five individuals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.3, 4, 5, 7, and 9) said that cross-linguistic impact from Chinese affects CE, resulting in a tendency to translate literally from the first language to the second language, as well as the use of common Chinese idioms and reasoning.</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Furthermore, within this topic of social linguistics, an important aspect was highlighted.</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w:t>
      </w:r>
      <w:r>
        <w:rPr>
          <w:rFonts w:hint="eastAsia" w:ascii="Times New Roman" w:hAnsi="Times New Roman" w:eastAsia="Times New Roman" w:cs="Times New Roman"/>
          <w:bCs/>
          <w:sz w:val="24"/>
        </w:rPr>
        <w:t>wo</w:t>
      </w:r>
      <w:r>
        <w:rPr>
          <w:rFonts w:ascii="Times New Roman" w:hAnsi="Times New Roman" w:eastAsia="Times New Roman" w:cs="Times New Roman"/>
          <w:bCs/>
          <w:sz w:val="24"/>
        </w:rPr>
        <w:t xml:space="preserve"> participants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 xml:space="preserve">.6,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10) mentioned the issue of power dynamics among languages. During the conversation, she expressed her belief that English is, to a certain degree, a global language that transcends national boundaries such as those of the UK or America.</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This indicates that nations where English is not the native language (NNS countries) have an equal claim to the ownership of English as countries where English is the native language (NS countries). This also shows that variations of non-native-speaker of English (NNSE) are not of worse quality compared to native variants of English (NSE). Furthermore, its significance was clearly articulated in the assertions of two other individuals, stating that CE is equivalent to other forms of English.</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In contrast, a participant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.1) said that non-native-speaker English (NNSE) variations, such as code-switching English (CE), are not commonly embraced, particularly when contrasted to native standard English (NSE).</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w:t>
      </w:r>
      <w:r>
        <w:rPr>
          <w:rFonts w:ascii="Times New Roman" w:hAnsi="Times New Roman" w:eastAsia="Times New Roman" w:cs="Times New Roman"/>
          <w:bCs/>
          <w:i/>
          <w:sz w:val="24"/>
        </w:rPr>
        <w:t>...individuals see it as rational and permissible when you make reference to the manner in which Australians use the English language. There will be a significant contrast if you consider the manner in which Chinese people often communicate in English</w:t>
      </w:r>
      <w:r>
        <w:rPr>
          <w:rFonts w:ascii="Times New Roman" w:hAnsi="Times New Roman" w:eastAsia="Times New Roman" w:cs="Times New Roman"/>
          <w:bCs/>
          <w:sz w:val="24"/>
        </w:rPr>
        <w:t>.”</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It is noteworthy that CE was widely accepted when mentioned alone. Participants unequivocally exhibited a lack of unfavourable views about CE, without making any explicit mention or comparison to Native-speaker English variations.</w:t>
      </w:r>
    </w:p>
    <w:p>
      <w:pPr>
        <w:pStyle w:val="39"/>
      </w:pPr>
      <w:bookmarkStart w:id="287" w:name="_Toc158753988"/>
      <w:r>
        <w:t>4.3</w:t>
      </w:r>
      <w:bookmarkStart w:id="288" w:name="OLE_LINK428"/>
      <w:bookmarkStart w:id="289" w:name="OLE_LINK429"/>
      <w:r>
        <w:t xml:space="preserve"> Perceived Role of Native-Speaker English </w:t>
      </w:r>
      <w:bookmarkEnd w:id="288"/>
      <w:bookmarkEnd w:id="289"/>
      <w:r>
        <w:t>When Acquiring Language</w:t>
      </w:r>
      <w:bookmarkEnd w:id="287"/>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The topics described in the preceding sections mostly centred upon the perception of English by second language users and its use within social situations. Building upon those more comprehensive perspectives, the issue explored in the present section focuses on the participants’ perception of NSE in their learning experience.</w:t>
      </w:r>
    </w:p>
    <w:p>
      <w:pPr>
        <w:pStyle w:val="22"/>
      </w:pPr>
      <w:bookmarkStart w:id="290" w:name="_Toc158753989"/>
      <w:bookmarkStart w:id="291" w:name="_Toc618500433"/>
      <w:r>
        <w:t>General Impressions</w:t>
      </w:r>
      <w:bookmarkEnd w:id="290"/>
      <w:bookmarkEnd w:id="291"/>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Initially, almost 50% of the participants attributed significance to NSE in the context of English language </w:t>
      </w:r>
      <w:r>
        <w:rPr>
          <w:rFonts w:ascii="Times New Roman Regular" w:hAnsi="Times New Roman Regular" w:cs="Times New Roman Regular"/>
          <w:sz w:val="24"/>
        </w:rPr>
        <w:t xml:space="preserve">teaching </w:t>
      </w:r>
      <w:r>
        <w:rPr>
          <w:rFonts w:ascii="Times New Roman" w:hAnsi="Times New Roman" w:eastAsia="Times New Roman" w:cs="Times New Roman"/>
          <w:bCs/>
          <w:sz w:val="24"/>
        </w:rPr>
        <w:t>(ELT), since it is considered a standard for assessing overall English proficiency. Two individuals used comparable vocabulary to suggest this connotation:</w:t>
      </w:r>
    </w:p>
    <w:p>
      <w:pPr>
        <w:widowControl/>
        <w:rPr>
          <w:rFonts w:ascii="Times New Roman" w:hAnsi="Times New Roman" w:eastAsia="Times New Roman" w:cs="Times New Roman"/>
          <w:bCs/>
          <w:sz w:val="24"/>
        </w:rPr>
      </w:pPr>
    </w:p>
    <w:p>
      <w:pPr>
        <w:widowControl/>
        <w:ind w:left="210" w:leftChars="100"/>
        <w:rPr>
          <w:rFonts w:ascii="Times New Roman" w:hAnsi="Times New Roman" w:eastAsia="Times New Roman" w:cs="Times New Roman"/>
          <w:bCs/>
          <w:sz w:val="24"/>
        </w:rPr>
      </w:pPr>
      <w:r>
        <w:rPr>
          <w:rFonts w:ascii="Times New Roman" w:hAnsi="Times New Roman" w:eastAsia="Times New Roman" w:cs="Times New Roman"/>
          <w:bCs/>
          <w:sz w:val="24"/>
        </w:rPr>
        <w:t>“...</w:t>
      </w:r>
      <w:r>
        <w:rPr>
          <w:rFonts w:ascii="Times New Roman" w:hAnsi="Times New Roman" w:eastAsia="Times New Roman" w:cs="Times New Roman"/>
          <w:bCs/>
          <w:i/>
          <w:sz w:val="24"/>
        </w:rPr>
        <w:t>I believe that every English student aspires to achieve native speaker level proficiency in language performance</w:t>
      </w:r>
      <w:r>
        <w:rPr>
          <w:rFonts w:ascii="Times New Roman" w:hAnsi="Times New Roman" w:eastAsia="Times New Roman" w:cs="Times New Roman"/>
          <w:bCs/>
          <w:sz w:val="24"/>
        </w:rPr>
        <w: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.8)</w:t>
      </w: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 xml:space="preserve"> </w:t>
      </w:r>
    </w:p>
    <w:p>
      <w:pPr>
        <w:widowControl/>
        <w:ind w:firstLine="120" w:firstLineChars="50"/>
        <w:rPr>
          <w:rFonts w:ascii="Times New Roman" w:hAnsi="Times New Roman" w:eastAsia="Times New Roman" w:cs="Times New Roman"/>
          <w:bCs/>
          <w:sz w:val="24"/>
        </w:rPr>
      </w:pPr>
      <w:r>
        <w:rPr>
          <w:rFonts w:ascii="Times New Roman" w:hAnsi="Times New Roman" w:eastAsia="Times New Roman" w:cs="Times New Roman"/>
          <w:bCs/>
          <w:sz w:val="24"/>
        </w:rPr>
        <w:t>“</w:t>
      </w:r>
      <w:r>
        <w:rPr>
          <w:rFonts w:ascii="Times New Roman" w:hAnsi="Times New Roman" w:eastAsia="Times New Roman" w:cs="Times New Roman"/>
          <w:bCs/>
          <w:i/>
          <w:sz w:val="24"/>
        </w:rPr>
        <w:t>Every English student aspires to achieve this level of expertise...</w:t>
      </w:r>
      <w:r>
        <w:rPr>
          <w:rFonts w:ascii="Times New Roman" w:hAnsi="Times New Roman" w:eastAsia="Times New Roman" w:cs="Times New Roman"/>
          <w:bCs/>
          <w:sz w:val="24"/>
        </w:rPr>
        <w: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.2)</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Regarding oneself, the participants’ perception of significance exhibited variation and may be categorised into three distinct categories. Out of the 10 participants, five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.3,4,6,7, and 10) said that NSE had a significant impact on their English learning since it served as a learning objective. Specifically, most participants in this group considered it to be ideal and acknowledged the impracticality of fully mastering English. Nevertheless, a participant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 xml:space="preserve">.8) contended that this learning objective may be attained from a language standpoint, provided that the duration necessary to do it is acknowledged. In contrast, </w:t>
      </w:r>
      <w:r>
        <w:rPr>
          <w:rFonts w:hint="eastAsia" w:ascii="Times New Roman" w:hAnsi="Times New Roman" w:eastAsia="Times New Roman" w:cs="Times New Roman"/>
          <w:bCs/>
          <w:sz w:val="24"/>
        </w:rPr>
        <w:t>t</w:t>
      </w:r>
      <w:r>
        <w:rPr>
          <w:rFonts w:ascii="Times New Roman" w:hAnsi="Times New Roman" w:eastAsia="Times New Roman" w:cs="Times New Roman"/>
          <w:bCs/>
          <w:sz w:val="24"/>
        </w:rPr>
        <w:t>hree interviewees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 xml:space="preserve">.1, 2,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9) felt that their current level of English proficiency should not be defined by NS, and none of them sought to achieve NS </w:t>
      </w:r>
      <w:r>
        <w:rPr>
          <w:rFonts w:hint="eastAsia" w:ascii="Times New Roman" w:hAnsi="Times New Roman" w:eastAsia="Times New Roman" w:cs="Times New Roman"/>
          <w:bCs/>
          <w:sz w:val="24"/>
        </w:rPr>
        <w:t>level</w:t>
      </w:r>
      <w:r>
        <w:rPr>
          <w:rFonts w:ascii="Times New Roman" w:hAnsi="Times New Roman" w:eastAsia="Times New Roman" w:cs="Times New Roman"/>
          <w:bCs/>
          <w:sz w:val="24"/>
        </w:rPr>
        <w:t>. Nevertheless, two individuals(N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 xml:space="preserve">.5, </w:t>
      </w:r>
      <w:r>
        <w:rPr>
          <w:rFonts w:hint="eastAsia" w:ascii="Times New Roman" w:hAnsi="Times New Roman" w:eastAsia="Times New Roman" w:cs="Times New Roman"/>
          <w:bCs/>
          <w:sz w:val="24"/>
        </w:rPr>
        <w:t>and</w:t>
      </w:r>
      <w:r>
        <w:rPr>
          <w:rFonts w:ascii="Times New Roman" w:hAnsi="Times New Roman" w:eastAsia="Times New Roman" w:cs="Times New Roman"/>
          <w:bCs/>
          <w:sz w:val="24"/>
        </w:rPr>
        <w:t xml:space="preserve"> 9)expressed ambivalent sentiments about the role of NSE in their learning. They contended that an excessive focus on NSE was superfluous. However, they still had a strong desire to attain that level to the greatest extent feasible.</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None of the participants discussed NNSE variants from a learner’s point of view. However, all participants mentioned these variants when talking about their future teaching plans. Basically, the interviewees generally recognised that NSE could be a goal for English language learning, but each one placed a different level of importance on it.</w:t>
      </w:r>
    </w:p>
    <w:p>
      <w:pPr>
        <w:pStyle w:val="22"/>
      </w:pPr>
      <w:bookmarkStart w:id="292" w:name="_Toc158753990"/>
      <w:bookmarkStart w:id="293" w:name="_Toc1315925951"/>
      <w:r>
        <w:t>Linguistic Element Preferences</w:t>
      </w:r>
      <w:bookmarkEnd w:id="292"/>
      <w:bookmarkEnd w:id="293"/>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The majority of participants did not prioritise the use of NSE grammar. Conversely, they prioritised the significance of understandability, specifically NSE vocabulary, above grammar. One participant emphasised the flexibility of speaking:</w:t>
      </w:r>
    </w:p>
    <w:p>
      <w:pPr>
        <w:widowControl/>
        <w:ind w:firstLine="240" w:firstLineChars="100"/>
        <w:rPr>
          <w:rFonts w:ascii="Times New Roman" w:hAnsi="Times New Roman" w:eastAsia="Times New Roman" w:cs="Times New Roman"/>
          <w:bCs/>
          <w:sz w:val="24"/>
        </w:rPr>
      </w:pPr>
    </w:p>
    <w:p>
      <w:pPr>
        <w:widowControl/>
        <w:ind w:firstLine="240" w:firstLineChars="100"/>
        <w:rPr>
          <w:rFonts w:ascii="Times New Roman" w:hAnsi="Times New Roman" w:eastAsia="Times New Roman" w:cs="Times New Roman"/>
          <w:bCs/>
          <w:sz w:val="24"/>
        </w:rPr>
      </w:pPr>
      <w:r>
        <w:rPr>
          <w:rFonts w:ascii="Times New Roman" w:hAnsi="Times New Roman" w:eastAsia="Times New Roman" w:cs="Times New Roman"/>
          <w:bCs/>
          <w:sz w:val="24"/>
        </w:rPr>
        <w:t xml:space="preserve"> “</w:t>
      </w:r>
      <w:r>
        <w:rPr>
          <w:rFonts w:ascii="Times New Roman" w:hAnsi="Times New Roman" w:eastAsia="Times New Roman" w:cs="Times New Roman"/>
          <w:bCs/>
          <w:i/>
          <w:sz w:val="24"/>
        </w:rPr>
        <w:t>The vocabulary section requires the ability to use a variety of terms fluently</w:t>
      </w:r>
      <w:r>
        <w:rPr>
          <w:rFonts w:ascii="Times New Roman" w:hAnsi="Times New Roman" w:eastAsia="Times New Roman" w:cs="Times New Roman"/>
          <w:bCs/>
          <w:sz w:val="24"/>
        </w:rPr>
        <w: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.4)</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Another participant emphasised the significance of honesty while writing:</w:t>
      </w:r>
    </w:p>
    <w:p>
      <w:pPr>
        <w:widowControl/>
        <w:rPr>
          <w:rFonts w:ascii="Times New Roman" w:hAnsi="Times New Roman" w:eastAsia="Times New Roman" w:cs="Times New Roman"/>
          <w:bCs/>
          <w:sz w:val="24"/>
        </w:rPr>
      </w:pPr>
    </w:p>
    <w:p>
      <w:pPr>
        <w:widowControl/>
        <w:ind w:firstLine="240" w:firstLineChars="100"/>
        <w:rPr>
          <w:rFonts w:ascii="Times New Roman" w:hAnsi="Times New Roman" w:eastAsia="Times New Roman" w:cs="Times New Roman"/>
          <w:bCs/>
          <w:sz w:val="24"/>
        </w:rPr>
      </w:pPr>
      <w:r>
        <w:rPr>
          <w:rFonts w:ascii="Times New Roman" w:hAnsi="Times New Roman" w:eastAsia="Times New Roman" w:cs="Times New Roman"/>
          <w:bCs/>
          <w:i/>
          <w:sz w:val="24"/>
        </w:rPr>
        <w:t>“I want to learn real methods to use words in casual writing”</w:t>
      </w:r>
      <w:r>
        <w:rPr>
          <w:rFonts w:ascii="Times New Roman" w:hAnsi="Times New Roman" w:eastAsia="Times New Roman" w:cs="Times New Roman"/>
          <w:bCs/>
          <w:sz w:val="24"/>
        </w:rPr>
        <w:t>. (</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.1)</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sz w:val="24"/>
        </w:rPr>
      </w:pPr>
      <w:r>
        <w:rPr>
          <w:rFonts w:ascii="Times New Roman" w:hAnsi="Times New Roman" w:eastAsia="Times New Roman" w:cs="Times New Roman"/>
          <w:bCs/>
          <w:sz w:val="24"/>
        </w:rPr>
        <w:t>Over 50% of the participants showed a preference for achieving native speaker-like pronunciation rather than merely focusing on being understood.</w:t>
      </w:r>
    </w:p>
    <w:p>
      <w:pPr>
        <w:widowControl/>
        <w:rPr>
          <w:rFonts w:ascii="Times New Roman" w:hAnsi="Times New Roman" w:eastAsia="Times New Roman" w:cs="Times New Roman"/>
          <w:bCs/>
          <w:sz w:val="24"/>
        </w:rPr>
      </w:pPr>
    </w:p>
    <w:p>
      <w:pPr>
        <w:widowControl/>
        <w:rPr>
          <w:rFonts w:ascii="Times New Roman" w:hAnsi="Times New Roman" w:eastAsia="Times New Roman" w:cs="Times New Roman"/>
          <w:bCs/>
          <w:i/>
          <w:sz w:val="24"/>
        </w:rPr>
      </w:pPr>
      <w:r>
        <w:rPr>
          <w:rFonts w:ascii="Times New Roman" w:hAnsi="Times New Roman" w:eastAsia="Times New Roman" w:cs="Times New Roman"/>
          <w:bCs/>
          <w:i/>
          <w:sz w:val="24"/>
        </w:rPr>
        <w:t xml:space="preserve">Figure 4.1 displays </w:t>
      </w:r>
      <w:r>
        <w:rPr>
          <w:rFonts w:hint="eastAsia" w:ascii="Times New Roman" w:hAnsi="Times New Roman" w:eastAsia="Times New Roman" w:cs="Times New Roman"/>
          <w:bCs/>
          <w:i/>
          <w:sz w:val="24"/>
        </w:rPr>
        <w:t>of</w:t>
      </w:r>
      <w:r>
        <w:rPr>
          <w:rFonts w:ascii="Times New Roman" w:hAnsi="Times New Roman" w:eastAsia="Times New Roman" w:cs="Times New Roman"/>
          <w:bCs/>
          <w:i/>
          <w:sz w:val="24"/>
        </w:rPr>
        <w:t xml:space="preserve"> themes and significant points that are relevant to Research Question 1.</w:t>
      </w:r>
    </w:p>
    <w:p>
      <w:pPr>
        <w:widowControl/>
        <w:rPr>
          <w:rFonts w:ascii="Times New Roman" w:hAnsi="Times New Roman" w:cs="Times New Roman"/>
          <w:sz w:val="24"/>
        </w:rPr>
      </w:pPr>
      <w:r>
        <w:rPr>
          <w:rFonts w:ascii="Times New Roman" w:hAnsi="Times New Roman" w:cs="Times New Roman"/>
          <w:sz w:val="24"/>
        </w:rPr>
        <w:drawing>
          <wp:inline distT="0" distB="0" distL="114300" distR="114300">
            <wp:extent cx="5269865" cy="2432685"/>
            <wp:effectExtent l="0" t="0" r="13335"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5269865" cy="2432685"/>
                    </a:xfrm>
                    <a:prstGeom prst="rect">
                      <a:avLst/>
                    </a:prstGeom>
                    <a:noFill/>
                    <a:ln>
                      <a:noFill/>
                    </a:ln>
                  </pic:spPr>
                </pic:pic>
              </a:graphicData>
            </a:graphic>
          </wp:inline>
        </w:drawing>
      </w:r>
    </w:p>
    <w:p>
      <w:pPr>
        <w:widowControl/>
        <w:rPr>
          <w:rFonts w:ascii="Times New Roman" w:hAnsi="Times New Roman" w:cs="Times New Roman"/>
          <w:sz w:val="24"/>
        </w:rPr>
      </w:pPr>
      <w:r>
        <w:rPr>
          <w:rFonts w:ascii="Times New Roman" w:hAnsi="Times New Roman" w:cs="Times New Roman"/>
          <w:sz w:val="24"/>
        </w:rPr>
        <w:t xml:space="preserve">In summary, the data analysis revealed three primary themes that are relevant to the first study question. These themes are visually represented by </w:t>
      </w:r>
      <w:bookmarkStart w:id="294" w:name="OLE_LINK573"/>
      <w:bookmarkStart w:id="295" w:name="OLE_LINK572"/>
      <w:r>
        <w:rPr>
          <w:rFonts w:ascii="Times New Roman" w:hAnsi="Times New Roman" w:cs="Times New Roman"/>
          <w:sz w:val="24"/>
        </w:rPr>
        <w:t xml:space="preserve">three blue </w:t>
      </w:r>
      <w:bookmarkEnd w:id="294"/>
      <w:bookmarkEnd w:id="295"/>
      <w:r>
        <w:rPr>
          <w:rFonts w:ascii="Times New Roman" w:hAnsi="Times New Roman" w:cs="Times New Roman"/>
          <w:sz w:val="24"/>
        </w:rPr>
        <w:t xml:space="preserve">rectangles in the figure. In the centre of the diagram, the three aspects of English that the interviewees were most impressed with are shown: </w:t>
      </w:r>
      <w:r>
        <w:rPr>
          <w:rFonts w:hint="eastAsia" w:ascii="Times New Roman" w:hAnsi="Times New Roman" w:cs="Times New Roman"/>
          <w:sz w:val="24"/>
        </w:rPr>
        <w:t>pronunciation</w:t>
      </w:r>
      <w:r>
        <w:rPr>
          <w:rFonts w:ascii="Times New Roman" w:hAnsi="Times New Roman" w:cs="Times New Roman"/>
          <w:sz w:val="24"/>
        </w:rPr>
        <w:t xml:space="preserve">, </w:t>
      </w:r>
      <w:r>
        <w:rPr>
          <w:rFonts w:hint="eastAsia" w:ascii="Times New Roman" w:hAnsi="Times New Roman" w:cs="Times New Roman"/>
          <w:sz w:val="24"/>
        </w:rPr>
        <w:t>vocabulary</w:t>
      </w:r>
      <w:r>
        <w:rPr>
          <w:rFonts w:ascii="Times New Roman" w:hAnsi="Times New Roman" w:cs="Times New Roman"/>
          <w:sz w:val="24"/>
        </w:rPr>
        <w:t xml:space="preserve">, </w:t>
      </w:r>
      <w:r>
        <w:rPr>
          <w:rFonts w:hint="eastAsia" w:ascii="Times New Roman" w:hAnsi="Times New Roman" w:cs="Times New Roman"/>
          <w:sz w:val="24"/>
        </w:rPr>
        <w:t>and</w:t>
      </w:r>
      <w:r>
        <w:rPr>
          <w:rFonts w:ascii="Times New Roman" w:hAnsi="Times New Roman" w:cs="Times New Roman"/>
          <w:sz w:val="24"/>
        </w:rPr>
        <w:t xml:space="preserve"> </w:t>
      </w:r>
      <w:r>
        <w:rPr>
          <w:rFonts w:hint="eastAsia" w:ascii="Times New Roman" w:hAnsi="Times New Roman" w:cs="Times New Roman"/>
          <w:sz w:val="24"/>
        </w:rPr>
        <w:t>consisting</w:t>
      </w:r>
      <w:r>
        <w:rPr>
          <w:rFonts w:ascii="Times New Roman" w:hAnsi="Times New Roman" w:cs="Times New Roman"/>
          <w:sz w:val="24"/>
        </w:rPr>
        <w:t xml:space="preserve"> </w:t>
      </w:r>
      <w:r>
        <w:rPr>
          <w:rFonts w:hint="eastAsia" w:ascii="Times New Roman" w:hAnsi="Times New Roman" w:cs="Times New Roman"/>
          <w:sz w:val="24"/>
        </w:rPr>
        <w:t>of</w:t>
      </w:r>
      <w:r>
        <w:rPr>
          <w:rFonts w:ascii="Times New Roman" w:hAnsi="Times New Roman" w:cs="Times New Roman"/>
          <w:sz w:val="24"/>
        </w:rPr>
        <w:t xml:space="preserve"> </w:t>
      </w:r>
      <w:r>
        <w:rPr>
          <w:rFonts w:hint="eastAsia" w:ascii="Times New Roman" w:hAnsi="Times New Roman" w:cs="Times New Roman"/>
          <w:sz w:val="24"/>
        </w:rPr>
        <w:t>varieties</w:t>
      </w:r>
      <w:r>
        <w:rPr>
          <w:rFonts w:ascii="Times New Roman" w:hAnsi="Times New Roman" w:cs="Times New Roman"/>
          <w:sz w:val="24"/>
        </w:rPr>
        <w:t xml:space="preserve">. The box at the top (the awareness: various variants) and the arrows to the left and right (connecting perception of NSE and perception of NNSE) indicate that, </w:t>
      </w:r>
      <w:bookmarkStart w:id="296" w:name="OLE_LINK593"/>
      <w:bookmarkStart w:id="297" w:name="OLE_LINK594"/>
      <w:r>
        <w:rPr>
          <w:rFonts w:ascii="Times New Roman" w:hAnsi="Times New Roman" w:cs="Times New Roman"/>
          <w:sz w:val="24"/>
        </w:rPr>
        <w:t>to a certain degree, the interviewees understood the fact that English encompasses both Native-Speaker English (NSE) and Non-Native-Speaker English (NNSE) variations.</w:t>
      </w:r>
      <w:bookmarkEnd w:id="296"/>
      <w:bookmarkEnd w:id="297"/>
      <w:r>
        <w:rPr>
          <w:rFonts w:ascii="Times New Roman" w:hAnsi="Times New Roman" w:cs="Times New Roman"/>
          <w:sz w:val="24"/>
        </w:rPr>
        <w:t xml:space="preserve"> Subsequently, the three primary themes in NSE were linked by two language aspects, which were deemed by the participants to possess notable differences, as seen in the second and third rectangles. Consequently, the participants expressed a need for enhanced competence in these two areas, with the aim of attaining their overall learning objective, NSE, as effectively as they can.</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In addition to the linguistic aspect, the third aspect of the NNSE theme, shown by the blue square on the right, focused on the dynamics of power across languages. The findings highlighted a disparity between theoretical concepts and their practical implementation. Despite the participants’ generally receptive and favourable views, none of them acknowledged the influence of non-native-speaker English (NNSE), specifically communicative effectiveness (CE), in their own learning journey.  Put simply, they showed no desire to actively pursue non-native-speaker English (NNSE) variations as learning objectives in practice.</w:t>
      </w:r>
    </w:p>
    <w:p>
      <w:pPr>
        <w:pStyle w:val="39"/>
      </w:pPr>
      <w:bookmarkStart w:id="298" w:name="_Toc158753991"/>
      <w:r>
        <w:t>4.4 Experiences and Attitudes towards English Education before University</w:t>
      </w:r>
      <w:bookmarkEnd w:id="298"/>
    </w:p>
    <w:p>
      <w:pPr>
        <w:pStyle w:val="22"/>
      </w:pPr>
      <w:bookmarkStart w:id="299" w:name="_Toc158753992"/>
      <w:r>
        <w:t>Learning Experience</w:t>
      </w:r>
      <w:bookmarkEnd w:id="299"/>
    </w:p>
    <w:p>
      <w:pPr>
        <w:widowControl/>
        <w:rPr>
          <w:rFonts w:ascii="Times New Roman" w:hAnsi="Times New Roman" w:cs="Times New Roman"/>
          <w:sz w:val="24"/>
        </w:rPr>
      </w:pPr>
      <w:r>
        <w:rPr>
          <w:rFonts w:ascii="Times New Roman" w:hAnsi="Times New Roman" w:cs="Times New Roman"/>
          <w:sz w:val="24"/>
        </w:rPr>
        <w:t>The participants’ testimonies revealed a discrepancy between the knowledge they acquired from elementary to high school and the actual experiences they encountered in university. Upon contemplating their educational experience spanning nine years of mandatory schooling and high school in China, five participants</w:t>
      </w:r>
      <w:r>
        <w:rPr>
          <w:rFonts w:hint="eastAsia" w:ascii="Times New Roman" w:hAnsi="Times New Roman" w:eastAsia="Times New Roman" w:cs="Times New Roman"/>
          <w:bCs/>
          <w:sz w:val="24"/>
        </w:rPr>
        <w:t xml:space="preserve"> </w:t>
      </w:r>
      <w:r>
        <w:rPr>
          <w:rFonts w:ascii="Times New Roman" w:hAnsi="Times New Roman" w:eastAsia="Times New Roman" w:cs="Times New Roman"/>
          <w:bCs/>
          <w:sz w:val="24"/>
        </w:rPr>
        <w:t>(</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.1,3,5,7,10)</w:t>
      </w:r>
      <w:r>
        <w:rPr>
          <w:rFonts w:ascii="Times New Roman" w:hAnsi="Times New Roman" w:cs="Times New Roman"/>
          <w:sz w:val="24"/>
        </w:rPr>
        <w:t xml:space="preserve"> acknowledged being instructed in grammatical rules throughout their English sessions. Regarding vocabulary, three individuals mentioned using textbooks or vocabulary lists. The participants emphasised the teaching methods used for pronunciation rather than the grammar and vocabulary they were taught. The most prevalent descriptors were imitating professors and cassettes.</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 xml:space="preserve">The participants exhibited a greater degree of consensus while discussing assessment, in contrast to the varied responses they provided in relation to </w:t>
      </w:r>
      <w:r>
        <w:rPr>
          <w:rFonts w:ascii="Times New Roman Regular" w:hAnsi="Times New Roman Regular" w:cs="Times New Roman Regular"/>
          <w:sz w:val="24"/>
        </w:rPr>
        <w:t>teaching</w:t>
      </w:r>
      <w:r>
        <w:rPr>
          <w:rFonts w:ascii="Times New Roman" w:hAnsi="Times New Roman" w:cs="Times New Roman"/>
          <w:sz w:val="24"/>
        </w:rPr>
        <w:t>. The majority of individuals reported that, overall, precision was a key consideration while being evaluated throughout this phase of learning. More precisely, they said that their proficiency, particularly in language, was evaluated based on their adherence to norms or standards. One participant’s conclusion</w:t>
      </w:r>
      <w:r>
        <w:rPr>
          <w:rFonts w:hint="eastAsia" w:ascii="Times New Roman" w:hAnsi="Times New Roman" w:eastAsia="Times New Roman" w:cs="Times New Roman"/>
          <w:bCs/>
          <w:sz w:val="24"/>
        </w:rPr>
        <w:t xml:space="preserve"> </w:t>
      </w:r>
      <w:r>
        <w:rPr>
          <w:rFonts w:ascii="Times New Roman" w:hAnsi="Times New Roman" w:eastAsia="Times New Roman" w:cs="Times New Roman"/>
          <w:bCs/>
          <w:sz w:val="24"/>
        </w:rPr>
        <w:t>(</w:t>
      </w:r>
      <w:r>
        <w:rPr>
          <w:rFonts w:hint="eastAsia" w:ascii="Times New Roman" w:hAnsi="Times New Roman" w:eastAsia="Times New Roman" w:cs="Times New Roman"/>
          <w:bCs/>
          <w:sz w:val="24"/>
        </w:rPr>
        <w:t>participant</w:t>
      </w:r>
      <w:r>
        <w:rPr>
          <w:rFonts w:ascii="Times New Roman" w:hAnsi="Times New Roman" w:eastAsia="Times New Roman" w:cs="Times New Roman"/>
          <w:bCs/>
          <w:sz w:val="24"/>
        </w:rPr>
        <w:t xml:space="preserve"> N</w:t>
      </w:r>
      <w:r>
        <w:rPr>
          <w:rFonts w:hint="eastAsia" w:ascii="Times New Roman" w:hAnsi="Times New Roman" w:eastAsia="Times New Roman" w:cs="Times New Roman"/>
          <w:bCs/>
          <w:sz w:val="24"/>
        </w:rPr>
        <w:t>o</w:t>
      </w:r>
      <w:r>
        <w:rPr>
          <w:rFonts w:ascii="Times New Roman" w:hAnsi="Times New Roman" w:eastAsia="Times New Roman" w:cs="Times New Roman"/>
          <w:bCs/>
          <w:sz w:val="24"/>
        </w:rPr>
        <w:t>.1)</w:t>
      </w:r>
      <w:r>
        <w:rPr>
          <w:rFonts w:ascii="Times New Roman" w:hAnsi="Times New Roman" w:cs="Times New Roman"/>
          <w:sz w:val="24"/>
        </w:rPr>
        <w:t xml:space="preserve"> was that teachers prioritised accuracy above appropriateness.</w:t>
      </w:r>
    </w:p>
    <w:p>
      <w:pPr>
        <w:pStyle w:val="22"/>
      </w:pPr>
      <w:bookmarkStart w:id="300" w:name="_Toc2050272563"/>
      <w:bookmarkStart w:id="301" w:name="_Toc158753993"/>
      <w:r>
        <w:t>Sensations and Emotions</w:t>
      </w:r>
      <w:bookmarkEnd w:id="300"/>
      <w:bookmarkEnd w:id="301"/>
    </w:p>
    <w:p>
      <w:pPr>
        <w:widowControl/>
        <w:rPr>
          <w:rFonts w:ascii="Times New Roman" w:hAnsi="Times New Roman" w:cs="Times New Roman"/>
          <w:sz w:val="24"/>
        </w:rPr>
      </w:pPr>
      <w:r>
        <w:rPr>
          <w:rFonts w:ascii="Times New Roman" w:hAnsi="Times New Roman" w:cs="Times New Roman"/>
          <w:sz w:val="24"/>
        </w:rPr>
        <w:t>These participants had a rich experience of learning English before university, and it was crucial to understand their perceptions of English at th</w:t>
      </w:r>
      <w:r>
        <w:rPr>
          <w:rFonts w:hint="eastAsia" w:ascii="Times New Roman" w:hAnsi="Times New Roman" w:cs="Times New Roman"/>
          <w:sz w:val="24"/>
        </w:rPr>
        <w:t>at</w:t>
      </w:r>
      <w:r>
        <w:rPr>
          <w:rFonts w:ascii="Times New Roman" w:hAnsi="Times New Roman" w:cs="Times New Roman"/>
          <w:sz w:val="24"/>
        </w:rPr>
        <w:t xml:space="preserve"> stage. In general, </w:t>
      </w:r>
      <w:r>
        <w:rPr>
          <w:rFonts w:hint="eastAsia" w:ascii="Times New Roman" w:hAnsi="Times New Roman" w:cs="Times New Roman"/>
          <w:sz w:val="24"/>
        </w:rPr>
        <w:t>seven</w:t>
      </w:r>
      <w:r>
        <w:rPr>
          <w:rFonts w:ascii="Times New Roman" w:hAnsi="Times New Roman" w:cs="Times New Roman"/>
          <w:sz w:val="24"/>
        </w:rPr>
        <w:t xml:space="preserve"> </w:t>
      </w:r>
      <w:r>
        <w:rPr>
          <w:rFonts w:hint="eastAsia" w:ascii="Times New Roman" w:hAnsi="Times New Roman" w:cs="Times New Roman"/>
          <w:sz w:val="24"/>
        </w:rPr>
        <w:t>interviewees</w:t>
      </w:r>
      <w:r>
        <w:rPr>
          <w:rFonts w:ascii="Times New Roman" w:hAnsi="Times New Roman" w:cs="Times New Roman"/>
          <w:sz w:val="24"/>
        </w:rPr>
        <w:t xml:space="preserve"> identified this English variant as "</w:t>
      </w:r>
      <w:r>
        <w:rPr>
          <w:rFonts w:ascii="Times New Roman" w:hAnsi="Times New Roman" w:cs="Times New Roman"/>
          <w:i/>
          <w:sz w:val="24"/>
        </w:rPr>
        <w:t>Chinglish</w:t>
      </w:r>
      <w:r>
        <w:rPr>
          <w:rFonts w:ascii="Times New Roman" w:hAnsi="Times New Roman" w:cs="Times New Roman"/>
          <w:sz w:val="24"/>
        </w:rPr>
        <w:t>" (</w:t>
      </w:r>
      <w:bookmarkStart w:id="302" w:name="OLE_LINK565"/>
      <w:bookmarkStart w:id="303" w:name="OLE_LINK564"/>
      <w:r>
        <w:rPr>
          <w:rFonts w:hint="eastAsia" w:ascii="Times New Roman" w:hAnsi="Times New Roman" w:cs="Times New Roman"/>
          <w:sz w:val="24"/>
        </w:rPr>
        <w:t>e.g.</w:t>
      </w:r>
      <w:r>
        <w:rPr>
          <w:rFonts w:ascii="Times New Roman" w:hAnsi="Times New Roman" w:cs="Times New Roman"/>
          <w:sz w:val="24"/>
        </w:rPr>
        <w:t xml:space="preserve"> participant No. 10</w:t>
      </w:r>
      <w:bookmarkEnd w:id="302"/>
      <w:bookmarkEnd w:id="303"/>
      <w:r>
        <w:rPr>
          <w:rFonts w:ascii="Times New Roman" w:hAnsi="Times New Roman" w:cs="Times New Roman"/>
          <w:sz w:val="24"/>
        </w:rPr>
        <w:t>). The remaining individuals had challenges in providing a clear definition, and some even contended that it would be illogical to see it as a comprehensive form.</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When queried about their overall impressions of this phase of English acquisition, the participants specified more specific characteristics.  The fact that the learning was exam-oriented was mentioned seven times, highlighting the emphasis on correctness in the evaluations throughout this learning period. Furthermore, two additional prominent characteristics of the learning process, namely reliance on textbooks and substantial guidance from teachers, were shown to be crucial to their overall learning experience.  A single person provided an explanation:</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i/>
          <w:sz w:val="24"/>
        </w:rPr>
        <w:t>“The primary manifestation of English learning is mostly seen via English courses and teachers. Indeed, it is a kind of teaching input, in which the learner primarily engages in listening to the teacher’s discourse.</w:t>
      </w:r>
      <w:bookmarkStart w:id="304" w:name="OLE_LINK567"/>
      <w:bookmarkStart w:id="305" w:name="OLE_LINK566"/>
      <w:r>
        <w:rPr>
          <w:rFonts w:ascii="Times New Roman" w:hAnsi="Times New Roman" w:cs="Times New Roman"/>
          <w:i/>
          <w:sz w:val="24"/>
        </w:rPr>
        <w:t>”</w:t>
      </w:r>
      <w:bookmarkEnd w:id="304"/>
      <w:bookmarkEnd w:id="305"/>
      <w:r>
        <w:rPr>
          <w:rFonts w:ascii="Times New Roman" w:hAnsi="Times New Roman" w:cs="Times New Roman"/>
          <w:i/>
          <w:sz w:val="24"/>
        </w:rPr>
        <w:t xml:space="preserve"> </w:t>
      </w:r>
      <w:r>
        <w:rPr>
          <w:rFonts w:ascii="Times New Roman" w:hAnsi="Times New Roman" w:cs="Times New Roman"/>
          <w:sz w:val="24"/>
        </w:rPr>
        <w:t>(participant No. 6)</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The participants’ learning views consistently show that proper use of English is frequent in Chinese English Language Teaching (ELT).</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After being taught using the conventional SE model for over ten years, the participants showed reduced passion about this kind of English, particularly in relation to its prominent characteristic - the emphasis on precise evaluation. A participant expressly stated:</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i/>
          <w:sz w:val="24"/>
        </w:rPr>
        <w:t xml:space="preserve">“In my perspective, acquiring proficiency in the English language serves a purpose beyond just preparing for examinations. However, the primary objective of the conventional teaching style is to assist students in completing the exam paper by providing them with information, which is somewhat ineffective in real-world applications.” </w:t>
      </w:r>
      <w:r>
        <w:rPr>
          <w:rFonts w:ascii="Times New Roman" w:hAnsi="Times New Roman" w:cs="Times New Roman"/>
          <w:sz w:val="24"/>
        </w:rPr>
        <w:t>(participant No. 9)</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Similarly, the participants regarded this teaching approach as markedly distinct from N</w:t>
      </w:r>
      <w:r>
        <w:rPr>
          <w:rFonts w:hint="eastAsia" w:ascii="Times New Roman" w:hAnsi="Times New Roman" w:cs="Times New Roman"/>
          <w:sz w:val="24"/>
        </w:rPr>
        <w:t>ative-</w:t>
      </w:r>
      <w:r>
        <w:rPr>
          <w:rFonts w:ascii="Times New Roman" w:hAnsi="Times New Roman" w:cs="Times New Roman"/>
          <w:sz w:val="24"/>
        </w:rPr>
        <w:t>S</w:t>
      </w:r>
      <w:r>
        <w:rPr>
          <w:rFonts w:hint="eastAsia" w:ascii="Times New Roman" w:hAnsi="Times New Roman" w:cs="Times New Roman"/>
          <w:sz w:val="24"/>
        </w:rPr>
        <w:t>peaker</w:t>
      </w:r>
      <w:r>
        <w:rPr>
          <w:rFonts w:ascii="Times New Roman" w:hAnsi="Times New Roman" w:cs="Times New Roman"/>
          <w:sz w:val="24"/>
        </w:rPr>
        <w:t xml:space="preserve"> E</w:t>
      </w:r>
      <w:r>
        <w:rPr>
          <w:rFonts w:hint="eastAsia" w:ascii="Times New Roman" w:hAnsi="Times New Roman" w:cs="Times New Roman"/>
          <w:sz w:val="24"/>
        </w:rPr>
        <w:t>nglish.</w:t>
      </w:r>
    </w:p>
    <w:p>
      <w:pPr>
        <w:pStyle w:val="39"/>
      </w:pPr>
      <w:bookmarkStart w:id="306" w:name="_Toc158753994"/>
      <w:r>
        <w:t>4.5 Increased Participation of Native-Speaker English at University</w:t>
      </w:r>
      <w:bookmarkEnd w:id="306"/>
    </w:p>
    <w:p>
      <w:pPr>
        <w:widowControl/>
        <w:rPr>
          <w:rFonts w:ascii="Times New Roman" w:hAnsi="Times New Roman" w:cs="Times New Roman"/>
          <w:sz w:val="24"/>
        </w:rPr>
      </w:pPr>
      <w:r>
        <w:rPr>
          <w:rFonts w:ascii="Times New Roman" w:hAnsi="Times New Roman" w:cs="Times New Roman"/>
          <w:sz w:val="24"/>
        </w:rPr>
        <w:t xml:space="preserve">When discussing </w:t>
      </w:r>
      <w:r>
        <w:rPr>
          <w:rFonts w:hint="eastAsia" w:ascii="Times New Roman" w:hAnsi="Times New Roman" w:cs="Times New Roman"/>
          <w:sz w:val="24"/>
        </w:rPr>
        <w:t>acquiring</w:t>
      </w:r>
      <w:r>
        <w:rPr>
          <w:rFonts w:ascii="Times New Roman" w:hAnsi="Times New Roman" w:cs="Times New Roman"/>
          <w:sz w:val="24"/>
        </w:rPr>
        <w:t xml:space="preserve"> E</w:t>
      </w:r>
      <w:r>
        <w:rPr>
          <w:rFonts w:hint="eastAsia" w:ascii="Times New Roman" w:hAnsi="Times New Roman" w:cs="Times New Roman"/>
          <w:sz w:val="24"/>
        </w:rPr>
        <w:t>nglish</w:t>
      </w:r>
      <w:r>
        <w:rPr>
          <w:rFonts w:ascii="Times New Roman" w:hAnsi="Times New Roman" w:cs="Times New Roman"/>
          <w:sz w:val="24"/>
        </w:rPr>
        <w:t xml:space="preserve"> </w:t>
      </w:r>
      <w:r>
        <w:rPr>
          <w:rFonts w:hint="eastAsia" w:ascii="Times New Roman" w:hAnsi="Times New Roman" w:cs="Times New Roman"/>
          <w:sz w:val="24"/>
        </w:rPr>
        <w:t>since</w:t>
      </w:r>
      <w:r>
        <w:rPr>
          <w:rFonts w:ascii="Times New Roman" w:hAnsi="Times New Roman" w:cs="Times New Roman"/>
          <w:sz w:val="24"/>
        </w:rPr>
        <w:t xml:space="preserve"> </w:t>
      </w:r>
      <w:r>
        <w:rPr>
          <w:rFonts w:hint="eastAsia" w:ascii="Times New Roman" w:hAnsi="Times New Roman" w:cs="Times New Roman"/>
          <w:sz w:val="24"/>
        </w:rPr>
        <w:t>the</w:t>
      </w:r>
      <w:r>
        <w:rPr>
          <w:rFonts w:ascii="Times New Roman" w:hAnsi="Times New Roman" w:cs="Times New Roman"/>
          <w:sz w:val="24"/>
        </w:rPr>
        <w:t xml:space="preserve"> </w:t>
      </w:r>
      <w:r>
        <w:rPr>
          <w:rFonts w:hint="eastAsia" w:ascii="Times New Roman" w:hAnsi="Times New Roman" w:cs="Times New Roman"/>
          <w:sz w:val="24"/>
        </w:rPr>
        <w:t>university</w:t>
      </w:r>
      <w:r>
        <w:rPr>
          <w:rFonts w:ascii="Times New Roman" w:hAnsi="Times New Roman" w:cs="Times New Roman"/>
          <w:sz w:val="24"/>
        </w:rPr>
        <w:t xml:space="preserve">, several </w:t>
      </w:r>
      <w:r>
        <w:rPr>
          <w:rFonts w:hint="eastAsia" w:ascii="Times New Roman" w:hAnsi="Times New Roman" w:cs="Times New Roman"/>
          <w:sz w:val="24"/>
        </w:rPr>
        <w:t>interviewees</w:t>
      </w:r>
      <w:r>
        <w:rPr>
          <w:rFonts w:ascii="Times New Roman" w:hAnsi="Times New Roman" w:cs="Times New Roman"/>
          <w:sz w:val="24"/>
        </w:rPr>
        <w:t xml:space="preserve"> emphasised the increased engagement of native speakers of English (NSE). Five participants (</w:t>
      </w:r>
      <w:bookmarkStart w:id="307" w:name="OLE_LINK581"/>
      <w:bookmarkStart w:id="308" w:name="OLE_LINK580"/>
      <w:r>
        <w:rPr>
          <w:rFonts w:ascii="Times New Roman" w:hAnsi="Times New Roman" w:cs="Times New Roman"/>
          <w:sz w:val="24"/>
        </w:rPr>
        <w:t>participant No.</w:t>
      </w:r>
      <w:bookmarkEnd w:id="307"/>
      <w:bookmarkEnd w:id="308"/>
      <w:r>
        <w:rPr>
          <w:rFonts w:ascii="Times New Roman" w:hAnsi="Times New Roman" w:cs="Times New Roman"/>
          <w:sz w:val="24"/>
        </w:rPr>
        <w:t xml:space="preserve">1, 4, 5, 7, and 8) further associated these impressions with the presence of a greater number of NS professors. Additionally, the presence of non-native speaker (NNS) teachers who have lived or studied overseas was also seen as a successful approach to attaining native speaker-like English (NSE) proficiency. Additionally, four participants (participant </w:t>
      </w:r>
      <w:bookmarkStart w:id="309" w:name="OLE_LINK582"/>
      <w:bookmarkStart w:id="310" w:name="OLE_LINK583"/>
      <w:r>
        <w:rPr>
          <w:rFonts w:ascii="Times New Roman" w:hAnsi="Times New Roman" w:cs="Times New Roman"/>
          <w:sz w:val="24"/>
        </w:rPr>
        <w:t>No. 2</w:t>
      </w:r>
      <w:bookmarkEnd w:id="309"/>
      <w:bookmarkEnd w:id="310"/>
      <w:r>
        <w:rPr>
          <w:rFonts w:ascii="Times New Roman" w:hAnsi="Times New Roman" w:cs="Times New Roman"/>
          <w:sz w:val="24"/>
        </w:rPr>
        <w:t xml:space="preserve">, 3, 4, 9) emphasised the genuineness of learning resources, such as </w:t>
      </w:r>
      <w:r>
        <w:rPr>
          <w:rFonts w:hint="eastAsia" w:ascii="Times New Roman" w:hAnsi="Times New Roman" w:cs="Times New Roman"/>
          <w:sz w:val="24"/>
        </w:rPr>
        <w:t>r</w:t>
      </w:r>
      <w:r>
        <w:rPr>
          <w:rFonts w:ascii="Times New Roman" w:hAnsi="Times New Roman" w:cs="Times New Roman"/>
          <w:sz w:val="24"/>
        </w:rPr>
        <w:t>ecordings of courses taught in English as a language (P</w:t>
      </w:r>
      <w:r>
        <w:rPr>
          <w:rFonts w:hint="eastAsia" w:ascii="Times New Roman" w:hAnsi="Times New Roman" w:cs="Times New Roman"/>
          <w:sz w:val="24"/>
        </w:rPr>
        <w:t>articipant</w:t>
      </w:r>
      <w:r>
        <w:rPr>
          <w:rFonts w:ascii="Times New Roman" w:hAnsi="Times New Roman" w:cs="Times New Roman"/>
          <w:sz w:val="24"/>
        </w:rPr>
        <w:t xml:space="preserve"> No. 2), academic papers written in English, or YouTube documentaries</w:t>
      </w:r>
      <w:r>
        <w:rPr>
          <w:rFonts w:hint="eastAsia" w:ascii="Times New Roman" w:hAnsi="Times New Roman" w:cs="Times New Roman"/>
          <w:sz w:val="24"/>
        </w:rPr>
        <w:t xml:space="preserve"> </w:t>
      </w:r>
      <w:r>
        <w:rPr>
          <w:rFonts w:ascii="Times New Roman" w:hAnsi="Times New Roman" w:cs="Times New Roman"/>
          <w:sz w:val="24"/>
        </w:rPr>
        <w:t>(</w:t>
      </w:r>
      <w:bookmarkStart w:id="311" w:name="OLE_LINK568"/>
      <w:bookmarkStart w:id="312" w:name="OLE_LINK569"/>
      <w:r>
        <w:rPr>
          <w:rFonts w:hint="eastAsia" w:ascii="Times New Roman" w:hAnsi="Times New Roman" w:cs="Times New Roman"/>
          <w:sz w:val="24"/>
        </w:rPr>
        <w:t>participant</w:t>
      </w:r>
      <w:r>
        <w:rPr>
          <w:rFonts w:ascii="Times New Roman" w:hAnsi="Times New Roman" w:cs="Times New Roman"/>
          <w:sz w:val="24"/>
        </w:rPr>
        <w:t xml:space="preserve"> N</w:t>
      </w:r>
      <w:r>
        <w:rPr>
          <w:rFonts w:hint="eastAsia" w:ascii="Times New Roman" w:hAnsi="Times New Roman" w:cs="Times New Roman"/>
          <w:sz w:val="24"/>
        </w:rPr>
        <w:t>o</w:t>
      </w:r>
      <w:r>
        <w:rPr>
          <w:rFonts w:ascii="Times New Roman" w:hAnsi="Times New Roman" w:cs="Times New Roman"/>
          <w:sz w:val="24"/>
        </w:rPr>
        <w:t>.6</w:t>
      </w:r>
      <w:bookmarkEnd w:id="311"/>
      <w:bookmarkEnd w:id="312"/>
      <w:r>
        <w:rPr>
          <w:rFonts w:ascii="Times New Roman" w:hAnsi="Times New Roman" w:cs="Times New Roman"/>
          <w:sz w:val="24"/>
        </w:rPr>
        <w:t>).  The participants said that evaluations after high school tend to prioritise the NSE (Native Speaker English) approach, as seen from their experiences with phonetic courses and examinations. T 3’s statements in her interview might serve as a concise overview of the changes seen in the participants’ learning experiences:</w:t>
      </w:r>
    </w:p>
    <w:p>
      <w:pPr>
        <w:widowControl/>
        <w:kinsoku w:val="0"/>
        <w:autoSpaceDE w:val="0"/>
        <w:autoSpaceDN w:val="0"/>
        <w:adjustRightInd w:val="0"/>
        <w:snapToGrid w:val="0"/>
        <w:spacing w:before="246"/>
        <w:ind w:left="444"/>
        <w:textAlignment w:val="baseline"/>
        <w:rPr>
          <w:rFonts w:ascii="Times New Roman" w:hAnsi="Times New Roman" w:cs="Times New Roman"/>
          <w:color w:val="000000"/>
          <w:spacing w:val="-2"/>
          <w:kern w:val="0"/>
          <w:sz w:val="24"/>
          <w:lang w:bidi="ar"/>
        </w:rPr>
      </w:pPr>
      <w:r>
        <w:rPr>
          <w:rFonts w:ascii="Times New Roman" w:hAnsi="Times New Roman" w:cs="Times New Roman"/>
          <w:i/>
          <w:iCs/>
          <w:sz w:val="24"/>
        </w:rPr>
        <w:t xml:space="preserve">“Throughout my educational journey, from elementary school to high school, English study was mostly focused on test preparation, with little possibilities for practical application. The scenario at university has undergone a steady transformation, and this year I can see more pronounced shifts in distancing from software engineering.” </w:t>
      </w:r>
      <w:r>
        <w:rPr>
          <w:rFonts w:ascii="Times New Roman" w:hAnsi="Times New Roman" w:cs="Times New Roman"/>
          <w:color w:val="000000"/>
          <w:spacing w:val="-2"/>
          <w:kern w:val="0"/>
          <w:sz w:val="24"/>
          <w:lang w:bidi="ar"/>
        </w:rPr>
        <w:t>(</w:t>
      </w:r>
      <w:r>
        <w:rPr>
          <w:rFonts w:hint="eastAsia" w:ascii="Times New Roman" w:hAnsi="Times New Roman" w:cs="Times New Roman"/>
          <w:sz w:val="24"/>
        </w:rPr>
        <w:t xml:space="preserve"> participant</w:t>
      </w:r>
      <w:r>
        <w:rPr>
          <w:rFonts w:ascii="Times New Roman" w:hAnsi="Times New Roman" w:cs="Times New Roman"/>
          <w:sz w:val="24"/>
        </w:rPr>
        <w:t xml:space="preserve"> N</w:t>
      </w:r>
      <w:r>
        <w:rPr>
          <w:rFonts w:hint="eastAsia" w:ascii="Times New Roman" w:hAnsi="Times New Roman" w:cs="Times New Roman"/>
          <w:sz w:val="24"/>
        </w:rPr>
        <w:t>o</w:t>
      </w:r>
      <w:r>
        <w:rPr>
          <w:rFonts w:ascii="Times New Roman" w:hAnsi="Times New Roman" w:cs="Times New Roman"/>
          <w:sz w:val="24"/>
        </w:rPr>
        <w:t>.3</w:t>
      </w:r>
      <w:r>
        <w:rPr>
          <w:rFonts w:ascii="Times New Roman" w:hAnsi="Times New Roman" w:cs="Times New Roman"/>
          <w:color w:val="000000"/>
          <w:spacing w:val="-2"/>
          <w:kern w:val="0"/>
          <w:sz w:val="24"/>
          <w:lang w:bidi="ar"/>
        </w:rPr>
        <w:t>)</w:t>
      </w:r>
    </w:p>
    <w:p>
      <w:pPr>
        <w:widowControl/>
        <w:kinsoku w:val="0"/>
        <w:autoSpaceDE w:val="0"/>
        <w:autoSpaceDN w:val="0"/>
        <w:adjustRightInd w:val="0"/>
        <w:snapToGrid w:val="0"/>
        <w:spacing w:before="246"/>
        <w:ind w:left="444"/>
        <w:textAlignment w:val="baseline"/>
        <w:rPr>
          <w:rFonts w:ascii="Times New Roman" w:hAnsi="Times New Roman" w:cs="Times New Roman"/>
          <w:color w:val="000000"/>
          <w:kern w:val="0"/>
          <w:sz w:val="24"/>
        </w:rPr>
      </w:pPr>
    </w:p>
    <w:p>
      <w:pPr>
        <w:widowControl/>
        <w:rPr>
          <w:rFonts w:ascii="Times New Roman" w:hAnsi="Times New Roman" w:cs="Times New Roman"/>
          <w:sz w:val="24"/>
        </w:rPr>
      </w:pPr>
      <w:r>
        <w:rPr>
          <w:rFonts w:ascii="Times New Roman" w:hAnsi="Times New Roman" w:cs="Times New Roman"/>
          <w:sz w:val="24"/>
        </w:rPr>
        <w:t>The majority saw this development as favourable and desirable. Half of the interviewees explicitly said that their choice of English-related majors at university had a significant impact on their decision.</w:t>
      </w:r>
    </w:p>
    <w:p>
      <w:pPr>
        <w:pStyle w:val="39"/>
      </w:pPr>
      <w:bookmarkStart w:id="313" w:name="_Toc158753995"/>
      <w:r>
        <w:t>4.6 Prospective Teaching Plans</w:t>
      </w:r>
      <w:bookmarkEnd w:id="313"/>
    </w:p>
    <w:p>
      <w:pPr>
        <w:pStyle w:val="22"/>
      </w:pPr>
      <w:bookmarkStart w:id="314" w:name="_Toc158753996"/>
      <w:r>
        <w:t>The Function of the Native-Speaker English</w:t>
      </w:r>
      <w:bookmarkEnd w:id="314"/>
    </w:p>
    <w:p>
      <w:pPr>
        <w:widowControl/>
        <w:rPr>
          <w:rFonts w:ascii="Times New Roman" w:hAnsi="Times New Roman" w:cs="Times New Roman"/>
          <w:sz w:val="24"/>
        </w:rPr>
      </w:pPr>
      <w:r>
        <w:rPr>
          <w:rFonts w:ascii="Times New Roman" w:hAnsi="Times New Roman" w:cs="Times New Roman"/>
          <w:sz w:val="24"/>
        </w:rPr>
        <w:t>A significant majority of the participants clearly expressed a desire for incorporating NSE (Neuroscience in Science Education) into their future teaching. This was widely seen as an ideal objective for teaching. In addition to the general course, participants also indicated their intention to implement this goal in two specific methods. The first approach was to include a greater amount of NSE (Non-Standard English) in the classroom, resembling the linguistic exposure they had throughout their undergraduate studies. The second objective was to diminish the emphasis on precision in evaluations. More precisely, they considered intelligibility and comprehensibility to be of more significance when evaluating pupils’ language skills, rather than strict adherence to truth.</w:t>
      </w:r>
    </w:p>
    <w:p>
      <w:pPr>
        <w:pStyle w:val="22"/>
      </w:pPr>
      <w:bookmarkStart w:id="315" w:name="_Toc408366579"/>
      <w:bookmarkStart w:id="316" w:name="_Toc158753997"/>
      <w:r>
        <w:t xml:space="preserve">The Function of </w:t>
      </w:r>
      <w:bookmarkEnd w:id="315"/>
      <w:r>
        <w:t>Standard English</w:t>
      </w:r>
      <w:bookmarkEnd w:id="316"/>
    </w:p>
    <w:p>
      <w:pPr>
        <w:widowControl/>
        <w:rPr>
          <w:rFonts w:ascii="Times New Roman" w:hAnsi="Times New Roman" w:cs="Times New Roman"/>
          <w:sz w:val="24"/>
        </w:rPr>
      </w:pPr>
      <w:r>
        <w:rPr>
          <w:rFonts w:ascii="Times New Roman" w:hAnsi="Times New Roman" w:cs="Times New Roman"/>
          <w:sz w:val="24"/>
        </w:rPr>
        <w:t xml:space="preserve">Participants’ teaching intentions did not fully lack the presence of the SE role. Three out of the ten participants still considered it important for young language learners, or for teaching a specific linguistic aspect that is similar to the Native Speaker English (NSE), such as grammar. In addition, two participants expressed a preference for this conventional </w:t>
      </w:r>
      <w:r>
        <w:rPr>
          <w:rFonts w:ascii="Times New Roman Regular" w:hAnsi="Times New Roman Regular" w:cs="Times New Roman Regular"/>
          <w:sz w:val="24"/>
        </w:rPr>
        <w:t xml:space="preserve">teaching </w:t>
      </w:r>
      <w:r>
        <w:rPr>
          <w:rFonts w:ascii="Times New Roman" w:hAnsi="Times New Roman" w:cs="Times New Roman"/>
          <w:sz w:val="24"/>
        </w:rPr>
        <w:t>approach, asserting that it is more suitable for Chinese learners.</w:t>
      </w:r>
    </w:p>
    <w:p>
      <w:pPr>
        <w:widowControl/>
        <w:rPr>
          <w:rFonts w:ascii="Times New Roman" w:hAnsi="Times New Roman" w:cs="Times New Roman"/>
          <w:sz w:val="24"/>
        </w:rPr>
      </w:pPr>
    </w:p>
    <w:p>
      <w:pPr>
        <w:widowControl/>
        <w:rPr>
          <w:rFonts w:ascii="Times New Roman" w:hAnsi="Times New Roman" w:cs="Times New Roman"/>
          <w:i/>
          <w:sz w:val="24"/>
        </w:rPr>
      </w:pPr>
      <w:r>
        <w:rPr>
          <w:rFonts w:ascii="Times New Roman" w:hAnsi="Times New Roman" w:cs="Times New Roman"/>
          <w:i/>
          <w:sz w:val="24"/>
        </w:rPr>
        <w:t xml:space="preserve">Figure 4.2 </w:t>
      </w:r>
      <w:bookmarkStart w:id="317" w:name="OLE_LINK584"/>
      <w:bookmarkStart w:id="318" w:name="OLE_LINK585"/>
      <w:r>
        <w:rPr>
          <w:rFonts w:ascii="Times New Roman" w:hAnsi="Times New Roman" w:cs="Times New Roman"/>
          <w:i/>
          <w:sz w:val="24"/>
        </w:rPr>
        <w:t xml:space="preserve">themes and </w:t>
      </w:r>
      <w:r>
        <w:rPr>
          <w:rFonts w:hint="eastAsia" w:ascii="Times New Roman" w:hAnsi="Times New Roman" w:cs="Times New Roman"/>
          <w:i/>
          <w:sz w:val="24"/>
        </w:rPr>
        <w:t>sub-themes</w:t>
      </w:r>
      <w:r>
        <w:rPr>
          <w:rFonts w:ascii="Times New Roman" w:hAnsi="Times New Roman" w:cs="Times New Roman"/>
          <w:i/>
          <w:sz w:val="24"/>
        </w:rPr>
        <w:t xml:space="preserve"> </w:t>
      </w:r>
      <w:r>
        <w:rPr>
          <w:rFonts w:hint="eastAsia" w:ascii="Times New Roman" w:hAnsi="Times New Roman" w:cs="Times New Roman"/>
          <w:i/>
          <w:sz w:val="24"/>
        </w:rPr>
        <w:t>of</w:t>
      </w:r>
      <w:r>
        <w:rPr>
          <w:rFonts w:ascii="Times New Roman" w:hAnsi="Times New Roman" w:cs="Times New Roman"/>
          <w:i/>
          <w:sz w:val="24"/>
        </w:rPr>
        <w:t xml:space="preserve"> Research Question 2</w:t>
      </w:r>
      <w:bookmarkEnd w:id="317"/>
      <w:bookmarkEnd w:id="318"/>
      <w:r>
        <w:rPr>
          <w:rFonts w:ascii="Times New Roman" w:hAnsi="Times New Roman" w:cs="Times New Roman"/>
          <w:i/>
          <w:sz w:val="24"/>
        </w:rPr>
        <w:t>.</w:t>
      </w:r>
    </w:p>
    <w:p>
      <w:pPr>
        <w:widowControl/>
        <w:kinsoku w:val="0"/>
        <w:autoSpaceDE w:val="0"/>
        <w:autoSpaceDN w:val="0"/>
        <w:adjustRightInd w:val="0"/>
        <w:snapToGrid w:val="0"/>
        <w:textAlignment w:val="baseline"/>
        <w:rPr>
          <w:rFonts w:ascii="Times New Roman" w:hAnsi="Times New Roman" w:cs="Times New Roman"/>
          <w:sz w:val="24"/>
        </w:rPr>
      </w:pPr>
      <w:r>
        <w:rPr>
          <w:rFonts w:ascii="Times New Roman" w:hAnsi="Times New Roman" w:cs="Times New Roman"/>
          <w:sz w:val="24"/>
        </w:rPr>
        <w:drawing>
          <wp:inline distT="0" distB="0" distL="0" distR="0">
            <wp:extent cx="5274310" cy="4214495"/>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274310" cy="4214495"/>
                    </a:xfrm>
                    <a:prstGeom prst="rect">
                      <a:avLst/>
                    </a:prstGeom>
                  </pic:spPr>
                </pic:pic>
              </a:graphicData>
            </a:graphic>
          </wp:inline>
        </w:drawing>
      </w:r>
    </w:p>
    <w:p>
      <w:pPr>
        <w:widowControl/>
        <w:rPr>
          <w:rFonts w:ascii="Times New Roman" w:hAnsi="Times New Roman" w:cs="Times New Roman"/>
          <w:sz w:val="24"/>
        </w:rPr>
      </w:pPr>
      <w:r>
        <w:rPr>
          <w:rFonts w:ascii="Times New Roman" w:hAnsi="Times New Roman" w:cs="Times New Roman"/>
          <w:sz w:val="24"/>
        </w:rPr>
        <w:t>T</w:t>
      </w:r>
      <w:r>
        <w:rPr>
          <w:rFonts w:hint="eastAsia" w:ascii="Times New Roman" w:hAnsi="Times New Roman" w:cs="Times New Roman"/>
          <w:sz w:val="24"/>
        </w:rPr>
        <w:t>he</w:t>
      </w:r>
      <w:r>
        <w:rPr>
          <w:rFonts w:ascii="Times New Roman" w:hAnsi="Times New Roman" w:cs="Times New Roman"/>
          <w:sz w:val="24"/>
        </w:rPr>
        <w:t xml:space="preserve"> F</w:t>
      </w:r>
      <w:r>
        <w:rPr>
          <w:rFonts w:hint="eastAsia" w:ascii="Times New Roman" w:hAnsi="Times New Roman" w:cs="Times New Roman"/>
          <w:sz w:val="24"/>
        </w:rPr>
        <w:t>igure</w:t>
      </w:r>
      <w:r>
        <w:rPr>
          <w:rFonts w:ascii="Times New Roman" w:hAnsi="Times New Roman" w:cs="Times New Roman"/>
          <w:sz w:val="24"/>
        </w:rPr>
        <w:t xml:space="preserve"> displays the themes and significant points that are relevant to Research Question 2 </w:t>
      </w:r>
      <w:r>
        <w:rPr>
          <w:rFonts w:hint="eastAsia" w:ascii="Times New Roman" w:hAnsi="Times New Roman" w:cs="Times New Roman"/>
          <w:sz w:val="24"/>
        </w:rPr>
        <w:t>with</w:t>
      </w:r>
      <w:r>
        <w:rPr>
          <w:rFonts w:ascii="Times New Roman" w:hAnsi="Times New Roman" w:cs="Times New Roman"/>
          <w:sz w:val="24"/>
        </w:rPr>
        <w:t xml:space="preserve"> </w:t>
      </w:r>
      <w:r>
        <w:rPr>
          <w:rFonts w:hint="eastAsia" w:ascii="Times New Roman" w:hAnsi="Times New Roman" w:cs="Times New Roman"/>
          <w:sz w:val="24"/>
        </w:rPr>
        <w:t>three</w:t>
      </w:r>
      <w:r>
        <w:rPr>
          <w:rFonts w:ascii="Times New Roman" w:hAnsi="Times New Roman" w:cs="Times New Roman"/>
          <w:sz w:val="24"/>
        </w:rPr>
        <w:t xml:space="preserve"> </w:t>
      </w:r>
      <w:r>
        <w:rPr>
          <w:rFonts w:hint="eastAsia" w:ascii="Times New Roman" w:hAnsi="Times New Roman" w:cs="Times New Roman"/>
          <w:sz w:val="24"/>
        </w:rPr>
        <w:t>themes</w:t>
      </w:r>
      <w:r>
        <w:rPr>
          <w:rFonts w:ascii="Times New Roman" w:hAnsi="Times New Roman" w:cs="Times New Roman"/>
          <w:sz w:val="24"/>
        </w:rPr>
        <w:t xml:space="preserve">, and illustrates the interrelationships. The box on the left respond to the respondent’s experience and understanding of English prior to university, particularly in relation to the teaching of Standard English (SE) as the dominant dialect in educational contexts. As seen in the next section, the participants expressed that college education differed from their earlier learning experiences in terms of both teaching methods and examinations. Additionally, the range of subjects taught grew more aligned with the National Standard of Education (NSE). The participants were able to discern the disparities between the traditional SE model used prior to their undergraduate study and the increasing integration of NSE during university. This was attributed to their diverse in-class learning experiences. Furthermore, they were able to ascertain the specific learning outcomes associated with each teaching model. By analysing the participants’ developing understanding and opinions of various </w:t>
      </w:r>
      <w:r>
        <w:rPr>
          <w:rFonts w:hint="eastAsia" w:ascii="Times New Roman" w:hAnsi="Times New Roman" w:cs="Times New Roman"/>
          <w:sz w:val="24"/>
        </w:rPr>
        <w:t>pedagogies</w:t>
      </w:r>
      <w:r>
        <w:rPr>
          <w:rFonts w:ascii="Times New Roman" w:hAnsi="Times New Roman" w:cs="Times New Roman"/>
          <w:sz w:val="24"/>
        </w:rPr>
        <w:t xml:space="preserve">, </w:t>
      </w:r>
      <w:r>
        <w:rPr>
          <w:rFonts w:hint="eastAsia" w:ascii="Times New Roman" w:hAnsi="Times New Roman" w:cs="Times New Roman"/>
          <w:sz w:val="24"/>
        </w:rPr>
        <w:t>and</w:t>
      </w:r>
      <w:r>
        <w:rPr>
          <w:rFonts w:ascii="Times New Roman" w:hAnsi="Times New Roman" w:cs="Times New Roman"/>
          <w:sz w:val="24"/>
        </w:rPr>
        <w:t xml:space="preserve"> growing </w:t>
      </w:r>
      <w:r>
        <w:rPr>
          <w:rFonts w:hint="eastAsia" w:ascii="Times New Roman" w:hAnsi="Times New Roman" w:cs="Times New Roman"/>
          <w:sz w:val="24"/>
        </w:rPr>
        <w:t>perception</w:t>
      </w:r>
      <w:r>
        <w:rPr>
          <w:rFonts w:ascii="Times New Roman" w:hAnsi="Times New Roman" w:cs="Times New Roman"/>
          <w:sz w:val="24"/>
        </w:rPr>
        <w:t xml:space="preserve"> of English as an International Language (EIL) according to Grau (2008), it can be observed that their perspectives as future teachers were no longer confined to the conventional Chinese English Language Teaching (ELT) model. Consequently, they were able to create their own teaching framework.</w:t>
      </w:r>
    </w:p>
    <w:p>
      <w:pPr>
        <w:widowControl/>
        <w:rPr>
          <w:rFonts w:ascii="Times New Roman" w:hAnsi="Times New Roman" w:cs="Times New Roman"/>
          <w:sz w:val="24"/>
        </w:rPr>
      </w:pPr>
    </w:p>
    <w:p>
      <w:pPr>
        <w:widowControl/>
        <w:rPr>
          <w:rFonts w:ascii="Times New Roman" w:hAnsi="Times New Roman" w:cs="Times New Roman"/>
          <w:i/>
          <w:sz w:val="24"/>
        </w:rPr>
      </w:pPr>
      <w:r>
        <w:rPr>
          <w:rFonts w:ascii="Times New Roman" w:hAnsi="Times New Roman" w:cs="Times New Roman"/>
          <w:i/>
          <w:sz w:val="24"/>
        </w:rPr>
        <w:t>Figure 4.3: T</w:t>
      </w:r>
      <w:r>
        <w:rPr>
          <w:rFonts w:hint="eastAsia" w:ascii="Times New Roman" w:hAnsi="Times New Roman" w:cs="Times New Roman"/>
          <w:i/>
          <w:sz w:val="24"/>
        </w:rPr>
        <w:t>rainee</w:t>
      </w:r>
      <w:r>
        <w:rPr>
          <w:rFonts w:ascii="Times New Roman" w:hAnsi="Times New Roman" w:cs="Times New Roman"/>
          <w:i/>
          <w:sz w:val="24"/>
        </w:rPr>
        <w:t xml:space="preserve"> </w:t>
      </w:r>
      <w:r>
        <w:rPr>
          <w:rFonts w:hint="eastAsia" w:ascii="Times New Roman" w:hAnsi="Times New Roman" w:cs="Times New Roman"/>
          <w:i/>
          <w:sz w:val="24"/>
        </w:rPr>
        <w:t>teachers</w:t>
      </w:r>
      <w:r>
        <w:rPr>
          <w:rFonts w:ascii="Times New Roman" w:hAnsi="Times New Roman" w:cs="Times New Roman"/>
          <w:i/>
          <w:sz w:val="24"/>
        </w:rPr>
        <w:t xml:space="preserve">’ </w:t>
      </w:r>
      <w:r>
        <w:rPr>
          <w:rFonts w:hint="eastAsia" w:ascii="Times New Roman" w:hAnsi="Times New Roman" w:cs="Times New Roman"/>
          <w:i/>
          <w:sz w:val="24"/>
        </w:rPr>
        <w:t>E</w:t>
      </w:r>
      <w:r>
        <w:rPr>
          <w:rFonts w:ascii="Times New Roman" w:hAnsi="Times New Roman" w:cs="Times New Roman"/>
          <w:i/>
          <w:sz w:val="24"/>
        </w:rPr>
        <w:t>nglish learning processes and their anticipated teaching strategies</w:t>
      </w:r>
    </w:p>
    <w:p>
      <w:pPr>
        <w:widowControl/>
        <w:rPr>
          <w:rFonts w:ascii="Times New Roman" w:hAnsi="Times New Roman" w:cs="Times New Roman"/>
          <w:sz w:val="24"/>
        </w:rPr>
      </w:pPr>
      <w:r>
        <w:rPr>
          <w:rFonts w:ascii="Times New Roman" w:hAnsi="Times New Roman" w:cs="Times New Roman"/>
          <w:sz w:val="24"/>
        </w:rPr>
        <w:drawing>
          <wp:inline distT="0" distB="0" distL="114300" distR="114300">
            <wp:extent cx="5259705" cy="173228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8"/>
                    <a:stretch>
                      <a:fillRect/>
                    </a:stretch>
                  </pic:blipFill>
                  <pic:spPr>
                    <a:xfrm>
                      <a:off x="0" y="0"/>
                      <a:ext cx="5272592" cy="1736577"/>
                    </a:xfrm>
                    <a:prstGeom prst="rect">
                      <a:avLst/>
                    </a:prstGeom>
                    <a:noFill/>
                    <a:ln>
                      <a:noFill/>
                    </a:ln>
                  </pic:spPr>
                </pic:pic>
              </a:graphicData>
            </a:graphic>
          </wp:inline>
        </w:drawing>
      </w:r>
    </w:p>
    <w:p>
      <w:pPr>
        <w:widowControl/>
        <w:rPr>
          <w:rFonts w:ascii="Times New Roman" w:hAnsi="Times New Roman" w:cs="Times New Roman"/>
          <w:sz w:val="24"/>
        </w:rPr>
      </w:pPr>
      <w:bookmarkStart w:id="319" w:name="OLE_LINK587"/>
      <w:bookmarkStart w:id="320" w:name="OLE_LINK586"/>
      <w:r>
        <w:rPr>
          <w:rFonts w:ascii="Times New Roman" w:hAnsi="Times New Roman" w:cs="Times New Roman"/>
          <w:sz w:val="24"/>
        </w:rPr>
        <w:t xml:space="preserve">Figure 4.3 highlights the discrepancies between participants’ evaluations of their own </w:t>
      </w:r>
      <w:bookmarkStart w:id="321" w:name="OLE_LINK589"/>
      <w:bookmarkStart w:id="322" w:name="OLE_LINK590"/>
      <w:r>
        <w:rPr>
          <w:rFonts w:ascii="Times New Roman" w:hAnsi="Times New Roman" w:cs="Times New Roman"/>
          <w:sz w:val="24"/>
        </w:rPr>
        <w:t>English learning processes and their anticipated teaching strategies</w:t>
      </w:r>
      <w:bookmarkEnd w:id="321"/>
      <w:bookmarkEnd w:id="322"/>
      <w:r>
        <w:rPr>
          <w:rFonts w:ascii="Times New Roman" w:hAnsi="Times New Roman" w:cs="Times New Roman"/>
          <w:sz w:val="24"/>
        </w:rPr>
        <w:t>. The figure portrays the participants’ perspectives as students through the blue boxes at the top, while their future teaching objectives are represented by the orange boxes. Notably, the pre-service (i.e. trainee) teachers expressed a tendency to shorten the duration of teaching Standard English (SE) and incorporate Non-Standard English (NSE) in their teaching prior to college, which is earlier than when they were initially introduced to SE as the preferred form of English.</w:t>
      </w:r>
      <w:r>
        <w:rPr>
          <w:rFonts w:hint="eastAsia" w:ascii="Times New Roman" w:hAnsi="Times New Roman" w:cs="Times New Roman"/>
          <w:sz w:val="24"/>
        </w:rPr>
        <w:t xml:space="preserve"> </w:t>
      </w:r>
    </w:p>
    <w:bookmarkEnd w:id="319"/>
    <w:bookmarkEnd w:id="320"/>
    <w:p>
      <w:pPr>
        <w:pStyle w:val="38"/>
      </w:pPr>
      <w:bookmarkStart w:id="323" w:name="_Toc59357441"/>
      <w:bookmarkStart w:id="324" w:name="_Toc158753998"/>
      <w:r>
        <w:t>Chapter F</w:t>
      </w:r>
      <w:r>
        <w:rPr>
          <w:rFonts w:hint="eastAsia"/>
        </w:rPr>
        <w:t>ive:</w:t>
      </w:r>
      <w:r>
        <w:t xml:space="preserve"> Discussion</w:t>
      </w:r>
      <w:bookmarkEnd w:id="323"/>
      <w:bookmarkEnd w:id="324"/>
    </w:p>
    <w:p>
      <w:pPr>
        <w:pStyle w:val="21"/>
        <w:widowControl/>
        <w:rPr>
          <w:rFonts w:ascii="Times New Roman" w:hAnsi="Times New Roman"/>
          <w:lang w:bidi="ar"/>
        </w:rPr>
      </w:pPr>
      <w:r>
        <w:rPr>
          <w:rFonts w:ascii="Times New Roman" w:hAnsi="Times New Roman"/>
        </w:rPr>
        <w:t xml:space="preserve">After analysing all the interview data in detail, this chapter discusses the findings. The chapter outlines the contrasts and similarities between this study’s results and those of other studies, as well as the potential explanations of these parallels and discrepancies within the research </w:t>
      </w:r>
      <w:r>
        <w:rPr>
          <w:rFonts w:hint="eastAsia" w:ascii="Times New Roman" w:hAnsi="Times New Roman"/>
        </w:rPr>
        <w:t>context</w:t>
      </w:r>
      <w:r>
        <w:rPr>
          <w:rFonts w:ascii="Times New Roman" w:hAnsi="Times New Roman"/>
        </w:rPr>
        <w:t xml:space="preserve">. </w:t>
      </w:r>
    </w:p>
    <w:p>
      <w:pPr>
        <w:pStyle w:val="39"/>
      </w:pPr>
      <w:bookmarkStart w:id="325" w:name="_Toc158753999"/>
      <w:r>
        <w:t>5.1 What attitudes and impressions of English do Chinese education majors (</w:t>
      </w:r>
      <w:r>
        <w:rPr>
          <w:rFonts w:hint="eastAsia"/>
        </w:rPr>
        <w:t>i</w:t>
      </w:r>
      <w:r>
        <w:t>.e., pre-service/trainee English teachers) have?</w:t>
      </w:r>
      <w:bookmarkEnd w:id="325"/>
    </w:p>
    <w:p>
      <w:pPr>
        <w:pStyle w:val="22"/>
      </w:pPr>
      <w:bookmarkStart w:id="326" w:name="_Toc158754000"/>
      <w:bookmarkStart w:id="327" w:name="_Toc1188098679"/>
      <w:r>
        <w:t>Views of NSE</w:t>
      </w:r>
      <w:bookmarkEnd w:id="326"/>
      <w:bookmarkEnd w:id="327"/>
    </w:p>
    <w:p>
      <w:pPr>
        <w:widowControl/>
        <w:rPr>
          <w:rFonts w:ascii="Times New Roman" w:hAnsi="Times New Roman" w:cs="Times New Roman"/>
          <w:sz w:val="24"/>
        </w:rPr>
      </w:pPr>
      <w:r>
        <w:rPr>
          <w:rFonts w:ascii="Times New Roman" w:hAnsi="Times New Roman" w:cs="Times New Roman"/>
          <w:sz w:val="24"/>
        </w:rPr>
        <w:t xml:space="preserve">In addition to understanding English as a whole entity, to a certain degree, the interviewees understood the fact that English encompasses both Native Speaker English (NSE) and Non-Native-Speaker English (NNSE) variations, </w:t>
      </w:r>
      <w:r>
        <w:rPr>
          <w:rFonts w:hint="eastAsia" w:ascii="Times New Roman" w:hAnsi="Times New Roman" w:cs="Times New Roman"/>
          <w:sz w:val="24"/>
        </w:rPr>
        <w:t>and</w:t>
      </w:r>
      <w:r>
        <w:rPr>
          <w:rFonts w:ascii="Times New Roman" w:hAnsi="Times New Roman" w:cs="Times New Roman"/>
          <w:sz w:val="24"/>
        </w:rPr>
        <w:t xml:space="preserve"> they recognised differences between the notions of NNSE and NSE. This heightened awareness, as observed by Trudgill and Hannah (1994, 2008), is not unexpected given participants’ diverse experiences both inside and outside of English learning </w:t>
      </w:r>
      <w:bookmarkStart w:id="328" w:name="OLE_LINK604"/>
      <w:bookmarkStart w:id="329" w:name="OLE_LINK603"/>
      <w:r>
        <w:rPr>
          <w:rFonts w:ascii="Times New Roman" w:hAnsi="Times New Roman" w:cs="Times New Roman"/>
          <w:sz w:val="24"/>
        </w:rPr>
        <w:t>(Kirkpatrick, 2006)</w:t>
      </w:r>
      <w:bookmarkEnd w:id="328"/>
      <w:bookmarkEnd w:id="329"/>
      <w:r>
        <w:rPr>
          <w:rFonts w:ascii="Times New Roman" w:hAnsi="Times New Roman" w:cs="Times New Roman"/>
          <w:sz w:val="24"/>
        </w:rPr>
        <w:t xml:space="preserve"> (as examined in section 4.6).</w:t>
      </w:r>
    </w:p>
    <w:p>
      <w:pPr>
        <w:widowControl/>
        <w:rPr>
          <w:rFonts w:ascii="Times New Roman" w:hAnsi="Times New Roman" w:cs="Times New Roman"/>
          <w:sz w:val="24"/>
        </w:rPr>
      </w:pPr>
    </w:p>
    <w:p>
      <w:pPr>
        <w:widowControl/>
        <w:rPr>
          <w:rFonts w:ascii="Times New Roman" w:hAnsi="Times New Roman" w:cs="Times New Roman"/>
          <w:sz w:val="24"/>
        </w:rPr>
      </w:pPr>
      <w:bookmarkStart w:id="330" w:name="OLE_LINK595"/>
      <w:bookmarkStart w:id="331" w:name="OLE_LINK596"/>
      <w:r>
        <w:rPr>
          <w:rFonts w:ascii="Times New Roman" w:hAnsi="Times New Roman" w:cs="Times New Roman"/>
          <w:sz w:val="24"/>
        </w:rPr>
        <w:t>In addition to understanding English as a whole entity,</w:t>
      </w:r>
      <w:bookmarkEnd w:id="330"/>
      <w:bookmarkEnd w:id="331"/>
      <w:r>
        <w:rPr>
          <w:rFonts w:ascii="Times New Roman" w:hAnsi="Times New Roman" w:cs="Times New Roman"/>
          <w:sz w:val="24"/>
        </w:rPr>
        <w:t xml:space="preserve"> participants tended to perceive native-speaker English (NSE) as the linguistic ability of all individuals who are native speakers (NSs) of English. The majority of </w:t>
      </w:r>
      <w:r>
        <w:rPr>
          <w:rFonts w:hint="eastAsia" w:ascii="Times New Roman" w:hAnsi="Times New Roman" w:cs="Times New Roman"/>
          <w:sz w:val="24"/>
        </w:rPr>
        <w:t>interviewees</w:t>
      </w:r>
      <w:r>
        <w:rPr>
          <w:rFonts w:ascii="Times New Roman" w:hAnsi="Times New Roman" w:cs="Times New Roman"/>
          <w:sz w:val="24"/>
        </w:rPr>
        <w:t xml:space="preserve"> saw two specific aspects of </w:t>
      </w:r>
      <w:r>
        <w:rPr>
          <w:rFonts w:hint="eastAsia" w:ascii="Times New Roman" w:hAnsi="Times New Roman" w:cs="Times New Roman"/>
          <w:sz w:val="24"/>
        </w:rPr>
        <w:t>reflecting</w:t>
      </w:r>
      <w:r>
        <w:rPr>
          <w:rFonts w:ascii="Times New Roman" w:hAnsi="Times New Roman" w:cs="Times New Roman"/>
          <w:sz w:val="24"/>
        </w:rPr>
        <w:t xml:space="preserve"> </w:t>
      </w:r>
      <w:r>
        <w:rPr>
          <w:rFonts w:hint="eastAsia" w:ascii="Times New Roman" w:hAnsi="Times New Roman" w:cs="Times New Roman"/>
          <w:sz w:val="24"/>
        </w:rPr>
        <w:t>levels</w:t>
      </w:r>
      <w:r>
        <w:rPr>
          <w:rFonts w:ascii="Times New Roman" w:hAnsi="Times New Roman" w:cs="Times New Roman"/>
          <w:sz w:val="24"/>
        </w:rPr>
        <w:t xml:space="preserve"> </w:t>
      </w:r>
      <w:r>
        <w:rPr>
          <w:rFonts w:hint="eastAsia" w:ascii="Times New Roman" w:hAnsi="Times New Roman" w:cs="Times New Roman"/>
          <w:sz w:val="24"/>
        </w:rPr>
        <w:t>of</w:t>
      </w:r>
      <w:r>
        <w:rPr>
          <w:rFonts w:ascii="Times New Roman" w:hAnsi="Times New Roman" w:cs="Times New Roman"/>
          <w:sz w:val="24"/>
        </w:rPr>
        <w:t xml:space="preserve"> NSE: Grammatical errors and accent differences in spoken language. This outcome does not quite adhere </w:t>
      </w:r>
      <w:r>
        <w:rPr>
          <w:rFonts w:hint="eastAsia" w:ascii="Times New Roman" w:hAnsi="Times New Roman" w:cs="Times New Roman"/>
          <w:sz w:val="24"/>
        </w:rPr>
        <w:t>with</w:t>
      </w:r>
      <w:r>
        <w:rPr>
          <w:rFonts w:ascii="Times New Roman" w:hAnsi="Times New Roman" w:cs="Times New Roman"/>
          <w:sz w:val="24"/>
        </w:rPr>
        <w:t xml:space="preserve"> the concept of </w:t>
      </w:r>
      <w:r>
        <w:rPr>
          <w:rFonts w:hint="eastAsia" w:ascii="Times New Roman" w:hAnsi="Times New Roman" w:cs="Times New Roman"/>
          <w:sz w:val="24"/>
        </w:rPr>
        <w:t>common</w:t>
      </w:r>
      <w:r>
        <w:rPr>
          <w:rFonts w:ascii="Times New Roman" w:hAnsi="Times New Roman" w:cs="Times New Roman"/>
          <w:sz w:val="24"/>
        </w:rPr>
        <w:t xml:space="preserve"> acknowledgment (Young and Walsh</w:t>
      </w:r>
      <w:r>
        <w:rPr>
          <w:rFonts w:hint="eastAsia" w:ascii="Times New Roman" w:hAnsi="Times New Roman" w:cs="Times New Roman"/>
          <w:sz w:val="24"/>
        </w:rPr>
        <w:t>,</w:t>
      </w:r>
      <w:r>
        <w:rPr>
          <w:rFonts w:ascii="Times New Roman" w:hAnsi="Times New Roman" w:cs="Times New Roman"/>
          <w:sz w:val="24"/>
        </w:rPr>
        <w:t xml:space="preserve"> 2010), or the explanation provided by </w:t>
      </w:r>
      <w:bookmarkStart w:id="332" w:name="OLE_LINK606"/>
      <w:bookmarkStart w:id="333" w:name="OLE_LINK605"/>
      <w:r>
        <w:rPr>
          <w:rFonts w:ascii="Times New Roman" w:hAnsi="Times New Roman" w:cs="Times New Roman"/>
          <w:color w:val="222222"/>
          <w:sz w:val="24"/>
          <w:shd w:val="clear" w:color="auto" w:fill="FFFFFF"/>
        </w:rPr>
        <w:t>Timmis</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2002</w:t>
      </w:r>
      <w:r>
        <w:rPr>
          <w:rFonts w:ascii="Times New Roman" w:hAnsi="Times New Roman" w:cs="Times New Roman"/>
          <w:sz w:val="24"/>
        </w:rPr>
        <w:t>)</w:t>
      </w:r>
      <w:bookmarkEnd w:id="332"/>
      <w:bookmarkEnd w:id="333"/>
      <w:r>
        <w:rPr>
          <w:rFonts w:ascii="Times New Roman" w:hAnsi="Times New Roman" w:cs="Times New Roman"/>
          <w:sz w:val="24"/>
        </w:rPr>
        <w:t xml:space="preserve">, Llurda (2016),— that standard English is often </w:t>
      </w:r>
      <w:r>
        <w:rPr>
          <w:rFonts w:hint="eastAsia" w:ascii="Times New Roman" w:hAnsi="Times New Roman" w:cs="Times New Roman"/>
          <w:sz w:val="24"/>
        </w:rPr>
        <w:t>connected</w:t>
      </w:r>
      <w:r>
        <w:rPr>
          <w:rFonts w:ascii="Times New Roman" w:hAnsi="Times New Roman" w:cs="Times New Roman"/>
          <w:sz w:val="24"/>
        </w:rPr>
        <w:t xml:space="preserve"> </w:t>
      </w:r>
      <w:r>
        <w:rPr>
          <w:rFonts w:hint="eastAsia" w:ascii="Times New Roman" w:hAnsi="Times New Roman" w:cs="Times New Roman"/>
          <w:sz w:val="24"/>
        </w:rPr>
        <w:t>to</w:t>
      </w:r>
      <w:r>
        <w:rPr>
          <w:rFonts w:ascii="Times New Roman" w:hAnsi="Times New Roman" w:cs="Times New Roman"/>
          <w:sz w:val="24"/>
        </w:rPr>
        <w:t xml:space="preserve"> the contentious idea of well-educated NS</w:t>
      </w:r>
      <w:r>
        <w:rPr>
          <w:rFonts w:hint="eastAsia" w:ascii="Times New Roman" w:hAnsi="Times New Roman" w:cs="Times New Roman"/>
          <w:sz w:val="24"/>
        </w:rPr>
        <w:t>s</w:t>
      </w:r>
      <w:r>
        <w:rPr>
          <w:rFonts w:ascii="Times New Roman" w:hAnsi="Times New Roman" w:cs="Times New Roman"/>
          <w:sz w:val="24"/>
        </w:rPr>
        <w:t xml:space="preserve">, </w:t>
      </w:r>
      <w:r>
        <w:rPr>
          <w:rFonts w:hint="eastAsia" w:ascii="Times New Roman" w:hAnsi="Times New Roman" w:cs="Times New Roman"/>
          <w:sz w:val="24"/>
        </w:rPr>
        <w:t>which</w:t>
      </w:r>
      <w:r>
        <w:rPr>
          <w:rFonts w:ascii="Times New Roman" w:hAnsi="Times New Roman" w:cs="Times New Roman"/>
          <w:sz w:val="24"/>
        </w:rPr>
        <w:t xml:space="preserve"> </w:t>
      </w:r>
      <w:r>
        <w:rPr>
          <w:rFonts w:hint="eastAsia" w:ascii="Times New Roman" w:hAnsi="Times New Roman" w:cs="Times New Roman"/>
          <w:sz w:val="24"/>
        </w:rPr>
        <w:t>was</w:t>
      </w:r>
      <w:r>
        <w:rPr>
          <w:rFonts w:ascii="Times New Roman" w:hAnsi="Times New Roman" w:cs="Times New Roman"/>
          <w:sz w:val="24"/>
        </w:rPr>
        <w:t xml:space="preserve"> </w:t>
      </w:r>
      <w:r>
        <w:rPr>
          <w:rFonts w:hint="eastAsia" w:ascii="Times New Roman" w:hAnsi="Times New Roman" w:cs="Times New Roman"/>
          <w:sz w:val="24"/>
        </w:rPr>
        <w:t>discussed</w:t>
      </w:r>
      <w:r>
        <w:rPr>
          <w:rFonts w:ascii="Times New Roman" w:hAnsi="Times New Roman" w:cs="Times New Roman"/>
          <w:sz w:val="24"/>
        </w:rPr>
        <w:t xml:space="preserve"> </w:t>
      </w:r>
      <w:r>
        <w:rPr>
          <w:rFonts w:hint="eastAsia" w:ascii="Times New Roman" w:hAnsi="Times New Roman" w:cs="Times New Roman"/>
          <w:sz w:val="24"/>
        </w:rPr>
        <w:t>before.</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 xml:space="preserve">Despite the lack of emphasis on this specific topic in empirical research, </w:t>
      </w:r>
      <w:r>
        <w:rPr>
          <w:rFonts w:ascii="Times New Roman" w:hAnsi="Times New Roman" w:cs="Times New Roman"/>
          <w:color w:val="222222"/>
          <w:sz w:val="24"/>
          <w:shd w:val="clear" w:color="auto" w:fill="FFFFFF"/>
        </w:rPr>
        <w:t>Medgyes</w:t>
      </w:r>
      <w:r>
        <w:rPr>
          <w:rFonts w:ascii="Times New Roman" w:hAnsi="Times New Roman" w:cs="Times New Roman"/>
          <w:sz w:val="24"/>
        </w:rPr>
        <w:t xml:space="preserve"> et al. (2001) did provide some pertinent discoveries. The researchers discovered that </w:t>
      </w:r>
      <w:r>
        <w:rPr>
          <w:rFonts w:hint="eastAsia" w:ascii="Times New Roman" w:hAnsi="Times New Roman" w:cs="Times New Roman"/>
          <w:sz w:val="24"/>
        </w:rPr>
        <w:t>E</w:t>
      </w:r>
      <w:r>
        <w:rPr>
          <w:rFonts w:ascii="Times New Roman" w:hAnsi="Times New Roman" w:cs="Times New Roman"/>
          <w:sz w:val="24"/>
        </w:rPr>
        <w:t xml:space="preserve">nglish </w:t>
      </w:r>
      <w:r>
        <w:rPr>
          <w:rFonts w:hint="eastAsia" w:ascii="Times New Roman" w:hAnsi="Times New Roman" w:cs="Times New Roman"/>
          <w:sz w:val="24"/>
        </w:rPr>
        <w:t>teacher</w:t>
      </w:r>
      <w:r>
        <w:rPr>
          <w:rFonts w:ascii="Times New Roman" w:hAnsi="Times New Roman" w:cs="Times New Roman"/>
          <w:sz w:val="24"/>
        </w:rPr>
        <w:t xml:space="preserve"> participants exhibited a preference for </w:t>
      </w:r>
      <w:bookmarkStart w:id="334" w:name="OLE_LINK609"/>
      <w:bookmarkStart w:id="335" w:name="OLE_LINK610"/>
      <w:r>
        <w:rPr>
          <w:rFonts w:ascii="Times New Roman" w:hAnsi="Times New Roman" w:cs="Times New Roman"/>
          <w:sz w:val="24"/>
        </w:rPr>
        <w:t>native-based accents</w:t>
      </w:r>
      <w:bookmarkEnd w:id="334"/>
      <w:bookmarkEnd w:id="335"/>
      <w:r>
        <w:rPr>
          <w:rFonts w:hint="eastAsia" w:ascii="Times New Roman" w:hAnsi="Times New Roman" w:cs="Times New Roman"/>
          <w:sz w:val="24"/>
        </w:rPr>
        <w:t>,</w:t>
      </w:r>
      <w:r>
        <w:rPr>
          <w:rFonts w:ascii="Times New Roman" w:hAnsi="Times New Roman" w:cs="Times New Roman"/>
          <w:sz w:val="24"/>
        </w:rPr>
        <w:t xml:space="preserve"> </w:t>
      </w:r>
      <w:r>
        <w:rPr>
          <w:rFonts w:hint="eastAsia" w:ascii="Times New Roman" w:hAnsi="Times New Roman" w:cs="Times New Roman"/>
          <w:sz w:val="24"/>
        </w:rPr>
        <w:t>and</w:t>
      </w:r>
      <w:r>
        <w:t xml:space="preserve"> </w:t>
      </w:r>
      <w:r>
        <w:rPr>
          <w:rFonts w:ascii="Times New Roman" w:hAnsi="Times New Roman" w:cs="Times New Roman"/>
          <w:sz w:val="24"/>
        </w:rPr>
        <w:t>assumed that people with such accents are well educate</w:t>
      </w:r>
      <w:r>
        <w:rPr>
          <w:rFonts w:hint="eastAsia" w:ascii="Times New Roman" w:hAnsi="Times New Roman" w:cs="Times New Roman"/>
          <w:sz w:val="24"/>
        </w:rPr>
        <w:t>d</w:t>
      </w:r>
      <w:r>
        <w:rPr>
          <w:rFonts w:ascii="Times New Roman" w:hAnsi="Times New Roman" w:cs="Times New Roman"/>
          <w:sz w:val="24"/>
        </w:rPr>
        <w:t>, and</w:t>
      </w:r>
      <w:r>
        <w:rPr>
          <w:rFonts w:hint="eastAsia" w:ascii="Times New Roman" w:hAnsi="Times New Roman" w:cs="Times New Roman"/>
          <w:sz w:val="24"/>
        </w:rPr>
        <w:t xml:space="preserve"> </w:t>
      </w:r>
      <w:r>
        <w:rPr>
          <w:rFonts w:ascii="Times New Roman" w:hAnsi="Times New Roman" w:cs="Times New Roman"/>
          <w:sz w:val="24"/>
        </w:rPr>
        <w:t xml:space="preserve">thus </w:t>
      </w:r>
      <w:bookmarkStart w:id="336" w:name="OLE_LINK607"/>
      <w:bookmarkStart w:id="337" w:name="OLE_LINK608"/>
      <w:r>
        <w:rPr>
          <w:rFonts w:ascii="Times New Roman" w:hAnsi="Times New Roman" w:cs="Times New Roman"/>
          <w:sz w:val="24"/>
        </w:rPr>
        <w:t>tend to see native-based accents as the norm</w:t>
      </w:r>
      <w:bookmarkEnd w:id="336"/>
      <w:bookmarkEnd w:id="337"/>
      <w:r>
        <w:rPr>
          <w:rFonts w:ascii="Times New Roman" w:hAnsi="Times New Roman" w:cs="Times New Roman"/>
          <w:sz w:val="24"/>
        </w:rPr>
        <w:t>.</w:t>
      </w:r>
      <w:r>
        <w:rPr>
          <w:rFonts w:hint="eastAsia" w:ascii="Times New Roman" w:hAnsi="Times New Roman" w:cs="Times New Roman"/>
          <w:sz w:val="24"/>
        </w:rPr>
        <w:t xml:space="preserve"> </w:t>
      </w:r>
      <w:r>
        <w:rPr>
          <w:rFonts w:ascii="Times New Roman" w:hAnsi="Times New Roman" w:cs="Times New Roman"/>
          <w:sz w:val="24"/>
        </w:rPr>
        <w:t xml:space="preserve">Their research was done through interviews that successfully explored this </w:t>
      </w:r>
      <w:r>
        <w:rPr>
          <w:rFonts w:hint="eastAsia" w:ascii="Times New Roman" w:hAnsi="Times New Roman" w:cs="Times New Roman"/>
          <w:sz w:val="24"/>
        </w:rPr>
        <w:t>preference</w:t>
      </w:r>
      <w:r>
        <w:rPr>
          <w:rFonts w:ascii="Times New Roman" w:hAnsi="Times New Roman" w:cs="Times New Roman"/>
          <w:sz w:val="24"/>
        </w:rPr>
        <w:t>. This also shows that interviews can really help the researcher to understand the participants’ perspectives in a comprehensive way.</w:t>
      </w:r>
      <w:r>
        <w:t xml:space="preserve"> </w:t>
      </w:r>
      <w:r>
        <w:rPr>
          <w:rFonts w:ascii="Times New Roman" w:hAnsi="Times New Roman" w:cs="Times New Roman"/>
          <w:sz w:val="24"/>
        </w:rPr>
        <w:t>Th</w:t>
      </w:r>
      <w:r>
        <w:rPr>
          <w:rFonts w:hint="eastAsia" w:ascii="Times New Roman" w:hAnsi="Times New Roman" w:cs="Times New Roman"/>
          <w:sz w:val="24"/>
        </w:rPr>
        <w:t>is</w:t>
      </w:r>
      <w:r>
        <w:rPr>
          <w:rFonts w:ascii="Times New Roman" w:hAnsi="Times New Roman" w:cs="Times New Roman"/>
          <w:sz w:val="24"/>
        </w:rPr>
        <w:t xml:space="preserve"> </w:t>
      </w:r>
      <w:r>
        <w:rPr>
          <w:rFonts w:hint="eastAsia" w:ascii="Times New Roman" w:hAnsi="Times New Roman" w:cs="Times New Roman"/>
          <w:sz w:val="24"/>
        </w:rPr>
        <w:t>also</w:t>
      </w:r>
      <w:r>
        <w:rPr>
          <w:rFonts w:ascii="Times New Roman" w:hAnsi="Times New Roman" w:cs="Times New Roman"/>
          <w:sz w:val="24"/>
        </w:rPr>
        <w:t xml:space="preserve"> </w:t>
      </w:r>
      <w:r>
        <w:rPr>
          <w:rFonts w:hint="eastAsia" w:ascii="Times New Roman" w:hAnsi="Times New Roman" w:cs="Times New Roman"/>
          <w:sz w:val="24"/>
        </w:rPr>
        <w:t>true</w:t>
      </w:r>
      <w:r>
        <w:rPr>
          <w:rFonts w:ascii="Times New Roman" w:hAnsi="Times New Roman" w:cs="Times New Roman"/>
          <w:sz w:val="24"/>
        </w:rPr>
        <w:t xml:space="preserve"> to the understanding of the differences between SE and NSE in this study.</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Furthermore, surveys rely on the premise that participants possess a collective and precise understanding of the conceptual words mentioned in the questions (</w:t>
      </w:r>
      <w:bookmarkStart w:id="338" w:name="OLE_LINK145"/>
      <w:bookmarkStart w:id="339" w:name="OLE_LINK144"/>
      <w:r>
        <w:rPr>
          <w:rFonts w:ascii="Times New Roman" w:hAnsi="Times New Roman" w:cs="Times New Roman"/>
          <w:sz w:val="24"/>
        </w:rPr>
        <w:t>Llurda</w:t>
      </w:r>
      <w:bookmarkEnd w:id="338"/>
      <w:bookmarkEnd w:id="339"/>
      <w:r>
        <w:rPr>
          <w:rFonts w:ascii="Times New Roman" w:hAnsi="Times New Roman" w:cs="Times New Roman"/>
          <w:sz w:val="24"/>
        </w:rPr>
        <w:t>, 2016), without exploring how participants really form these meanings. Overall, the participants in the present survey tended to see English variations as extensive and diverse, along with the findings of previous research studies.</w:t>
      </w:r>
    </w:p>
    <w:p>
      <w:pPr>
        <w:pStyle w:val="22"/>
      </w:pPr>
      <w:bookmarkStart w:id="340" w:name="_Toc1071548147"/>
      <w:bookmarkStart w:id="341" w:name="_Toc158754001"/>
      <w:r>
        <w:t>V</w:t>
      </w:r>
      <w:r>
        <w:rPr>
          <w:rFonts w:hint="eastAsia"/>
        </w:rPr>
        <w:t>iews</w:t>
      </w:r>
      <w:r>
        <w:t xml:space="preserve"> of NNSE</w:t>
      </w:r>
      <w:bookmarkEnd w:id="340"/>
      <w:r>
        <w:t xml:space="preserve"> (English spoken by non-native speakers)</w:t>
      </w:r>
      <w:bookmarkEnd w:id="341"/>
      <w:r>
        <w:t xml:space="preserve"> </w:t>
      </w:r>
    </w:p>
    <w:p>
      <w:pPr>
        <w:rPr>
          <w:rFonts w:ascii="Times New Roman" w:hAnsi="Times New Roman" w:cs="Times New Roman"/>
          <w:sz w:val="24"/>
        </w:rPr>
      </w:pPr>
      <w:r>
        <w:rPr>
          <w:rFonts w:ascii="Times New Roman" w:hAnsi="Times New Roman" w:cs="Times New Roman"/>
          <w:sz w:val="24"/>
        </w:rPr>
        <w:t>The participants exhibited a complete absence of unfavourable sentiments towards non-native-speaker English (NNSE) types, particularly Chinese English (CE). However, in terms of practicality, none of the participants mentioned Non-Native Speaker Engllish (NNSE) while discussing their learning strategies. These results align with the research conducted by Young and Walsh (2010), which observed that the EFL practitioners examined in their study did not have a negative view towards non-native-speaker English (NNSEs). In terms of the practical use of CE, this suggests that this particular kind has not gained widespread acceptance in the Chinese educational context, which aligns with the conclusions drawn in prior research (</w:t>
      </w:r>
      <w:bookmarkStart w:id="342" w:name="OLE_LINK156"/>
      <w:bookmarkStart w:id="343" w:name="OLE_LINK155"/>
      <w:r>
        <w:rPr>
          <w:rFonts w:ascii="Times New Roman" w:hAnsi="Times New Roman" w:cs="Times New Roman"/>
          <w:color w:val="222222"/>
          <w:sz w:val="24"/>
          <w:shd w:val="clear" w:color="auto" w:fill="FFFFFF"/>
        </w:rPr>
        <w:t>Medgyes</w:t>
      </w:r>
      <w:bookmarkEnd w:id="342"/>
      <w:bookmarkEnd w:id="343"/>
      <w:r>
        <w:rPr>
          <w:rFonts w:ascii="Times New Roman" w:hAnsi="Times New Roman" w:cs="Times New Roman"/>
          <w:sz w:val="24"/>
        </w:rPr>
        <w:t xml:space="preserve">, 2001; </w:t>
      </w:r>
      <w:bookmarkStart w:id="344" w:name="OLE_LINK142"/>
      <w:bookmarkStart w:id="345" w:name="OLE_LINK143"/>
      <w:r>
        <w:rPr>
          <w:rFonts w:ascii="Times New Roman" w:hAnsi="Times New Roman" w:cs="Times New Roman"/>
          <w:color w:val="222222"/>
          <w:sz w:val="24"/>
          <w:shd w:val="clear" w:color="auto" w:fill="FFFFFF"/>
        </w:rPr>
        <w:t>Timmis</w:t>
      </w:r>
      <w:bookmarkEnd w:id="344"/>
      <w:bookmarkEnd w:id="345"/>
      <w:r>
        <w:rPr>
          <w:rFonts w:ascii="Times New Roman" w:hAnsi="Times New Roman" w:cs="Times New Roman"/>
          <w:color w:val="222222"/>
          <w:sz w:val="24"/>
          <w:shd w:val="clear" w:color="auto" w:fill="FFFFFF"/>
        </w:rPr>
        <w:t>, 2002;</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Ritchie</w:t>
      </w:r>
      <w:r>
        <w:rPr>
          <w:rFonts w:ascii="Times New Roman" w:hAnsi="Times New Roman" w:cs="Times New Roman"/>
          <w:sz w:val="24"/>
        </w:rPr>
        <w:t xml:space="preserve"> et al., 2013;). The division between theory and practice in Chinese English Language Teaching (ELT) is largely impacted by the prevailing language ideologies of native-speakerism and Chinglish. These ideologies have led to the formation of prejudices about various language varieties, which have been ingrained in both teachers and students (Wang, 2015; </w:t>
      </w:r>
      <w:bookmarkStart w:id="346" w:name="OLE_LINK157"/>
      <w:r>
        <w:rPr>
          <w:rFonts w:ascii="Times New Roman" w:hAnsi="Times New Roman" w:cs="Times New Roman"/>
          <w:sz w:val="24"/>
        </w:rPr>
        <w:t>Llurda</w:t>
      </w:r>
      <w:bookmarkEnd w:id="346"/>
      <w:r>
        <w:rPr>
          <w:rFonts w:ascii="Times New Roman" w:hAnsi="Times New Roman" w:cs="Times New Roman"/>
          <w:sz w:val="24"/>
        </w:rPr>
        <w:t>, 2016).</w:t>
      </w:r>
    </w:p>
    <w:p>
      <w:pPr>
        <w:pStyle w:val="22"/>
      </w:pPr>
      <w:bookmarkStart w:id="347" w:name="_Toc711842887"/>
      <w:bookmarkStart w:id="348" w:name="_Toc158754002"/>
      <w:r>
        <w:t>Viewing the NSE as An Objective for Acquiring Knowledge and Skills</w:t>
      </w:r>
      <w:bookmarkEnd w:id="347"/>
      <w:bookmarkEnd w:id="348"/>
    </w:p>
    <w:p>
      <w:pPr>
        <w:widowControl/>
        <w:rPr>
          <w:rFonts w:ascii="Times New Roman" w:hAnsi="Times New Roman" w:cs="Times New Roman"/>
          <w:sz w:val="24"/>
        </w:rPr>
      </w:pPr>
      <w:r>
        <w:rPr>
          <w:rFonts w:ascii="Times New Roman" w:hAnsi="Times New Roman" w:cs="Times New Roman"/>
          <w:sz w:val="24"/>
        </w:rPr>
        <w:t xml:space="preserve">The participants in the present research shown a notable inclination towards NSE, particularly in regards to vocabulary and pronunciation, based on their own comprehension. Referring to research undertaken in non-English speaking environments, it is unsurprising to see similar attitude patterns about the language proficiency of native speakers. For example, </w:t>
      </w:r>
      <w:bookmarkStart w:id="349" w:name="OLE_LINK139"/>
      <w:bookmarkStart w:id="350" w:name="OLE_LINK248"/>
      <w:bookmarkStart w:id="351" w:name="OLE_LINK247"/>
      <w:bookmarkStart w:id="352" w:name="OLE_LINK322"/>
      <w:bookmarkStart w:id="353" w:name="OLE_LINK166"/>
      <w:bookmarkStart w:id="354" w:name="OLE_LINK165"/>
      <w:r>
        <w:rPr>
          <w:rFonts w:ascii="Times New Roman" w:cs="Times New Roman"/>
          <w:color w:val="222222"/>
          <w:sz w:val="24"/>
          <w:shd w:val="clear" w:color="auto" w:fill="FFFFFF"/>
        </w:rPr>
        <w:t>Mufwene</w:t>
      </w:r>
      <w:bookmarkEnd w:id="349"/>
      <w:bookmarkEnd w:id="350"/>
      <w:bookmarkEnd w:id="351"/>
      <w:bookmarkEnd w:id="352"/>
      <w:r>
        <w:rPr>
          <w:rFonts w:ascii="Times New Roman" w:hAnsi="Times New Roman" w:cs="Times New Roman"/>
          <w:sz w:val="24"/>
        </w:rPr>
        <w:t xml:space="preserve"> (2010</w:t>
      </w:r>
      <w:bookmarkEnd w:id="353"/>
      <w:bookmarkEnd w:id="354"/>
      <w:r>
        <w:rPr>
          <w:rFonts w:ascii="Times New Roman" w:hAnsi="Times New Roman" w:cs="Times New Roman"/>
          <w:sz w:val="24"/>
        </w:rPr>
        <w:t>) noted that European EFL users continued to see native speaker standards as their objectives in language acquisition. In relation to certain language elements, she saw a significant inclination towards striving to achieve a non-native speaker accent (</w:t>
      </w:r>
      <w:r>
        <w:rPr>
          <w:rFonts w:ascii="Times New Roman" w:cs="Times New Roman"/>
          <w:color w:val="222222"/>
          <w:sz w:val="24"/>
          <w:shd w:val="clear" w:color="auto" w:fill="FFFFFF"/>
        </w:rPr>
        <w:t>Mufwene</w:t>
      </w:r>
      <w:r>
        <w:rPr>
          <w:rFonts w:ascii="Times New Roman" w:hAnsi="Times New Roman" w:cs="Times New Roman"/>
          <w:sz w:val="24"/>
        </w:rPr>
        <w:t xml:space="preserve"> 2010; Groom, 2012).</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Nevertheless, He and Zhang (2010) documented a contrasting scenario at Chinese universities. The students did not consider NS pronunciation to be crucial, as long as they were able to communicate properly. Given that the participants in the present research had educational backgrounds that were almost equivalent to those in He and Zhang’s (2010) study, the contrasting outcomes might perhaps be ascribed to the learners’ particular academic discipline, namely whether they are pursuing majors in English or English-related subjects. The participants in their study were all non-English majors, whereas this study focuses only on English-related majors who are teaching English as a career. Consequently, participants in the two experiments may have had completely different motivations for learning</w:t>
      </w:r>
      <w:r>
        <w:rPr>
          <w:rFonts w:hint="eastAsia" w:ascii="Times New Roman" w:hAnsi="Times New Roman" w:cs="Times New Roman"/>
          <w:sz w:val="24"/>
        </w:rPr>
        <w:t>,</w:t>
      </w:r>
      <w:r>
        <w:rPr>
          <w:rFonts w:ascii="Times New Roman" w:hAnsi="Times New Roman" w:cs="Times New Roman"/>
          <w:sz w:val="24"/>
        </w:rPr>
        <w:t xml:space="preserve"> leading to varying learning goals. In summary, the findings indicate that English as a Foreign Language (EFL) learners continue to prioritise achieving Native Speaker (NS) norms as their learning objectives, particularly in terms of pronunciation, though this preference may be influenced by the major they are enrolled in</w:t>
      </w:r>
    </w:p>
    <w:p>
      <w:pPr>
        <w:pStyle w:val="39"/>
      </w:pPr>
      <w:bookmarkStart w:id="355" w:name="_Toc158754003"/>
      <w:r>
        <w:t>5.2 What Impact will Chinese Education Students’ English Language Learning Experiences have on Their Future Teaching?</w:t>
      </w:r>
      <w:bookmarkEnd w:id="355"/>
    </w:p>
    <w:p>
      <w:pPr>
        <w:pStyle w:val="22"/>
      </w:pPr>
      <w:bookmarkStart w:id="356" w:name="_Toc312004372"/>
      <w:bookmarkStart w:id="357" w:name="_Toc158754004"/>
      <w:r>
        <w:t>The way in which the English language is taught before university</w:t>
      </w:r>
      <w:bookmarkEnd w:id="356"/>
      <w:bookmarkEnd w:id="357"/>
    </w:p>
    <w:p>
      <w:pPr>
        <w:widowControl/>
        <w:rPr>
          <w:rFonts w:ascii="Times New Roman" w:hAnsi="Times New Roman" w:cs="Times New Roman"/>
          <w:sz w:val="24"/>
        </w:rPr>
      </w:pPr>
      <w:r>
        <w:rPr>
          <w:rFonts w:ascii="Times New Roman" w:hAnsi="Times New Roman" w:cs="Times New Roman"/>
          <w:sz w:val="24"/>
        </w:rPr>
        <w:t xml:space="preserve">Based on the accounts of participants on their experiences studying English in China, the majority thought that SE, which is the English variety taught in schools, mostly caters to test requirements. This is because it is closely tied to standardised standards that prioritise correctness. Based on the research conducted by </w:t>
      </w:r>
      <w:bookmarkStart w:id="358" w:name="OLE_LINK163"/>
      <w:bookmarkStart w:id="359" w:name="OLE_LINK615"/>
      <w:bookmarkStart w:id="360" w:name="OLE_LINK170"/>
      <w:bookmarkStart w:id="361" w:name="OLE_LINK616"/>
      <w:r>
        <w:rPr>
          <w:rFonts w:ascii="Times New Roman" w:hAnsi="Times New Roman" w:cs="Times New Roman"/>
          <w:sz w:val="24"/>
        </w:rPr>
        <w:t>Llurda</w:t>
      </w:r>
      <w:bookmarkEnd w:id="358"/>
      <w:r>
        <w:rPr>
          <w:rFonts w:ascii="Times New Roman" w:hAnsi="Times New Roman" w:cs="Times New Roman"/>
          <w:sz w:val="24"/>
        </w:rPr>
        <w:t xml:space="preserve"> (2016)</w:t>
      </w:r>
      <w:bookmarkEnd w:id="359"/>
      <w:bookmarkEnd w:id="360"/>
      <w:bookmarkEnd w:id="361"/>
      <w:r>
        <w:rPr>
          <w:rFonts w:ascii="Times New Roman" w:hAnsi="Times New Roman" w:cs="Times New Roman"/>
          <w:sz w:val="24"/>
        </w:rPr>
        <w:t xml:space="preserve">, it seems that EFL environments have had comparable learning experiences. While the participants in their research did not categorise the kind of English taught throughout the majority of their schooling as Standard English (SE), they referred to it as </w:t>
      </w:r>
      <w:r>
        <w:rPr>
          <w:rFonts w:hint="eastAsia" w:ascii="Times New Roman" w:hAnsi="Times New Roman" w:cs="Times New Roman"/>
          <w:sz w:val="24"/>
        </w:rPr>
        <w:t>‘</w:t>
      </w:r>
      <w:r>
        <w:rPr>
          <w:rFonts w:ascii="Times New Roman" w:hAnsi="Times New Roman" w:cs="Times New Roman"/>
          <w:sz w:val="24"/>
        </w:rPr>
        <w:t>local English’ which had similarities with SE in its aim to conform to native speaker (NS) standards to the greatest extent feasible. In addition, Llurda (2016) could not find any indication of excessive focus on correctness or the characteristic of being oriented towards exams. This suggests that such a view is likely more associated with Chinese English Language Teaching (ELT) situations.</w:t>
      </w:r>
    </w:p>
    <w:p>
      <w:pPr>
        <w:pStyle w:val="22"/>
      </w:pPr>
      <w:bookmarkStart w:id="362" w:name="_Toc1849897877"/>
      <w:bookmarkStart w:id="363" w:name="_Toc158754005"/>
      <w:r>
        <w:t>Increased participation of NSE at the university level</w:t>
      </w:r>
      <w:bookmarkEnd w:id="362"/>
      <w:bookmarkEnd w:id="363"/>
    </w:p>
    <w:p>
      <w:pPr>
        <w:widowControl/>
        <w:rPr>
          <w:rFonts w:ascii="Times New Roman" w:hAnsi="Times New Roman" w:cs="Times New Roman"/>
          <w:sz w:val="24"/>
        </w:rPr>
      </w:pPr>
      <w:r>
        <w:rPr>
          <w:rFonts w:ascii="Times New Roman" w:hAnsi="Times New Roman" w:cs="Times New Roman"/>
          <w:sz w:val="24"/>
        </w:rPr>
        <w:t xml:space="preserve">Participants generally agreed that the most recent stage of English language learning was at the undergraduate or postgraduate level. The reason for the increased level of NSE in daily learning activities at this stage may be that English or English education-related programmes place more emphasis on NSE, and students may also pursue achieving NS level as their learning goal. Numerous studies have shown that this change is common among non-native learners worldwide. In these studies, learners generally report that at the pre-university level, English language teaching models usually incorporate local characteristics. However, by the time learners reach higher levels of proficiency (usually referred to as university or beyond), teaching </w:t>
      </w:r>
      <w:r>
        <w:rPr>
          <w:rFonts w:hint="eastAsia" w:ascii="Times New Roman" w:hAnsi="Times New Roman" w:cs="Times New Roman"/>
          <w:sz w:val="24"/>
        </w:rPr>
        <w:t>methods</w:t>
      </w:r>
      <w:r>
        <w:rPr>
          <w:rFonts w:ascii="Times New Roman" w:hAnsi="Times New Roman" w:cs="Times New Roman"/>
          <w:sz w:val="24"/>
        </w:rPr>
        <w:t xml:space="preserve"> are usually based on NSE (Yang and Walsh, 2010). This suggests that in </w:t>
      </w:r>
      <w:r>
        <w:rPr>
          <w:rFonts w:hint="eastAsia" w:ascii="Times New Roman" w:hAnsi="Times New Roman" w:cs="Times New Roman"/>
          <w:sz w:val="24"/>
        </w:rPr>
        <w:t>the</w:t>
      </w:r>
      <w:r>
        <w:rPr>
          <w:rFonts w:ascii="Times New Roman" w:hAnsi="Times New Roman" w:cs="Times New Roman"/>
          <w:sz w:val="24"/>
        </w:rPr>
        <w:t xml:space="preserve"> </w:t>
      </w:r>
      <w:r>
        <w:rPr>
          <w:rFonts w:hint="eastAsia" w:ascii="Times New Roman" w:hAnsi="Times New Roman" w:cs="Times New Roman"/>
          <w:sz w:val="24"/>
        </w:rPr>
        <w:t>context</w:t>
      </w:r>
      <w:r>
        <w:rPr>
          <w:rFonts w:ascii="Times New Roman" w:hAnsi="Times New Roman" w:cs="Times New Roman"/>
          <w:sz w:val="24"/>
        </w:rPr>
        <w:t xml:space="preserve"> </w:t>
      </w:r>
      <w:r>
        <w:rPr>
          <w:rFonts w:hint="eastAsia" w:ascii="Times New Roman" w:hAnsi="Times New Roman" w:cs="Times New Roman"/>
          <w:sz w:val="24"/>
        </w:rPr>
        <w:t>of</w:t>
      </w:r>
      <w:r>
        <w:rPr>
          <w:rFonts w:ascii="Times New Roman" w:hAnsi="Times New Roman" w:cs="Times New Roman"/>
          <w:sz w:val="24"/>
        </w:rPr>
        <w:t xml:space="preserve"> English as a Foreign Language (EFL), there is a propensity to link certain forms of English with particular stages of schooling or the proficiency level of learners. Nevertheless, Llurda (2016) did not find that learners significantly improved their </w:t>
      </w:r>
      <w:r>
        <w:rPr>
          <w:rFonts w:hint="eastAsia" w:ascii="Times New Roman" w:hAnsi="Times New Roman" w:cs="Times New Roman"/>
          <w:sz w:val="24"/>
        </w:rPr>
        <w:t>level</w:t>
      </w:r>
      <w:r>
        <w:rPr>
          <w:rFonts w:ascii="Times New Roman" w:hAnsi="Times New Roman" w:cs="Times New Roman"/>
          <w:sz w:val="24"/>
        </w:rPr>
        <w:t xml:space="preserve"> </w:t>
      </w:r>
      <w:r>
        <w:rPr>
          <w:rFonts w:hint="eastAsia" w:ascii="Times New Roman" w:hAnsi="Times New Roman" w:cs="Times New Roman"/>
          <w:sz w:val="24"/>
        </w:rPr>
        <w:t xml:space="preserve">of </w:t>
      </w:r>
      <w:r>
        <w:rPr>
          <w:rFonts w:ascii="Times New Roman" w:hAnsi="Times New Roman" w:cs="Times New Roman"/>
          <w:sz w:val="24"/>
        </w:rPr>
        <w:t>NSE</w:t>
      </w:r>
      <w:r>
        <w:rPr>
          <w:rFonts w:hint="eastAsia" w:ascii="Times New Roman" w:hAnsi="Times New Roman" w:cs="Times New Roman"/>
          <w:sz w:val="24"/>
        </w:rPr>
        <w:t xml:space="preserve"> </w:t>
      </w:r>
      <w:r>
        <w:rPr>
          <w:rFonts w:ascii="Times New Roman" w:hAnsi="Times New Roman" w:cs="Times New Roman"/>
          <w:sz w:val="24"/>
        </w:rPr>
        <w:t xml:space="preserve">at university in their research. As discussed above, </w:t>
      </w:r>
      <w:r>
        <w:rPr>
          <w:rFonts w:hint="eastAsia" w:ascii="Times New Roman" w:hAnsi="Times New Roman" w:cs="Times New Roman"/>
          <w:sz w:val="24"/>
        </w:rPr>
        <w:t>one</w:t>
      </w:r>
      <w:r>
        <w:rPr>
          <w:rFonts w:ascii="Times New Roman" w:hAnsi="Times New Roman" w:cs="Times New Roman"/>
          <w:sz w:val="24"/>
        </w:rPr>
        <w:t xml:space="preserve"> </w:t>
      </w:r>
      <w:r>
        <w:rPr>
          <w:rFonts w:hint="eastAsia" w:ascii="Times New Roman" w:hAnsi="Times New Roman" w:cs="Times New Roman"/>
          <w:sz w:val="24"/>
        </w:rPr>
        <w:t>participant</w:t>
      </w:r>
      <w:r>
        <w:rPr>
          <w:rFonts w:ascii="Times New Roman" w:hAnsi="Times New Roman" w:cs="Times New Roman"/>
          <w:sz w:val="24"/>
        </w:rPr>
        <w:t xml:space="preserve"> whether or not has taken English-related courses, may </w:t>
      </w:r>
      <w:r>
        <w:rPr>
          <w:rFonts w:hint="eastAsia" w:ascii="Times New Roman" w:hAnsi="Times New Roman" w:cs="Times New Roman"/>
          <w:sz w:val="24"/>
        </w:rPr>
        <w:t>have</w:t>
      </w:r>
      <w:r>
        <w:rPr>
          <w:rFonts w:ascii="Times New Roman" w:hAnsi="Times New Roman" w:cs="Times New Roman"/>
          <w:sz w:val="24"/>
        </w:rPr>
        <w:t xml:space="preserve"> significantly </w:t>
      </w:r>
      <w:r>
        <w:rPr>
          <w:rFonts w:hint="eastAsia" w:ascii="Times New Roman" w:hAnsi="Times New Roman" w:cs="Times New Roman"/>
          <w:sz w:val="24"/>
        </w:rPr>
        <w:t>different</w:t>
      </w:r>
      <w:r>
        <w:rPr>
          <w:rFonts w:ascii="Times New Roman" w:hAnsi="Times New Roman" w:cs="Times New Roman"/>
          <w:sz w:val="24"/>
        </w:rPr>
        <w:t xml:space="preserve"> views of NSE. College education may enhance personal preferences by offering more exposure to NSE (Native Speaker English) for students majoring in English and related fields. The majority of participants in this research saw this as a good and desired outcome.</w:t>
      </w:r>
    </w:p>
    <w:p>
      <w:pPr>
        <w:pStyle w:val="22"/>
      </w:pPr>
      <w:bookmarkStart w:id="364" w:name="_Toc2112861120"/>
      <w:bookmarkStart w:id="365" w:name="_Toc158754006"/>
      <w:r>
        <w:t>Prospective educational plans</w:t>
      </w:r>
      <w:bookmarkEnd w:id="364"/>
      <w:bookmarkEnd w:id="365"/>
    </w:p>
    <w:p>
      <w:pPr>
        <w:widowControl/>
        <w:rPr>
          <w:rFonts w:ascii="Times New Roman" w:hAnsi="Times New Roman" w:cs="Times New Roman"/>
          <w:sz w:val="24"/>
        </w:rPr>
      </w:pPr>
      <w:r>
        <w:rPr>
          <w:rFonts w:ascii="Times New Roman" w:hAnsi="Times New Roman" w:cs="Times New Roman"/>
          <w:sz w:val="24"/>
        </w:rPr>
        <w:t>This study differs from earlier empirical investigations. While most of the previous studies explored the perspectives of in-service teachers, this study found that trainee teachers usually have a different perspective.</w:t>
      </w:r>
      <w:r>
        <w:rPr>
          <w:rFonts w:hint="eastAsia" w:ascii="Times New Roman" w:hAnsi="Times New Roman" w:cs="Times New Roman"/>
          <w:sz w:val="24"/>
        </w:rPr>
        <w:t xml:space="preserve"> </w:t>
      </w:r>
      <w:r>
        <w:rPr>
          <w:rFonts w:ascii="Times New Roman" w:hAnsi="Times New Roman" w:cs="Times New Roman"/>
          <w:sz w:val="24"/>
        </w:rPr>
        <w:t>Related studies have concluded that in-service teachers prefer to teach SE in the classroom.</w:t>
      </w:r>
      <w:r>
        <w:rPr>
          <w:rFonts w:hint="eastAsia" w:ascii="Times New Roman" w:hAnsi="Times New Roman" w:cs="Times New Roman"/>
          <w:sz w:val="24"/>
        </w:rPr>
        <w:t xml:space="preserve"> </w:t>
      </w:r>
      <w:r>
        <w:rPr>
          <w:rFonts w:ascii="Times New Roman" w:hAnsi="Times New Roman" w:cs="Times New Roman"/>
          <w:sz w:val="24"/>
        </w:rPr>
        <w:t xml:space="preserve">This </w:t>
      </w:r>
      <w:r>
        <w:rPr>
          <w:rFonts w:hint="eastAsia" w:ascii="Times New Roman" w:hAnsi="Times New Roman" w:cs="Times New Roman"/>
          <w:sz w:val="24"/>
        </w:rPr>
        <w:t>result</w:t>
      </w:r>
      <w:r>
        <w:rPr>
          <w:rFonts w:ascii="Times New Roman" w:hAnsi="Times New Roman" w:cs="Times New Roman"/>
          <w:sz w:val="24"/>
        </w:rPr>
        <w:t xml:space="preserve"> is supported by several studies, including those conducted by </w:t>
      </w:r>
      <w:bookmarkStart w:id="366" w:name="OLE_LINK141"/>
      <w:bookmarkStart w:id="367" w:name="OLE_LINK140"/>
      <w:bookmarkStart w:id="368" w:name="OLE_LINK159"/>
      <w:r>
        <w:rPr>
          <w:rFonts w:ascii="Times New Roman" w:hAnsi="Times New Roman" w:cs="Times New Roman"/>
          <w:color w:val="222222"/>
          <w:sz w:val="24"/>
          <w:shd w:val="clear" w:color="auto" w:fill="FFFFFF"/>
        </w:rPr>
        <w:t>Kirkpatrick</w:t>
      </w:r>
      <w:bookmarkEnd w:id="366"/>
      <w:bookmarkEnd w:id="367"/>
      <w:r>
        <w:rPr>
          <w:rFonts w:ascii="Times New Roman" w:hAnsi="Times New Roman" w:cs="Times New Roman"/>
          <w:color w:val="222222"/>
          <w:sz w:val="24"/>
          <w:shd w:val="clear" w:color="auto" w:fill="FFFFFF"/>
        </w:rPr>
        <w:t>, (2006), Timmis</w:t>
      </w:r>
      <w:bookmarkEnd w:id="368"/>
      <w:r>
        <w:rPr>
          <w:rFonts w:ascii="Times New Roman" w:hAnsi="Times New Roman" w:cs="Times New Roman"/>
          <w:sz w:val="24"/>
        </w:rPr>
        <w:t xml:space="preserve"> (2002), and Llurda (2016). In contrast, Grau’s (2008) research, which also examined pre-service (i.e. trainee) teachers, revealed divergent viewpoints. In line with the results of the current research, student teachers expressed a preference for prioritising international intelligibility as the overall aim of their future teaching (</w:t>
      </w:r>
      <w:r>
        <w:rPr>
          <w:rFonts w:ascii="Times New Roman" w:hAnsi="Times New Roman"/>
          <w:sz w:val="24"/>
        </w:rPr>
        <w:t>Seidlhofer</w:t>
      </w:r>
      <w:r>
        <w:rPr>
          <w:rFonts w:ascii="Times New Roman" w:hAnsi="Times New Roman" w:cs="Times New Roman"/>
          <w:sz w:val="24"/>
        </w:rPr>
        <w:t>, 2008).</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 xml:space="preserve">The formation of several teaching goals is likely a result of sampling. Grau (2008) and the current research recruited people who lacked any prior formal teaching experience.  Consequently, it is probable that they had a lower level of awareness of students’ practical requirements or attitudes towards NS norms compared to active teachers, who have shown a perception of fulfilling students’ demands as a main duty </w:t>
      </w:r>
      <w:bookmarkStart w:id="369" w:name="OLE_LINK162"/>
      <w:bookmarkStart w:id="370" w:name="OLE_LINK158"/>
      <w:r>
        <w:rPr>
          <w:rFonts w:ascii="Times New Roman" w:hAnsi="Times New Roman" w:cs="Times New Roman"/>
          <w:sz w:val="24"/>
        </w:rPr>
        <w:t>(</w:t>
      </w:r>
      <w:r>
        <w:rPr>
          <w:rFonts w:ascii="Times New Roman" w:hAnsi="Times New Roman" w:cs="Times New Roman"/>
          <w:color w:val="222222"/>
          <w:sz w:val="24"/>
          <w:shd w:val="clear" w:color="auto" w:fill="FFFFFF"/>
        </w:rPr>
        <w:t>Medgyes</w:t>
      </w:r>
      <w:bookmarkEnd w:id="369"/>
      <w:bookmarkEnd w:id="370"/>
      <w:r>
        <w:rPr>
          <w:rFonts w:ascii="Times New Roman" w:hAnsi="Times New Roman" w:cs="Times New Roman"/>
          <w:color w:val="222222"/>
          <w:sz w:val="24"/>
          <w:shd w:val="clear" w:color="auto" w:fill="FFFFFF"/>
        </w:rPr>
        <w:t>,</w:t>
      </w:r>
      <w:r>
        <w:rPr>
          <w:rFonts w:ascii="Times New Roman" w:hAnsi="Times New Roman" w:cs="Times New Roman"/>
          <w:sz w:val="24"/>
        </w:rPr>
        <w:t xml:space="preserve"> 2001). Put simply, </w:t>
      </w:r>
      <w:r>
        <w:rPr>
          <w:rFonts w:hint="eastAsia" w:ascii="Times New Roman" w:hAnsi="Times New Roman" w:cs="Times New Roman"/>
          <w:sz w:val="24"/>
        </w:rPr>
        <w:t>it</w:t>
      </w:r>
      <w:r>
        <w:rPr>
          <w:rFonts w:ascii="Times New Roman" w:hAnsi="Times New Roman" w:cs="Times New Roman"/>
          <w:sz w:val="24"/>
        </w:rPr>
        <w:t xml:space="preserve"> </w:t>
      </w:r>
      <w:r>
        <w:rPr>
          <w:rFonts w:hint="eastAsia" w:ascii="Times New Roman" w:hAnsi="Times New Roman" w:cs="Times New Roman"/>
          <w:sz w:val="24"/>
        </w:rPr>
        <w:t>seems</w:t>
      </w:r>
      <w:r>
        <w:rPr>
          <w:rFonts w:ascii="Times New Roman" w:hAnsi="Times New Roman" w:cs="Times New Roman"/>
          <w:sz w:val="24"/>
        </w:rPr>
        <w:t xml:space="preserve"> </w:t>
      </w:r>
      <w:r>
        <w:rPr>
          <w:rFonts w:hint="eastAsia" w:ascii="Times New Roman" w:hAnsi="Times New Roman" w:cs="Times New Roman"/>
          <w:sz w:val="24"/>
        </w:rPr>
        <w:t>that</w:t>
      </w:r>
      <w:r>
        <w:rPr>
          <w:rFonts w:ascii="Times New Roman" w:hAnsi="Times New Roman" w:cs="Times New Roman"/>
          <w:sz w:val="24"/>
        </w:rPr>
        <w:t xml:space="preserve"> </w:t>
      </w:r>
      <w:r>
        <w:rPr>
          <w:rFonts w:hint="eastAsia" w:ascii="Times New Roman" w:hAnsi="Times New Roman" w:cs="Times New Roman"/>
          <w:sz w:val="24"/>
        </w:rPr>
        <w:t>t</w:t>
      </w:r>
      <w:r>
        <w:rPr>
          <w:rFonts w:ascii="Times New Roman" w:hAnsi="Times New Roman" w:cs="Times New Roman"/>
          <w:sz w:val="24"/>
        </w:rPr>
        <w:t xml:space="preserve">eachers’ </w:t>
      </w:r>
      <w:r>
        <w:rPr>
          <w:rFonts w:hint="eastAsia" w:ascii="Times New Roman" w:hAnsi="Times New Roman" w:cs="Times New Roman"/>
          <w:sz w:val="24"/>
        </w:rPr>
        <w:t>teaching</w:t>
      </w:r>
      <w:r>
        <w:rPr>
          <w:rFonts w:ascii="Times New Roman" w:hAnsi="Times New Roman" w:cs="Times New Roman"/>
          <w:sz w:val="24"/>
        </w:rPr>
        <w:t xml:space="preserve"> planning usually differs from the actual classroom. At the same time, most trainee teachers do not realise or will ignore this </w:t>
      </w:r>
      <w:r>
        <w:rPr>
          <w:rFonts w:hint="eastAsia" w:ascii="Times New Roman" w:hAnsi="Times New Roman" w:cs="Times New Roman"/>
          <w:sz w:val="24"/>
        </w:rPr>
        <w:t>issue</w:t>
      </w:r>
      <w:r>
        <w:rPr>
          <w:rFonts w:ascii="Times New Roman" w:hAnsi="Times New Roman" w:cs="Times New Roman"/>
          <w:sz w:val="24"/>
        </w:rPr>
        <w:t>.</w:t>
      </w:r>
    </w:p>
    <w:p>
      <w:pPr>
        <w:pStyle w:val="38"/>
        <w:rPr>
          <w:lang w:bidi="ar"/>
        </w:rPr>
      </w:pPr>
      <w:bookmarkStart w:id="371" w:name="_Toc67257048"/>
      <w:bookmarkStart w:id="372" w:name="_Toc158754007"/>
    </w:p>
    <w:p>
      <w:pPr>
        <w:pStyle w:val="38"/>
      </w:pPr>
      <w:r>
        <w:rPr>
          <w:lang w:bidi="ar"/>
        </w:rPr>
        <w:t>Chapter S</w:t>
      </w:r>
      <w:r>
        <w:rPr>
          <w:rFonts w:hint="eastAsia"/>
          <w:lang w:bidi="ar"/>
        </w:rPr>
        <w:t>ix</w:t>
      </w:r>
      <w:r>
        <w:rPr>
          <w:lang w:bidi="ar"/>
        </w:rPr>
        <w:t>: Conclusion</w:t>
      </w:r>
      <w:bookmarkEnd w:id="371"/>
      <w:bookmarkEnd w:id="372"/>
    </w:p>
    <w:p>
      <w:pPr>
        <w:pStyle w:val="39"/>
      </w:pPr>
      <w:bookmarkStart w:id="373" w:name="_Toc158754008"/>
      <w:r>
        <w:t>6.1 Overview</w:t>
      </w:r>
      <w:bookmarkEnd w:id="373"/>
    </w:p>
    <w:p>
      <w:pPr>
        <w:widowControl/>
        <w:rPr>
          <w:rFonts w:ascii="Times New Roman" w:hAnsi="Times New Roman" w:cs="Times New Roman"/>
          <w:sz w:val="24"/>
        </w:rPr>
      </w:pPr>
      <w:bookmarkStart w:id="374" w:name="OLE_LINK58"/>
      <w:bookmarkStart w:id="375" w:name="OLE_LINK57"/>
      <w:r>
        <w:rPr>
          <w:rFonts w:ascii="Times New Roman" w:hAnsi="Times New Roman" w:cs="Times New Roman"/>
          <w:sz w:val="24"/>
        </w:rPr>
        <w:t>This research sought to examine the views of English among Chinese trainee teachers as learners and explore the correlation between their English learning experiences and their future teaching aspirations. The literature review aimed to provide a theoretical framework and empirical evidence to support the current investigation. This research sought to examine language and language acquisition from both a linguistic and socio-linguistic standpoint. Hence, the acquisition of English by individuals was influenced by broader societal settings, whereby linguistic ideologies played a role in shaping people’s views towards various forms of English. While this study did not explicitly use any prior research design, the examination of other comparable empirical studies allowed the researcher to get an understanding of the best suitable approach.</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The semi-structured interviews undertaken for this research revealed the ubiquitous presence of standard English ideology in Chinese English Language Teaching (ELT), whereby there is an excessive emphasis on the precise and proper use of the English language. Ten participants, who had encountered similar situations throughout their education, indicated rather unfavorable views of SE (standard English). At the same time, they would like to take NSE as their future teaching goal (they see NSE as different from SE).</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With the emphasis on English as an international lingua franca and its communicative role, there is a strong tendency among these trainee teachers to prioritize intelligibility and comprehensibility over accuracy in English language proficiency assessments. Nevertheless, it is worth mentioning that this propensity just indicated their preference instead of implementation in their real-world classrooms. This is because there was a noticeable disparity between theory and practice. While most participants did not criticize or belittle other non-native variations of English, none of them intended to incorporate non-native varieties into their own learning and teaching strategies.</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Hence, it may be said that the personal learning encounters of the student teachers enhanced their consciousness of English as an International Language (EIL) and fostered their comprehension of various English dialects, both in terms of linguistic aspects and socio-linguistic aspects. Consequently, they successfully implemented their own teaching frameworks, which deviated from the conventional native speaker paradigm used in English Language Teaching (ELT) in China. It is encouraging that the student teachers were making an effort to distance themselves from the impact of standard language philosophy. However, the ideological influence continued to impact them on a subconscious level, as seen by their failure to indicate the use of any non-native-speaker English (NNSE) in practical situations.</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Regarding the viewpoints of the learners, it is paradoxical that the participants themselves aimed to attain the language proficiency of native speakers. The disparity between their expectations of future students and themselves might be ascribed to their respective academic disciplines. The majority of participants began their English language expertise at university, an experience that greatly influenced their preference for English. On the one hand, they are far more motivated than other Non-English major students internally as they do not use English just as a means of communication but as a must for job hunting, making them take English learning more seriously. On the other hand, college education acted as an external resource to facilitate their acquisition of English information that is not accessible to other students.</w:t>
      </w:r>
    </w:p>
    <w:bookmarkEnd w:id="374"/>
    <w:bookmarkEnd w:id="375"/>
    <w:p>
      <w:pPr>
        <w:pStyle w:val="39"/>
      </w:pPr>
      <w:bookmarkStart w:id="376" w:name="_Toc158754009"/>
      <w:r>
        <w:t>6.2 Educational Implications</w:t>
      </w:r>
      <w:bookmarkEnd w:id="376"/>
    </w:p>
    <w:p>
      <w:pPr>
        <w:widowControl/>
        <w:rPr>
          <w:rFonts w:ascii="Times New Roman" w:hAnsi="Times New Roman" w:cs="Times New Roman"/>
          <w:sz w:val="24"/>
        </w:rPr>
      </w:pPr>
      <w:bookmarkStart w:id="377" w:name="OLE_LINK59"/>
      <w:bookmarkStart w:id="378" w:name="OLE_LINK60"/>
      <w:r>
        <w:rPr>
          <w:rFonts w:ascii="Times New Roman" w:hAnsi="Times New Roman" w:cs="Times New Roman"/>
          <w:sz w:val="24"/>
        </w:rPr>
        <w:t>Based on the aforementioned considerations, the practical consequences of this study may be examined from two perspectives: Chinese English Language Teaching (ELT) as a whole and the education of pre-service (i.e., trainee) teachers. The interview findings revealed that the increasing knowledge of different English dialects among student teachers might potentially lead to modifications in English teaching methods. Classroom experiences are essential for enhancing awareness among typical English learners. Chinese English learners, especially those pursuing English majors in university, tend to enroll in classes focusing only on linguistic elements, such as phonetics and lexicology. Under such conditions, their language understanding is insufficient to consider other viewpoints, let alone connect English with social situations.</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Therefore, it would be advantageous to provide a greater variety of English courses that are more applicable to real-life situations. As an example, the topic of discussion is Global English, focusing on the relationship between language and culture. Furthermore, the majority of students pursuing degrees other than English lack the opportunity to enroll in linguistically-focused English courses. Thus, it would be more rational and feasible to design courses that prioritize linguistic components by subdividing broad courses like college English into more specific and tangible sections. Subsequently, other elements might be systematically included during the four-year undergraduate programme.</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To effectively educate pre-service teachers, it is recommended to expand the curriculum beyond introductory courses that cover the general concept of “varieties of English.” Including more comprehensive programs focusing on specific varieties, such as English as a lingua franca (ELF) or Chinese English (CE), would be highly advantageous. This approach would provide student teachers with a more profound insight into diverse English forms beyond the standard native-speaker English (NSE). Consequently, they would be equipped to guide their students in utilizing English more flexibly, especially in diverse English as an International Language (EIL) settings. By broadening their knowledge and understanding of various varieties of English, pre-service teachers can better empower their students to navigate the complexities of English in global communication.</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Furthermore, as a prospective teacher, the researcher gained a fresh comprehension of how different forms of English are used in educational and social settings via the completion of this research project. The findings indicated the importance of enforcing Standard English (SE), particularly in oral communication, was relatively low in the participants’ future teaching strategies. This approach could be employed to foster students’ understanding of English as an International Language (EIL) and gradually enable them to recognize the varied usage of English in the modern world.</w:t>
      </w:r>
    </w:p>
    <w:p>
      <w:pPr>
        <w:widowControl/>
        <w:rPr>
          <w:rFonts w:ascii="Times New Roman" w:hAnsi="Times New Roman" w:cs="Times New Roman"/>
          <w:sz w:val="24"/>
        </w:rPr>
      </w:pPr>
    </w:p>
    <w:p>
      <w:pPr>
        <w:widowControl/>
        <w:rPr>
          <w:rFonts w:ascii="Times New Roman" w:hAnsi="Times New Roman" w:cs="Times New Roman"/>
          <w:sz w:val="24"/>
        </w:rPr>
      </w:pPr>
      <w:bookmarkStart w:id="379" w:name="OLE_LINK209"/>
      <w:bookmarkStart w:id="380" w:name="OLE_LINK210"/>
      <w:r>
        <w:rPr>
          <w:rFonts w:ascii="Times New Roman" w:hAnsi="Times New Roman" w:cs="Times New Roman"/>
          <w:sz w:val="24"/>
        </w:rPr>
        <w:t>In the context of Chinese English Language Teaching (ELT) and pre-service teacher education, the pedagogical implications revolve predominantly around the enhancement and refinement of curriculum design. A key consideration is reducing reliance on traditional accuracy-focused criteria and introducing a more authentic English as an International Language (EIL) environment. By shifting the focus towards fostering communicative competence and intercultural awareness, teachers can better prepare their students for real-world English language use in diverse global contexts.</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To achieve this, bridging the gap between theoretical concepts and practical implementation within the classroom is crucial. By aligning the curriculum with the principles of EIL, teachers can create learning experiences that reflect the dynamic nature of English as a global language. This involves incorporating authentic materials, promoting meaningful interaction, and encouraging the use of English as a tool for effective communication.</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Furthermore, reducing the dominance of standard language ideology is another crucial aspect to consider. This ideology often places disproportionate emphasis on native-speaker norms and standards, which may not always align with the realities of English language use in international contexts. By acknowledging and valuing the diverse varieties of English, such as World Englishes and English as a lingua franca, teachers can empower their students to become more flexible and confident communicators in a globalized world.</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The potential significance of this study lies in its ability to contribute to the ongoing discourse within Chinese ELT by advocating for a more inclusive and contextually relevant approach to English language teaching. By addressing the disparity between theory and practice, and by challenging the dominance of standard language ideology, this research offers practical insights that can inform curriculum development, teacher training, and ultimately enhance the effectiveness of English language education in China.</w:t>
      </w:r>
    </w:p>
    <w:bookmarkEnd w:id="377"/>
    <w:bookmarkEnd w:id="378"/>
    <w:bookmarkEnd w:id="379"/>
    <w:bookmarkEnd w:id="380"/>
    <w:p>
      <w:pPr>
        <w:pStyle w:val="39"/>
      </w:pPr>
      <w:bookmarkStart w:id="381" w:name="_Toc158754010"/>
      <w:r>
        <w:t>6.3 Recommendations for Further Research</w:t>
      </w:r>
      <w:bookmarkEnd w:id="381"/>
    </w:p>
    <w:p>
      <w:pPr>
        <w:widowControl/>
        <w:rPr>
          <w:rFonts w:ascii="Times New Roman" w:hAnsi="Times New Roman" w:cs="Times New Roman"/>
          <w:sz w:val="24"/>
        </w:rPr>
      </w:pPr>
      <w:bookmarkStart w:id="382" w:name="OLE_LINK62"/>
      <w:bookmarkStart w:id="383" w:name="OLE_LINK61"/>
      <w:r>
        <w:rPr>
          <w:rFonts w:ascii="Times New Roman" w:hAnsi="Times New Roman" w:cs="Times New Roman"/>
          <w:sz w:val="24"/>
        </w:rPr>
        <w:t>The preceding sections have shed light on the observable influence of experiences within English schools on the attitudes and beliefs of the participants. However, there remains a scarcity of data concerning their experiences beyond the confines of the classroom. It is important to recognize that their encounters in a foreign country encompass various facets, including social interactions, everyday contact with both native and non-native speakers, and other related factors. By delving into these actual experiences, a more comprehensive understanding can be gained regarding the extent to which these two forms of experience impact perceptions, as well as the potential synergistic effects that may arise from their interaction.</w:t>
      </w:r>
    </w:p>
    <w:p>
      <w:pPr>
        <w:widowControl/>
        <w:rPr>
          <w:rFonts w:ascii="Times New Roman" w:hAnsi="Times New Roman" w:cs="Times New Roman"/>
          <w:sz w:val="24"/>
        </w:rPr>
      </w:pPr>
    </w:p>
    <w:p>
      <w:pPr>
        <w:widowControl/>
        <w:rPr>
          <w:rFonts w:ascii="Times New Roman" w:hAnsi="Times New Roman" w:cs="Times New Roman"/>
          <w:sz w:val="24"/>
        </w:rPr>
      </w:pPr>
      <w:r>
        <w:rPr>
          <w:rFonts w:ascii="Times New Roman" w:hAnsi="Times New Roman" w:cs="Times New Roman"/>
          <w:sz w:val="24"/>
        </w:rPr>
        <w:t>Furthermore, an essential element to consider when examining learner perspectives pertains to the selected academic discipline, which has been shown to play a crucial role in the Chinese educational environment. Numerous studies have highlighted notable distinctions between students majoring in English and those pursuing other disciplines. For instance, Kirkpatrick and Xu (2002) found significant variations in learning goals between female English major students and male engineering majors at Chinese universities. Consequently, it becomes imperative to prioritize further exploration of this discrepancy and investigate how students personally perceive and navigate the implications of their chosen academic discipline. By gaining insights into these learners’ views, researchers can develop a deeper understanding of the distinct challenges and motivations faced by students in different academic disciplines, ultimately informing the development of more tailored and effective language learning approaches.</w:t>
      </w:r>
      <w:bookmarkEnd w:id="382"/>
      <w:bookmarkEnd w:id="383"/>
      <w:bookmarkStart w:id="384" w:name="_Toc158754011"/>
    </w:p>
    <w:p>
      <w:pPr>
        <w:widowControl/>
        <w:rPr>
          <w:rFonts w:ascii="Times New Roman" w:hAnsi="Times New Roman" w:cs="Times New Roman"/>
          <w:sz w:val="24"/>
        </w:rPr>
      </w:pPr>
    </w:p>
    <w:p>
      <w:pPr>
        <w:widowControl/>
        <w:rPr>
          <w:rFonts w:ascii="Times New Roman" w:hAnsi="Times New Roman" w:cs="Times New Roman"/>
          <w:sz w:val="24"/>
        </w:rPr>
      </w:pPr>
    </w:p>
    <w:p>
      <w:pPr>
        <w:widowControl/>
        <w:jc w:val="center"/>
        <w:rPr>
          <w:rFonts w:ascii="Times New Roman" w:hAnsi="Times New Roman" w:cs="Times New Roman"/>
          <w:b/>
          <w:bCs/>
          <w:sz w:val="24"/>
        </w:rPr>
      </w:pPr>
      <w:r>
        <w:rPr>
          <w:rFonts w:ascii="Times New Roman" w:hAnsi="Times New Roman" w:cs="Times New Roman"/>
          <w:b/>
          <w:bCs/>
          <w:sz w:val="24"/>
        </w:rPr>
        <w:t>References</w:t>
      </w:r>
      <w:bookmarkEnd w:id="384"/>
    </w:p>
    <w:p>
      <w:pPr>
        <w:rPr>
          <w:rFonts w:ascii="Times New Roman" w:hAnsi="Times New Roman" w:cs="Times New Roman"/>
          <w:color w:val="222222"/>
          <w:sz w:val="24"/>
          <w:shd w:val="clear" w:color="auto" w:fill="FFFFFF"/>
        </w:rPr>
      </w:pPr>
      <w:bookmarkStart w:id="385" w:name="OLE_LINK357"/>
    </w:p>
    <w:p>
      <w:pPr>
        <w:rPr>
          <w:rFonts w:ascii="Times New Roman" w:hAnsi="Times New Roman" w:eastAsia="宋体" w:cs="Times New Roman"/>
          <w:sz w:val="24"/>
        </w:rPr>
      </w:pPr>
      <w:r>
        <w:rPr>
          <w:rFonts w:ascii="Times New Roman" w:hAnsi="Times New Roman" w:cs="Times New Roman"/>
          <w:color w:val="222222"/>
          <w:sz w:val="24"/>
          <w:shd w:val="clear" w:color="auto" w:fill="FFFFFF"/>
        </w:rPr>
        <w:t xml:space="preserve">Adolphs, R. (2002) </w:t>
      </w:r>
      <w:r>
        <w:rPr>
          <w:rFonts w:ascii="Times New Roman" w:hAnsi="Times New Roman" w:cs="Times New Roman"/>
          <w:i/>
          <w:color w:val="222222"/>
          <w:sz w:val="24"/>
          <w:shd w:val="clear" w:color="auto" w:fill="FFFFFF"/>
        </w:rPr>
        <w:t>Neural systems for recognizing emotion</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Current opinion in neurobiology</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12</w:t>
      </w:r>
      <w:r>
        <w:rPr>
          <w:rFonts w:ascii="Times New Roman" w:hAnsi="Times New Roman" w:cs="Times New Roman"/>
          <w:color w:val="222222"/>
          <w:sz w:val="24"/>
          <w:shd w:val="clear" w:color="auto" w:fill="FFFFFF"/>
        </w:rPr>
        <w:t>(2), pp. 169-177.</w:t>
      </w:r>
    </w:p>
    <w:p>
      <w:pPr>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Akiba</w:t>
      </w:r>
      <w:bookmarkEnd w:id="385"/>
      <w:r>
        <w:rPr>
          <w:rFonts w:ascii="Times New Roman" w:hAnsi="Times New Roman" w:cs="Times New Roman"/>
          <w:color w:val="222222"/>
          <w:sz w:val="24"/>
          <w:shd w:val="clear" w:color="auto" w:fill="FFFFFF"/>
        </w:rPr>
        <w:t>, M. (</w:t>
      </w:r>
      <w:bookmarkStart w:id="386" w:name="OLE_LINK269"/>
      <w:bookmarkStart w:id="387" w:name="OLE_LINK270"/>
      <w:r>
        <w:rPr>
          <w:rFonts w:ascii="Times New Roman" w:hAnsi="Times New Roman" w:cs="Times New Roman"/>
          <w:color w:val="222222"/>
          <w:sz w:val="24"/>
          <w:shd w:val="clear" w:color="auto" w:fill="FFFFFF"/>
        </w:rPr>
        <w:t>2011</w:t>
      </w:r>
      <w:bookmarkEnd w:id="386"/>
      <w:bookmarkEnd w:id="387"/>
      <w:r>
        <w:rPr>
          <w:rFonts w:ascii="Times New Roman" w:hAnsi="Times New Roman" w:cs="Times New Roman"/>
          <w:color w:val="222222"/>
          <w:sz w:val="24"/>
          <w:shd w:val="clear" w:color="auto" w:fill="FFFFFF"/>
        </w:rPr>
        <w:t xml:space="preserve">) </w:t>
      </w:r>
      <w:r>
        <w:rPr>
          <w:rFonts w:ascii="Times New Roman" w:hAnsi="Times New Roman" w:cs="Times New Roman"/>
          <w:i/>
          <w:color w:val="222222"/>
          <w:sz w:val="24"/>
          <w:shd w:val="clear" w:color="auto" w:fill="FFFFFF"/>
        </w:rPr>
        <w:t>Identifying program characteristics for preparing pre-service teachers for diversity</w:t>
      </w:r>
      <w:r>
        <w:rPr>
          <w:rFonts w:ascii="Times New Roman" w:hAnsi="Times New Roman" w:cs="Times New Roman"/>
          <w:color w:val="222222"/>
          <w:sz w:val="24"/>
          <w:shd w:val="clear" w:color="auto" w:fill="FFFFFF"/>
        </w:rPr>
        <w:t xml:space="preserve">, </w:t>
      </w:r>
      <w:r>
        <w:rPr>
          <w:rFonts w:hint="eastAsia" w:ascii="Times New Roman" w:hAnsi="Times New Roman" w:cs="Times New Roman"/>
          <w:color w:val="222222"/>
          <w:sz w:val="24"/>
          <w:shd w:val="clear" w:color="auto" w:fill="FFFFFF"/>
        </w:rPr>
        <w:t>in</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Teachers College Record</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113</w:t>
      </w:r>
      <w:r>
        <w:rPr>
          <w:rFonts w:ascii="Times New Roman" w:hAnsi="Times New Roman" w:cs="Times New Roman"/>
          <w:color w:val="222222"/>
          <w:sz w:val="24"/>
          <w:shd w:val="clear" w:color="auto" w:fill="FFFFFF"/>
        </w:rPr>
        <w:t>(3), pp. 658-697.</w:t>
      </w:r>
    </w:p>
    <w:p>
      <w:pPr>
        <w:rPr>
          <w:rFonts w:ascii="Times New Roman" w:hAnsi="Times New Roman" w:eastAsia="宋体" w:cs="Times New Roman"/>
          <w:sz w:val="24"/>
        </w:rPr>
      </w:pPr>
      <w:bookmarkStart w:id="388" w:name="OLE_LINK130"/>
      <w:bookmarkStart w:id="389" w:name="OLE_LINK129"/>
      <w:r>
        <w:rPr>
          <w:rFonts w:ascii="Times New Roman" w:hAnsi="Times New Roman" w:cs="Times New Roman"/>
          <w:color w:val="222222"/>
          <w:sz w:val="24"/>
          <w:shd w:val="clear" w:color="auto" w:fill="FFFFFF"/>
        </w:rPr>
        <w:t>Aktinson</w:t>
      </w:r>
      <w:bookmarkEnd w:id="388"/>
      <w:bookmarkEnd w:id="389"/>
      <w:r>
        <w:rPr>
          <w:rFonts w:ascii="Times New Roman" w:hAnsi="Times New Roman" w:cs="Times New Roman"/>
          <w:color w:val="222222"/>
          <w:sz w:val="24"/>
          <w:shd w:val="clear" w:color="auto" w:fill="FFFFFF"/>
        </w:rPr>
        <w:t xml:space="preserve">, P., and Hammersley, M. (1998) </w:t>
      </w:r>
      <w:r>
        <w:rPr>
          <w:rFonts w:ascii="Times New Roman" w:hAnsi="Times New Roman" w:cs="Times New Roman"/>
          <w:i/>
          <w:color w:val="222222"/>
          <w:sz w:val="24"/>
          <w:shd w:val="clear" w:color="auto" w:fill="FFFFFF"/>
        </w:rPr>
        <w:t>Ethnography and participant observation</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Strategies of Qualitative Inquiry. Thousand Oaks: Sage</w:t>
      </w:r>
      <w:r>
        <w:rPr>
          <w:rFonts w:ascii="Times New Roman" w:hAnsi="Times New Roman" w:cs="Times New Roman"/>
          <w:color w:val="222222"/>
          <w:sz w:val="24"/>
          <w:shd w:val="clear" w:color="auto" w:fill="FFFFFF"/>
        </w:rPr>
        <w:t>, pp. 248-261.</w:t>
      </w:r>
    </w:p>
    <w:p>
      <w:pPr>
        <w:rPr>
          <w:rFonts w:ascii="Times New Roman" w:hAnsi="Times New Roman" w:cs="Times New Roman"/>
          <w:sz w:val="24"/>
        </w:rPr>
      </w:pPr>
      <w:bookmarkStart w:id="390" w:name="OLE_LINK112"/>
      <w:r>
        <w:rPr>
          <w:rFonts w:ascii="Times New Roman" w:hAnsi="Times New Roman" w:cs="Times New Roman"/>
          <w:color w:val="222222"/>
          <w:sz w:val="24"/>
          <w:shd w:val="clear" w:color="auto" w:fill="FFFFFF"/>
        </w:rPr>
        <w:t>Alharahsheh</w:t>
      </w:r>
      <w:bookmarkEnd w:id="390"/>
      <w:r>
        <w:rPr>
          <w:rFonts w:ascii="Times New Roman" w:hAnsi="Times New Roman" w:cs="Times New Roman"/>
          <w:color w:val="222222"/>
          <w:sz w:val="24"/>
          <w:shd w:val="clear" w:color="auto" w:fill="FFFFFF"/>
        </w:rPr>
        <w:t xml:space="preserve">, H. H., and </w:t>
      </w:r>
      <w:bookmarkStart w:id="391" w:name="OLE_LINK113"/>
      <w:r>
        <w:rPr>
          <w:rFonts w:ascii="Times New Roman" w:hAnsi="Times New Roman" w:cs="Times New Roman"/>
          <w:color w:val="222222"/>
          <w:sz w:val="24"/>
          <w:shd w:val="clear" w:color="auto" w:fill="FFFFFF"/>
        </w:rPr>
        <w:t>Pius</w:t>
      </w:r>
      <w:bookmarkEnd w:id="391"/>
      <w:r>
        <w:rPr>
          <w:rFonts w:ascii="Times New Roman" w:hAnsi="Times New Roman" w:cs="Times New Roman"/>
          <w:color w:val="222222"/>
          <w:sz w:val="24"/>
          <w:shd w:val="clear" w:color="auto" w:fill="FFFFFF"/>
        </w:rPr>
        <w:t xml:space="preserve">, A. (2020) </w:t>
      </w:r>
      <w:r>
        <w:rPr>
          <w:rFonts w:ascii="Times New Roman" w:hAnsi="Times New Roman" w:cs="Times New Roman"/>
          <w:i/>
          <w:color w:val="222222"/>
          <w:sz w:val="24"/>
          <w:shd w:val="clear" w:color="auto" w:fill="FFFFFF"/>
        </w:rPr>
        <w:t>A review of key paradigms: Positivism VS interpretivism</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Global Academic Journal of Humanities and Social Sciences</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2</w:t>
      </w:r>
      <w:r>
        <w:rPr>
          <w:rFonts w:ascii="Times New Roman" w:hAnsi="Times New Roman" w:cs="Times New Roman"/>
          <w:color w:val="222222"/>
          <w:sz w:val="24"/>
          <w:shd w:val="clear" w:color="auto" w:fill="FFFFFF"/>
        </w:rPr>
        <w:t xml:space="preserve">(3), </w:t>
      </w:r>
      <w:r>
        <w:rPr>
          <w:rFonts w:hint="eastAsia" w:ascii="Times New Roman" w:hAnsi="Times New Roman" w:cs="Times New Roman"/>
          <w:color w:val="222222"/>
          <w:sz w:val="24"/>
          <w:shd w:val="clear" w:color="auto" w:fill="FFFFFF"/>
        </w:rPr>
        <w:t>pp</w:t>
      </w:r>
      <w:r>
        <w:rPr>
          <w:rFonts w:ascii="Times New Roman" w:hAnsi="Times New Roman" w:cs="Times New Roman"/>
          <w:color w:val="222222"/>
          <w:sz w:val="24"/>
          <w:shd w:val="clear" w:color="auto" w:fill="FFFFFF"/>
        </w:rPr>
        <w:t>. 39-43.</w:t>
      </w:r>
    </w:p>
    <w:p>
      <w:pPr>
        <w:rPr>
          <w:rFonts w:ascii="Times New Roman" w:hAnsi="Times New Roman" w:cs="Times New Roman"/>
          <w:color w:val="222222"/>
          <w:sz w:val="24"/>
          <w:shd w:val="clear" w:color="auto" w:fill="FFFFFF"/>
        </w:rPr>
      </w:pPr>
      <w:bookmarkStart w:id="392" w:name="OLE_LINK70"/>
      <w:bookmarkStart w:id="393" w:name="OLE_LINK69"/>
      <w:r>
        <w:rPr>
          <w:rFonts w:ascii="Times New Roman" w:hAnsi="Times New Roman" w:cs="Times New Roman"/>
          <w:color w:val="222222"/>
          <w:sz w:val="24"/>
          <w:shd w:val="clear" w:color="auto" w:fill="FFFFFF"/>
        </w:rPr>
        <w:t>Alyousef</w:t>
      </w:r>
      <w:bookmarkEnd w:id="392"/>
      <w:bookmarkEnd w:id="393"/>
      <w:r>
        <w:rPr>
          <w:rFonts w:ascii="Times New Roman" w:hAnsi="Times New Roman" w:cs="Times New Roman"/>
          <w:color w:val="222222"/>
          <w:sz w:val="24"/>
          <w:shd w:val="clear" w:color="auto" w:fill="FFFFFF"/>
        </w:rPr>
        <w:t xml:space="preserve">, H. S. (2006) </w:t>
      </w:r>
      <w:r>
        <w:rPr>
          <w:rFonts w:ascii="Times New Roman" w:hAnsi="Times New Roman" w:cs="Times New Roman"/>
          <w:i/>
          <w:color w:val="222222"/>
          <w:sz w:val="24"/>
          <w:shd w:val="clear" w:color="auto" w:fill="FFFFFF"/>
        </w:rPr>
        <w:t>Teaching reading comprehension to ESL/EFL learners</w:t>
      </w:r>
      <w:r>
        <w:rPr>
          <w:rFonts w:ascii="Times New Roman" w:hAnsi="Times New Roman" w:cs="Times New Roman"/>
          <w:color w:val="222222"/>
          <w:sz w:val="24"/>
          <w:shd w:val="clear" w:color="auto" w:fill="FFFFFF"/>
        </w:rPr>
        <w:t xml:space="preserve">, </w:t>
      </w:r>
      <w:r>
        <w:rPr>
          <w:rFonts w:hint="eastAsia" w:ascii="Times New Roman" w:hAnsi="Times New Roman" w:cs="Times New Roman"/>
          <w:color w:val="222222"/>
          <w:sz w:val="24"/>
          <w:shd w:val="clear" w:color="auto" w:fill="FFFFFF"/>
        </w:rPr>
        <w:t>in</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Journal of language and learning</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5</w:t>
      </w:r>
      <w:r>
        <w:rPr>
          <w:rFonts w:ascii="Times New Roman" w:hAnsi="Times New Roman" w:cs="Times New Roman"/>
          <w:color w:val="222222"/>
          <w:sz w:val="24"/>
          <w:shd w:val="clear" w:color="auto" w:fill="FFFFFF"/>
        </w:rPr>
        <w:t>(1), pp. 63-73.</w:t>
      </w:r>
    </w:p>
    <w:p>
      <w:pPr>
        <w:rPr>
          <w:rFonts w:ascii="Times New Roman" w:hAnsi="Times New Roman" w:eastAsia="宋体" w:cs="Times New Roman"/>
          <w:sz w:val="24"/>
        </w:rPr>
      </w:pPr>
      <w:bookmarkStart w:id="394" w:name="OLE_LINK323"/>
      <w:r>
        <w:rPr>
          <w:rFonts w:ascii="Times New Roman" w:hAnsi="Times New Roman" w:cs="Times New Roman"/>
          <w:color w:val="222222"/>
          <w:sz w:val="24"/>
          <w:shd w:val="clear" w:color="auto" w:fill="FFFFFF"/>
        </w:rPr>
        <w:t xml:space="preserve">Braun, V., Clarke, V., and Hayfield, N. (2022) </w:t>
      </w:r>
      <w:r>
        <w:rPr>
          <w:rFonts w:ascii="Times New Roman" w:hAnsi="Times New Roman" w:cs="Times New Roman"/>
          <w:i/>
          <w:color w:val="222222"/>
          <w:sz w:val="24"/>
          <w:shd w:val="clear" w:color="auto" w:fill="FFFFFF"/>
        </w:rPr>
        <w:t>‘A starting point for your journey, not a map’: Nikki Hayfield in conversation with Virginia Braun and Victoria Clarke about thematic analysis</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Qualitative research in psychology</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19</w:t>
      </w:r>
      <w:r>
        <w:rPr>
          <w:rFonts w:ascii="Times New Roman" w:hAnsi="Times New Roman" w:cs="Times New Roman"/>
          <w:color w:val="222222"/>
          <w:sz w:val="24"/>
          <w:shd w:val="clear" w:color="auto" w:fill="FFFFFF"/>
        </w:rPr>
        <w:t>(2), pp. 424-445.</w:t>
      </w:r>
    </w:p>
    <w:p>
      <w:pPr>
        <w:widowControl/>
        <w:rPr>
          <w:rFonts w:ascii="Times New Roman" w:hAnsi="Times New Roman" w:cs="Times New Roman"/>
          <w:sz w:val="24"/>
        </w:rPr>
      </w:pPr>
      <w:r>
        <w:rPr>
          <w:rFonts w:ascii="Times New Roman" w:hAnsi="Times New Roman" w:cs="Times New Roman"/>
          <w:sz w:val="24"/>
        </w:rPr>
        <w:t>Brutt-Griffler</w:t>
      </w:r>
      <w:bookmarkEnd w:id="394"/>
      <w:r>
        <w:rPr>
          <w:rFonts w:ascii="Times New Roman" w:hAnsi="Times New Roman" w:cs="Times New Roman"/>
          <w:sz w:val="24"/>
        </w:rPr>
        <w:t>, J. (2002) </w:t>
      </w:r>
      <w:r>
        <w:rPr>
          <w:rFonts w:ascii="Times New Roman" w:hAnsi="Times New Roman" w:cs="Times New Roman"/>
          <w:i/>
          <w:iCs/>
          <w:sz w:val="24"/>
        </w:rPr>
        <w:t>World English: A study of its</w:t>
      </w:r>
      <w:r>
        <w:rPr>
          <w:rFonts w:ascii="Times New Roman" w:hAnsi="Times New Roman" w:cs="Times New Roman"/>
          <w:i/>
          <w:iCs/>
        </w:rPr>
        <w:t xml:space="preserve"> </w:t>
      </w:r>
      <w:r>
        <w:rPr>
          <w:rFonts w:ascii="Times New Roman" w:hAnsi="Times New Roman" w:cs="Times New Roman"/>
          <w:i/>
          <w:iCs/>
          <w:sz w:val="24"/>
        </w:rPr>
        <w:t>development</w:t>
      </w:r>
      <w:r>
        <w:rPr>
          <w:rFonts w:ascii="Times New Roman" w:hAnsi="Times New Roman" w:cs="Times New Roman"/>
          <w:sz w:val="24"/>
        </w:rPr>
        <w:t xml:space="preserve">, in </w:t>
      </w:r>
      <w:r>
        <w:rPr>
          <w:rFonts w:ascii="Times New Roman" w:hAnsi="Times New Roman" w:cs="Times New Roman"/>
          <w:i/>
          <w:sz w:val="24"/>
        </w:rPr>
        <w:t>Multilingual Matters</w:t>
      </w:r>
      <w:r>
        <w:rPr>
          <w:rFonts w:ascii="Times New Roman" w:hAnsi="Times New Roman" w:cs="Times New Roman"/>
          <w:sz w:val="24"/>
        </w:rPr>
        <w:t>.</w:t>
      </w:r>
    </w:p>
    <w:p>
      <w:pPr>
        <w:rPr>
          <w:rFonts w:ascii="Times New Roman" w:hAnsi="Times New Roman" w:cs="Times New Roman"/>
          <w:sz w:val="24"/>
        </w:rPr>
      </w:pPr>
      <w:bookmarkStart w:id="395" w:name="OLE_LINK306"/>
      <w:r>
        <w:rPr>
          <w:rFonts w:ascii="Times New Roman" w:hAnsi="Times New Roman" w:cs="Times New Roman"/>
          <w:color w:val="222222"/>
          <w:sz w:val="24"/>
          <w:shd w:val="clear" w:color="auto" w:fill="FFFFFF"/>
        </w:rPr>
        <w:t>Cushing</w:t>
      </w:r>
      <w:bookmarkEnd w:id="395"/>
      <w:r>
        <w:rPr>
          <w:rFonts w:ascii="Times New Roman" w:hAnsi="Times New Roman" w:cs="Times New Roman"/>
          <w:color w:val="222222"/>
          <w:sz w:val="24"/>
          <w:shd w:val="clear" w:color="auto" w:fill="FFFFFF"/>
        </w:rPr>
        <w:t xml:space="preserve">, I. (2021) </w:t>
      </w:r>
      <w:r>
        <w:rPr>
          <w:rFonts w:ascii="Times New Roman" w:hAnsi="Times New Roman" w:cs="Times New Roman"/>
          <w:i/>
          <w:color w:val="222222"/>
          <w:sz w:val="24"/>
          <w:shd w:val="clear" w:color="auto" w:fill="FFFFFF"/>
        </w:rPr>
        <w:t>‘Say it like the Queen’: the standard language ideology and language policy making in English primary schools</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Language, Culture and Curriculum</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34</w:t>
      </w:r>
      <w:r>
        <w:rPr>
          <w:rFonts w:ascii="Times New Roman" w:hAnsi="Times New Roman" w:cs="Times New Roman"/>
          <w:color w:val="222222"/>
          <w:sz w:val="24"/>
          <w:shd w:val="clear" w:color="auto" w:fill="FFFFFF"/>
        </w:rPr>
        <w:t>(3), pp. 321-336.</w:t>
      </w:r>
    </w:p>
    <w:p>
      <w:pPr>
        <w:rPr>
          <w:rFonts w:ascii="Times New Roman" w:hAnsi="Times New Roman" w:cs="Times New Roman"/>
          <w:color w:val="222222"/>
          <w:sz w:val="24"/>
          <w:shd w:val="clear" w:color="auto" w:fill="FFFFFF"/>
        </w:rPr>
      </w:pPr>
      <w:bookmarkStart w:id="396" w:name="OLE_LINK339"/>
      <w:r>
        <w:rPr>
          <w:rFonts w:ascii="Times New Roman" w:hAnsi="Times New Roman" w:cs="Times New Roman"/>
          <w:color w:val="222222"/>
          <w:sz w:val="24"/>
          <w:shd w:val="clear" w:color="auto" w:fill="FFFFFF"/>
        </w:rPr>
        <w:t>Davies</w:t>
      </w:r>
      <w:bookmarkEnd w:id="396"/>
      <w:r>
        <w:rPr>
          <w:rFonts w:ascii="Times New Roman" w:hAnsi="Times New Roman" w:cs="Times New Roman"/>
          <w:color w:val="222222"/>
          <w:sz w:val="24"/>
          <w:shd w:val="clear" w:color="auto" w:fill="FFFFFF"/>
        </w:rPr>
        <w:t xml:space="preserve">, A. (2006) </w:t>
      </w:r>
      <w:r>
        <w:rPr>
          <w:rFonts w:ascii="Times New Roman" w:hAnsi="Times New Roman" w:cs="Times New Roman"/>
          <w:i/>
          <w:color w:val="222222"/>
          <w:sz w:val="24"/>
          <w:shd w:val="clear" w:color="auto" w:fill="FFFFFF"/>
        </w:rPr>
        <w:t>What do learners really want from their EFL course?</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ELT journal</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60</w:t>
      </w:r>
      <w:r>
        <w:rPr>
          <w:rFonts w:ascii="Times New Roman" w:hAnsi="Times New Roman" w:cs="Times New Roman"/>
          <w:color w:val="222222"/>
          <w:sz w:val="24"/>
          <w:shd w:val="clear" w:color="auto" w:fill="FFFFFF"/>
        </w:rPr>
        <w:t>(1), pp. 3-12.</w:t>
      </w:r>
    </w:p>
    <w:p>
      <w:pPr>
        <w:rPr>
          <w:rFonts w:ascii="Times New Roman" w:hAnsi="Times New Roman" w:cs="Times New Roman"/>
          <w:sz w:val="24"/>
        </w:rPr>
      </w:pPr>
      <w:bookmarkStart w:id="397" w:name="OLE_LINK73"/>
      <w:bookmarkStart w:id="398" w:name="OLE_LINK74"/>
      <w:r>
        <w:rPr>
          <w:rFonts w:ascii="Times New Roman" w:hAnsi="Times New Roman" w:cs="Times New Roman"/>
          <w:color w:val="222222"/>
          <w:sz w:val="24"/>
          <w:shd w:val="clear" w:color="auto" w:fill="FFFFFF"/>
        </w:rPr>
        <w:t>Derakhshan</w:t>
      </w:r>
      <w:bookmarkEnd w:id="397"/>
      <w:bookmarkEnd w:id="398"/>
      <w:r>
        <w:rPr>
          <w:rFonts w:ascii="Times New Roman" w:hAnsi="Times New Roman" w:cs="Times New Roman"/>
          <w:color w:val="222222"/>
          <w:sz w:val="24"/>
          <w:shd w:val="clear" w:color="auto" w:fill="FFFFFF"/>
        </w:rPr>
        <w:t xml:space="preserve">, A., Khalili, A. N., and Beheshti, F. (2016) </w:t>
      </w:r>
      <w:r>
        <w:rPr>
          <w:rFonts w:ascii="Times New Roman" w:hAnsi="Times New Roman" w:cs="Times New Roman"/>
          <w:i/>
          <w:color w:val="222222"/>
          <w:sz w:val="24"/>
          <w:shd w:val="clear" w:color="auto" w:fill="FFFFFF"/>
        </w:rPr>
        <w:t>Developing EFL learner’s speaking ability, accuracy and fluency</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English Language and Literature Studies</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6</w:t>
      </w:r>
      <w:r>
        <w:rPr>
          <w:rFonts w:ascii="Times New Roman" w:hAnsi="Times New Roman" w:cs="Times New Roman"/>
          <w:color w:val="222222"/>
          <w:sz w:val="24"/>
          <w:shd w:val="clear" w:color="auto" w:fill="FFFFFF"/>
        </w:rPr>
        <w:t>(2), pp. 177-186.</w:t>
      </w:r>
    </w:p>
    <w:p>
      <w:pPr>
        <w:rPr>
          <w:rFonts w:ascii="Times New Roman" w:hAnsi="Times New Roman" w:cs="Times New Roman"/>
          <w:sz w:val="24"/>
        </w:rPr>
      </w:pPr>
      <w:r>
        <w:rPr>
          <w:rFonts w:ascii="Times New Roman" w:hAnsi="Times New Roman" w:cs="Times New Roman"/>
          <w:color w:val="222222"/>
          <w:sz w:val="24"/>
          <w:shd w:val="clear" w:color="auto" w:fill="FFFFFF"/>
        </w:rPr>
        <w:t>Della Porta, D., and Keating. (2008) </w:t>
      </w:r>
      <w:r>
        <w:rPr>
          <w:rFonts w:ascii="Times New Roman" w:hAnsi="Times New Roman" w:cs="Times New Roman"/>
          <w:i/>
          <w:iCs/>
          <w:color w:val="222222"/>
          <w:sz w:val="24"/>
          <w:shd w:val="clear" w:color="auto" w:fill="FFFFFF"/>
        </w:rPr>
        <w:t>Approaches and methodologies in the social sciences: A pluralist perspective</w:t>
      </w:r>
      <w:r>
        <w:rPr>
          <w:rFonts w:ascii="Times New Roman" w:hAnsi="Times New Roman" w:cs="Times New Roman"/>
          <w:color w:val="222222"/>
          <w:sz w:val="24"/>
          <w:shd w:val="clear" w:color="auto" w:fill="FFFFFF"/>
        </w:rPr>
        <w:t>. Cambridge University Press.</w:t>
      </w:r>
    </w:p>
    <w:p>
      <w:pPr>
        <w:rPr>
          <w:rFonts w:ascii="Times New Roman" w:hAnsi="Times New Roman" w:eastAsia="宋体" w:cs="Times New Roman"/>
          <w:sz w:val="24"/>
        </w:rPr>
      </w:pPr>
      <w:bookmarkStart w:id="399" w:name="OLE_LINK102"/>
      <w:bookmarkStart w:id="400" w:name="OLE_LINK103"/>
      <w:r>
        <w:rPr>
          <w:rFonts w:ascii="Times New Roman" w:hAnsi="Times New Roman" w:cs="Times New Roman"/>
          <w:color w:val="222222"/>
          <w:sz w:val="24"/>
          <w:shd w:val="clear" w:color="auto" w:fill="FFFFFF"/>
        </w:rPr>
        <w:t>Feagin</w:t>
      </w:r>
      <w:bookmarkEnd w:id="399"/>
      <w:bookmarkEnd w:id="400"/>
      <w:r>
        <w:rPr>
          <w:rFonts w:ascii="Times New Roman" w:hAnsi="Times New Roman" w:cs="Times New Roman"/>
          <w:color w:val="222222"/>
          <w:sz w:val="24"/>
          <w:shd w:val="clear" w:color="auto" w:fill="FFFFFF"/>
        </w:rPr>
        <w:t>, J. R., Orum, A. M., and Sjoberg, G. (2016) </w:t>
      </w:r>
      <w:r>
        <w:rPr>
          <w:rFonts w:ascii="Times New Roman" w:hAnsi="Times New Roman" w:cs="Times New Roman"/>
          <w:i/>
          <w:iCs/>
          <w:color w:val="222222"/>
          <w:sz w:val="24"/>
          <w:shd w:val="clear" w:color="auto" w:fill="FFFFFF"/>
        </w:rPr>
        <w:t>A case for the case study</w:t>
      </w:r>
      <w:r>
        <w:rPr>
          <w:rFonts w:ascii="Times New Roman" w:hAnsi="Times New Roman" w:cs="Times New Roman"/>
          <w:color w:val="222222"/>
          <w:sz w:val="24"/>
          <w:shd w:val="clear" w:color="auto" w:fill="FFFFFF"/>
        </w:rPr>
        <w:t>. UNC Press Books.</w:t>
      </w:r>
    </w:p>
    <w:p>
      <w:pPr>
        <w:rPr>
          <w:rFonts w:ascii="Times New Roman" w:hAnsi="Times New Roman" w:cs="Times New Roman"/>
          <w:sz w:val="24"/>
        </w:rPr>
      </w:pPr>
      <w:bookmarkStart w:id="401" w:name="OLE_LINK100"/>
      <w:bookmarkStart w:id="402" w:name="OLE_LINK101"/>
      <w:r>
        <w:rPr>
          <w:rFonts w:ascii="Times New Roman" w:hAnsi="Times New Roman" w:cs="Times New Roman"/>
          <w:color w:val="222222"/>
          <w:sz w:val="24"/>
          <w:shd w:val="clear" w:color="auto" w:fill="FFFFFF"/>
        </w:rPr>
        <w:t>Flyvbjerg</w:t>
      </w:r>
      <w:bookmarkEnd w:id="401"/>
      <w:bookmarkEnd w:id="402"/>
      <w:r>
        <w:rPr>
          <w:rFonts w:ascii="Times New Roman" w:hAnsi="Times New Roman" w:cs="Times New Roman"/>
          <w:color w:val="222222"/>
          <w:sz w:val="24"/>
          <w:shd w:val="clear" w:color="auto" w:fill="FFFFFF"/>
        </w:rPr>
        <w:t xml:space="preserve">, B. (2011) </w:t>
      </w:r>
      <w:r>
        <w:rPr>
          <w:rFonts w:ascii="Times New Roman" w:hAnsi="Times New Roman" w:cs="Times New Roman"/>
          <w:i/>
          <w:color w:val="222222"/>
          <w:sz w:val="24"/>
          <w:shd w:val="clear" w:color="auto" w:fill="FFFFFF"/>
        </w:rPr>
        <w:t>Case study</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The Sage handbook of qualitative research</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4</w:t>
      </w:r>
      <w:r>
        <w:rPr>
          <w:rFonts w:ascii="Times New Roman" w:hAnsi="Times New Roman" w:cs="Times New Roman"/>
          <w:color w:val="222222"/>
          <w:sz w:val="24"/>
          <w:shd w:val="clear" w:color="auto" w:fill="FFFFFF"/>
        </w:rPr>
        <w:t>, pp. 301-316.</w:t>
      </w:r>
    </w:p>
    <w:p>
      <w:pPr>
        <w:rPr>
          <w:rFonts w:ascii="Times New Roman" w:hAnsi="Times New Roman" w:cs="Times New Roman"/>
        </w:rPr>
      </w:pPr>
      <w:bookmarkStart w:id="403" w:name="OLE_LINK331"/>
      <w:r>
        <w:rPr>
          <w:rFonts w:ascii="Times New Roman" w:hAnsi="Times New Roman" w:cs="Times New Roman"/>
          <w:sz w:val="24"/>
        </w:rPr>
        <w:t>Hunt</w:t>
      </w:r>
      <w:bookmarkEnd w:id="403"/>
      <w:r>
        <w:rPr>
          <w:rFonts w:ascii="Times New Roman" w:hAnsi="Times New Roman" w:cs="Times New Roman"/>
          <w:sz w:val="24"/>
        </w:rPr>
        <w:t xml:space="preserve">, A., and </w:t>
      </w:r>
      <w:bookmarkStart w:id="404" w:name="OLE_LINK332"/>
      <w:r>
        <w:rPr>
          <w:rFonts w:ascii="Times New Roman" w:hAnsi="Times New Roman" w:cs="Times New Roman"/>
          <w:sz w:val="24"/>
        </w:rPr>
        <w:t>Beglar</w:t>
      </w:r>
      <w:bookmarkEnd w:id="404"/>
      <w:r>
        <w:rPr>
          <w:rFonts w:ascii="Times New Roman" w:hAnsi="Times New Roman" w:cs="Times New Roman"/>
          <w:sz w:val="24"/>
        </w:rPr>
        <w:t xml:space="preserve">, D. (2005) </w:t>
      </w:r>
      <w:r>
        <w:rPr>
          <w:rFonts w:ascii="Times New Roman" w:hAnsi="Times New Roman" w:cs="Times New Roman"/>
          <w:i/>
          <w:sz w:val="24"/>
        </w:rPr>
        <w:t>A framework for developing EFL reading vocabulary</w:t>
      </w:r>
      <w:r>
        <w:rPr>
          <w:rFonts w:ascii="Times New Roman" w:hAnsi="Times New Roman" w:cs="Times New Roman"/>
          <w:sz w:val="24"/>
        </w:rPr>
        <w:t xml:space="preserve">, in </w:t>
      </w:r>
      <w:r>
        <w:rPr>
          <w:rFonts w:ascii="Times New Roman" w:hAnsi="Times New Roman" w:cs="Times New Roman"/>
          <w:i/>
          <w:sz w:val="24"/>
        </w:rPr>
        <w:t>Reading in a foreign language</w:t>
      </w:r>
      <w:r>
        <w:rPr>
          <w:rFonts w:ascii="Times New Roman" w:hAnsi="Times New Roman" w:cs="Times New Roman"/>
          <w:sz w:val="24"/>
        </w:rPr>
        <w:t>, 17(1), pp. 23-59.</w:t>
      </w:r>
    </w:p>
    <w:p>
      <w:pPr>
        <w:rPr>
          <w:rFonts w:ascii="Times New Roman" w:hAnsi="Times New Roman" w:cs="Times New Roman"/>
          <w:color w:val="222222"/>
          <w:shd w:val="clear" w:color="auto" w:fill="FFFFFF"/>
        </w:rPr>
      </w:pPr>
      <w:bookmarkStart w:id="405" w:name="OLE_LINK324"/>
      <w:r>
        <w:rPr>
          <w:rFonts w:ascii="Times New Roman" w:hAnsi="Times New Roman" w:cs="Times New Roman"/>
          <w:color w:val="222222"/>
          <w:sz w:val="24"/>
          <w:shd w:val="clear" w:color="auto" w:fill="FFFFFF"/>
        </w:rPr>
        <w:t>Jenkins</w:t>
      </w:r>
      <w:bookmarkEnd w:id="405"/>
      <w:r>
        <w:rPr>
          <w:rFonts w:ascii="Times New Roman" w:hAnsi="Times New Roman" w:cs="Times New Roman"/>
          <w:color w:val="222222"/>
          <w:sz w:val="24"/>
          <w:shd w:val="clear" w:color="auto" w:fill="FFFFFF"/>
        </w:rPr>
        <w:t xml:space="preserve">, J. (2006) </w:t>
      </w:r>
      <w:r>
        <w:rPr>
          <w:rFonts w:ascii="Times New Roman" w:hAnsi="Times New Roman" w:cs="Times New Roman"/>
          <w:i/>
          <w:color w:val="222222"/>
          <w:sz w:val="24"/>
          <w:shd w:val="clear" w:color="auto" w:fill="FFFFFF"/>
        </w:rPr>
        <w:t>Current perspectives on teaching world Englishes and English as a lingua franca</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TESOL quarterly</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40</w:t>
      </w:r>
      <w:r>
        <w:rPr>
          <w:rFonts w:ascii="Times New Roman" w:hAnsi="Times New Roman" w:cs="Times New Roman"/>
          <w:color w:val="222222"/>
          <w:sz w:val="24"/>
          <w:shd w:val="clear" w:color="auto" w:fill="FFFFFF"/>
        </w:rPr>
        <w:t>(1), pp. 157-181.</w:t>
      </w:r>
    </w:p>
    <w:p>
      <w:pPr>
        <w:rPr>
          <w:rFonts w:ascii="Times New Roman" w:hAnsi="Times New Roman" w:cs="Times New Roman"/>
          <w:color w:val="222222"/>
          <w:shd w:val="clear" w:color="auto" w:fill="FFFFFF"/>
        </w:rPr>
      </w:pPr>
      <w:bookmarkStart w:id="406" w:name="OLE_LINK321"/>
      <w:r>
        <w:rPr>
          <w:rFonts w:ascii="Times New Roman" w:hAnsi="Times New Roman" w:cs="Times New Roman"/>
          <w:color w:val="222222"/>
          <w:sz w:val="24"/>
          <w:shd w:val="clear" w:color="auto" w:fill="FFFFFF"/>
        </w:rPr>
        <w:t>Kachru</w:t>
      </w:r>
      <w:bookmarkEnd w:id="406"/>
      <w:r>
        <w:rPr>
          <w:rFonts w:ascii="Times New Roman" w:hAnsi="Times New Roman" w:cs="Times New Roman"/>
          <w:color w:val="222222"/>
          <w:sz w:val="24"/>
          <w:shd w:val="clear" w:color="auto" w:fill="FFFFFF"/>
        </w:rPr>
        <w:t xml:space="preserve">, B. B. (1997) </w:t>
      </w:r>
      <w:r>
        <w:rPr>
          <w:rFonts w:ascii="Times New Roman" w:hAnsi="Times New Roman" w:cs="Times New Roman"/>
          <w:i/>
          <w:color w:val="222222"/>
          <w:sz w:val="24"/>
          <w:shd w:val="clear" w:color="auto" w:fill="FFFFFF"/>
        </w:rPr>
        <w:t>World Englishes and English-using communities</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Annual review of applied linguistics</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17</w:t>
      </w:r>
      <w:r>
        <w:rPr>
          <w:rFonts w:ascii="Times New Roman" w:hAnsi="Times New Roman" w:cs="Times New Roman"/>
          <w:color w:val="222222"/>
          <w:sz w:val="24"/>
          <w:shd w:val="clear" w:color="auto" w:fill="FFFFFF"/>
        </w:rPr>
        <w:t>, pp. 66-87.</w:t>
      </w:r>
    </w:p>
    <w:p>
      <w:pPr>
        <w:rPr>
          <w:rFonts w:ascii="Times New Roman" w:hAnsi="Times New Roman" w:cs="Times New Roman"/>
          <w:sz w:val="24"/>
        </w:rPr>
      </w:pPr>
      <w:bookmarkStart w:id="407" w:name="OLE_LINK472"/>
      <w:r>
        <w:rPr>
          <w:rFonts w:ascii="Times New Roman" w:hAnsi="Times New Roman" w:cs="Times New Roman"/>
          <w:sz w:val="24"/>
        </w:rPr>
        <w:t>Kohn</w:t>
      </w:r>
      <w:bookmarkEnd w:id="407"/>
      <w:r>
        <w:rPr>
          <w:rFonts w:ascii="Times New Roman" w:hAnsi="Times New Roman" w:cs="Times New Roman"/>
          <w:sz w:val="24"/>
        </w:rPr>
        <w:t>, K. (</w:t>
      </w:r>
      <w:bookmarkStart w:id="408" w:name="OLE_LINK296"/>
      <w:bookmarkStart w:id="409" w:name="OLE_LINK295"/>
      <w:r>
        <w:rPr>
          <w:rFonts w:ascii="Times New Roman" w:hAnsi="Times New Roman" w:cs="Times New Roman"/>
          <w:sz w:val="24"/>
        </w:rPr>
        <w:t>2011</w:t>
      </w:r>
      <w:bookmarkEnd w:id="408"/>
      <w:bookmarkEnd w:id="409"/>
      <w:r>
        <w:rPr>
          <w:rFonts w:ascii="Times New Roman" w:hAnsi="Times New Roman" w:cs="Times New Roman"/>
          <w:sz w:val="24"/>
        </w:rPr>
        <w:t xml:space="preserve">) </w:t>
      </w:r>
      <w:r>
        <w:rPr>
          <w:rFonts w:ascii="Times New Roman" w:hAnsi="Times New Roman" w:cs="Times New Roman"/>
          <w:i/>
          <w:sz w:val="24"/>
        </w:rPr>
        <w:t>English as a lingua franca and the Standard English misunderstanding:</w:t>
      </w:r>
      <w:r>
        <w:rPr>
          <w:rFonts w:ascii="Times New Roman" w:hAnsi="Times New Roman" w:cs="Times New Roman"/>
          <w:sz w:val="24"/>
        </w:rPr>
        <w:t xml:space="preserve"> </w:t>
      </w:r>
      <w:r>
        <w:rPr>
          <w:rFonts w:ascii="Times New Roman" w:hAnsi="Times New Roman" w:cs="Times New Roman"/>
          <w:i/>
          <w:sz w:val="24"/>
        </w:rPr>
        <w:t>English in Europe today</w:t>
      </w:r>
      <w:r>
        <w:rPr>
          <w:rFonts w:ascii="Times New Roman" w:hAnsi="Times New Roman" w:cs="Times New Roman"/>
          <w:sz w:val="24"/>
        </w:rPr>
        <w:t xml:space="preserve">, in </w:t>
      </w:r>
      <w:r>
        <w:rPr>
          <w:rFonts w:ascii="Times New Roman" w:hAnsi="Times New Roman" w:cs="Times New Roman"/>
          <w:i/>
          <w:sz w:val="24"/>
        </w:rPr>
        <w:t>Sociocultural and educational perspectives</w:t>
      </w:r>
      <w:r>
        <w:rPr>
          <w:rFonts w:ascii="Times New Roman" w:hAnsi="Times New Roman" w:cs="Times New Roman"/>
          <w:sz w:val="24"/>
        </w:rPr>
        <w:t>, pp. 71-94.</w:t>
      </w:r>
    </w:p>
    <w:p>
      <w:pPr>
        <w:rPr>
          <w:rFonts w:ascii="Times New Roman" w:hAnsi="Times New Roman" w:eastAsia="宋体" w:cs="Times New Roman"/>
          <w:sz w:val="24"/>
        </w:rPr>
      </w:pPr>
      <w:bookmarkStart w:id="410" w:name="OLE_LINK172"/>
      <w:r>
        <w:rPr>
          <w:rFonts w:ascii="Times New Roman" w:hAnsi="Times New Roman" w:cs="Times New Roman"/>
          <w:color w:val="222222"/>
          <w:sz w:val="24"/>
          <w:shd w:val="clear" w:color="auto" w:fill="FFFFFF"/>
        </w:rPr>
        <w:t>Kirkpatrick</w:t>
      </w:r>
      <w:bookmarkEnd w:id="410"/>
      <w:r>
        <w:rPr>
          <w:rFonts w:ascii="Times New Roman" w:hAnsi="Times New Roman" w:cs="Times New Roman"/>
          <w:color w:val="222222"/>
          <w:sz w:val="24"/>
          <w:shd w:val="clear" w:color="auto" w:fill="FFFFFF"/>
        </w:rPr>
        <w:t>, A. (2006) W</w:t>
      </w:r>
      <w:r>
        <w:rPr>
          <w:rFonts w:ascii="Times New Roman" w:hAnsi="Times New Roman" w:cs="Times New Roman"/>
          <w:i/>
          <w:color w:val="222222"/>
          <w:sz w:val="24"/>
          <w:shd w:val="clear" w:color="auto" w:fill="FFFFFF"/>
        </w:rPr>
        <w:t>hich Model of English: Native-speaker</w:t>
      </w:r>
      <w:r>
        <w:rPr>
          <w:rFonts w:ascii="Times New Roman" w:hAnsi="Times New Roman" w:cs="Times New Roman"/>
          <w:color w:val="222222"/>
          <w:sz w:val="24"/>
          <w:shd w:val="clear" w:color="auto" w:fill="FFFFFF"/>
        </w:rPr>
        <w:t xml:space="preserve">, </w:t>
      </w:r>
      <w:r>
        <w:rPr>
          <w:rFonts w:ascii="Times New Roman" w:hAnsi="Times New Roman" w:cs="Times New Roman"/>
          <w:i/>
          <w:color w:val="222222"/>
          <w:sz w:val="24"/>
          <w:shd w:val="clear" w:color="auto" w:fill="FFFFFF"/>
        </w:rPr>
        <w:t>Nativizecl or</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English in the world: Global rules, global roles</w:t>
      </w:r>
      <w:r>
        <w:rPr>
          <w:rFonts w:ascii="Times New Roman" w:hAnsi="Times New Roman" w:cs="Times New Roman"/>
          <w:color w:val="222222"/>
          <w:sz w:val="24"/>
          <w:shd w:val="clear" w:color="auto" w:fill="FFFFFF"/>
        </w:rPr>
        <w:t>, 71.</w:t>
      </w:r>
    </w:p>
    <w:p>
      <w:pPr>
        <w:rPr>
          <w:rFonts w:ascii="Times New Roman" w:hAnsi="Times New Roman" w:cs="Times New Roman"/>
          <w:sz w:val="24"/>
        </w:rPr>
      </w:pPr>
      <w:bookmarkStart w:id="411" w:name="OLE_LINK334"/>
      <w:bookmarkStart w:id="412" w:name="OLE_LINK333"/>
      <w:r>
        <w:rPr>
          <w:rFonts w:ascii="Times New Roman" w:hAnsi="Times New Roman" w:cs="Times New Roman"/>
          <w:sz w:val="24"/>
        </w:rPr>
        <w:t>Liton</w:t>
      </w:r>
      <w:bookmarkEnd w:id="411"/>
      <w:bookmarkEnd w:id="412"/>
      <w:r>
        <w:rPr>
          <w:rFonts w:ascii="Times New Roman" w:hAnsi="Times New Roman" w:cs="Times New Roman"/>
          <w:sz w:val="24"/>
        </w:rPr>
        <w:t xml:space="preserve">, H. A. (2012) </w:t>
      </w:r>
      <w:r>
        <w:rPr>
          <w:rFonts w:ascii="Times New Roman" w:hAnsi="Times New Roman" w:cs="Times New Roman"/>
          <w:i/>
          <w:sz w:val="24"/>
        </w:rPr>
        <w:t>Developing EFL teaching and learning practices in Saudi colleges: A review</w:t>
      </w:r>
      <w:r>
        <w:rPr>
          <w:rFonts w:ascii="Times New Roman" w:hAnsi="Times New Roman" w:cs="Times New Roman"/>
          <w:sz w:val="24"/>
        </w:rPr>
        <w:t xml:space="preserve">, in </w:t>
      </w:r>
      <w:r>
        <w:rPr>
          <w:rFonts w:ascii="Times New Roman" w:hAnsi="Times New Roman" w:cs="Times New Roman"/>
          <w:i/>
          <w:sz w:val="24"/>
        </w:rPr>
        <w:t>Online Submission</w:t>
      </w:r>
      <w:r>
        <w:rPr>
          <w:rFonts w:ascii="Times New Roman" w:hAnsi="Times New Roman" w:cs="Times New Roman"/>
          <w:sz w:val="24"/>
        </w:rPr>
        <w:t>, 5(2), pp. 129-152.</w:t>
      </w:r>
    </w:p>
    <w:p>
      <w:pPr>
        <w:rPr>
          <w:rFonts w:ascii="Times New Roman" w:hAnsi="Times New Roman" w:eastAsia="宋体" w:cs="Times New Roman"/>
          <w:sz w:val="24"/>
        </w:rPr>
      </w:pPr>
      <w:bookmarkStart w:id="413" w:name="OLE_LINK167"/>
      <w:r>
        <w:rPr>
          <w:rFonts w:ascii="Times New Roman" w:hAnsi="Times New Roman" w:cs="Times New Roman"/>
          <w:sz w:val="24"/>
        </w:rPr>
        <w:t>Llurda</w:t>
      </w:r>
      <w:bookmarkEnd w:id="413"/>
      <w:r>
        <w:rPr>
          <w:rFonts w:ascii="Times New Roman" w:hAnsi="Times New Roman" w:cs="Times New Roman"/>
          <w:sz w:val="24"/>
        </w:rPr>
        <w:t xml:space="preserve">, E. (2016) </w:t>
      </w:r>
      <w:r>
        <w:rPr>
          <w:rFonts w:ascii="Times New Roman" w:hAnsi="Times New Roman" w:cs="Times New Roman"/>
          <w:i/>
          <w:sz w:val="24"/>
        </w:rPr>
        <w:t>‘Native speakers’, English and ELT: Changing perspectives</w:t>
      </w:r>
      <w:r>
        <w:rPr>
          <w:rFonts w:ascii="Times New Roman" w:hAnsi="Times New Roman" w:cs="Times New Roman"/>
          <w:sz w:val="24"/>
        </w:rPr>
        <w:t xml:space="preserve">, in </w:t>
      </w:r>
      <w:r>
        <w:rPr>
          <w:rFonts w:ascii="Times New Roman" w:hAnsi="Times New Roman" w:cs="Times New Roman"/>
          <w:i/>
          <w:sz w:val="24"/>
        </w:rPr>
        <w:t>The Routledge handbook of English language teaching</w:t>
      </w:r>
      <w:r>
        <w:rPr>
          <w:rFonts w:ascii="Times New Roman" w:hAnsi="Times New Roman" w:cs="Times New Roman"/>
          <w:sz w:val="24"/>
        </w:rPr>
        <w:t>, pp. 51-63. Routledge.</w:t>
      </w:r>
    </w:p>
    <w:p>
      <w:pPr>
        <w:rPr>
          <w:rFonts w:ascii="Times New Roman" w:hAnsi="Times New Roman" w:cs="Times New Roman"/>
          <w:sz w:val="24"/>
        </w:rPr>
      </w:pPr>
      <w:bookmarkStart w:id="414" w:name="OLE_LINK303"/>
      <w:bookmarkStart w:id="415" w:name="OLE_LINK355"/>
      <w:bookmarkStart w:id="416" w:name="OLE_LINK345"/>
      <w:bookmarkStart w:id="417" w:name="OLE_LINK346"/>
      <w:r>
        <w:rPr>
          <w:rFonts w:ascii="Times New Roman" w:hAnsi="Times New Roman" w:cs="Times New Roman"/>
          <w:sz w:val="24"/>
        </w:rPr>
        <w:t>MacSwan</w:t>
      </w:r>
      <w:bookmarkEnd w:id="414"/>
      <w:r>
        <w:rPr>
          <w:rFonts w:ascii="Times New Roman" w:hAnsi="Times New Roman" w:cs="Times New Roman"/>
          <w:sz w:val="24"/>
        </w:rPr>
        <w:t>, J. (</w:t>
      </w:r>
      <w:bookmarkStart w:id="418" w:name="OLE_LINK304"/>
      <w:bookmarkStart w:id="419" w:name="OLE_LINK305"/>
      <w:r>
        <w:rPr>
          <w:rFonts w:ascii="Times New Roman" w:hAnsi="Times New Roman" w:cs="Times New Roman"/>
          <w:sz w:val="24"/>
        </w:rPr>
        <w:t>2020</w:t>
      </w:r>
      <w:bookmarkEnd w:id="418"/>
      <w:bookmarkEnd w:id="419"/>
      <w:r>
        <w:rPr>
          <w:rFonts w:ascii="Times New Roman" w:hAnsi="Times New Roman" w:cs="Times New Roman"/>
          <w:sz w:val="24"/>
        </w:rPr>
        <w:t xml:space="preserve">) </w:t>
      </w:r>
      <w:r>
        <w:rPr>
          <w:rFonts w:ascii="Times New Roman" w:hAnsi="Times New Roman" w:cs="Times New Roman"/>
          <w:i/>
          <w:sz w:val="24"/>
        </w:rPr>
        <w:t>Academic English as standard language ideology: A renewed research agenda for asset-based language education</w:t>
      </w:r>
      <w:r>
        <w:rPr>
          <w:rFonts w:ascii="Times New Roman" w:hAnsi="Times New Roman" w:cs="Times New Roman"/>
          <w:sz w:val="24"/>
        </w:rPr>
        <w:t xml:space="preserve">, </w:t>
      </w:r>
      <w:r>
        <w:rPr>
          <w:rFonts w:hint="eastAsia" w:ascii="Times New Roman" w:hAnsi="Times New Roman" w:cs="Times New Roman"/>
          <w:sz w:val="24"/>
        </w:rPr>
        <w:t>in</w:t>
      </w:r>
      <w:r>
        <w:rPr>
          <w:rFonts w:ascii="Times New Roman" w:hAnsi="Times New Roman" w:cs="Times New Roman"/>
          <w:sz w:val="24"/>
        </w:rPr>
        <w:t xml:space="preserve"> </w:t>
      </w:r>
      <w:r>
        <w:rPr>
          <w:rFonts w:ascii="Times New Roman" w:hAnsi="Times New Roman" w:cs="Times New Roman"/>
          <w:i/>
          <w:sz w:val="24"/>
        </w:rPr>
        <w:t>Language Teaching Research</w:t>
      </w:r>
      <w:r>
        <w:rPr>
          <w:rFonts w:ascii="Times New Roman" w:hAnsi="Times New Roman" w:cs="Times New Roman"/>
          <w:sz w:val="24"/>
        </w:rPr>
        <w:t>, 24(1), pp. 28-36.</w:t>
      </w:r>
    </w:p>
    <w:p>
      <w:pPr>
        <w:rPr>
          <w:rFonts w:ascii="Times New Roman" w:hAnsi="Times New Roman" w:cs="Times New Roman"/>
          <w:color w:val="222222"/>
          <w:sz w:val="24"/>
          <w:shd w:val="clear" w:color="auto" w:fill="FFFFFF"/>
        </w:rPr>
      </w:pPr>
      <w:bookmarkStart w:id="420" w:name="OLE_LINK173"/>
      <w:r>
        <w:rPr>
          <w:rFonts w:ascii="Times New Roman" w:hAnsi="Times New Roman" w:cs="Times New Roman"/>
          <w:color w:val="222222"/>
          <w:sz w:val="24"/>
          <w:shd w:val="clear" w:color="auto" w:fill="FFFFFF"/>
        </w:rPr>
        <w:t>Medgyes</w:t>
      </w:r>
      <w:bookmarkEnd w:id="420"/>
      <w:r>
        <w:rPr>
          <w:rFonts w:ascii="Times New Roman" w:hAnsi="Times New Roman" w:cs="Times New Roman"/>
          <w:color w:val="222222"/>
          <w:sz w:val="24"/>
          <w:shd w:val="clear" w:color="auto" w:fill="FFFFFF"/>
        </w:rPr>
        <w:t xml:space="preserve">, P. (2001) </w:t>
      </w:r>
      <w:r>
        <w:rPr>
          <w:rFonts w:ascii="Times New Roman" w:hAnsi="Times New Roman" w:cs="Times New Roman"/>
          <w:i/>
          <w:color w:val="222222"/>
          <w:sz w:val="24"/>
          <w:shd w:val="clear" w:color="auto" w:fill="FFFFFF"/>
        </w:rPr>
        <w:t>When the teacher is a non-native speaker</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Teaching English as a second or foreign language</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3</w:t>
      </w:r>
      <w:r>
        <w:rPr>
          <w:rFonts w:ascii="Times New Roman" w:hAnsi="Times New Roman" w:cs="Times New Roman"/>
          <w:color w:val="222222"/>
          <w:sz w:val="24"/>
          <w:shd w:val="clear" w:color="auto" w:fill="FFFFFF"/>
        </w:rPr>
        <w:t>, pp. 429-442.</w:t>
      </w:r>
    </w:p>
    <w:p>
      <w:pPr>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Miranda</w:t>
      </w:r>
      <w:bookmarkEnd w:id="415"/>
      <w:bookmarkEnd w:id="416"/>
      <w:bookmarkEnd w:id="417"/>
      <w:r>
        <w:rPr>
          <w:rFonts w:ascii="Times New Roman" w:hAnsi="Times New Roman" w:cs="Times New Roman"/>
          <w:color w:val="222222"/>
          <w:sz w:val="24"/>
          <w:shd w:val="clear" w:color="auto" w:fill="FFFFFF"/>
        </w:rPr>
        <w:t xml:space="preserve">, J. A., and </w:t>
      </w:r>
      <w:bookmarkStart w:id="421" w:name="OLE_LINK348"/>
      <w:bookmarkStart w:id="422" w:name="OLE_LINK356"/>
      <w:bookmarkStart w:id="423" w:name="OLE_LINK347"/>
      <w:r>
        <w:rPr>
          <w:rFonts w:ascii="Times New Roman" w:hAnsi="Times New Roman" w:cs="Times New Roman"/>
          <w:color w:val="222222"/>
          <w:sz w:val="24"/>
          <w:shd w:val="clear" w:color="auto" w:fill="FFFFFF"/>
        </w:rPr>
        <w:t>Wahyudin</w:t>
      </w:r>
      <w:bookmarkEnd w:id="421"/>
      <w:bookmarkEnd w:id="422"/>
      <w:bookmarkEnd w:id="423"/>
      <w:r>
        <w:rPr>
          <w:rFonts w:ascii="Times New Roman" w:hAnsi="Times New Roman" w:cs="Times New Roman"/>
          <w:color w:val="222222"/>
          <w:sz w:val="24"/>
          <w:shd w:val="clear" w:color="auto" w:fill="FFFFFF"/>
        </w:rPr>
        <w:t>, A. Y. (2023).</w:t>
      </w:r>
      <w:r>
        <w:rPr>
          <w:rFonts w:ascii="Times New Roman" w:hAnsi="Times New Roman" w:cs="Times New Roman"/>
          <w:i/>
          <w:color w:val="222222"/>
          <w:sz w:val="24"/>
          <w:shd w:val="clear" w:color="auto" w:fill="FFFFFF"/>
        </w:rPr>
        <w:t xml:space="preserve"> Pre-service teachers’ strategies in improving students’ speaking skills</w:t>
      </w:r>
      <w:r>
        <w:rPr>
          <w:rFonts w:ascii="Times New Roman" w:hAnsi="Times New Roman" w:cs="Times New Roman"/>
          <w:color w:val="222222"/>
          <w:sz w:val="24"/>
          <w:shd w:val="clear" w:color="auto" w:fill="FFFFFF"/>
        </w:rPr>
        <w:t>, in</w:t>
      </w:r>
      <w:r>
        <w:rPr>
          <w:rFonts w:hint="eastAsia" w:ascii="Times New Roman" w:hAnsi="Times New Roman" w:cs="Times New Roman"/>
          <w:color w:val="222222"/>
          <w:sz w:val="24"/>
          <w:shd w:val="clear" w:color="auto" w:fill="FFFFFF"/>
        </w:rPr>
        <w:t xml:space="preserve"> </w:t>
      </w:r>
      <w:r>
        <w:rPr>
          <w:rFonts w:ascii="Times New Roman" w:hAnsi="Times New Roman" w:cs="Times New Roman"/>
          <w:i/>
          <w:iCs/>
          <w:color w:val="222222"/>
          <w:sz w:val="24"/>
          <w:shd w:val="clear" w:color="auto" w:fill="FFFFFF"/>
        </w:rPr>
        <w:t>Journal of English Language Teaching and Learning</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4</w:t>
      </w:r>
      <w:r>
        <w:rPr>
          <w:rFonts w:ascii="Times New Roman" w:hAnsi="Times New Roman" w:cs="Times New Roman"/>
          <w:color w:val="222222"/>
          <w:sz w:val="24"/>
          <w:shd w:val="clear" w:color="auto" w:fill="FFFFFF"/>
        </w:rPr>
        <w:t>(1), pp. 40-47.</w:t>
      </w:r>
    </w:p>
    <w:p>
      <w:pPr>
        <w:rPr>
          <w:rFonts w:ascii="Times New Roman" w:hAnsi="Times New Roman" w:cs="Times New Roman"/>
          <w:sz w:val="24"/>
        </w:rPr>
      </w:pPr>
      <w:bookmarkStart w:id="424" w:name="OLE_LINK471"/>
      <w:r>
        <w:rPr>
          <w:rFonts w:ascii="Times New Roman" w:hAnsi="Times New Roman" w:cs="Times New Roman"/>
          <w:sz w:val="24"/>
        </w:rPr>
        <w:t>Milroy</w:t>
      </w:r>
      <w:bookmarkEnd w:id="424"/>
      <w:r>
        <w:rPr>
          <w:rFonts w:ascii="Times New Roman" w:hAnsi="Times New Roman" w:cs="Times New Roman"/>
          <w:sz w:val="24"/>
        </w:rPr>
        <w:t xml:space="preserve">, J. (2001) </w:t>
      </w:r>
      <w:r>
        <w:rPr>
          <w:rFonts w:ascii="Times New Roman" w:hAnsi="Times New Roman" w:cs="Times New Roman"/>
          <w:i/>
          <w:sz w:val="24"/>
        </w:rPr>
        <w:t>Language ideologies and the consequences of standardization</w:t>
      </w:r>
      <w:r>
        <w:rPr>
          <w:rFonts w:ascii="Times New Roman" w:hAnsi="Times New Roman" w:cs="Times New Roman"/>
          <w:sz w:val="24"/>
        </w:rPr>
        <w:t xml:space="preserve">, in </w:t>
      </w:r>
      <w:r>
        <w:rPr>
          <w:rFonts w:ascii="Times New Roman" w:hAnsi="Times New Roman" w:cs="Times New Roman"/>
          <w:i/>
          <w:sz w:val="24"/>
        </w:rPr>
        <w:t>Journal of sociolinguistics</w:t>
      </w:r>
      <w:r>
        <w:rPr>
          <w:rFonts w:ascii="Times New Roman" w:hAnsi="Times New Roman" w:cs="Times New Roman"/>
          <w:sz w:val="24"/>
        </w:rPr>
        <w:t>, 5(4), pp. 530-555.</w:t>
      </w:r>
    </w:p>
    <w:p>
      <w:pPr>
        <w:rPr>
          <w:rFonts w:ascii="Times New Roman" w:hAnsi="Times New Roman" w:cs="Times New Roman"/>
          <w:sz w:val="24"/>
        </w:rPr>
      </w:pPr>
      <w:bookmarkStart w:id="425" w:name="OLE_LINK108"/>
      <w:bookmarkStart w:id="426" w:name="OLE_LINK109"/>
      <w:r>
        <w:rPr>
          <w:rFonts w:ascii="Times New Roman" w:hAnsi="Times New Roman" w:cs="Times New Roman"/>
          <w:color w:val="222222"/>
          <w:sz w:val="24"/>
          <w:shd w:val="clear" w:color="auto" w:fill="FFFFFF"/>
        </w:rPr>
        <w:t>Miles</w:t>
      </w:r>
      <w:bookmarkEnd w:id="425"/>
      <w:bookmarkEnd w:id="426"/>
      <w:r>
        <w:rPr>
          <w:rFonts w:ascii="Times New Roman" w:hAnsi="Times New Roman" w:cs="Times New Roman"/>
          <w:color w:val="222222"/>
          <w:sz w:val="24"/>
          <w:shd w:val="clear" w:color="auto" w:fill="FFFFFF"/>
        </w:rPr>
        <w:t xml:space="preserve">, M. B., and </w:t>
      </w:r>
      <w:bookmarkStart w:id="427" w:name="OLE_LINK111"/>
      <w:bookmarkStart w:id="428" w:name="OLE_LINK110"/>
      <w:r>
        <w:rPr>
          <w:rFonts w:ascii="Times New Roman" w:hAnsi="Times New Roman" w:cs="Times New Roman"/>
          <w:color w:val="222222"/>
          <w:sz w:val="24"/>
          <w:shd w:val="clear" w:color="auto" w:fill="FFFFFF"/>
        </w:rPr>
        <w:t>Huberman</w:t>
      </w:r>
      <w:bookmarkEnd w:id="427"/>
      <w:bookmarkEnd w:id="428"/>
      <w:r>
        <w:rPr>
          <w:rFonts w:ascii="Times New Roman" w:hAnsi="Times New Roman" w:cs="Times New Roman"/>
          <w:color w:val="222222"/>
          <w:sz w:val="24"/>
          <w:shd w:val="clear" w:color="auto" w:fill="FFFFFF"/>
        </w:rPr>
        <w:t xml:space="preserve">, A. M. (1984) </w:t>
      </w:r>
      <w:r>
        <w:rPr>
          <w:rFonts w:ascii="Times New Roman" w:hAnsi="Times New Roman" w:cs="Times New Roman"/>
          <w:i/>
          <w:color w:val="222222"/>
          <w:sz w:val="24"/>
          <w:shd w:val="clear" w:color="auto" w:fill="FFFFFF"/>
        </w:rPr>
        <w:t>Drawing valid meaning from qualitative data: Toward a shared craft</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Educational researcher</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13</w:t>
      </w:r>
      <w:r>
        <w:rPr>
          <w:rFonts w:ascii="Times New Roman" w:hAnsi="Times New Roman" w:cs="Times New Roman"/>
          <w:color w:val="222222"/>
          <w:sz w:val="24"/>
          <w:shd w:val="clear" w:color="auto" w:fill="FFFFFF"/>
        </w:rPr>
        <w:t>(5), pp. 20-30.</w:t>
      </w:r>
    </w:p>
    <w:p>
      <w:pPr>
        <w:rPr>
          <w:rFonts w:ascii="Times New Roman" w:hAnsi="Times New Roman" w:eastAsia="宋体" w:cs="Times New Roman"/>
          <w:sz w:val="24"/>
        </w:rPr>
      </w:pPr>
      <w:bookmarkStart w:id="429" w:name="OLE_LINK193"/>
      <w:bookmarkStart w:id="430" w:name="OLE_LINK194"/>
      <w:r>
        <w:rPr>
          <w:rFonts w:ascii="Times New Roman" w:hAnsi="Times New Roman" w:cs="Times New Roman"/>
          <w:color w:val="222222"/>
          <w:sz w:val="24"/>
          <w:shd w:val="clear" w:color="auto" w:fill="FFFFFF"/>
        </w:rPr>
        <w:t>Mitchell</w:t>
      </w:r>
      <w:bookmarkEnd w:id="429"/>
      <w:bookmarkEnd w:id="430"/>
      <w:r>
        <w:rPr>
          <w:rFonts w:ascii="Times New Roman" w:hAnsi="Times New Roman" w:cs="Times New Roman"/>
          <w:color w:val="222222"/>
          <w:sz w:val="24"/>
          <w:shd w:val="clear" w:color="auto" w:fill="FFFFFF"/>
        </w:rPr>
        <w:t>, R., Myles, F., and Marsden, E. (2019) </w:t>
      </w:r>
      <w:r>
        <w:rPr>
          <w:rFonts w:ascii="Times New Roman" w:hAnsi="Times New Roman" w:cs="Times New Roman"/>
          <w:i/>
          <w:iCs/>
          <w:color w:val="222222"/>
          <w:sz w:val="24"/>
          <w:shd w:val="clear" w:color="auto" w:fill="FFFFFF"/>
        </w:rPr>
        <w:t>Second language learning theories</w:t>
      </w:r>
      <w:r>
        <w:rPr>
          <w:rFonts w:ascii="Times New Roman" w:hAnsi="Times New Roman" w:cs="Times New Roman"/>
          <w:color w:val="222222"/>
          <w:sz w:val="24"/>
          <w:shd w:val="clear" w:color="auto" w:fill="FFFFFF"/>
        </w:rPr>
        <w:t>. Routledge.</w:t>
      </w:r>
    </w:p>
    <w:p>
      <w:pPr>
        <w:rPr>
          <w:rFonts w:ascii="Times New Roman" w:hAnsi="Times New Roman" w:cs="Times New Roman"/>
          <w:color w:val="222222"/>
          <w:sz w:val="24"/>
          <w:shd w:val="clear" w:color="auto" w:fill="FFFFFF"/>
        </w:rPr>
      </w:pPr>
      <w:bookmarkStart w:id="431" w:name="OLE_LINK164"/>
      <w:r>
        <w:rPr>
          <w:rFonts w:ascii="Times New Roman" w:hAnsi="Times New Roman" w:cs="Times New Roman"/>
          <w:color w:val="222222"/>
          <w:sz w:val="24"/>
          <w:shd w:val="clear" w:color="auto" w:fill="FFFFFF"/>
        </w:rPr>
        <w:t>Mufwene</w:t>
      </w:r>
      <w:bookmarkEnd w:id="431"/>
      <w:r>
        <w:rPr>
          <w:rFonts w:ascii="Times New Roman" w:hAnsi="Times New Roman" w:cs="Times New Roman"/>
          <w:color w:val="222222"/>
          <w:sz w:val="24"/>
          <w:shd w:val="clear" w:color="auto" w:fill="FFFFFF"/>
        </w:rPr>
        <w:t xml:space="preserve">, S. S. (2010) </w:t>
      </w:r>
      <w:r>
        <w:rPr>
          <w:rFonts w:ascii="Times New Roman" w:hAnsi="Times New Roman" w:cs="Times New Roman"/>
          <w:i/>
          <w:color w:val="222222"/>
          <w:sz w:val="24"/>
          <w:shd w:val="clear" w:color="auto" w:fill="FFFFFF"/>
        </w:rPr>
        <w:t>Globalization, global English, and world English (es): Myths and facts</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The handbook of language and globalization</w:t>
      </w:r>
      <w:r>
        <w:rPr>
          <w:rFonts w:ascii="Times New Roman" w:hAnsi="Times New Roman" w:cs="Times New Roman"/>
          <w:color w:val="222222"/>
          <w:sz w:val="24"/>
          <w:shd w:val="clear" w:color="auto" w:fill="FFFFFF"/>
        </w:rPr>
        <w:t>, pp. 29-55.</w:t>
      </w:r>
    </w:p>
    <w:p>
      <w:pPr>
        <w:rPr>
          <w:rFonts w:ascii="Times New Roman" w:hAnsi="Times New Roman" w:cs="Times New Roman"/>
          <w:color w:val="222222"/>
          <w:shd w:val="clear" w:color="auto" w:fill="FFFFFF"/>
        </w:rPr>
      </w:pPr>
      <w:r>
        <w:rPr>
          <w:rFonts w:ascii="Times New Roman" w:hAnsi="Times New Roman" w:cs="Times New Roman"/>
          <w:color w:val="222222"/>
          <w:sz w:val="24"/>
          <w:shd w:val="clear" w:color="auto" w:fill="FFFFFF"/>
        </w:rPr>
        <w:t xml:space="preserve">Murtafiah, W. et, al. (2024) </w:t>
      </w:r>
      <w:r>
        <w:rPr>
          <w:rFonts w:ascii="Times New Roman" w:hAnsi="Times New Roman" w:cs="Times New Roman"/>
          <w:i/>
          <w:color w:val="222222"/>
          <w:sz w:val="24"/>
          <w:shd w:val="clear" w:color="auto" w:fill="FFFFFF"/>
        </w:rPr>
        <w:t>Decision making ability in solving differential equation problems figured out by pre-service teachers</w:t>
      </w:r>
      <w:r>
        <w:rPr>
          <w:rFonts w:ascii="Times New Roman" w:hAnsi="Times New Roman" w:cs="Times New Roman"/>
          <w:color w:val="222222"/>
          <w:sz w:val="24"/>
          <w:shd w:val="clear" w:color="auto" w:fill="FFFFFF"/>
        </w:rPr>
        <w:t xml:space="preserve">, in </w:t>
      </w:r>
      <w:r>
        <w:rPr>
          <w:rFonts w:ascii="Times New Roman" w:hAnsi="Times New Roman" w:cs="Times New Roman"/>
          <w:i/>
          <w:iCs/>
          <w:color w:val="222222"/>
          <w:sz w:val="24"/>
          <w:shd w:val="clear" w:color="auto" w:fill="FFFFFF"/>
        </w:rPr>
        <w:t>AIP Conference Proceedings</w:t>
      </w:r>
      <w:r>
        <w:rPr>
          <w:rFonts w:ascii="Times New Roman" w:hAnsi="Times New Roman" w:cs="Times New Roman"/>
          <w:color w:val="222222"/>
          <w:sz w:val="24"/>
          <w:shd w:val="clear" w:color="auto" w:fill="FFFFFF"/>
        </w:rPr>
        <w:t>. AIP Publishing.</w:t>
      </w:r>
    </w:p>
    <w:p>
      <w:pPr>
        <w:rPr>
          <w:rFonts w:ascii="Times New Roman" w:hAnsi="Times New Roman" w:cs="Times New Roman"/>
          <w:sz w:val="24"/>
        </w:rPr>
      </w:pPr>
      <w:r>
        <w:rPr>
          <w:rFonts w:ascii="Times New Roman" w:hAnsi="Times New Roman" w:cs="Times New Roman"/>
          <w:color w:val="222222"/>
          <w:sz w:val="24"/>
          <w:shd w:val="clear" w:color="auto" w:fill="FFFFFF"/>
        </w:rPr>
        <w:t xml:space="preserve">Oancea, A. E., and Punch, K. F. (2014) </w:t>
      </w:r>
      <w:r>
        <w:rPr>
          <w:rFonts w:ascii="Times New Roman" w:hAnsi="Times New Roman" w:cs="Times New Roman"/>
          <w:i/>
          <w:color w:val="222222"/>
          <w:sz w:val="24"/>
          <w:shd w:val="clear" w:color="auto" w:fill="FFFFFF"/>
        </w:rPr>
        <w:t>Introduction to research methods in education</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Introduction to Research Methods in Education</w:t>
      </w:r>
      <w:r>
        <w:rPr>
          <w:rFonts w:ascii="Times New Roman" w:hAnsi="Times New Roman" w:cs="Times New Roman"/>
          <w:color w:val="222222"/>
          <w:sz w:val="24"/>
          <w:shd w:val="clear" w:color="auto" w:fill="FFFFFF"/>
        </w:rPr>
        <w:t>, pp.1-448.</w:t>
      </w:r>
    </w:p>
    <w:p>
      <w:pPr>
        <w:rPr>
          <w:rFonts w:ascii="Times New Roman" w:hAnsi="Times New Roman" w:cs="Times New Roman"/>
          <w:sz w:val="24"/>
        </w:rPr>
      </w:pPr>
      <w:r>
        <w:rPr>
          <w:rFonts w:ascii="Times New Roman" w:hAnsi="Times New Roman" w:cs="Times New Roman"/>
          <w:color w:val="222222"/>
          <w:sz w:val="24"/>
          <w:shd w:val="clear" w:color="auto" w:fill="FFFFFF"/>
        </w:rPr>
        <w:t>O'donoghue, T. (2006) </w:t>
      </w:r>
      <w:r>
        <w:rPr>
          <w:rFonts w:ascii="Times New Roman" w:hAnsi="Times New Roman" w:cs="Times New Roman"/>
          <w:i/>
          <w:iCs/>
          <w:color w:val="222222"/>
          <w:sz w:val="24"/>
          <w:shd w:val="clear" w:color="auto" w:fill="FFFFFF"/>
        </w:rPr>
        <w:t>Planning your qualitative research project: An introduction to interpretivist research in education</w:t>
      </w:r>
      <w:r>
        <w:rPr>
          <w:rFonts w:ascii="Times New Roman" w:hAnsi="Times New Roman" w:cs="Times New Roman"/>
          <w:color w:val="222222"/>
          <w:sz w:val="24"/>
          <w:shd w:val="clear" w:color="auto" w:fill="FFFFFF"/>
        </w:rPr>
        <w:t>. Routledge.</w:t>
      </w:r>
    </w:p>
    <w:p>
      <w:pPr>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 xml:space="preserve">Reyes, M., Dominguez, G., and Escalera, S. (2011) </w:t>
      </w:r>
      <w:r>
        <w:rPr>
          <w:rFonts w:ascii="Times New Roman" w:hAnsi="Times New Roman" w:cs="Times New Roman"/>
          <w:i/>
          <w:color w:val="222222"/>
          <w:sz w:val="24"/>
          <w:shd w:val="clear" w:color="auto" w:fill="FFFFFF"/>
        </w:rPr>
        <w:t>Featureweighting in dynamic timewarping for gesture recognition in depth data</w:t>
      </w:r>
      <w:r>
        <w:rPr>
          <w:rFonts w:ascii="Times New Roman" w:hAnsi="Times New Roman" w:cs="Times New Roman"/>
          <w:color w:val="222222"/>
          <w:sz w:val="24"/>
          <w:shd w:val="clear" w:color="auto" w:fill="FFFFFF"/>
        </w:rPr>
        <w:t xml:space="preserve">, in </w:t>
      </w:r>
      <w:r>
        <w:rPr>
          <w:rFonts w:ascii="Times New Roman" w:hAnsi="Times New Roman" w:cs="Times New Roman"/>
          <w:i/>
          <w:iCs/>
          <w:color w:val="222222"/>
          <w:sz w:val="24"/>
          <w:shd w:val="clear" w:color="auto" w:fill="FFFFFF"/>
        </w:rPr>
        <w:t>2011 IEEE international conference on computer vision workshops (ICCV Workshops)</w:t>
      </w:r>
      <w:r>
        <w:rPr>
          <w:rFonts w:ascii="Times New Roman" w:hAnsi="Times New Roman" w:cs="Times New Roman"/>
          <w:color w:val="222222"/>
          <w:sz w:val="24"/>
          <w:shd w:val="clear" w:color="auto" w:fill="FFFFFF"/>
        </w:rPr>
        <w:t> , pp. 1182-1188. IEEE.</w:t>
      </w:r>
    </w:p>
    <w:p>
      <w:pPr>
        <w:rPr>
          <w:rFonts w:ascii="Times New Roman" w:hAnsi="Times New Roman" w:cs="Times New Roman"/>
          <w:color w:val="222222"/>
          <w:shd w:val="clear" w:color="auto" w:fill="FFFFFF"/>
        </w:rPr>
      </w:pPr>
      <w:bookmarkStart w:id="432" w:name="OLE_LINK352"/>
      <w:bookmarkStart w:id="433" w:name="OLE_LINK351"/>
      <w:r>
        <w:rPr>
          <w:rFonts w:ascii="Times New Roman" w:hAnsi="Times New Roman" w:cs="Times New Roman"/>
          <w:color w:val="222222"/>
          <w:sz w:val="24"/>
          <w:shd w:val="clear" w:color="auto" w:fill="FFFFFF"/>
        </w:rPr>
        <w:t>Reisoğlu</w:t>
      </w:r>
      <w:bookmarkEnd w:id="432"/>
      <w:bookmarkEnd w:id="433"/>
      <w:r>
        <w:rPr>
          <w:rFonts w:ascii="Times New Roman" w:hAnsi="Times New Roman" w:cs="Times New Roman"/>
          <w:color w:val="222222"/>
          <w:sz w:val="24"/>
          <w:shd w:val="clear" w:color="auto" w:fill="FFFFFF"/>
        </w:rPr>
        <w:t xml:space="preserve">, İ., and </w:t>
      </w:r>
      <w:bookmarkStart w:id="434" w:name="OLE_LINK353"/>
      <w:bookmarkStart w:id="435" w:name="OLE_LINK354"/>
      <w:r>
        <w:rPr>
          <w:rFonts w:ascii="Times New Roman" w:hAnsi="Times New Roman" w:cs="Times New Roman"/>
          <w:color w:val="222222"/>
          <w:sz w:val="24"/>
          <w:shd w:val="clear" w:color="auto" w:fill="FFFFFF"/>
        </w:rPr>
        <w:t>Çebi</w:t>
      </w:r>
      <w:bookmarkEnd w:id="434"/>
      <w:bookmarkEnd w:id="435"/>
      <w:r>
        <w:rPr>
          <w:rFonts w:ascii="Times New Roman" w:hAnsi="Times New Roman" w:cs="Times New Roman"/>
          <w:color w:val="222222"/>
          <w:sz w:val="24"/>
          <w:shd w:val="clear" w:color="auto" w:fill="FFFFFF"/>
        </w:rPr>
        <w:t>, A. (2020) H</w:t>
      </w:r>
      <w:r>
        <w:rPr>
          <w:rFonts w:ascii="Times New Roman" w:hAnsi="Times New Roman" w:cs="Times New Roman"/>
          <w:i/>
          <w:color w:val="222222"/>
          <w:sz w:val="24"/>
          <w:shd w:val="clear" w:color="auto" w:fill="FFFFFF"/>
        </w:rPr>
        <w:t>ow can the digital competences of pre-service teachers be developed? Examining a case study through the lens of DigComp and DigCompEdu</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Computers and Education</w:t>
      </w:r>
      <w:r>
        <w:rPr>
          <w:rFonts w:ascii="Times New Roman" w:hAnsi="Times New Roman" w:cs="Times New Roman"/>
          <w:color w:val="222222"/>
          <w:sz w:val="24"/>
          <w:shd w:val="clear" w:color="auto" w:fill="FFFFFF"/>
        </w:rPr>
        <w:t>, </w:t>
      </w:r>
      <w:r>
        <w:rPr>
          <w:rFonts w:ascii="Times New Roman" w:hAnsi="Times New Roman" w:cs="Times New Roman"/>
          <w:i/>
          <w:iCs/>
          <w:color w:val="222222"/>
          <w:sz w:val="24"/>
          <w:shd w:val="clear" w:color="auto" w:fill="FFFFFF"/>
        </w:rPr>
        <w:t>156</w:t>
      </w:r>
      <w:r>
        <w:rPr>
          <w:rFonts w:ascii="Times New Roman" w:hAnsi="Times New Roman" w:cs="Times New Roman"/>
          <w:color w:val="222222"/>
          <w:sz w:val="24"/>
          <w:shd w:val="clear" w:color="auto" w:fill="FFFFFF"/>
        </w:rPr>
        <w:t>, pp. 103-940.</w:t>
      </w:r>
    </w:p>
    <w:p>
      <w:pPr>
        <w:rPr>
          <w:rFonts w:ascii="Times New Roman" w:hAnsi="Times New Roman" w:eastAsia="宋体" w:cs="Times New Roman"/>
          <w:sz w:val="24"/>
        </w:rPr>
      </w:pPr>
      <w:bookmarkStart w:id="436" w:name="OLE_LINK161"/>
      <w:bookmarkStart w:id="437" w:name="OLE_LINK160"/>
      <w:r>
        <w:rPr>
          <w:rFonts w:ascii="Times New Roman" w:hAnsi="Times New Roman" w:cs="Times New Roman"/>
          <w:color w:val="222222"/>
          <w:sz w:val="24"/>
          <w:shd w:val="clear" w:color="auto" w:fill="FFFFFF"/>
        </w:rPr>
        <w:t>Ritchie</w:t>
      </w:r>
      <w:bookmarkEnd w:id="436"/>
      <w:bookmarkEnd w:id="437"/>
      <w:r>
        <w:rPr>
          <w:rFonts w:ascii="Times New Roman" w:hAnsi="Times New Roman" w:cs="Times New Roman"/>
          <w:color w:val="222222"/>
          <w:sz w:val="24"/>
          <w:shd w:val="clear" w:color="auto" w:fill="FFFFFF"/>
        </w:rPr>
        <w:t>, J., et, al. (2013). </w:t>
      </w:r>
      <w:r>
        <w:rPr>
          <w:rFonts w:ascii="Times New Roman" w:hAnsi="Times New Roman" w:cs="Times New Roman"/>
          <w:i/>
          <w:iCs/>
          <w:color w:val="222222"/>
          <w:sz w:val="24"/>
          <w:shd w:val="clear" w:color="auto" w:fill="FFFFFF"/>
        </w:rPr>
        <w:t>Qualitative research practice: A guide for social science students and researchers</w:t>
      </w:r>
      <w:r>
        <w:rPr>
          <w:rFonts w:ascii="Times New Roman" w:hAnsi="Times New Roman" w:cs="Times New Roman"/>
          <w:color w:val="222222"/>
          <w:sz w:val="24"/>
          <w:shd w:val="clear" w:color="auto" w:fill="FFFFFF"/>
        </w:rPr>
        <w:t>. sage.</w:t>
      </w:r>
    </w:p>
    <w:p>
      <w:pPr>
        <w:rPr>
          <w:rFonts w:ascii="Times New Roman" w:hAnsi="Times New Roman" w:cs="Times New Roman"/>
          <w:sz w:val="24"/>
        </w:rPr>
      </w:pPr>
      <w:r>
        <w:rPr>
          <w:rFonts w:ascii="Times New Roman" w:hAnsi="Times New Roman" w:cs="Times New Roman"/>
          <w:color w:val="222222"/>
          <w:sz w:val="24"/>
          <w:shd w:val="clear" w:color="auto" w:fill="FFFFFF"/>
        </w:rPr>
        <w:t xml:space="preserve">Richardson, V. (2003) </w:t>
      </w:r>
      <w:r>
        <w:rPr>
          <w:rFonts w:ascii="Times New Roman" w:hAnsi="Times New Roman" w:cs="Times New Roman"/>
          <w:i/>
          <w:color w:val="222222"/>
          <w:sz w:val="24"/>
          <w:shd w:val="clear" w:color="auto" w:fill="FFFFFF"/>
        </w:rPr>
        <w:t xml:space="preserve">Preservice teachers’ beliefs, </w:t>
      </w:r>
      <w:r>
        <w:rPr>
          <w:rFonts w:ascii="Times New Roman" w:hAnsi="Times New Roman" w:cs="Times New Roman"/>
          <w:color w:val="222222"/>
          <w:sz w:val="24"/>
          <w:shd w:val="clear" w:color="auto" w:fill="FFFFFF"/>
        </w:rPr>
        <w:t>in</w:t>
      </w:r>
      <w:r>
        <w:rPr>
          <w:rFonts w:ascii="Times New Roman" w:hAnsi="Times New Roman" w:cs="Times New Roman"/>
          <w:i/>
          <w:color w:val="222222"/>
          <w:sz w:val="24"/>
          <w:shd w:val="clear" w:color="auto" w:fill="FFFFFF"/>
        </w:rPr>
        <w:t> </w:t>
      </w:r>
      <w:r>
        <w:rPr>
          <w:rFonts w:ascii="Times New Roman" w:hAnsi="Times New Roman" w:cs="Times New Roman"/>
          <w:i/>
          <w:iCs/>
          <w:color w:val="222222"/>
          <w:sz w:val="24"/>
          <w:shd w:val="clear" w:color="auto" w:fill="FFFFFF"/>
        </w:rPr>
        <w:t>Teacher beliefs and classroom performance: The impact of teacher education</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6</w:t>
      </w:r>
      <w:r>
        <w:rPr>
          <w:rFonts w:ascii="Times New Roman" w:hAnsi="Times New Roman" w:cs="Times New Roman"/>
          <w:color w:val="222222"/>
          <w:sz w:val="24"/>
          <w:shd w:val="clear" w:color="auto" w:fill="FFFFFF"/>
        </w:rPr>
        <w:t>, pp. 1-22.</w:t>
      </w:r>
    </w:p>
    <w:p>
      <w:pPr>
        <w:rPr>
          <w:rFonts w:ascii="Times New Roman" w:hAnsi="Times New Roman" w:eastAsia="宋体" w:cs="Times New Roman"/>
          <w:sz w:val="24"/>
        </w:rPr>
      </w:pPr>
      <w:r>
        <w:rPr>
          <w:rFonts w:ascii="Times New Roman" w:hAnsi="Times New Roman" w:cs="Times New Roman"/>
          <w:color w:val="222222"/>
          <w:sz w:val="24"/>
          <w:shd w:val="clear" w:color="auto" w:fill="FFFFFF"/>
        </w:rPr>
        <w:t>Saville-Troike, M., and Barto, K. (2017) </w:t>
      </w:r>
      <w:r>
        <w:rPr>
          <w:rFonts w:ascii="Times New Roman" w:hAnsi="Times New Roman" w:cs="Times New Roman"/>
          <w:i/>
          <w:iCs/>
          <w:color w:val="222222"/>
          <w:sz w:val="24"/>
          <w:shd w:val="clear" w:color="auto" w:fill="FFFFFF"/>
        </w:rPr>
        <w:t>Introducing second language acquisition</w:t>
      </w:r>
      <w:r>
        <w:rPr>
          <w:rFonts w:ascii="Times New Roman" w:hAnsi="Times New Roman" w:cs="Times New Roman"/>
          <w:color w:val="222222"/>
          <w:sz w:val="24"/>
          <w:shd w:val="clear" w:color="auto" w:fill="FFFFFF"/>
        </w:rPr>
        <w:t>. Cambridge University Press.</w:t>
      </w:r>
    </w:p>
    <w:p>
      <w:pPr>
        <w:rPr>
          <w:rFonts w:ascii="Times New Roman" w:hAnsi="Times New Roman" w:cs="Times New Roman"/>
        </w:rPr>
      </w:pPr>
      <w:bookmarkStart w:id="438" w:name="OLE_LINK474"/>
      <w:r>
        <w:rPr>
          <w:rFonts w:ascii="Times New Roman" w:hAnsi="Times New Roman" w:cs="Times New Roman"/>
          <w:sz w:val="24"/>
        </w:rPr>
        <w:t>Seidlhofer</w:t>
      </w:r>
      <w:bookmarkEnd w:id="438"/>
      <w:r>
        <w:rPr>
          <w:rFonts w:ascii="Times New Roman" w:hAnsi="Times New Roman" w:cs="Times New Roman"/>
          <w:sz w:val="24"/>
        </w:rPr>
        <w:t xml:space="preserve">, B. (2017) </w:t>
      </w:r>
      <w:r>
        <w:rPr>
          <w:rFonts w:ascii="Times New Roman" w:hAnsi="Times New Roman" w:cs="Times New Roman"/>
          <w:i/>
          <w:sz w:val="24"/>
        </w:rPr>
        <w:t>Standard English and the dynamics of ELF variation</w:t>
      </w:r>
      <w:r>
        <w:rPr>
          <w:rFonts w:ascii="Times New Roman" w:hAnsi="Times New Roman" w:cs="Times New Roman"/>
          <w:sz w:val="24"/>
        </w:rPr>
        <w:t>, in</w:t>
      </w:r>
      <w:r>
        <w:rPr>
          <w:rFonts w:ascii="Times New Roman" w:hAnsi="Times New Roman" w:cs="Times New Roman"/>
          <w:i/>
          <w:sz w:val="24"/>
        </w:rPr>
        <w:t xml:space="preserve"> The Routledge handbook of English as a lingua franca</w:t>
      </w:r>
      <w:r>
        <w:rPr>
          <w:rFonts w:ascii="Times New Roman" w:hAnsi="Times New Roman" w:cs="Times New Roman"/>
          <w:sz w:val="24"/>
        </w:rPr>
        <w:t>, pp. 85-100. Routledge.</w:t>
      </w:r>
    </w:p>
    <w:p>
      <w:pPr>
        <w:rPr>
          <w:rFonts w:ascii="Times New Roman" w:hAnsi="Times New Roman" w:cs="Times New Roman"/>
          <w:sz w:val="24"/>
        </w:rPr>
      </w:pPr>
      <w:bookmarkStart w:id="439" w:name="OLE_LINK275"/>
      <w:bookmarkStart w:id="440" w:name="OLE_LINK274"/>
      <w:r>
        <w:rPr>
          <w:rFonts w:ascii="Times New Roman" w:hAnsi="Times New Roman" w:cs="Times New Roman"/>
          <w:color w:val="222222"/>
          <w:sz w:val="24"/>
          <w:shd w:val="clear" w:color="auto" w:fill="FFFFFF"/>
        </w:rPr>
        <w:t>Strevens</w:t>
      </w:r>
      <w:bookmarkEnd w:id="439"/>
      <w:bookmarkEnd w:id="440"/>
      <w:r>
        <w:rPr>
          <w:rFonts w:ascii="Times New Roman" w:hAnsi="Times New Roman" w:cs="Times New Roman"/>
          <w:color w:val="222222"/>
          <w:sz w:val="24"/>
          <w:shd w:val="clear" w:color="auto" w:fill="FFFFFF"/>
        </w:rPr>
        <w:t>, P. (</w:t>
      </w:r>
      <w:bookmarkStart w:id="441" w:name="OLE_LINK276"/>
      <w:bookmarkStart w:id="442" w:name="OLE_LINK277"/>
      <w:r>
        <w:rPr>
          <w:rFonts w:ascii="Times New Roman" w:hAnsi="Times New Roman" w:cs="Times New Roman"/>
          <w:color w:val="222222"/>
          <w:sz w:val="24"/>
          <w:shd w:val="clear" w:color="auto" w:fill="FFFFFF"/>
        </w:rPr>
        <w:t>1981</w:t>
      </w:r>
      <w:bookmarkEnd w:id="441"/>
      <w:bookmarkEnd w:id="442"/>
      <w:r>
        <w:rPr>
          <w:rFonts w:ascii="Times New Roman" w:hAnsi="Times New Roman" w:cs="Times New Roman"/>
          <w:color w:val="222222"/>
          <w:sz w:val="24"/>
          <w:shd w:val="clear" w:color="auto" w:fill="FFFFFF"/>
        </w:rPr>
        <w:t xml:space="preserve">) </w:t>
      </w:r>
      <w:r>
        <w:rPr>
          <w:rFonts w:ascii="Times New Roman" w:hAnsi="Times New Roman" w:cs="Times New Roman"/>
          <w:i/>
          <w:color w:val="222222"/>
          <w:sz w:val="24"/>
          <w:shd w:val="clear" w:color="auto" w:fill="FFFFFF"/>
        </w:rPr>
        <w:t>What Is' Standard English'?</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Relc Journal</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12</w:t>
      </w:r>
      <w:r>
        <w:rPr>
          <w:rFonts w:ascii="Times New Roman" w:hAnsi="Times New Roman" w:cs="Times New Roman"/>
          <w:color w:val="222222"/>
          <w:sz w:val="24"/>
          <w:shd w:val="clear" w:color="auto" w:fill="FFFFFF"/>
        </w:rPr>
        <w:t>(2), pp. 1-9.</w:t>
      </w:r>
    </w:p>
    <w:p>
      <w:pPr>
        <w:rPr>
          <w:rFonts w:ascii="Times New Roman" w:hAnsi="Times New Roman" w:cs="Times New Roman"/>
        </w:rPr>
      </w:pPr>
      <w:bookmarkStart w:id="443" w:name="OLE_LINK280"/>
      <w:bookmarkStart w:id="444" w:name="OLE_LINK281"/>
      <w:r>
        <w:rPr>
          <w:rFonts w:ascii="Times New Roman" w:hAnsi="Times New Roman" w:cs="Times New Roman"/>
          <w:sz w:val="24"/>
        </w:rPr>
        <w:t>Trudgill</w:t>
      </w:r>
      <w:bookmarkEnd w:id="443"/>
      <w:bookmarkEnd w:id="444"/>
      <w:r>
        <w:rPr>
          <w:rFonts w:ascii="Times New Roman" w:hAnsi="Times New Roman" w:cs="Times New Roman"/>
          <w:sz w:val="24"/>
        </w:rPr>
        <w:t xml:space="preserve">, P. (2002) </w:t>
      </w:r>
      <w:r>
        <w:rPr>
          <w:rFonts w:ascii="Times New Roman" w:hAnsi="Times New Roman" w:cs="Times New Roman"/>
          <w:i/>
          <w:sz w:val="24"/>
        </w:rPr>
        <w:t>Standard English: What it isn't. In Standard English</w:t>
      </w:r>
      <w:r>
        <w:rPr>
          <w:rFonts w:ascii="Times New Roman" w:hAnsi="Times New Roman" w:cs="Times New Roman"/>
          <w:sz w:val="24"/>
        </w:rPr>
        <w:t>, pp. 117-128. Routledge.</w:t>
      </w:r>
    </w:p>
    <w:p>
      <w:pPr>
        <w:rPr>
          <w:rFonts w:ascii="Times New Roman" w:hAnsi="Times New Roman" w:cs="Times New Roman"/>
          <w:sz w:val="24"/>
        </w:rPr>
      </w:pPr>
      <w:r>
        <w:rPr>
          <w:rFonts w:ascii="Times New Roman" w:hAnsi="Times New Roman" w:cs="Times New Roman"/>
          <w:color w:val="222222"/>
          <w:sz w:val="24"/>
          <w:shd w:val="clear" w:color="auto" w:fill="FFFFFF"/>
        </w:rPr>
        <w:t>Tajeddin, Z., Khatib, M., and Mahdavi, M. (2022)</w:t>
      </w:r>
      <w:r>
        <w:rPr>
          <w:rFonts w:ascii="Times New Roman" w:hAnsi="Times New Roman" w:cs="Times New Roman"/>
          <w:i/>
          <w:color w:val="222222"/>
          <w:sz w:val="24"/>
          <w:shd w:val="clear" w:color="auto" w:fill="FFFFFF"/>
        </w:rPr>
        <w:t xml:space="preserve"> Critical language assessment literacy of EFL teachers: Scale construction and validation</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Language Testing</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39</w:t>
      </w:r>
      <w:r>
        <w:rPr>
          <w:rFonts w:ascii="Times New Roman" w:hAnsi="Times New Roman" w:cs="Times New Roman"/>
          <w:color w:val="222222"/>
          <w:sz w:val="24"/>
          <w:shd w:val="clear" w:color="auto" w:fill="FFFFFF"/>
        </w:rPr>
        <w:t>(4), pp. 649-678.</w:t>
      </w:r>
    </w:p>
    <w:p>
      <w:pPr>
        <w:rPr>
          <w:rFonts w:ascii="Times New Roman" w:hAnsi="Times New Roman" w:cs="Times New Roman"/>
          <w:sz w:val="24"/>
        </w:rPr>
      </w:pPr>
      <w:bookmarkStart w:id="445" w:name="OLE_LINK317"/>
      <w:bookmarkStart w:id="446" w:name="OLE_LINK318"/>
      <w:bookmarkStart w:id="447" w:name="OLE_LINK473"/>
      <w:r>
        <w:rPr>
          <w:rFonts w:ascii="Times New Roman" w:hAnsi="Times New Roman" w:cs="Times New Roman"/>
          <w:sz w:val="24"/>
        </w:rPr>
        <w:t>Trudgill</w:t>
      </w:r>
      <w:bookmarkEnd w:id="445"/>
      <w:bookmarkEnd w:id="446"/>
      <w:bookmarkEnd w:id="447"/>
      <w:r>
        <w:rPr>
          <w:rFonts w:ascii="Times New Roman" w:hAnsi="Times New Roman" w:cs="Times New Roman"/>
          <w:sz w:val="24"/>
        </w:rPr>
        <w:t xml:space="preserve">, P., and Hannah, J. (2013) </w:t>
      </w:r>
      <w:r>
        <w:rPr>
          <w:rFonts w:ascii="Times New Roman" w:hAnsi="Times New Roman" w:cs="Times New Roman"/>
          <w:i/>
          <w:sz w:val="24"/>
        </w:rPr>
        <w:t>International English: A guide to the varieties of standard English</w:t>
      </w:r>
      <w:r>
        <w:rPr>
          <w:rFonts w:ascii="Times New Roman" w:hAnsi="Times New Roman" w:cs="Times New Roman"/>
          <w:sz w:val="24"/>
        </w:rPr>
        <w:t>. Routledge.</w:t>
      </w:r>
    </w:p>
    <w:p>
      <w:pPr>
        <w:rPr>
          <w:rFonts w:ascii="Times New Roman" w:hAnsi="Times New Roman" w:cs="Times New Roman"/>
          <w:color w:val="222222"/>
          <w:sz w:val="24"/>
          <w:shd w:val="clear" w:color="auto" w:fill="FFFFFF"/>
        </w:rPr>
      </w:pPr>
      <w:bookmarkStart w:id="448" w:name="OLE_LINK171"/>
      <w:r>
        <w:rPr>
          <w:rFonts w:ascii="Times New Roman" w:hAnsi="Times New Roman" w:cs="Times New Roman"/>
          <w:color w:val="222222"/>
          <w:sz w:val="24"/>
          <w:shd w:val="clear" w:color="auto" w:fill="FFFFFF"/>
        </w:rPr>
        <w:t>Timmis</w:t>
      </w:r>
      <w:bookmarkEnd w:id="448"/>
      <w:r>
        <w:rPr>
          <w:rFonts w:ascii="Times New Roman" w:hAnsi="Times New Roman" w:cs="Times New Roman"/>
          <w:color w:val="222222"/>
          <w:sz w:val="24"/>
          <w:shd w:val="clear" w:color="auto" w:fill="FFFFFF"/>
        </w:rPr>
        <w:t xml:space="preserve">, I. (2002) </w:t>
      </w:r>
      <w:r>
        <w:rPr>
          <w:rFonts w:ascii="Times New Roman" w:hAnsi="Times New Roman" w:cs="Times New Roman"/>
          <w:i/>
          <w:color w:val="222222"/>
          <w:sz w:val="24"/>
          <w:shd w:val="clear" w:color="auto" w:fill="FFFFFF"/>
        </w:rPr>
        <w:t>Native</w:t>
      </w:r>
      <w:r>
        <w:rPr>
          <w:rFonts w:ascii="Cambria Math" w:hAnsi="Cambria Math" w:cs="Cambria Math"/>
          <w:i/>
          <w:color w:val="222222"/>
          <w:sz w:val="24"/>
          <w:shd w:val="clear" w:color="auto" w:fill="FFFFFF"/>
        </w:rPr>
        <w:t>‐</w:t>
      </w:r>
      <w:r>
        <w:rPr>
          <w:rFonts w:ascii="Times New Roman" w:hAnsi="Times New Roman" w:cs="Times New Roman"/>
          <w:i/>
          <w:color w:val="222222"/>
          <w:sz w:val="24"/>
          <w:shd w:val="clear" w:color="auto" w:fill="FFFFFF"/>
        </w:rPr>
        <w:t>speaker norms and International English: a classroom view</w:t>
      </w:r>
      <w:r>
        <w:rPr>
          <w:rFonts w:ascii="Times New Roman" w:hAnsi="Times New Roman" w:cs="Times New Roman"/>
          <w:color w:val="222222"/>
          <w:sz w:val="24"/>
          <w:shd w:val="clear" w:color="auto" w:fill="FFFFFF"/>
        </w:rPr>
        <w:t>, in </w:t>
      </w:r>
      <w:r>
        <w:rPr>
          <w:rFonts w:ascii="Times New Roman" w:hAnsi="Times New Roman" w:cs="Times New Roman"/>
          <w:i/>
          <w:iCs/>
          <w:color w:val="222222"/>
          <w:sz w:val="24"/>
          <w:shd w:val="clear" w:color="auto" w:fill="FFFFFF"/>
        </w:rPr>
        <w:t>ELT journal</w:t>
      </w:r>
      <w:r>
        <w:rPr>
          <w:rFonts w:ascii="Times New Roman" w:hAnsi="Times New Roman" w:cs="Times New Roman"/>
          <w:color w:val="222222"/>
          <w:sz w:val="24"/>
          <w:shd w:val="clear" w:color="auto" w:fill="FFFFFF"/>
        </w:rPr>
        <w:t>, </w:t>
      </w:r>
      <w:r>
        <w:rPr>
          <w:rFonts w:ascii="Times New Roman" w:hAnsi="Times New Roman" w:cs="Times New Roman"/>
          <w:iCs/>
          <w:color w:val="222222"/>
          <w:sz w:val="24"/>
          <w:shd w:val="clear" w:color="auto" w:fill="FFFFFF"/>
        </w:rPr>
        <w:t>56</w:t>
      </w:r>
      <w:r>
        <w:rPr>
          <w:rFonts w:ascii="Times New Roman" w:hAnsi="Times New Roman" w:cs="Times New Roman"/>
          <w:color w:val="222222"/>
          <w:sz w:val="24"/>
          <w:shd w:val="clear" w:color="auto" w:fill="FFFFFF"/>
        </w:rPr>
        <w:t>(3), pp. 240-249.</w:t>
      </w:r>
    </w:p>
    <w:p>
      <w:pPr>
        <w:rPr>
          <w:rFonts w:ascii="Times New Roman" w:hAnsi="Times New Roman" w:cs="Times New Roman"/>
          <w:sz w:val="24"/>
        </w:rPr>
      </w:pPr>
      <w:bookmarkStart w:id="449" w:name="OLE_LINK330"/>
      <w:r>
        <w:rPr>
          <w:rFonts w:ascii="Times New Roman" w:hAnsi="Times New Roman" w:cs="Times New Roman"/>
          <w:sz w:val="24"/>
        </w:rPr>
        <w:t>Zheng</w:t>
      </w:r>
      <w:bookmarkEnd w:id="449"/>
      <w:r>
        <w:rPr>
          <w:rFonts w:ascii="Times New Roman" w:hAnsi="Times New Roman" w:cs="Times New Roman"/>
          <w:sz w:val="24"/>
        </w:rPr>
        <w:t xml:space="preserve">, H. (2009) </w:t>
      </w:r>
      <w:r>
        <w:rPr>
          <w:rFonts w:ascii="Times New Roman" w:hAnsi="Times New Roman" w:cs="Times New Roman"/>
          <w:i/>
          <w:sz w:val="24"/>
        </w:rPr>
        <w:t>A review of research on EFL pre-service teachers' beliefs and practices</w:t>
      </w:r>
      <w:r>
        <w:rPr>
          <w:rFonts w:ascii="Times New Roman" w:hAnsi="Times New Roman" w:cs="Times New Roman"/>
          <w:sz w:val="24"/>
        </w:rPr>
        <w:t>.</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38"/>
      </w:pPr>
      <w:bookmarkStart w:id="450" w:name="OLE_LINK434"/>
      <w:bookmarkStart w:id="451" w:name="_Toc158754012"/>
      <w:bookmarkStart w:id="452" w:name="OLE_LINK435"/>
      <w:r>
        <w:t>A</w:t>
      </w:r>
      <w:r>
        <w:rPr>
          <w:rFonts w:hint="eastAsia"/>
        </w:rPr>
        <w:t>ppendix</w:t>
      </w:r>
      <w:r>
        <w:t xml:space="preserve"> 1: E</w:t>
      </w:r>
      <w:r>
        <w:rPr>
          <w:rFonts w:hint="eastAsia"/>
        </w:rPr>
        <w:t>thics</w:t>
      </w:r>
      <w:r>
        <w:t xml:space="preserve"> F</w:t>
      </w:r>
      <w:r>
        <w:rPr>
          <w:rFonts w:hint="eastAsia"/>
        </w:rPr>
        <w:t>orm</w:t>
      </w:r>
      <w:bookmarkEnd w:id="450"/>
      <w:bookmarkEnd w:id="451"/>
      <w:bookmarkEnd w:id="452"/>
    </w:p>
    <w:p>
      <w:pPr>
        <w:tabs>
          <w:tab w:val="left" w:pos="5103"/>
        </w:tabs>
        <w:jc w:val="center"/>
        <w:rPr>
          <w:rFonts w:ascii="Arial" w:hAnsi="Arial" w:cs="Arial"/>
          <w:b/>
          <w:bCs/>
        </w:rPr>
      </w:pPr>
      <w:r>
        <w:rPr>
          <w:rFonts w:ascii="Arial" w:hAnsi="Arial" w:cs="Arial"/>
          <w:b/>
          <w:bCs/>
        </w:rPr>
        <w:t>APPLICATION FOR ETHICAL APPROVAL</w:t>
      </w:r>
    </w:p>
    <w:p>
      <w:pPr>
        <w:tabs>
          <w:tab w:val="left" w:pos="5103"/>
        </w:tabs>
        <w:jc w:val="center"/>
        <w:rPr>
          <w:rFonts w:ascii="Arial" w:hAnsi="Arial" w:cs="Arial"/>
          <w:b/>
          <w:bCs/>
        </w:rPr>
      </w:pPr>
    </w:p>
    <w:tbl>
      <w:tblPr>
        <w:tblStyle w:val="25"/>
        <w:tblW w:w="948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487"/>
      </w:tblGrid>
      <w:tr>
        <w:trPr>
          <w:trHeight w:val="2573" w:hRule="atLeast"/>
        </w:trPr>
        <w:tc>
          <w:tcPr>
            <w:tcW w:w="9487"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30"/>
                <w:rFonts w:ascii="Arial" w:hAnsi="Arial" w:cs="Arial"/>
                <w:bCs/>
                <w:sz w:val="22"/>
                <w:szCs w:val="22"/>
              </w:rPr>
              <w:t>https://mytsd.uwtsd.ac.uk</w:t>
            </w:r>
            <w:r>
              <w:rPr>
                <w:rStyle w:val="30"/>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08" w:hRule="atLeast"/>
        </w:trPr>
        <w:tc>
          <w:tcPr>
            <w:tcW w:w="9487"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30"/>
                <w:rFonts w:ascii="Arial" w:hAnsi="Arial" w:cs="Arial"/>
                <w:sz w:val="22"/>
                <w:szCs w:val="22"/>
              </w:rPr>
              <w:t>pgresearch@uwtsd.ac.uk</w:t>
            </w:r>
            <w:r>
              <w:rPr>
                <w:rStyle w:val="30"/>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9487"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
          <w:bCs/>
          <w:sz w:val="22"/>
          <w:szCs w:val="22"/>
        </w:rPr>
      </w:pPr>
    </w:p>
    <w:p>
      <w:pPr>
        <w:tabs>
          <w:tab w:val="left" w:pos="5103"/>
        </w:tabs>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rPr>
          <w:rFonts w:ascii="Arial" w:hAnsi="Arial" w:cs="Arial"/>
          <w:sz w:val="22"/>
          <w:szCs w:val="22"/>
        </w:rPr>
      </w:pPr>
    </w:p>
    <w:p>
      <w:pPr>
        <w:tabs>
          <w:tab w:val="left" w:pos="5103"/>
        </w:tabs>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rPr>
          <w:rFonts w:ascii="Arial" w:hAnsi="Arial" w:cs="Arial"/>
          <w:sz w:val="22"/>
          <w:szCs w:val="22"/>
        </w:rPr>
      </w:pPr>
    </w:p>
    <w:p>
      <w:pPr>
        <w:tabs>
          <w:tab w:val="left" w:pos="5103"/>
        </w:tabs>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rPr>
          <w:rFonts w:ascii="Arial" w:hAnsi="Arial" w:cs="Arial"/>
          <w:sz w:val="22"/>
          <w:szCs w:val="22"/>
        </w:rPr>
      </w:pPr>
    </w:p>
    <w:p>
      <w:pPr>
        <w:tabs>
          <w:tab w:val="left" w:pos="5103"/>
        </w:tabs>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spacing w:after="240"/>
        <w:rPr>
          <w:rFonts w:ascii="Arial" w:hAnsi="Arial" w:cs="Arial"/>
          <w:b/>
          <w:sz w:val="22"/>
          <w:szCs w:val="22"/>
        </w:rPr>
      </w:pPr>
      <w:r>
        <w:rPr>
          <w:rFonts w:ascii="Arial" w:hAnsi="Arial" w:cs="Arial"/>
          <w:b/>
          <w:sz w:val="22"/>
          <w:szCs w:val="22"/>
        </w:rPr>
        <w:t>SECTION A: About You (Principal Researcher)</w:t>
      </w:r>
    </w:p>
    <w:tbl>
      <w:tblPr>
        <w:tblStyle w:val="24"/>
        <w:tblW w:w="9497"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08"/>
        <w:gridCol w:w="2312"/>
        <w:gridCol w:w="645"/>
        <w:gridCol w:w="2319"/>
        <w:gridCol w:w="644"/>
        <w:gridCol w:w="2296"/>
        <w:gridCol w:w="773"/>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369" w:hRule="atLeast"/>
        </w:trPr>
        <w:tc>
          <w:tcPr>
            <w:tcW w:w="50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2957"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032" w:type="dxa"/>
            <w:gridSpan w:val="4"/>
            <w:vAlign w:val="center"/>
          </w:tcPr>
          <w:p>
            <w:pPr>
              <w:rPr>
                <w:rFonts w:ascii="Arial" w:hAnsi="Arial" w:cs="Arial"/>
                <w:sz w:val="22"/>
                <w:szCs w:val="22"/>
              </w:rPr>
            </w:pPr>
            <w:r>
              <w:rPr>
                <w:rFonts w:ascii="Arial" w:hAnsi="Arial" w:cs="Arial"/>
                <w:sz w:val="22"/>
                <w:szCs w:val="22"/>
              </w:rPr>
              <w:t>Xuanxuan Tang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397" w:hRule="atLeast"/>
        </w:trPr>
        <w:tc>
          <w:tcPr>
            <w:tcW w:w="508"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2957"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3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644"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29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772"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397" w:hRule="atLeast"/>
        </w:trPr>
        <w:tc>
          <w:tcPr>
            <w:tcW w:w="508" w:type="dxa"/>
            <w:shd w:val="clear" w:color="auto" w:fill="F1F1F1" w:themeFill="background1" w:themeFillShade="F2"/>
            <w:vAlign w:val="center"/>
          </w:tcPr>
          <w:p>
            <w:pPr>
              <w:rPr>
                <w:rFonts w:ascii="Arial" w:hAnsi="Arial" w:cs="Arial"/>
                <w:sz w:val="22"/>
                <w:szCs w:val="22"/>
              </w:rPr>
            </w:pPr>
          </w:p>
        </w:tc>
        <w:tc>
          <w:tcPr>
            <w:tcW w:w="2312"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644"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31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644"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rPr>
                  <w:t>☒</w:t>
                </w:r>
              </w:p>
            </w:tc>
          </w:sdtContent>
        </w:sdt>
        <w:tc>
          <w:tcPr>
            <w:tcW w:w="229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772"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24"/>
        <w:tblW w:w="9534"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10"/>
        <w:gridCol w:w="2968"/>
        <w:gridCol w:w="6056"/>
      </w:tblGrid>
      <w:tr>
        <w:trPr>
          <w:cantSplit/>
          <w:trHeight w:val="322"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055" w:type="dxa"/>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Institute of Education and Humanities</w:t>
            </w:r>
          </w:p>
        </w:tc>
      </w:tr>
      <w:tr>
        <w:trPr>
          <w:cantSplit/>
          <w:trHeight w:val="328"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055" w:type="dxa"/>
            <w:vAlign w:val="center"/>
          </w:tcPr>
          <w:p>
            <w:pPr>
              <w:rPr>
                <w:rFonts w:ascii="Arial" w:hAnsi="Arial" w:cs="Arial"/>
                <w:sz w:val="22"/>
                <w:szCs w:val="22"/>
              </w:rPr>
            </w:pPr>
            <w:r>
              <w:rPr>
                <w:rFonts w:ascii="Arial" w:hAnsi="Arial" w:cs="Arial"/>
                <w:sz w:val="22"/>
                <w:szCs w:val="22"/>
              </w:rPr>
              <w:t>Swansea</w:t>
            </w:r>
          </w:p>
        </w:tc>
      </w:tr>
      <w:tr>
        <w:trPr>
          <w:cantSplit/>
          <w:trHeight w:val="328"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055" w:type="dxa"/>
            <w:vAlign w:val="center"/>
          </w:tcPr>
          <w:p>
            <w:pPr>
              <w:rPr>
                <w:sz w:val="22"/>
                <w:szCs w:val="22"/>
              </w:rPr>
            </w:pPr>
            <w:r>
              <w:rPr>
                <w:rFonts w:ascii="Helvetica Neue" w:hAnsi="Helvetica Neue" w:eastAsia="Helvetica Neue" w:cs="Helvetica Neue"/>
                <w:color w:val="323130"/>
                <w:sz w:val="22"/>
                <w:szCs w:val="22"/>
                <w:shd w:val="clear" w:color="auto" w:fill="FFFFFF"/>
                <w:lang w:bidi="ar"/>
              </w:rPr>
              <w:t>2233825@student.uwtsd.ac.u</w:t>
            </w:r>
          </w:p>
        </w:tc>
      </w:tr>
      <w:tr>
        <w:trPr>
          <w:cantSplit/>
          <w:trHeight w:val="328"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055" w:type="dxa"/>
            <w:vAlign w:val="center"/>
          </w:tcPr>
          <w:p>
            <w:pPr>
              <w:rPr>
                <w:rFonts w:ascii="Arial" w:hAnsi="Arial" w:cs="Arial"/>
                <w:sz w:val="22"/>
                <w:szCs w:val="22"/>
              </w:rPr>
            </w:pPr>
            <w:r>
              <w:rPr>
                <w:rFonts w:ascii="Arial" w:hAnsi="Arial" w:cs="Arial"/>
                <w:sz w:val="22"/>
                <w:szCs w:val="22"/>
              </w:rPr>
              <w:t>0086-15861202855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302" w:hRule="atLeast"/>
        </w:trPr>
        <w:tc>
          <w:tcPr>
            <w:tcW w:w="510" w:type="dxa"/>
            <w:shd w:val="clear" w:color="auto" w:fill="BEBEBE" w:themeFill="background1" w:themeFillShade="BF"/>
            <w:vAlign w:val="center"/>
          </w:tcPr>
          <w:p>
            <w:pPr>
              <w:rPr>
                <w:rFonts w:ascii="Arial" w:hAnsi="Arial" w:cs="Arial"/>
                <w:b/>
                <w:i/>
                <w:sz w:val="22"/>
                <w:szCs w:val="22"/>
              </w:rPr>
            </w:pPr>
          </w:p>
        </w:tc>
        <w:tc>
          <w:tcPr>
            <w:tcW w:w="9024"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494"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055" w:type="dxa"/>
            <w:vAlign w:val="center"/>
          </w:tcPr>
          <w:p>
            <w:pPr>
              <w:rPr>
                <w:rFonts w:ascii="Arial" w:hAnsi="Arial" w:cs="Arial"/>
                <w:sz w:val="22"/>
                <w:szCs w:val="22"/>
              </w:rPr>
            </w:pPr>
            <w:r>
              <w:rPr>
                <w:rFonts w:ascii="Helvetica Neue" w:hAnsi="Helvetica Neue" w:eastAsia="Helvetica Neue" w:cs="Helvetica Neue"/>
                <w:color w:val="323130"/>
                <w:sz w:val="22"/>
                <w:szCs w:val="22"/>
                <w:shd w:val="clear" w:color="auto" w:fill="FFFFFF"/>
                <w:lang w:bidi="ar"/>
              </w:rPr>
              <w:t>2233825</w:t>
            </w:r>
          </w:p>
        </w:tc>
      </w:tr>
      <w:tr>
        <w:trPr>
          <w:trHeight w:val="529"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055" w:type="dxa"/>
            <w:vAlign w:val="center"/>
          </w:tcPr>
          <w:p>
            <w:pPr>
              <w:rPr>
                <w:rFonts w:ascii="Arial" w:hAnsi="Arial" w:cs="Arial"/>
                <w:sz w:val="22"/>
                <w:szCs w:val="22"/>
              </w:rPr>
            </w:pPr>
            <w:r>
              <w:rPr>
                <w:rFonts w:ascii="Arial" w:hAnsi="Arial" w:cs="Arial"/>
                <w:sz w:val="22"/>
                <w:szCs w:val="22"/>
              </w:rPr>
              <w:t>MA Education Studies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37" w:hRule="atLeast"/>
        </w:trPr>
        <w:tc>
          <w:tcPr>
            <w:tcW w:w="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296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055" w:type="dxa"/>
            <w:vAlign w:val="center"/>
          </w:tcPr>
          <w:p>
            <w:pPr>
              <w:rPr>
                <w:rFonts w:ascii="Arial" w:hAnsi="Arial" w:cs="Arial"/>
                <w:sz w:val="22"/>
                <w:szCs w:val="22"/>
              </w:rPr>
            </w:pPr>
            <w:r>
              <w:rPr>
                <w:rFonts w:hint="eastAsia" w:ascii="Arial" w:hAnsi="Arial" w:cs="Arial"/>
                <w:sz w:val="22"/>
                <w:szCs w:val="22"/>
              </w:rPr>
              <w:t>Sue James/ Lynda Maddock</w:t>
            </w:r>
          </w:p>
        </w:tc>
      </w:tr>
    </w:tbl>
    <w:p>
      <w:pPr>
        <w:autoSpaceDE w:val="0"/>
        <w:autoSpaceDN w:val="0"/>
        <w:adjustRightInd w:val="0"/>
        <w:spacing w:after="240"/>
        <w:rPr>
          <w:rFonts w:ascii="Arial" w:hAnsi="Arial" w:cs="Arial"/>
          <w:b/>
          <w:sz w:val="22"/>
          <w:szCs w:val="22"/>
        </w:rPr>
      </w:pPr>
      <w:r>
        <w:rPr>
          <w:rFonts w:ascii="Arial" w:hAnsi="Arial" w:cs="Arial"/>
          <w:b/>
          <w:sz w:val="22"/>
          <w:szCs w:val="22"/>
        </w:rPr>
        <w:t>SECTION B: Approval for Research Activity</w:t>
      </w:r>
    </w:p>
    <w:tbl>
      <w:tblPr>
        <w:tblStyle w:val="25"/>
        <w:tblW w:w="957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13"/>
        <w:gridCol w:w="3376"/>
        <w:gridCol w:w="2321"/>
        <w:gridCol w:w="907"/>
        <w:gridCol w:w="778"/>
        <w:gridCol w:w="906"/>
        <w:gridCol w:w="7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48" w:hRule="atLeast"/>
        </w:trPr>
        <w:tc>
          <w:tcPr>
            <w:tcW w:w="51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5697"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07"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435371328"/>
            <w14:checkbox>
              <w14:checked w14:val="1"/>
              <w14:checkedState w14:val="2612" w14:font="MS Gothic"/>
              <w14:uncheckedState w14:val="2610" w14:font="MS Gothic"/>
            </w14:checkbox>
          </w:sdtPr>
          <w:sdtEndPr>
            <w:rPr>
              <w:rFonts w:ascii="Arial" w:hAnsi="Arial" w:cs="Arial"/>
              <w:bCs/>
              <w:sz w:val="22"/>
              <w:szCs w:val="22"/>
            </w:rPr>
          </w:sdtEndPr>
          <w:sdtContent>
            <w:tc>
              <w:tcPr>
                <w:tcW w:w="778"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c>
          <w:tcPr>
            <w:tcW w:w="90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639877544"/>
            <w14:checkbox>
              <w14:checked w14:val="0"/>
              <w14:checkedState w14:val="2612" w14:font="MS Gothic"/>
              <w14:uncheckedState w14:val="2610" w14:font="MS Gothic"/>
            </w14:checkbox>
          </w:sdtPr>
          <w:sdtEndPr>
            <w:rPr>
              <w:rFonts w:ascii="Arial" w:hAnsi="Arial" w:cs="Arial"/>
              <w:bCs/>
              <w:sz w:val="22"/>
              <w:szCs w:val="22"/>
            </w:rPr>
          </w:sdtEndPr>
          <w:sdtContent>
            <w:tc>
              <w:tcPr>
                <w:tcW w:w="778"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7" w:hRule="atLeast"/>
        </w:trPr>
        <w:tc>
          <w:tcPr>
            <w:tcW w:w="513" w:type="dxa"/>
            <w:shd w:val="clear" w:color="auto" w:fill="F1F1F1" w:themeFill="background1" w:themeFillShade="F2"/>
          </w:tcPr>
          <w:p>
            <w:pPr>
              <w:autoSpaceDE w:val="0"/>
              <w:autoSpaceDN w:val="0"/>
              <w:adjustRightInd w:val="0"/>
              <w:rPr>
                <w:rFonts w:ascii="Arial" w:hAnsi="Arial" w:cs="Arial"/>
                <w:b/>
                <w:bCs/>
                <w:sz w:val="22"/>
                <w:szCs w:val="22"/>
              </w:rPr>
            </w:pPr>
          </w:p>
        </w:tc>
        <w:tc>
          <w:tcPr>
            <w:tcW w:w="7382"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684"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2" w:hRule="atLeast"/>
        </w:trPr>
        <w:tc>
          <w:tcPr>
            <w:tcW w:w="513" w:type="dxa"/>
            <w:vMerge w:val="restart"/>
            <w:shd w:val="clear" w:color="auto" w:fill="F1F1F1" w:themeFill="background1" w:themeFillShade="F2"/>
          </w:tcPr>
          <w:p>
            <w:pPr>
              <w:autoSpaceDE w:val="0"/>
              <w:autoSpaceDN w:val="0"/>
              <w:adjustRightInd w:val="0"/>
              <w:rPr>
                <w:rFonts w:ascii="Arial" w:hAnsi="Arial" w:cs="Arial"/>
                <w:sz w:val="22"/>
                <w:szCs w:val="22"/>
                <w:highlight w:val="yellow"/>
              </w:rPr>
            </w:pPr>
            <w:r>
              <w:rPr>
                <w:rFonts w:ascii="Arial" w:hAnsi="Arial" w:cs="Arial"/>
                <w:sz w:val="22"/>
                <w:szCs w:val="22"/>
              </w:rPr>
              <w:t>2</w:t>
            </w:r>
          </w:p>
        </w:tc>
        <w:tc>
          <w:tcPr>
            <w:tcW w:w="3376"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22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1297669675"/>
            <w14:checkbox>
              <w14:checked w14:val="0"/>
              <w14:checkedState w14:val="2612" w14:font="MS Gothic"/>
              <w14:uncheckedState w14:val="2610" w14:font="MS Gothic"/>
            </w14:checkbox>
          </w:sdtPr>
          <w:sdtEndPr>
            <w:rPr>
              <w:rFonts w:ascii="Arial" w:hAnsi="Arial" w:cs="Arial"/>
              <w:sz w:val="22"/>
              <w:szCs w:val="22"/>
            </w:rPr>
          </w:sdtEndPr>
          <w:sdtContent>
            <w:tc>
              <w:tcPr>
                <w:tcW w:w="778"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68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1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3376"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322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963854908"/>
            <w14:checkbox>
              <w14:checked w14:val="0"/>
              <w14:checkedState w14:val="2612" w14:font="MS Gothic"/>
              <w14:uncheckedState w14:val="2610" w14:font="MS Gothic"/>
            </w14:checkbox>
          </w:sdtPr>
          <w:sdtEndPr>
            <w:rPr>
              <w:rFonts w:ascii="Arial" w:hAnsi="Arial" w:cs="Arial"/>
              <w:sz w:val="22"/>
              <w:szCs w:val="22"/>
            </w:rPr>
          </w:sdtEndPr>
          <w:sdtContent>
            <w:tc>
              <w:tcPr>
                <w:tcW w:w="778"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68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40" w:hRule="atLeast"/>
        </w:trPr>
        <w:tc>
          <w:tcPr>
            <w:tcW w:w="51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3376"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322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hint="eastAsia" w:ascii="Arial" w:hAnsi="Arial" w:cs="Arial"/>
                <w:sz w:val="22"/>
                <w:szCs w:val="22"/>
              </w:rPr>
              <w:t>Sue James/ Lynda Maddock</w:t>
            </w:r>
          </w:p>
        </w:tc>
        <w:sdt>
          <w:sdtPr>
            <w:rPr>
              <w:rFonts w:ascii="Arial" w:hAnsi="Arial" w:cs="Arial"/>
              <w:sz w:val="22"/>
              <w:szCs w:val="22"/>
            </w:rPr>
            <w:id w:val="1235515442"/>
            <w14:checkbox>
              <w14:checked w14:val="1"/>
              <w14:checkedState w14:val="2612" w14:font="MS Gothic"/>
              <w14:uncheckedState w14:val="2610" w14:font="MS Gothic"/>
            </w14:checkbox>
          </w:sdtPr>
          <w:sdtEndPr>
            <w:rPr>
              <w:rFonts w:ascii="Arial" w:hAnsi="Arial" w:cs="Arial"/>
              <w:sz w:val="22"/>
              <w:szCs w:val="22"/>
            </w:rPr>
          </w:sdtEndPr>
          <w:sdtContent>
            <w:tc>
              <w:tcPr>
                <w:tcW w:w="778"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c>
          <w:tcPr>
            <w:tcW w:w="1684" w:type="dxa"/>
            <w:gridSpan w:val="2"/>
            <w:vAlign w:val="center"/>
          </w:tcPr>
          <w:p>
            <w:pPr>
              <w:autoSpaceDE w:val="0"/>
              <w:autoSpaceDN w:val="0"/>
              <w:adjustRightInd w:val="0"/>
              <w:rPr>
                <w:rFonts w:ascii="Arial" w:hAnsi="Arial" w:cs="Arial"/>
                <w:b/>
                <w:bCs/>
                <w:color w:val="000000" w:themeColor="text1"/>
                <w:sz w:val="22"/>
                <w:szCs w:val="22"/>
                <w:lang w:eastAsia="zh-Hans"/>
                <w14:textFill>
                  <w14:solidFill>
                    <w14:schemeClr w14:val="tx1"/>
                  </w14:solidFill>
                </w14:textFill>
              </w:rPr>
            </w:pPr>
            <w:r>
              <w:rPr>
                <w:rFonts w:ascii="Arial" w:hAnsi="Arial" w:cs="Arial"/>
                <w:b/>
                <w:bCs/>
                <w:color w:val="000000" w:themeColor="text1"/>
                <w:sz w:val="22"/>
                <w:szCs w:val="22"/>
                <w:lang w:eastAsia="zh-Hans"/>
                <w14:textFill>
                  <w14:solidFill>
                    <w14:schemeClr w14:val="tx1"/>
                  </w14:solidFill>
                </w14:textFill>
              </w:rPr>
              <w:t>20/10/23</w:t>
            </w:r>
          </w:p>
        </w:tc>
      </w:tr>
    </w:tbl>
    <w:p>
      <w:pPr>
        <w:autoSpaceDE w:val="0"/>
        <w:autoSpaceDN w:val="0"/>
        <w:adjustRightInd w:val="0"/>
        <w:spacing w:after="240"/>
        <w:rPr>
          <w:rFonts w:ascii="Arial" w:hAnsi="Arial" w:cs="Arial"/>
          <w:b/>
          <w:sz w:val="22"/>
          <w:szCs w:val="22"/>
        </w:rPr>
      </w:pPr>
      <w:r>
        <w:rPr>
          <w:rFonts w:ascii="Arial" w:hAnsi="Arial" w:cs="Arial"/>
          <w:b/>
          <w:sz w:val="22"/>
          <w:szCs w:val="22"/>
        </w:rPr>
        <w:t>SECTION C:  Internal and External Ethical Guidance Materials</w:t>
      </w:r>
    </w:p>
    <w:tbl>
      <w:tblPr>
        <w:tblStyle w:val="25"/>
        <w:tblW w:w="960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5"/>
        <w:gridCol w:w="8050"/>
        <w:gridCol w:w="10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465" w:hRule="atLeast"/>
        </w:trPr>
        <w:tc>
          <w:tcPr>
            <w:tcW w:w="515" w:type="dxa"/>
            <w:shd w:val="clear" w:color="auto" w:fill="F1F1F1" w:themeFill="background1" w:themeFillShade="F2"/>
          </w:tcPr>
          <w:p>
            <w:pPr>
              <w:autoSpaceDE w:val="0"/>
              <w:autoSpaceDN w:val="0"/>
              <w:adjustRightInd w:val="0"/>
              <w:rPr>
                <w:rFonts w:ascii="Arial" w:hAnsi="Arial" w:cs="Arial"/>
                <w:sz w:val="22"/>
                <w:szCs w:val="22"/>
              </w:rPr>
            </w:pPr>
            <w:bookmarkStart w:id="453" w:name="_Hlk158751518"/>
          </w:p>
        </w:tc>
        <w:tc>
          <w:tcPr>
            <w:tcW w:w="9089"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33" w:hRule="atLeast"/>
        </w:trPr>
        <w:tc>
          <w:tcPr>
            <w:tcW w:w="515"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050"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30"/>
                <w:rFonts w:ascii="Arial" w:hAnsi="Arial" w:cs="Arial"/>
                <w:b/>
                <w:bCs/>
                <w:sz w:val="22"/>
                <w:szCs w:val="22"/>
              </w:rPr>
              <w:t>UWTSD Research Ethics &amp; Integrity Code of Practice</w:t>
            </w:r>
            <w:r>
              <w:rPr>
                <w:rStyle w:val="30"/>
                <w:rFonts w:ascii="Arial" w:hAnsi="Arial" w:cs="Arial"/>
                <w:b/>
                <w:bCs/>
                <w:sz w:val="22"/>
                <w:szCs w:val="22"/>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039"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1" w:hRule="atLeast"/>
        </w:trPr>
        <w:tc>
          <w:tcPr>
            <w:tcW w:w="515"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050"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039"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4" w:hRule="atLeast"/>
        </w:trPr>
        <w:tc>
          <w:tcPr>
            <w:tcW w:w="515"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050" w:type="dxa"/>
            <w:vAlign w:val="center"/>
          </w:tcPr>
          <w:p>
            <w:pPr>
              <w:autoSpaceDE w:val="0"/>
              <w:autoSpaceDN w:val="0"/>
              <w:adjustRightInd w:val="0"/>
              <w:rPr>
                <w:rFonts w:ascii="Arial" w:hAnsi="Arial" w:cs="Arial"/>
                <w:i/>
                <w:sz w:val="22"/>
                <w:szCs w:val="22"/>
              </w:rPr>
            </w:pPr>
            <w:r>
              <w:rPr>
                <w:rFonts w:ascii="Arial" w:hAnsi="Arial" w:cs="Arial"/>
                <w:i/>
                <w:sz w:val="22"/>
                <w:szCs w:val="22"/>
              </w:rPr>
              <w:t>BERA ERHICAL GUIDELINE</w:t>
            </w:r>
          </w:p>
        </w:tc>
        <w:tc>
          <w:tcPr>
            <w:tcW w:w="1039"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bookmarkEnd w:id="453"/>
    </w:tbl>
    <w:p>
      <w:pPr>
        <w:autoSpaceDE w:val="0"/>
        <w:autoSpaceDN w:val="0"/>
        <w:adjustRightInd w:val="0"/>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25"/>
        <w:tblW w:w="91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3"/>
        <w:gridCol w:w="3355"/>
        <w:gridCol w:w="2114"/>
        <w:gridCol w:w="871"/>
        <w:gridCol w:w="745"/>
        <w:gridCol w:w="861"/>
        <w:gridCol w:w="9"/>
        <w:gridCol w:w="748"/>
      </w:tblGrid>
      <w:tr>
        <w:trPr>
          <w:trHeight w:val="215"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bookmarkStart w:id="454" w:name="OLE_LINK385"/>
            <w:bookmarkStart w:id="455" w:name="OLE_LINK384"/>
            <w:bookmarkStart w:id="456" w:name="OLE_LINK386"/>
            <w:r>
              <w:rPr>
                <w:rFonts w:ascii="Arial" w:hAnsi="Arial" w:cs="Arial"/>
                <w:sz w:val="22"/>
                <w:szCs w:val="22"/>
              </w:rPr>
              <w:t>1</w:t>
            </w:r>
          </w:p>
        </w:tc>
        <w:tc>
          <w:tcPr>
            <w:tcW w:w="335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Institution</w:t>
            </w:r>
          </w:p>
        </w:tc>
        <w:tc>
          <w:tcPr>
            <w:tcW w:w="5348"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15"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35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Contact person name</w:t>
            </w:r>
          </w:p>
        </w:tc>
        <w:tc>
          <w:tcPr>
            <w:tcW w:w="5348"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5"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35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Contact person e-mail address</w:t>
            </w:r>
          </w:p>
          <w:p>
            <w:pPr>
              <w:autoSpaceDE w:val="0"/>
              <w:autoSpaceDN w:val="0"/>
              <w:adjustRightInd w:val="0"/>
              <w:rPr>
                <w:rFonts w:ascii="Arial" w:hAnsi="Arial" w:cs="Arial"/>
                <w:sz w:val="22"/>
                <w:szCs w:val="22"/>
              </w:rPr>
            </w:pPr>
          </w:p>
        </w:tc>
        <w:tc>
          <w:tcPr>
            <w:tcW w:w="5348" w:type="dxa"/>
            <w:gridSpan w:val="6"/>
          </w:tcPr>
          <w:p>
            <w:pPr>
              <w:autoSpaceDE w:val="0"/>
              <w:autoSpaceDN w:val="0"/>
              <w:adjustRightInd w:val="0"/>
              <w:rPr>
                <w:rFonts w:ascii="Arial" w:hAnsi="Arial" w:cs="Arial"/>
                <w:bCs/>
                <w:sz w:val="22"/>
                <w:szCs w:val="22"/>
              </w:rPr>
            </w:pPr>
          </w:p>
        </w:tc>
      </w:tr>
      <w:tr>
        <w:trPr>
          <w:trHeight w:val="295"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5469"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87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745"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2021620566"/>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70"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746" w:type="dxa"/>
            <w:shd w:val="clear" w:color="auto" w:fill="D8D8D8" w:themeFill="background1" w:themeFillShade="D9"/>
            <w:vAlign w:val="center"/>
          </w:tcPr>
          <w:sdt>
            <w:sdtPr>
              <w:rPr>
                <w:rFonts w:ascii="Arial" w:hAnsi="Arial" w:cs="Arial"/>
                <w:bCs/>
                <w:sz w:val="22"/>
                <w:szCs w:val="22"/>
              </w:rPr>
              <w:id w:val="-793447204"/>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295"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5469"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87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745"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28601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70"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746" w:type="dxa"/>
            <w:shd w:val="clear" w:color="auto" w:fill="D8D8D8" w:themeFill="background1" w:themeFillShade="D9"/>
            <w:vAlign w:val="center"/>
          </w:tcPr>
          <w:sdt>
            <w:sdtPr>
              <w:rPr>
                <w:rFonts w:ascii="Arial" w:hAnsi="Arial" w:cs="Arial"/>
                <w:bCs/>
                <w:sz w:val="22"/>
                <w:szCs w:val="22"/>
              </w:rPr>
              <w:id w:val="105735676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66"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35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114"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87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745" w:type="dxa"/>
            <w:shd w:val="clear" w:color="auto" w:fill="D8D8D8" w:themeFill="background1" w:themeFillShade="D9"/>
            <w:vAlign w:val="center"/>
          </w:tcPr>
          <w:sdt>
            <w:sdtPr>
              <w:rPr>
                <w:rFonts w:ascii="Arial" w:hAnsi="Arial" w:cs="Arial"/>
                <w:sz w:val="22"/>
                <w:szCs w:val="22"/>
              </w:rPr>
              <w:id w:val="5319288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6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755" w:type="dxa"/>
            <w:gridSpan w:val="2"/>
            <w:shd w:val="clear" w:color="auto" w:fill="D8D8D8" w:themeFill="background1" w:themeFillShade="D9"/>
            <w:vAlign w:val="center"/>
          </w:tcPr>
          <w:sdt>
            <w:sdtPr>
              <w:rPr>
                <w:rFonts w:ascii="Arial" w:hAnsi="Arial" w:cs="Arial"/>
                <w:bCs/>
                <w:sz w:val="22"/>
                <w:szCs w:val="22"/>
              </w:rPr>
              <w:id w:val="151345696"/>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66"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35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114"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87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745" w:type="dxa"/>
            <w:shd w:val="clear" w:color="auto" w:fill="D8D8D8" w:themeFill="background1" w:themeFillShade="D9"/>
            <w:vAlign w:val="center"/>
          </w:tcPr>
          <w:sdt>
            <w:sdtPr>
              <w:rPr>
                <w:rFonts w:ascii="Arial" w:hAnsi="Arial" w:cs="Arial"/>
                <w:sz w:val="22"/>
                <w:szCs w:val="22"/>
              </w:rPr>
              <w:id w:val="-10526892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6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755" w:type="dxa"/>
            <w:gridSpan w:val="2"/>
            <w:shd w:val="clear" w:color="auto" w:fill="D8D8D8" w:themeFill="background1" w:themeFillShade="D9"/>
            <w:vAlign w:val="center"/>
          </w:tcPr>
          <w:sdt>
            <w:sdtPr>
              <w:rPr>
                <w:rFonts w:ascii="Arial" w:hAnsi="Arial" w:cs="Arial"/>
                <w:bCs/>
                <w:sz w:val="22"/>
                <w:szCs w:val="22"/>
              </w:rPr>
              <w:id w:val="-75590487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1183"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35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114"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87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745"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48327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70"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746" w:type="dxa"/>
            <w:shd w:val="clear" w:color="auto" w:fill="D8D8D8" w:themeFill="background1" w:themeFillShade="D9"/>
            <w:vAlign w:val="center"/>
          </w:tcPr>
          <w:sdt>
            <w:sdtPr>
              <w:rPr>
                <w:rFonts w:ascii="Arial" w:hAnsi="Arial" w:cs="Arial"/>
                <w:bCs/>
                <w:sz w:val="22"/>
                <w:szCs w:val="22"/>
              </w:rPr>
              <w:id w:val="-16540403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876" w:hRule="atLeast"/>
        </w:trPr>
        <w:tc>
          <w:tcPr>
            <w:tcW w:w="4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35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114"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871"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745"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79339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70"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746" w:type="dxa"/>
            <w:shd w:val="clear" w:color="auto" w:fill="D8D8D8" w:themeFill="background1" w:themeFillShade="D9"/>
            <w:vAlign w:val="center"/>
          </w:tcPr>
          <w:sdt>
            <w:sdtPr>
              <w:rPr>
                <w:rFonts w:ascii="Arial" w:hAnsi="Arial" w:cs="Arial"/>
                <w:bCs/>
                <w:sz w:val="22"/>
                <w:szCs w:val="22"/>
              </w:rPr>
              <w:id w:val="-25093599"/>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bookmarkEnd w:id="454"/>
      <w:bookmarkEnd w:id="455"/>
      <w:bookmarkEnd w:id="456"/>
    </w:tbl>
    <w:p>
      <w:pPr>
        <w:autoSpaceDE w:val="0"/>
        <w:autoSpaceDN w:val="0"/>
        <w:adjustRightInd w:val="0"/>
        <w:spacing w:after="240"/>
        <w:jc w:val="left"/>
        <w:rPr>
          <w:rFonts w:ascii="Arial" w:hAnsi="Arial" w:cs="Arial"/>
          <w:b/>
          <w:sz w:val="20"/>
          <w:szCs w:val="22"/>
        </w:rPr>
      </w:pPr>
    </w:p>
    <w:p>
      <w:pPr>
        <w:autoSpaceDE w:val="0"/>
        <w:autoSpaceDN w:val="0"/>
        <w:adjustRightInd w:val="0"/>
        <w:spacing w:after="240"/>
        <w:jc w:val="left"/>
        <w:rPr>
          <w:rFonts w:ascii="Arial" w:hAnsi="Arial" w:cs="Arial"/>
          <w:b/>
          <w:sz w:val="20"/>
          <w:szCs w:val="22"/>
        </w:rPr>
      </w:pPr>
      <w:r>
        <w:rPr>
          <w:rFonts w:ascii="Arial" w:hAnsi="Arial" w:cs="Arial"/>
          <w:b/>
          <w:sz w:val="20"/>
          <w:szCs w:val="22"/>
        </w:rPr>
        <w:t xml:space="preserve">Where research activity is carried out in collaboration with an external </w:t>
      </w:r>
      <w:r>
        <w:rPr>
          <w:rFonts w:hint="eastAsia" w:ascii="Arial" w:hAnsi="Arial" w:cs="Arial"/>
          <w:b/>
          <w:sz w:val="20"/>
          <w:szCs w:val="22"/>
        </w:rPr>
        <w:t>organisation</w:t>
      </w:r>
      <w:r>
        <w:rPr>
          <w:rFonts w:ascii="Arial" w:hAnsi="Arial" w:cs="Arial"/>
          <w:b/>
          <w:sz w:val="20"/>
          <w:szCs w:val="22"/>
        </w:rPr>
        <w:t xml:space="preserve"> </w:t>
      </w:r>
    </w:p>
    <w:tbl>
      <w:tblPr>
        <w:tblStyle w:val="25"/>
        <w:tblW w:w="9276"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1"/>
        <w:gridCol w:w="5515"/>
        <w:gridCol w:w="877"/>
        <w:gridCol w:w="790"/>
        <w:gridCol w:w="837"/>
        <w:gridCol w:w="7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4" w:hRule="atLeast"/>
        </w:trPr>
        <w:tc>
          <w:tcPr>
            <w:tcW w:w="501"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5515"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87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90" w:type="dxa"/>
            <w:shd w:val="clear" w:color="auto" w:fill="BEBEBE" w:themeFill="background1" w:themeFillShade="BF"/>
            <w:vAlign w:val="center"/>
          </w:tcPr>
          <w:sdt>
            <w:sdtPr>
              <w:rPr>
                <w:rFonts w:ascii="Arial" w:hAnsi="Arial" w:cs="Arial"/>
                <w:sz w:val="22"/>
                <w:szCs w:val="22"/>
              </w:rPr>
              <w:id w:val="-11796627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83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754" w:type="dxa"/>
            <w:shd w:val="clear" w:color="auto" w:fill="BEBEBE" w:themeFill="background1" w:themeFillShade="BF"/>
            <w:vAlign w:val="center"/>
          </w:tcPr>
          <w:sdt>
            <w:sdtPr>
              <w:rPr>
                <w:rFonts w:ascii="Arial" w:hAnsi="Arial" w:cs="Arial"/>
                <w:sz w:val="22"/>
                <w:szCs w:val="22"/>
              </w:rPr>
              <w:id w:val="4246947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7" w:hRule="atLeast"/>
        </w:trPr>
        <w:tc>
          <w:tcPr>
            <w:tcW w:w="501" w:type="dxa"/>
          </w:tcPr>
          <w:p>
            <w:pPr>
              <w:autoSpaceDE w:val="0"/>
              <w:autoSpaceDN w:val="0"/>
              <w:adjustRightInd w:val="0"/>
              <w:rPr>
                <w:rFonts w:ascii="Arial" w:hAnsi="Arial" w:cs="Arial"/>
                <w:bCs/>
                <w:sz w:val="22"/>
                <w:szCs w:val="22"/>
              </w:rPr>
            </w:pPr>
          </w:p>
        </w:tc>
        <w:tc>
          <w:tcPr>
            <w:tcW w:w="8775" w:type="dxa"/>
            <w:gridSpan w:val="5"/>
          </w:tcPr>
          <w:p>
            <w:pPr>
              <w:autoSpaceDE w:val="0"/>
              <w:autoSpaceDN w:val="0"/>
              <w:adjustRightInd w:val="0"/>
              <w:rPr>
                <w:rFonts w:ascii="Arial" w:hAnsi="Arial" w:cs="Arial"/>
                <w:b/>
                <w:bCs/>
                <w:sz w:val="22"/>
                <w:szCs w:val="22"/>
              </w:rPr>
            </w:pPr>
          </w:p>
        </w:tc>
      </w:tr>
    </w:tbl>
    <w:p>
      <w:pPr>
        <w:autoSpaceDE w:val="0"/>
        <w:autoSpaceDN w:val="0"/>
        <w:adjustRightInd w:val="0"/>
        <w:spacing w:after="240"/>
        <w:rPr>
          <w:rFonts w:ascii="Arial" w:hAnsi="Arial" w:cs="Arial"/>
          <w:b/>
          <w:sz w:val="22"/>
          <w:szCs w:val="22"/>
        </w:rPr>
      </w:pPr>
      <w:r>
        <w:rPr>
          <w:rFonts w:ascii="Arial" w:hAnsi="Arial" w:cs="Arial"/>
          <w:b/>
          <w:sz w:val="22"/>
          <w:szCs w:val="22"/>
        </w:rPr>
        <w:t>SECTION E: Details of Research Activity</w:t>
      </w:r>
    </w:p>
    <w:tbl>
      <w:tblPr>
        <w:tblStyle w:val="24"/>
        <w:tblW w:w="55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0"/>
        <w:gridCol w:w="2135"/>
        <w:gridCol w:w="2163"/>
        <w:gridCol w:w="2163"/>
        <w:gridCol w:w="2363"/>
      </w:tblGrid>
      <w:tr>
        <w:trPr>
          <w:trHeight w:val="454" w:hRule="atLeast"/>
        </w:trPr>
        <w:tc>
          <w:tcPr>
            <w:tcW w:w="26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14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87"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0000" w:themeColor="text1"/>
                <w:sz w:val="22"/>
                <w:szCs w:val="22"/>
                <w14:textFill>
                  <w14:solidFill>
                    <w14:schemeClr w14:val="tx1"/>
                  </w14:solidFill>
                </w14:textFill>
              </w:rPr>
            </w:pPr>
            <w:bookmarkStart w:id="457" w:name="OLE_LINK15"/>
            <w:bookmarkStart w:id="458" w:name="OLE_LINK14"/>
            <w:r>
              <w:rPr>
                <w:rFonts w:ascii="Arial" w:hAnsi="Arial" w:cs="Arial"/>
                <w:color w:val="000000" w:themeColor="text1"/>
                <w:sz w:val="22"/>
                <w:szCs w:val="22"/>
                <w14:textFill>
                  <w14:solidFill>
                    <w14:schemeClr w14:val="tx1"/>
                  </w14:solidFill>
                </w14:textFill>
              </w:rPr>
              <w:t xml:space="preserve">Exploring the Understanding and Attitudes of Chinese Students </w:t>
            </w:r>
            <w:r>
              <w:rPr>
                <w:rFonts w:hint="eastAsia" w:ascii="Arial" w:hAnsi="Arial" w:cs="Arial"/>
                <w:color w:val="000000" w:themeColor="text1"/>
                <w:sz w:val="22"/>
                <w:szCs w:val="22"/>
                <w14:textFill>
                  <w14:solidFill>
                    <w14:schemeClr w14:val="tx1"/>
                  </w14:solidFill>
                </w14:textFill>
              </w:rPr>
              <w:t>majoring</w:t>
            </w:r>
            <w:r>
              <w:rPr>
                <w:rFonts w:ascii="Arial" w:hAnsi="Arial" w:cs="Arial"/>
                <w:color w:val="000000" w:themeColor="text1"/>
                <w:sz w:val="22"/>
                <w:szCs w:val="22"/>
                <w14:textFill>
                  <w14:solidFill>
                    <w14:schemeClr w14:val="tx1"/>
                  </w14:solidFill>
                </w14:textFill>
              </w:rPr>
              <w:t xml:space="preserve"> in Education towards English and E</w:t>
            </w:r>
            <w:r>
              <w:rPr>
                <w:rFonts w:hint="eastAsia" w:ascii="Arial" w:hAnsi="Arial" w:cs="Arial"/>
                <w:color w:val="000000" w:themeColor="text1"/>
                <w:sz w:val="22"/>
                <w:szCs w:val="22"/>
                <w14:textFill>
                  <w14:solidFill>
                    <w14:schemeClr w14:val="tx1"/>
                  </w14:solidFill>
                </w14:textFill>
              </w:rPr>
              <w:t>nglish</w:t>
            </w:r>
            <w:r>
              <w:rPr>
                <w:rFonts w:ascii="Arial" w:hAnsi="Arial" w:cs="Arial"/>
                <w:color w:val="000000" w:themeColor="text1"/>
                <w:sz w:val="22"/>
                <w:szCs w:val="22"/>
                <w14:textFill>
                  <w14:solidFill>
                    <w14:schemeClr w14:val="tx1"/>
                  </w14:solidFill>
                </w14:textFill>
              </w:rPr>
              <w:t xml:space="preserve"> T</w:t>
            </w:r>
            <w:r>
              <w:rPr>
                <w:rFonts w:hint="eastAsia" w:ascii="Arial" w:hAnsi="Arial" w:cs="Arial"/>
                <w:color w:val="000000" w:themeColor="text1"/>
                <w:sz w:val="22"/>
                <w:szCs w:val="22"/>
                <w14:textFill>
                  <w14:solidFill>
                    <w14:schemeClr w14:val="tx1"/>
                  </w14:solidFill>
                </w14:textFill>
              </w:rPr>
              <w:t>eaching</w:t>
            </w:r>
            <w:bookmarkEnd w:id="457"/>
            <w:bookmarkEnd w:id="458"/>
          </w:p>
        </w:tc>
      </w:tr>
      <w:tr>
        <w:trPr>
          <w:trHeight w:val="454" w:hRule="atLeast"/>
        </w:trPr>
        <w:tc>
          <w:tcPr>
            <w:tcW w:w="26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14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60" w:type="pct"/>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 20/12/2023</w:t>
            </w:r>
          </w:p>
        </w:tc>
        <w:tc>
          <w:tcPr>
            <w:tcW w:w="116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Proposed end date:</w:t>
            </w:r>
          </w:p>
        </w:tc>
        <w:tc>
          <w:tcPr>
            <w:tcW w:w="1267" w:type="pct"/>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28/02/2024</w:t>
            </w:r>
          </w:p>
        </w:tc>
      </w:tr>
      <w:tr>
        <w:trPr>
          <w:trHeight w:val="454" w:hRule="atLeast"/>
        </w:trPr>
        <w:tc>
          <w:tcPr>
            <w:tcW w:w="268"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32"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57"/>
              <w:numPr>
                <w:ilvl w:val="0"/>
                <w:numId w:val="2"/>
              </w:numPr>
              <w:ind w:left="0"/>
              <w:contextualSpacing w:val="0"/>
              <w:rPr>
                <w:rFonts w:ascii="Arial" w:hAnsi="Arial" w:cs="Arial"/>
                <w:i/>
              </w:rPr>
            </w:pPr>
            <w:r>
              <w:rPr>
                <w:rFonts w:ascii="Arial" w:hAnsi="Arial" w:cs="Arial"/>
                <w:i/>
              </w:rPr>
              <w:t>Purpose of Research Activity</w:t>
            </w:r>
          </w:p>
          <w:p>
            <w:pPr>
              <w:pStyle w:val="57"/>
              <w:numPr>
                <w:ilvl w:val="0"/>
                <w:numId w:val="2"/>
              </w:numPr>
              <w:ind w:left="0"/>
              <w:contextualSpacing w:val="0"/>
              <w:rPr>
                <w:rFonts w:ascii="Arial" w:hAnsi="Arial" w:cs="Arial"/>
                <w:i/>
              </w:rPr>
            </w:pPr>
            <w:r>
              <w:rPr>
                <w:rFonts w:ascii="Arial" w:hAnsi="Arial" w:cs="Arial"/>
                <w:i/>
              </w:rPr>
              <w:t>Proposed Research Question</w:t>
            </w:r>
          </w:p>
          <w:p>
            <w:pPr>
              <w:pStyle w:val="57"/>
              <w:numPr>
                <w:ilvl w:val="0"/>
                <w:numId w:val="2"/>
              </w:numPr>
              <w:ind w:left="0"/>
              <w:contextualSpacing w:val="0"/>
              <w:rPr>
                <w:rFonts w:ascii="Arial" w:hAnsi="Arial" w:cs="Arial"/>
                <w:i/>
              </w:rPr>
            </w:pPr>
            <w:r>
              <w:rPr>
                <w:rFonts w:ascii="Arial" w:hAnsi="Arial" w:cs="Arial"/>
                <w:i/>
              </w:rPr>
              <w:t>Aims of Research Activity</w:t>
            </w:r>
          </w:p>
          <w:p>
            <w:pPr>
              <w:pStyle w:val="57"/>
              <w:numPr>
                <w:ilvl w:val="0"/>
                <w:numId w:val="2"/>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57"/>
              <w:numPr>
                <w:ilvl w:val="0"/>
                <w:numId w:val="2"/>
              </w:numPr>
              <w:ind w:left="0"/>
              <w:contextualSpacing w:val="0"/>
              <w:rPr>
                <w:rFonts w:ascii="Arial" w:hAnsi="Arial" w:cs="Arial"/>
                <w:i/>
              </w:rPr>
            </w:pPr>
            <w:r>
              <w:rPr>
                <w:rFonts w:ascii="Arial" w:hAnsi="Arial" w:cs="Arial"/>
                <w:i/>
              </w:rPr>
              <w:t xml:space="preserve">What the research activity will add to the body of knowledge </w:t>
            </w:r>
          </w:p>
          <w:p>
            <w:pPr>
              <w:pStyle w:val="57"/>
              <w:numPr>
                <w:ilvl w:val="0"/>
                <w:numId w:val="2"/>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68"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32"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color w:val="000000" w:themeColor="text1"/>
                <w14:textFill>
                  <w14:solidFill>
                    <w14:schemeClr w14:val="tx1"/>
                  </w14:solidFill>
                </w14:textFill>
              </w:rPr>
            </w:pPr>
            <w:bookmarkStart w:id="459" w:name="OLE_LINK25"/>
            <w:r>
              <w:rPr>
                <w:rFonts w:ascii="Arial" w:hAnsi="Arial" w:cs="Arial"/>
                <w:color w:val="000000" w:themeColor="text1"/>
                <w14:textFill>
                  <w14:solidFill>
                    <w14:schemeClr w14:val="tx1"/>
                  </w14:solidFill>
                </w14:textFill>
              </w:rPr>
              <w:t>The last several decades have seen a greater spread of English around the globe due to globalization, which has increased the variety of English usage (Nero, 2012). As a result, the ideas of English as a lingua franca and World Englishes have been put forth. These modifications have put into question both the historical conceptions of the English language and the methods used in language instruction (Nero, 2012). Therefore, the main emphasis of this study is how standard English affects the opinions of English as a foreign language (EFL) learners, especially when it comes to their educational experiences.</w:t>
            </w:r>
            <w:bookmarkEnd w:id="459"/>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1370" w:hRule="atLeast"/>
        </w:trPr>
        <w:tc>
          <w:tcPr>
            <w:tcW w:w="268"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32" w:type="pct"/>
            <w:gridSpan w:val="4"/>
            <w:vAlign w:val="center"/>
          </w:tcPr>
          <w:p>
            <w:pPr>
              <w:autoSpaceDE w:val="0"/>
              <w:autoSpaceDN w:val="0"/>
              <w:adjustRightInd w:val="0"/>
              <w:rPr>
                <w:rFonts w:ascii="Arial" w:hAnsi="Arial" w:cs="Arial"/>
                <w:b/>
                <w:bCs/>
                <w:sz w:val="22"/>
                <w:szCs w:val="22"/>
              </w:rPr>
            </w:pPr>
            <w:bookmarkStart w:id="460" w:name="OLE_LINK20"/>
            <w:bookmarkStart w:id="461" w:name="OLE_LINK21"/>
            <w:bookmarkStart w:id="462" w:name="OLE_LINK22"/>
            <w:r>
              <w:rPr>
                <w:rFonts w:ascii="Arial" w:hAnsi="Arial" w:cs="Arial"/>
                <w:b/>
                <w:bCs/>
                <w:sz w:val="22"/>
                <w:szCs w:val="22"/>
              </w:rPr>
              <w:t>Research Question</w:t>
            </w:r>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What attitudes and impressions of English do Chinese education majors have?</w:t>
            </w:r>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What impact will Chinese </w:t>
            </w:r>
            <w:r>
              <w:rPr>
                <w:rFonts w:hint="eastAsia" w:ascii="Arial" w:hAnsi="Arial" w:cs="Arial"/>
                <w:color w:val="000000" w:themeColor="text1"/>
                <w14:textFill>
                  <w14:solidFill>
                    <w14:schemeClr w14:val="tx1"/>
                  </w14:solidFill>
                </w14:textFill>
              </w:rPr>
              <w:t>education</w:t>
            </w:r>
            <w:r>
              <w:rPr>
                <w:rFonts w:ascii="Arial" w:hAnsi="Arial" w:cs="Arial"/>
                <w:color w:val="000000" w:themeColor="text1"/>
                <w14:textFill>
                  <w14:solidFill>
                    <w14:schemeClr w14:val="tx1"/>
                  </w14:solidFill>
                </w14:textFill>
              </w:rPr>
              <w:t xml:space="preserve"> students' English language learning experiences have on their future teaching?</w:t>
            </w:r>
            <w:bookmarkEnd w:id="460"/>
            <w:bookmarkEnd w:id="461"/>
            <w:bookmarkEnd w:id="462"/>
          </w:p>
        </w:tc>
      </w:tr>
      <w:tr>
        <w:trPr>
          <w:trHeight w:val="454" w:hRule="atLeast"/>
        </w:trPr>
        <w:tc>
          <w:tcPr>
            <w:tcW w:w="268"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32"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14:textFill>
                  <w14:solidFill>
                    <w14:schemeClr w14:val="tx1"/>
                  </w14:solidFill>
                </w14:textFill>
              </w:rPr>
              <w:t>The purpose of this study is to find out how Chinese pre-service teachers (studying overseas and majoring in education) see English and English teaching. Given their dual involvement in this learning phase, the study aims to investigate their perceptions from the viewpoints of both teaching and learning. In other words, the study looks at how their educational experiences will influence the way they teach in the future.</w:t>
            </w:r>
          </w:p>
        </w:tc>
      </w:tr>
      <w:tr>
        <w:trPr>
          <w:trHeight w:val="2878" w:hRule="atLeast"/>
        </w:trPr>
        <w:tc>
          <w:tcPr>
            <w:tcW w:w="268"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32"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bookmarkStart w:id="463" w:name="OLE_LINK204"/>
            <w:bookmarkStart w:id="464" w:name="OLE_LINK205"/>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This study aims to contribute to English teaching in China both theoretically and practically by addressing these research topics. In theory, this might lead to a deeper comprehension of how Chinese pre-service teachers view English and what they hope to accomplish as teachers in the future. Having a general knowledge of the possible effect that these aspiring instructors may have on teaching methods would be beneficial for educational authorities and institutions. In light of this, relevant educational resources, such instructional materials and teacher preparation, might be modified to better suit the preferences of the instructors. Additionally, focusing on the possible elements that contribute to learning may provide a clearer path for future development and empirical study.</w:t>
            </w:r>
            <w:bookmarkEnd w:id="463"/>
            <w:bookmarkEnd w:id="464"/>
          </w:p>
        </w:tc>
      </w:tr>
      <w:tr>
        <w:trPr>
          <w:trHeight w:val="454" w:hRule="atLeast"/>
        </w:trPr>
        <w:tc>
          <w:tcPr>
            <w:tcW w:w="268" w:type="pct"/>
            <w:shd w:val="clear" w:color="auto" w:fill="F1F1F1" w:themeFill="background1" w:themeFillShade="F2"/>
            <w:vAlign w:val="center"/>
          </w:tcPr>
          <w:p>
            <w:pPr>
              <w:spacing w:before="120" w:after="120"/>
              <w:rPr>
                <w:rFonts w:ascii="Arial" w:hAnsi="Arial" w:cs="Arial"/>
                <w:sz w:val="22"/>
                <w:szCs w:val="22"/>
              </w:rPr>
            </w:pPr>
          </w:p>
        </w:tc>
        <w:tc>
          <w:tcPr>
            <w:tcW w:w="4732"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68" w:type="pct"/>
            <w:vAlign w:val="center"/>
          </w:tcPr>
          <w:p>
            <w:pPr>
              <w:rPr>
                <w:rFonts w:ascii="Arial" w:hAnsi="Arial" w:cs="Arial"/>
                <w:sz w:val="22"/>
                <w:szCs w:val="22"/>
              </w:rPr>
            </w:pPr>
            <w:r>
              <w:rPr>
                <w:rFonts w:ascii="Arial" w:hAnsi="Arial" w:cs="Arial"/>
                <w:sz w:val="22"/>
                <w:szCs w:val="22"/>
              </w:rPr>
              <w:t>7</w:t>
            </w:r>
          </w:p>
        </w:tc>
        <w:tc>
          <w:tcPr>
            <w:tcW w:w="4732" w:type="pct"/>
            <w:gridSpan w:val="4"/>
            <w:vAlign w:val="center"/>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This study will use interpretivism as a theoretical foundation to frame the research design in order to lay the groundwork for the research methodology.</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case study method will be used, which investigates a phenomenon in a specific context. Data will be collected by conducting interviews with the participants.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As for the sampling method, this study will use purposive sampling. From the researcher's point of view, purposive sampling requires a degree of judgement as to who contributes most to the phenomenon under study.</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Semi-structured interviews will be adopted, and this flexibility allows the interviewer to adapt appropriately to a particular respondent or situation.</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w:t>
            </w:r>
            <w:r>
              <w:rPr>
                <w:rFonts w:hint="eastAsia" w:ascii="Arial" w:hAnsi="Arial" w:cs="Arial"/>
                <w:color w:val="000000" w:themeColor="text1"/>
                <w:sz w:val="22"/>
                <w:szCs w:val="22"/>
                <w14:textFill>
                  <w14:solidFill>
                    <w14:schemeClr w14:val="tx1"/>
                  </w14:solidFill>
                </w14:textFill>
              </w:rPr>
              <w:t>here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will</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be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four</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topics</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in</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research</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including</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participants</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education</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backgrounds</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perceptions</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of</w:t>
            </w:r>
            <w:r>
              <w:rPr>
                <w:rFonts w:ascii="Arial" w:hAnsi="Arial" w:cs="Arial"/>
                <w:color w:val="000000" w:themeColor="text1"/>
                <w:sz w:val="22"/>
                <w:szCs w:val="22"/>
                <w14:textFill>
                  <w14:solidFill>
                    <w14:schemeClr w14:val="tx1"/>
                  </w14:solidFill>
                </w14:textFill>
              </w:rPr>
              <w:t xml:space="preserve"> E</w:t>
            </w:r>
            <w:r>
              <w:rPr>
                <w:rFonts w:hint="eastAsia" w:ascii="Arial" w:hAnsi="Arial" w:cs="Arial"/>
                <w:color w:val="000000" w:themeColor="text1"/>
                <w:sz w:val="22"/>
                <w:szCs w:val="22"/>
                <w14:textFill>
                  <w14:solidFill>
                    <w14:schemeClr w14:val="tx1"/>
                  </w14:solidFill>
                </w14:textFill>
              </w:rPr>
              <w:t>nglish</w:t>
            </w:r>
            <w:r>
              <w:rPr>
                <w:rFonts w:ascii="Arial" w:hAnsi="Arial" w:cs="Arial"/>
                <w:color w:val="000000" w:themeColor="text1"/>
                <w:sz w:val="22"/>
                <w:szCs w:val="22"/>
                <w14:textFill>
                  <w14:solidFill>
                    <w14:schemeClr w14:val="tx1"/>
                  </w14:solidFill>
                </w14:textFill>
              </w:rPr>
              <w:t xml:space="preserve"> from a learner’s perspective, relating to learning experiences, and future teaching intentions. In each topic, the research will ask two to three questions to lead participants to talk about their ideas. For example, in topic two (</w:t>
            </w:r>
            <w:r>
              <w:rPr>
                <w:rFonts w:hint="eastAsia" w:ascii="Arial" w:hAnsi="Arial" w:cs="Arial"/>
                <w:color w:val="000000" w:themeColor="text1"/>
                <w:sz w:val="22"/>
                <w:szCs w:val="22"/>
                <w14:textFill>
                  <w14:solidFill>
                    <w14:schemeClr w14:val="tx1"/>
                  </w14:solidFill>
                </w14:textFill>
              </w:rPr>
              <w:t>perceptions</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of</w:t>
            </w:r>
            <w:r>
              <w:rPr>
                <w:rFonts w:ascii="Arial" w:hAnsi="Arial" w:cs="Arial"/>
                <w:color w:val="000000" w:themeColor="text1"/>
                <w:sz w:val="22"/>
                <w:szCs w:val="22"/>
                <w14:textFill>
                  <w14:solidFill>
                    <w14:schemeClr w14:val="tx1"/>
                  </w14:solidFill>
                </w14:textFill>
              </w:rPr>
              <w:t xml:space="preserve"> E</w:t>
            </w:r>
            <w:r>
              <w:rPr>
                <w:rFonts w:hint="eastAsia" w:ascii="Arial" w:hAnsi="Arial" w:cs="Arial"/>
                <w:color w:val="000000" w:themeColor="text1"/>
                <w:sz w:val="22"/>
                <w:szCs w:val="22"/>
                <w14:textFill>
                  <w14:solidFill>
                    <w14:schemeClr w14:val="tx1"/>
                  </w14:solidFill>
                </w14:textFill>
              </w:rPr>
              <w:t>nglish</w:t>
            </w:r>
            <w:r>
              <w:rPr>
                <w:rFonts w:ascii="Arial" w:hAnsi="Arial" w:cs="Arial"/>
                <w:color w:val="000000" w:themeColor="text1"/>
                <w:sz w:val="22"/>
                <w:szCs w:val="22"/>
                <w14:textFill>
                  <w14:solidFill>
                    <w14:schemeClr w14:val="tx1"/>
                  </w14:solidFill>
                </w14:textFill>
              </w:rPr>
              <w:t xml:space="preserve"> from a learner’s perspective), the research will ask: What do you know about the term standard English? What’s your understanding? In topic three (future teaching intentions), the question “Would you prefer to teach standard English in the future? Why” will be asked by the researcher.</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Thematic analysis was used to analyse the qualitative data collected from the semi-structured interviews.</w:t>
            </w:r>
          </w:p>
        </w:tc>
      </w:tr>
      <w:tr>
        <w:trPr>
          <w:trHeight w:val="454" w:hRule="atLeast"/>
        </w:trPr>
        <w:tc>
          <w:tcPr>
            <w:tcW w:w="268"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32"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68" w:type="pct"/>
            <w:vAlign w:val="center"/>
          </w:tcPr>
          <w:p>
            <w:pPr>
              <w:rPr>
                <w:rFonts w:ascii="Arial" w:hAnsi="Arial" w:cs="Arial"/>
                <w:bCs/>
                <w:sz w:val="22"/>
                <w:szCs w:val="22"/>
              </w:rPr>
            </w:pPr>
            <w:r>
              <w:rPr>
                <w:rFonts w:ascii="Arial" w:hAnsi="Arial" w:cs="Arial"/>
                <w:bCs/>
                <w:sz w:val="22"/>
                <w:szCs w:val="22"/>
              </w:rPr>
              <w:t>8</w:t>
            </w:r>
          </w:p>
        </w:tc>
        <w:tc>
          <w:tcPr>
            <w:tcW w:w="4732" w:type="pct"/>
            <w:gridSpan w:val="4"/>
            <w:vAlign w:val="center"/>
          </w:tcPr>
          <w:p>
            <w:pPr>
              <w:rPr>
                <w:rFonts w:ascii="Arial" w:hAnsi="Arial" w:cs="Arial"/>
                <w:sz w:val="22"/>
                <w:szCs w:val="22"/>
              </w:rPr>
            </w:pPr>
            <w:r>
              <w:rPr>
                <w:rFonts w:ascii="Arial" w:hAnsi="Arial" w:cs="Arial"/>
                <w:sz w:val="22"/>
                <w:szCs w:val="22"/>
              </w:rPr>
              <w:t>Lian Yungang city, Nan Jing city, Shen Yang city, Ji Nan city, Shang Hai city, Qing Dao city, Guang Zhou city, Bei Jing city, Xi An city, China</w:t>
            </w:r>
          </w:p>
        </w:tc>
      </w:tr>
      <w:tr>
        <w:trPr>
          <w:trHeight w:val="454" w:hRule="atLeast"/>
        </w:trPr>
        <w:tc>
          <w:tcPr>
            <w:tcW w:w="268" w:type="pct"/>
            <w:shd w:val="clear" w:color="auto" w:fill="F1F1F1" w:themeFill="background1" w:themeFillShade="F2"/>
            <w:vAlign w:val="center"/>
          </w:tcPr>
          <w:p>
            <w:pPr>
              <w:spacing w:before="120"/>
              <w:rPr>
                <w:rFonts w:ascii="Arial" w:hAnsi="Arial" w:cs="Arial"/>
                <w:bCs/>
                <w:sz w:val="22"/>
                <w:szCs w:val="22"/>
              </w:rPr>
            </w:pPr>
          </w:p>
        </w:tc>
        <w:tc>
          <w:tcPr>
            <w:tcW w:w="4732"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bookmarkStart w:id="465" w:name="OLE_LINK52"/>
            <w:bookmarkStart w:id="466" w:name="OLE_LINK51"/>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bookmarkEnd w:id="465"/>
            <w:bookmarkEnd w:id="466"/>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68" w:type="pct"/>
            <w:vAlign w:val="center"/>
          </w:tcPr>
          <w:p>
            <w:pPr>
              <w:rPr>
                <w:rFonts w:ascii="Arial" w:hAnsi="Arial" w:cs="Arial"/>
                <w:bCs/>
                <w:sz w:val="22"/>
                <w:szCs w:val="22"/>
              </w:rPr>
            </w:pPr>
            <w:r>
              <w:rPr>
                <w:rFonts w:ascii="Arial" w:hAnsi="Arial" w:cs="Arial"/>
                <w:bCs/>
                <w:sz w:val="22"/>
                <w:szCs w:val="22"/>
              </w:rPr>
              <w:t>9</w:t>
            </w:r>
          </w:p>
        </w:tc>
        <w:tc>
          <w:tcPr>
            <w:tcW w:w="4732" w:type="pct"/>
            <w:gridSpan w:val="4"/>
            <w:vAlign w:val="center"/>
          </w:tcPr>
          <w:p>
            <w:pPr>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According to China’s ethical review regulations, ethical approval can be waived by fulfilling the following three conditions:</w:t>
            </w:r>
            <w:r>
              <w:rPr>
                <w:rFonts w:ascii="Arial" w:hAnsi="Arial" w:cs="Arial"/>
                <w:color w:val="000000" w:themeColor="text1"/>
                <w:szCs w:val="21"/>
                <w14:textFill>
                  <w14:solidFill>
                    <w14:schemeClr w14:val="tx1"/>
                  </w14:solidFill>
                </w14:textFill>
              </w:rPr>
              <w:br w:type="textWrapping"/>
            </w:r>
            <w:r>
              <w:rPr>
                <w:rFonts w:ascii="Arial" w:hAnsi="Arial" w:cs="Arial"/>
                <w:color w:val="000000" w:themeColor="text1"/>
                <w:szCs w:val="21"/>
                <w14:textFill>
                  <w14:solidFill>
                    <w14:schemeClr w14:val="tx1"/>
                  </w14:solidFill>
                </w14:textFill>
              </w:rPr>
              <w:t>1) The research does not involve special groups such as children and patients;</w:t>
            </w:r>
            <w:r>
              <w:rPr>
                <w:rFonts w:ascii="Arial" w:hAnsi="Arial" w:cs="Arial"/>
                <w:color w:val="000000" w:themeColor="text1"/>
                <w:szCs w:val="21"/>
                <w14:textFill>
                  <w14:solidFill>
                    <w14:schemeClr w14:val="tx1"/>
                  </w14:solidFill>
                </w14:textFill>
              </w:rPr>
              <w:br w:type="textWrapping"/>
            </w:r>
            <w:r>
              <w:rPr>
                <w:rFonts w:ascii="Arial" w:hAnsi="Arial" w:cs="Arial"/>
                <w:color w:val="000000" w:themeColor="text1"/>
                <w:szCs w:val="21"/>
                <w14:textFill>
                  <w14:solidFill>
                    <w14:schemeClr w14:val="tx1"/>
                  </w14:solidFill>
                </w14:textFill>
              </w:rPr>
              <w:t>2) The study clearly informs: the purpose of the study, the social value and the benefit of the study, the scope of the information collected and the risk of privacy that may be involved and the measures to deal with it, and the contact information of the researcher or the research organisation;</w:t>
            </w:r>
            <w:r>
              <w:rPr>
                <w:rFonts w:ascii="Arial" w:hAnsi="Arial" w:cs="Arial"/>
                <w:color w:val="000000" w:themeColor="text1"/>
                <w:szCs w:val="21"/>
                <w14:textFill>
                  <w14:solidFill>
                    <w14:schemeClr w14:val="tx1"/>
                  </w14:solidFill>
                </w14:textFill>
              </w:rPr>
              <w:br w:type="textWrapping"/>
            </w:r>
            <w:r>
              <w:rPr>
                <w:rFonts w:ascii="Arial" w:hAnsi="Arial" w:cs="Arial"/>
                <w:color w:val="000000" w:themeColor="text1"/>
                <w:szCs w:val="21"/>
                <w14:textFill>
                  <w14:solidFill>
                    <w14:schemeClr w14:val="tx1"/>
                  </w14:solidFill>
                </w14:textFill>
              </w:rPr>
              <w:t>3) Informed consent is obtained from the people being studied.</w:t>
            </w:r>
          </w:p>
          <w:p>
            <w:pPr>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The study provided the purpose of the study, social value, scope of information collected, potential risks and measures to address them. In addition, the study included the signature and contact information of the researcher. Participants were asked to read the introduction to the study and to complete a written informed consent form. Based on this, the ethical risk of this study was extremely low and it was approved by China without the need for ethical review in China.</w:t>
            </w:r>
            <w:r>
              <w:rPr>
                <w:rFonts w:ascii="Arial" w:hAnsi="Arial" w:cs="Arial"/>
                <w:color w:val="000000" w:themeColor="text1"/>
                <w:szCs w:val="21"/>
                <w14:textFill>
                  <w14:solidFill>
                    <w14:schemeClr w14:val="tx1"/>
                  </w14:solidFill>
                </w14:textFill>
              </w:rPr>
              <w:br w:type="textWrapping"/>
            </w:r>
            <w:r>
              <w:rPr>
                <w:rFonts w:ascii="Arial" w:hAnsi="Arial" w:cs="Arial"/>
                <w:color w:val="000000" w:themeColor="text1"/>
                <w:szCs w:val="21"/>
                <w14:textFill>
                  <w14:solidFill>
                    <w14:schemeClr w14:val="tx1"/>
                  </w14:solidFill>
                </w14:textFill>
              </w:rPr>
              <w:t xml:space="preserve">Ministry of Science and Technology of the People’s Republic of China (2023. October 8). </w:t>
            </w:r>
            <w:r>
              <w:rPr>
                <w:rFonts w:ascii="Arial" w:hAnsi="Arial" w:cs="Arial"/>
                <w:i/>
                <w:color w:val="000000" w:themeColor="text1"/>
                <w:szCs w:val="21"/>
                <w14:textFill>
                  <w14:solidFill>
                    <w14:schemeClr w14:val="tx1"/>
                  </w14:solidFill>
                </w14:textFill>
              </w:rPr>
              <w:t xml:space="preserve">Approach to Ethical Review of Science and Technology. </w:t>
            </w:r>
            <w:r>
              <w:fldChar w:fldCharType="begin"/>
            </w:r>
            <w:r>
              <w:instrText xml:space="preserve"> HYPERLINK "https://www.most.gov.cn/xxgk/xinxifenlei/fdzdgknr/fgzc/gfxwj/gfxwj2023/202310/t20231008_188309.html" </w:instrText>
            </w:r>
            <w:r>
              <w:fldChar w:fldCharType="separate"/>
            </w:r>
            <w:r>
              <w:rPr>
                <w:rStyle w:val="30"/>
                <w:rFonts w:ascii="Arial" w:hAnsi="Arial" w:cs="Arial"/>
                <w:color w:val="000000" w:themeColor="text1"/>
                <w:szCs w:val="21"/>
                <w14:textFill>
                  <w14:solidFill>
                    <w14:schemeClr w14:val="tx1"/>
                  </w14:solidFill>
                </w14:textFill>
              </w:rPr>
              <w:t>https://www.most.gov.cn/xxgk/xinxifenlei/fdzdgknr/fgzc/gfxwj/gfxwj2023/202310/t20231008_188309.html</w:t>
            </w:r>
            <w:r>
              <w:rPr>
                <w:rStyle w:val="30"/>
                <w:rFonts w:ascii="Arial" w:hAnsi="Arial" w:cs="Arial"/>
                <w:color w:val="000000" w:themeColor="text1"/>
                <w:szCs w:val="21"/>
                <w14:textFill>
                  <w14:solidFill>
                    <w14:schemeClr w14:val="tx1"/>
                  </w14:solidFill>
                </w14:textFill>
              </w:rPr>
              <w:fldChar w:fldCharType="end"/>
            </w:r>
          </w:p>
        </w:tc>
      </w:tr>
    </w:tbl>
    <w:p>
      <w:pPr>
        <w:autoSpaceDE w:val="0"/>
        <w:autoSpaceDN w:val="0"/>
        <w:adjustRightInd w:val="0"/>
        <w:spacing w:after="240"/>
        <w:rPr>
          <w:rFonts w:ascii="Arial" w:hAnsi="Arial" w:cs="Arial"/>
          <w:b/>
          <w:sz w:val="22"/>
          <w:szCs w:val="22"/>
        </w:rPr>
      </w:pPr>
    </w:p>
    <w:tbl>
      <w:tblPr>
        <w:tblStyle w:val="25"/>
        <w:tblW w:w="9589"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18"/>
        <w:gridCol w:w="6738"/>
        <w:gridCol w:w="1166"/>
        <w:gridCol w:w="11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2" w:hRule="atLeast"/>
        </w:trPr>
        <w:tc>
          <w:tcPr>
            <w:tcW w:w="518"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6738"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16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16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83" w:hRule="atLeast"/>
        </w:trPr>
        <w:tc>
          <w:tcPr>
            <w:tcW w:w="518"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6738"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16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16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Segoe UI Symbo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83" w:hRule="atLeast"/>
        </w:trPr>
        <w:tc>
          <w:tcPr>
            <w:tcW w:w="518"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071"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tc>
      </w:tr>
    </w:tbl>
    <w:p>
      <w:pPr>
        <w:autoSpaceDE w:val="0"/>
        <w:autoSpaceDN w:val="0"/>
        <w:adjustRightInd w:val="0"/>
        <w:spacing w:after="240"/>
        <w:rPr>
          <w:rFonts w:ascii="Arial" w:hAnsi="Arial" w:cs="Arial"/>
          <w:b/>
          <w:sz w:val="22"/>
          <w:szCs w:val="22"/>
        </w:rPr>
      </w:pPr>
    </w:p>
    <w:tbl>
      <w:tblPr>
        <w:tblStyle w:val="25"/>
        <w:tblW w:w="940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5"/>
        <w:gridCol w:w="7396"/>
        <w:gridCol w:w="765"/>
        <w:gridCol w:w="740"/>
      </w:tblGrid>
      <w:tr>
        <w:trPr>
          <w:trHeight w:val="561"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7396" w:type="dxa"/>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765"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39"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395"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765" w:type="dxa"/>
            <w:shd w:val="clear" w:color="auto" w:fill="BEBEBE" w:themeFill="background1" w:themeFillShade="BF"/>
            <w:vAlign w:val="center"/>
          </w:tcPr>
          <w:sdt>
            <w:sdtPr>
              <w:rPr>
                <w:rFonts w:ascii="Arial" w:hAnsi="Arial" w:cs="Arial"/>
                <w:sz w:val="22"/>
                <w:szCs w:val="22"/>
              </w:rPr>
              <w:id w:val="-178758179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54010052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62"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765" w:type="dxa"/>
            <w:shd w:val="clear" w:color="auto" w:fill="BEBEBE" w:themeFill="background1" w:themeFillShade="BF"/>
            <w:vAlign w:val="center"/>
          </w:tcPr>
          <w:sdt>
            <w:sdtPr>
              <w:rPr>
                <w:rFonts w:ascii="Arial" w:hAnsi="Arial" w:cs="Arial"/>
                <w:sz w:val="22"/>
                <w:szCs w:val="22"/>
              </w:rPr>
              <w:id w:val="-927569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36390579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5"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765" w:type="dxa"/>
            <w:shd w:val="clear" w:color="auto" w:fill="BEBEBE" w:themeFill="background1" w:themeFillShade="BF"/>
            <w:vAlign w:val="center"/>
          </w:tcPr>
          <w:sdt>
            <w:sdtPr>
              <w:rPr>
                <w:rFonts w:ascii="Arial" w:hAnsi="Arial" w:cs="Arial"/>
                <w:sz w:val="22"/>
                <w:szCs w:val="22"/>
              </w:rPr>
              <w:id w:val="816540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69870330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62"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765" w:type="dxa"/>
            <w:shd w:val="clear" w:color="auto" w:fill="BEBEBE" w:themeFill="background1" w:themeFillShade="BF"/>
            <w:vAlign w:val="center"/>
          </w:tcPr>
          <w:sdt>
            <w:sdtPr>
              <w:rPr>
                <w:rFonts w:ascii="Arial" w:hAnsi="Arial" w:cs="Arial"/>
                <w:sz w:val="22"/>
                <w:szCs w:val="22"/>
              </w:rPr>
              <w:id w:val="9596838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9268490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68"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765" w:type="dxa"/>
            <w:shd w:val="clear" w:color="auto" w:fill="BEBEBE" w:themeFill="background1" w:themeFillShade="BF"/>
            <w:vAlign w:val="center"/>
          </w:tcPr>
          <w:sdt>
            <w:sdtPr>
              <w:rPr>
                <w:rFonts w:ascii="Arial" w:hAnsi="Arial" w:cs="Arial"/>
                <w:sz w:val="22"/>
                <w:szCs w:val="22"/>
              </w:rPr>
              <w:id w:val="-1331129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7959597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95"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765" w:type="dxa"/>
            <w:shd w:val="clear" w:color="auto" w:fill="BEBEBE" w:themeFill="background1" w:themeFillShade="BF"/>
            <w:vAlign w:val="center"/>
          </w:tcPr>
          <w:sdt>
            <w:sdtPr>
              <w:rPr>
                <w:rFonts w:ascii="Arial" w:hAnsi="Arial" w:cs="Arial"/>
                <w:sz w:val="22"/>
                <w:szCs w:val="22"/>
              </w:rPr>
              <w:id w:val="-4069233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102320313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62"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396"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765" w:type="dxa"/>
            <w:shd w:val="clear" w:color="auto" w:fill="BEBEBE" w:themeFill="background1" w:themeFillShade="BF"/>
            <w:vAlign w:val="center"/>
          </w:tcPr>
          <w:sdt>
            <w:sdtPr>
              <w:rPr>
                <w:rFonts w:ascii="Arial" w:hAnsi="Arial" w:cs="Arial"/>
                <w:sz w:val="22"/>
                <w:szCs w:val="22"/>
              </w:rPr>
              <w:id w:val="17062995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9" w:type="dxa"/>
            <w:shd w:val="clear" w:color="auto" w:fill="BEBEBE" w:themeFill="background1" w:themeFillShade="BF"/>
            <w:vAlign w:val="center"/>
          </w:tcPr>
          <w:sdt>
            <w:sdtPr>
              <w:rPr>
                <w:rFonts w:ascii="Arial" w:hAnsi="Arial" w:cs="Arial"/>
                <w:sz w:val="22"/>
                <w:szCs w:val="22"/>
              </w:rPr>
              <w:id w:val="-16096527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62" w:hRule="atLeast"/>
        </w:trPr>
        <w:tc>
          <w:tcPr>
            <w:tcW w:w="505"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8901"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362" w:hRule="atLeast"/>
        </w:trPr>
        <w:tc>
          <w:tcPr>
            <w:tcW w:w="505" w:type="dxa"/>
            <w:vAlign w:val="center"/>
          </w:tcPr>
          <w:p>
            <w:pPr>
              <w:autoSpaceDE w:val="0"/>
              <w:autoSpaceDN w:val="0"/>
              <w:adjustRightInd w:val="0"/>
              <w:jc w:val="center"/>
              <w:rPr>
                <w:rFonts w:ascii="Arial" w:hAnsi="Arial" w:cs="Arial"/>
                <w:sz w:val="22"/>
                <w:szCs w:val="22"/>
              </w:rPr>
            </w:pPr>
          </w:p>
        </w:tc>
        <w:tc>
          <w:tcPr>
            <w:tcW w:w="8901" w:type="dxa"/>
            <w:gridSpan w:val="3"/>
            <w:shd w:val="clear" w:color="auto" w:fill="auto"/>
            <w:vAlign w:val="center"/>
          </w:tcPr>
          <w:p>
            <w:pPr>
              <w:autoSpaceDE w:val="0"/>
              <w:autoSpaceDN w:val="0"/>
              <w:adjustRightInd w:val="0"/>
              <w:rPr>
                <w:rFonts w:ascii="Arial" w:hAnsi="Arial" w:cs="Arial"/>
                <w:b/>
                <w:bCs/>
                <w:sz w:val="22"/>
                <w:szCs w:val="22"/>
              </w:rPr>
            </w:pPr>
          </w:p>
        </w:tc>
      </w:tr>
    </w:tbl>
    <w:p>
      <w:pPr>
        <w:autoSpaceDE w:val="0"/>
        <w:autoSpaceDN w:val="0"/>
        <w:adjustRightInd w:val="0"/>
        <w:spacing w:after="240"/>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25"/>
        <w:tblW w:w="940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5"/>
        <w:gridCol w:w="7404"/>
        <w:gridCol w:w="761"/>
        <w:gridCol w:w="733"/>
      </w:tblGrid>
      <w:tr>
        <w:trPr>
          <w:trHeight w:val="538" w:hRule="atLeast"/>
        </w:trPr>
        <w:tc>
          <w:tcPr>
            <w:tcW w:w="505" w:type="dxa"/>
            <w:shd w:val="clear" w:color="auto" w:fill="F1F1F1" w:themeFill="background1" w:themeFillShade="F2"/>
            <w:vAlign w:val="center"/>
          </w:tcPr>
          <w:p>
            <w:pPr>
              <w:autoSpaceDE w:val="0"/>
              <w:autoSpaceDN w:val="0"/>
              <w:adjustRightInd w:val="0"/>
              <w:rPr>
                <w:rFonts w:ascii="Arial" w:hAnsi="Arial" w:cs="Arial"/>
                <w:b/>
                <w:sz w:val="22"/>
                <w:szCs w:val="22"/>
              </w:rPr>
            </w:pPr>
            <w:bookmarkStart w:id="467" w:name="OLE_LINK395"/>
            <w:bookmarkStart w:id="468" w:name="OLE_LINK396"/>
          </w:p>
        </w:tc>
        <w:tc>
          <w:tcPr>
            <w:tcW w:w="7404"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76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3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23"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761" w:type="dxa"/>
            <w:shd w:val="clear" w:color="auto" w:fill="BEBEBE" w:themeFill="background1" w:themeFillShade="BF"/>
            <w:vAlign w:val="center"/>
          </w:tcPr>
          <w:sdt>
            <w:sdtPr>
              <w:rPr>
                <w:rFonts w:ascii="Arial" w:hAnsi="Arial" w:cs="Arial"/>
                <w:sz w:val="22"/>
                <w:szCs w:val="22"/>
              </w:rPr>
              <w:id w:val="-13962785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5608252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423"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761" w:type="dxa"/>
            <w:shd w:val="clear" w:color="auto" w:fill="BEBEBE" w:themeFill="background1" w:themeFillShade="BF"/>
            <w:vAlign w:val="center"/>
          </w:tcPr>
          <w:sdt>
            <w:sdtPr>
              <w:rPr>
                <w:rFonts w:ascii="Arial" w:hAnsi="Arial" w:cs="Arial"/>
                <w:sz w:val="22"/>
                <w:szCs w:val="22"/>
              </w:rPr>
              <w:id w:val="-18299782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6921849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3"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761" w:type="dxa"/>
            <w:shd w:val="clear" w:color="auto" w:fill="BEBEBE" w:themeFill="background1" w:themeFillShade="BF"/>
            <w:vAlign w:val="center"/>
          </w:tcPr>
          <w:sdt>
            <w:sdtPr>
              <w:rPr>
                <w:rFonts w:ascii="Arial" w:hAnsi="Arial" w:cs="Arial"/>
                <w:sz w:val="22"/>
                <w:szCs w:val="22"/>
              </w:rPr>
              <w:id w:val="129425493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4708720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761" w:type="dxa"/>
            <w:shd w:val="clear" w:color="auto" w:fill="BEBEBE" w:themeFill="background1" w:themeFillShade="BF"/>
            <w:vAlign w:val="center"/>
          </w:tcPr>
          <w:sdt>
            <w:sdtPr>
              <w:rPr>
                <w:rFonts w:ascii="Arial" w:hAnsi="Arial" w:cs="Arial"/>
                <w:sz w:val="22"/>
                <w:szCs w:val="22"/>
              </w:rPr>
              <w:id w:val="-4228031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81456750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761" w:type="dxa"/>
            <w:shd w:val="clear" w:color="auto" w:fill="BEBEBE" w:themeFill="background1" w:themeFillShade="BF"/>
            <w:vAlign w:val="center"/>
          </w:tcPr>
          <w:sdt>
            <w:sdtPr>
              <w:rPr>
                <w:rFonts w:ascii="Arial" w:hAnsi="Arial" w:cs="Arial"/>
                <w:sz w:val="22"/>
                <w:szCs w:val="22"/>
              </w:rPr>
              <w:id w:val="-6576905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32740922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761" w:type="dxa"/>
            <w:shd w:val="clear" w:color="auto" w:fill="BEBEBE" w:themeFill="background1" w:themeFillShade="BF"/>
            <w:vAlign w:val="center"/>
          </w:tcPr>
          <w:sdt>
            <w:sdtPr>
              <w:rPr>
                <w:rFonts w:ascii="Arial" w:hAnsi="Arial" w:cs="Arial"/>
                <w:sz w:val="22"/>
                <w:szCs w:val="22"/>
              </w:rPr>
              <w:id w:val="-9622748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54131760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23"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761" w:type="dxa"/>
            <w:shd w:val="clear" w:color="auto" w:fill="BEBEBE" w:themeFill="background1" w:themeFillShade="BF"/>
            <w:vAlign w:val="center"/>
          </w:tcPr>
          <w:sdt>
            <w:sdtPr>
              <w:rPr>
                <w:rFonts w:ascii="Arial" w:hAnsi="Arial" w:cs="Arial"/>
                <w:sz w:val="22"/>
                <w:szCs w:val="22"/>
              </w:rPr>
              <w:id w:val="16589598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21030460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761" w:type="dxa"/>
            <w:shd w:val="clear" w:color="auto" w:fill="BEBEBE" w:themeFill="background1" w:themeFillShade="BF"/>
            <w:vAlign w:val="center"/>
          </w:tcPr>
          <w:sdt>
            <w:sdtPr>
              <w:rPr>
                <w:rFonts w:ascii="Arial" w:hAnsi="Arial" w:cs="Arial"/>
                <w:sz w:val="22"/>
                <w:szCs w:val="22"/>
              </w:rPr>
              <w:id w:val="-166392325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209843459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423"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761" w:type="dxa"/>
            <w:shd w:val="clear" w:color="auto" w:fill="BEBEBE" w:themeFill="background1" w:themeFillShade="BF"/>
            <w:vAlign w:val="center"/>
          </w:tcPr>
          <w:sdt>
            <w:sdtPr>
              <w:rPr>
                <w:rFonts w:ascii="Arial" w:hAnsi="Arial" w:cs="Arial"/>
                <w:sz w:val="22"/>
                <w:szCs w:val="22"/>
              </w:rPr>
              <w:id w:val="-20839711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5456012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761" w:type="dxa"/>
            <w:shd w:val="clear" w:color="auto" w:fill="BEBEBE" w:themeFill="background1" w:themeFillShade="BF"/>
            <w:vAlign w:val="center"/>
          </w:tcPr>
          <w:sdt>
            <w:sdtPr>
              <w:rPr>
                <w:rFonts w:ascii="Arial" w:hAnsi="Arial" w:cs="Arial"/>
                <w:sz w:val="22"/>
                <w:szCs w:val="22"/>
              </w:rPr>
              <w:id w:val="-38811212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7970273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761" w:type="dxa"/>
            <w:shd w:val="clear" w:color="auto" w:fill="BEBEBE" w:themeFill="background1" w:themeFillShade="BF"/>
            <w:vAlign w:val="center"/>
          </w:tcPr>
          <w:sdt>
            <w:sdtPr>
              <w:rPr>
                <w:rFonts w:ascii="Arial" w:hAnsi="Arial" w:cs="Arial"/>
                <w:sz w:val="22"/>
                <w:szCs w:val="22"/>
              </w:rPr>
              <w:id w:val="-790515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20213540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761" w:type="dxa"/>
            <w:shd w:val="clear" w:color="auto" w:fill="BEBEBE" w:themeFill="background1" w:themeFillShade="BF"/>
            <w:vAlign w:val="center"/>
          </w:tcPr>
          <w:sdt>
            <w:sdtPr>
              <w:rPr>
                <w:rFonts w:ascii="Arial" w:hAnsi="Arial" w:cs="Arial"/>
                <w:sz w:val="22"/>
                <w:szCs w:val="22"/>
              </w:rPr>
              <w:id w:val="699054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12145743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761" w:type="dxa"/>
            <w:shd w:val="clear" w:color="auto" w:fill="BEBEBE" w:themeFill="background1" w:themeFillShade="BF"/>
            <w:vAlign w:val="center"/>
          </w:tcPr>
          <w:sdt>
            <w:sdtPr>
              <w:rPr>
                <w:rFonts w:ascii="Arial" w:hAnsi="Arial" w:cs="Arial"/>
                <w:sz w:val="22"/>
                <w:szCs w:val="22"/>
              </w:rPr>
              <w:id w:val="-401687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80623931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761" w:type="dxa"/>
            <w:shd w:val="clear" w:color="auto" w:fill="BEBEBE" w:themeFill="background1" w:themeFillShade="BF"/>
            <w:vAlign w:val="center"/>
          </w:tcPr>
          <w:sdt>
            <w:sdtPr>
              <w:rPr>
                <w:rFonts w:ascii="Arial" w:hAnsi="Arial" w:cs="Arial"/>
                <w:sz w:val="22"/>
                <w:szCs w:val="22"/>
              </w:rPr>
              <w:id w:val="-118489028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3086711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761" w:type="dxa"/>
            <w:shd w:val="clear" w:color="auto" w:fill="BEBEBE" w:themeFill="background1" w:themeFillShade="BF"/>
            <w:vAlign w:val="center"/>
          </w:tcPr>
          <w:sdt>
            <w:sdtPr>
              <w:rPr>
                <w:rFonts w:ascii="Arial" w:hAnsi="Arial" w:cs="Arial"/>
                <w:sz w:val="22"/>
                <w:szCs w:val="22"/>
              </w:rPr>
              <w:id w:val="6686055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20145625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61" w:type="dxa"/>
            <w:shd w:val="clear" w:color="auto" w:fill="BEBEBE" w:themeFill="background1" w:themeFillShade="BF"/>
            <w:vAlign w:val="center"/>
          </w:tcPr>
          <w:sdt>
            <w:sdtPr>
              <w:rPr>
                <w:rFonts w:ascii="Arial" w:hAnsi="Arial" w:cs="Arial"/>
                <w:sz w:val="22"/>
                <w:szCs w:val="22"/>
              </w:rPr>
              <w:id w:val="1965148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shd w:val="clear" w:color="auto" w:fill="BEBEBE" w:themeFill="background1" w:themeFillShade="BF"/>
            <w:vAlign w:val="center"/>
          </w:tcPr>
          <w:sdt>
            <w:sdtPr>
              <w:rPr>
                <w:rFonts w:ascii="Arial" w:hAnsi="Arial" w:cs="Arial"/>
                <w:sz w:val="22"/>
                <w:szCs w:val="22"/>
              </w:rPr>
              <w:id w:val="-213616917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74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761" w:type="dxa"/>
            <w:vMerge w:val="restart"/>
            <w:shd w:val="clear" w:color="auto" w:fill="BEBEBE" w:themeFill="background1" w:themeFillShade="BF"/>
            <w:vAlign w:val="center"/>
          </w:tcPr>
          <w:sdt>
            <w:sdtPr>
              <w:rPr>
                <w:rFonts w:ascii="Arial" w:hAnsi="Arial" w:cs="Arial"/>
                <w:sz w:val="22"/>
                <w:szCs w:val="22"/>
              </w:rPr>
              <w:id w:val="-191151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3" w:type="dxa"/>
            <w:vMerge w:val="restart"/>
            <w:shd w:val="clear" w:color="auto" w:fill="BEBEBE" w:themeFill="background1" w:themeFillShade="BF"/>
            <w:vAlign w:val="center"/>
          </w:tcPr>
          <w:sdt>
            <w:sdtPr>
              <w:rPr>
                <w:rFonts w:ascii="Arial" w:hAnsi="Arial" w:cs="Arial"/>
                <w:sz w:val="22"/>
                <w:szCs w:val="22"/>
              </w:rPr>
              <w:id w:val="23158876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9" w:hRule="atLeast"/>
        </w:trPr>
        <w:tc>
          <w:tcPr>
            <w:tcW w:w="505" w:type="dxa"/>
            <w:vAlign w:val="center"/>
          </w:tcPr>
          <w:p>
            <w:pPr>
              <w:autoSpaceDE w:val="0"/>
              <w:autoSpaceDN w:val="0"/>
              <w:adjustRightInd w:val="0"/>
              <w:rPr>
                <w:rFonts w:ascii="Arial" w:hAnsi="Arial" w:cs="Arial"/>
                <w:sz w:val="22"/>
                <w:szCs w:val="22"/>
              </w:rPr>
            </w:pPr>
          </w:p>
        </w:tc>
        <w:tc>
          <w:tcPr>
            <w:tcW w:w="7404"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tc>
        <w:tc>
          <w:tcPr>
            <w:tcW w:w="761"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733"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bookmarkEnd w:id="467"/>
      <w:bookmarkEnd w:id="468"/>
    </w:tbl>
    <w:p>
      <w:pPr>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rPr>
          <w:rFonts w:ascii="Arial" w:hAnsi="Arial" w:cs="Arial"/>
          <w:b/>
          <w:sz w:val="22"/>
          <w:szCs w:val="22"/>
        </w:rPr>
      </w:pPr>
      <w:r>
        <w:rPr>
          <w:rFonts w:ascii="Arial" w:hAnsi="Arial" w:cs="Arial"/>
          <w:b/>
          <w:sz w:val="22"/>
          <w:szCs w:val="22"/>
        </w:rPr>
        <w:t>SECTION G: Intended Participants</w:t>
      </w:r>
    </w:p>
    <w:p>
      <w:pPr>
        <w:rPr>
          <w:rFonts w:ascii="Arial" w:hAnsi="Arial" w:cs="Arial"/>
          <w:bCs/>
        </w:rPr>
      </w:pPr>
      <w:r>
        <w:rPr>
          <w:rFonts w:ascii="Arial" w:hAnsi="Arial" w:cs="Arial"/>
          <w:bCs/>
        </w:rPr>
        <w:t>If there are no participants then do not complete this section, but go directly to section H.</w:t>
      </w:r>
    </w:p>
    <w:p>
      <w:pPr>
        <w:rPr>
          <w:rFonts w:ascii="Arial" w:hAnsi="Arial" w:cs="Arial"/>
          <w:bCs/>
        </w:rPr>
      </w:pPr>
    </w:p>
    <w:tbl>
      <w:tblPr>
        <w:tblStyle w:val="25"/>
        <w:tblW w:w="935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3"/>
        <w:gridCol w:w="7358"/>
        <w:gridCol w:w="761"/>
        <w:gridCol w:w="7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0"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7358" w:type="dxa"/>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Who are the intended participants:</w:t>
            </w:r>
          </w:p>
        </w:tc>
        <w:tc>
          <w:tcPr>
            <w:tcW w:w="761"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3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761" w:type="dxa"/>
            <w:shd w:val="clear" w:color="auto" w:fill="BEBEBE" w:themeFill="background1" w:themeFillShade="BF"/>
            <w:vAlign w:val="center"/>
          </w:tcPr>
          <w:sdt>
            <w:sdtPr>
              <w:rPr>
                <w:rFonts w:ascii="Arial" w:hAnsi="Arial" w:cs="Arial"/>
                <w:sz w:val="22"/>
                <w:szCs w:val="22"/>
              </w:rPr>
              <w:id w:val="211354875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103370182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761" w:type="dxa"/>
            <w:shd w:val="clear" w:color="auto" w:fill="BEBEBE" w:themeFill="background1" w:themeFillShade="BF"/>
            <w:vAlign w:val="center"/>
          </w:tcPr>
          <w:sdt>
            <w:sdtPr>
              <w:rPr>
                <w:rFonts w:ascii="Arial" w:hAnsi="Arial" w:cs="Arial"/>
                <w:sz w:val="22"/>
                <w:szCs w:val="22"/>
              </w:rPr>
              <w:id w:val="1138737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162943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761" w:type="dxa"/>
            <w:shd w:val="clear" w:color="auto" w:fill="BEBEBE" w:themeFill="background1" w:themeFillShade="BF"/>
            <w:vAlign w:val="center"/>
          </w:tcPr>
          <w:sdt>
            <w:sdtPr>
              <w:rPr>
                <w:rFonts w:ascii="Arial" w:hAnsi="Arial" w:cs="Arial"/>
                <w:sz w:val="22"/>
                <w:szCs w:val="22"/>
              </w:rPr>
              <w:id w:val="-8097163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20522141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761" w:type="dxa"/>
            <w:shd w:val="clear" w:color="auto" w:fill="BEBEBE" w:themeFill="background1" w:themeFillShade="BF"/>
            <w:vAlign w:val="center"/>
          </w:tcPr>
          <w:sdt>
            <w:sdtPr>
              <w:rPr>
                <w:rFonts w:ascii="Arial" w:hAnsi="Arial" w:cs="Arial"/>
                <w:sz w:val="22"/>
                <w:szCs w:val="22"/>
              </w:rPr>
              <w:id w:val="-167965447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3038590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761" w:type="dxa"/>
            <w:shd w:val="clear" w:color="auto" w:fill="BEBEBE" w:themeFill="background1" w:themeFillShade="BF"/>
            <w:vAlign w:val="center"/>
          </w:tcPr>
          <w:sdt>
            <w:sdtPr>
              <w:rPr>
                <w:rFonts w:ascii="Arial" w:hAnsi="Arial" w:cs="Arial"/>
                <w:sz w:val="22"/>
                <w:szCs w:val="22"/>
              </w:rPr>
              <w:id w:val="-128502759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14137352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761" w:type="dxa"/>
            <w:shd w:val="clear" w:color="auto" w:fill="BEBEBE" w:themeFill="background1" w:themeFillShade="BF"/>
            <w:vAlign w:val="center"/>
          </w:tcPr>
          <w:sdt>
            <w:sdtPr>
              <w:rPr>
                <w:rFonts w:ascii="Arial" w:hAnsi="Arial" w:cs="Arial"/>
                <w:sz w:val="22"/>
                <w:szCs w:val="22"/>
              </w:rPr>
              <w:id w:val="5602203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17287301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761" w:type="dxa"/>
            <w:shd w:val="clear" w:color="auto" w:fill="BEBEBE" w:themeFill="background1" w:themeFillShade="BF"/>
            <w:vAlign w:val="center"/>
          </w:tcPr>
          <w:sdt>
            <w:sdtPr>
              <w:rPr>
                <w:rFonts w:ascii="Arial" w:hAnsi="Arial" w:cs="Arial"/>
                <w:sz w:val="22"/>
                <w:szCs w:val="22"/>
              </w:rPr>
              <w:id w:val="-71719897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79455598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761" w:type="dxa"/>
            <w:shd w:val="clear" w:color="auto" w:fill="BEBEBE" w:themeFill="background1" w:themeFillShade="BF"/>
            <w:vAlign w:val="center"/>
          </w:tcPr>
          <w:sdt>
            <w:sdtPr>
              <w:rPr>
                <w:rFonts w:ascii="Arial" w:hAnsi="Arial" w:cs="Arial"/>
                <w:sz w:val="22"/>
                <w:szCs w:val="22"/>
              </w:rPr>
              <w:id w:val="-1292548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36" w:type="dxa"/>
            <w:shd w:val="clear" w:color="auto" w:fill="BEBEBE" w:themeFill="background1" w:themeFillShade="BF"/>
            <w:vAlign w:val="center"/>
          </w:tcPr>
          <w:sdt>
            <w:sdtPr>
              <w:rPr>
                <w:rFonts w:ascii="Arial" w:hAnsi="Arial" w:cs="Arial"/>
                <w:sz w:val="22"/>
                <w:szCs w:val="22"/>
              </w:rPr>
              <w:id w:val="128747397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35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761" w:type="dxa"/>
            <w:vMerge w:val="restart"/>
            <w:shd w:val="clear" w:color="auto" w:fill="BEBEBE" w:themeFill="background1" w:themeFillShade="BF"/>
            <w:vAlign w:val="center"/>
          </w:tcPr>
          <w:sdt>
            <w:sdtPr>
              <w:rPr>
                <w:rFonts w:ascii="Arial" w:hAnsi="Arial" w:cs="Arial"/>
                <w:sz w:val="22"/>
                <w:szCs w:val="22"/>
              </w:rPr>
              <w:id w:val="1286816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36" w:type="dxa"/>
            <w:vMerge w:val="restart"/>
            <w:shd w:val="clear" w:color="auto" w:fill="BEBEBE" w:themeFill="background1" w:themeFillShade="BF"/>
            <w:vAlign w:val="center"/>
          </w:tcPr>
          <w:sdt>
            <w:sdtPr>
              <w:rPr>
                <w:rFonts w:ascii="Arial" w:hAnsi="Arial" w:cs="Arial"/>
                <w:sz w:val="22"/>
                <w:szCs w:val="22"/>
              </w:rPr>
              <w:id w:val="-1186201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1" w:hRule="atLeast"/>
        </w:trPr>
        <w:tc>
          <w:tcPr>
            <w:tcW w:w="503" w:type="dxa"/>
            <w:vAlign w:val="center"/>
          </w:tcPr>
          <w:p>
            <w:pPr>
              <w:autoSpaceDE w:val="0"/>
              <w:autoSpaceDN w:val="0"/>
              <w:adjustRightInd w:val="0"/>
              <w:jc w:val="center"/>
              <w:rPr>
                <w:rFonts w:ascii="Arial" w:hAnsi="Arial" w:cs="Arial"/>
                <w:sz w:val="22"/>
                <w:szCs w:val="22"/>
              </w:rPr>
            </w:pPr>
          </w:p>
        </w:tc>
        <w:tc>
          <w:tcPr>
            <w:tcW w:w="7358"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761"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73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rPr>
      </w:pPr>
    </w:p>
    <w:tbl>
      <w:tblPr>
        <w:tblStyle w:val="25"/>
        <w:tblW w:w="937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3"/>
        <w:gridCol w:w="2919"/>
        <w:gridCol w:w="59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9" w:hRule="atLeast"/>
        </w:trPr>
        <w:tc>
          <w:tcPr>
            <w:tcW w:w="503" w:type="dxa"/>
            <w:tcBorders>
              <w:bottom w:val="single" w:color="auto" w:sz="4" w:space="0"/>
            </w:tcBorders>
            <w:shd w:val="clear" w:color="auto" w:fill="F1F1F1" w:themeFill="background1" w:themeFillShade="F2"/>
          </w:tcPr>
          <w:p>
            <w:pPr>
              <w:rPr>
                <w:rFonts w:ascii="Arial" w:hAnsi="Arial" w:cs="Arial"/>
                <w:bCs/>
                <w:sz w:val="22"/>
                <w:szCs w:val="22"/>
              </w:rPr>
            </w:pPr>
          </w:p>
        </w:tc>
        <w:tc>
          <w:tcPr>
            <w:tcW w:w="8867"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9" w:hRule="atLeast"/>
        </w:trPr>
        <w:tc>
          <w:tcPr>
            <w:tcW w:w="50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291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tc>
        <w:tc>
          <w:tcPr>
            <w:tcW w:w="5947"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Ten participants.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9" w:hRule="atLeast"/>
        </w:trPr>
        <w:tc>
          <w:tcPr>
            <w:tcW w:w="50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sz w:val="22"/>
                <w:szCs w:val="22"/>
              </w:rPr>
            </w:pPr>
            <w:r>
              <w:rPr>
                <w:rFonts w:ascii="Arial" w:hAnsi="Arial" w:cs="Arial"/>
                <w:sz w:val="22"/>
                <w:szCs w:val="22"/>
              </w:rPr>
              <w:t>11</w:t>
            </w:r>
          </w:p>
        </w:tc>
        <w:tc>
          <w:tcPr>
            <w:tcW w:w="291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tc>
        <w:tc>
          <w:tcPr>
            <w:tcW w:w="5947" w:type="dxa"/>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w:t>
            </w:r>
            <w:r>
              <w:rPr>
                <w:rFonts w:ascii="Arial" w:hAnsi="Arial" w:cs="Arial"/>
                <w:color w:val="000000" w:themeColor="text1"/>
                <w:sz w:val="22"/>
                <w:szCs w:val="22"/>
                <w14:textFill>
                  <w14:solidFill>
                    <w14:schemeClr w14:val="tx1"/>
                  </w14:solidFill>
                </w14:textFill>
              </w:rPr>
              <w:t>hey will be Chinese students majoring in education and are planning to teach English in China in or other countries.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9" w:hRule="atLeast"/>
        </w:trPr>
        <w:tc>
          <w:tcPr>
            <w:tcW w:w="503"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2919"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r>
              <w:rPr>
                <w:rFonts w:ascii="Arial" w:hAnsi="Arial" w:cs="Arial"/>
                <w:sz w:val="22"/>
                <w:szCs w:val="22"/>
              </w:rPr>
              <w:br w:type="textWrapping"/>
            </w:r>
          </w:p>
        </w:tc>
        <w:tc>
          <w:tcPr>
            <w:tcW w:w="5947" w:type="dxa"/>
            <w:tcBorders>
              <w:top w:val="single" w:color="auto" w:sz="4" w:space="0"/>
            </w:tcBorders>
            <w:vAlign w:val="center"/>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 order to invite possible volunteers, the researcher will first send out an invitation that includes a brief description of the study and the kinds of people that are needed.</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there are multiple volunteers, those who meet the requirements of this study will be selected from among them, and they need to meet the following two conditions: 1) have educational experience other than in China 2) major in education 3) plan to become an English teacher.</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there are still multiple candidates, their willingness to participate will be further ascertained and participants will be identified according to their wishes.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w:t>
            </w:r>
            <w:r>
              <w:rPr>
                <w:rFonts w:hint="eastAsia" w:ascii="Arial" w:hAnsi="Arial" w:cs="Arial"/>
                <w:color w:val="000000" w:themeColor="text1"/>
                <w:sz w:val="22"/>
                <w:szCs w:val="22"/>
                <w14:textFill>
                  <w14:solidFill>
                    <w14:schemeClr w14:val="tx1"/>
                  </w14:solidFill>
                </w14:textFill>
              </w:rPr>
              <w:t>mong</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them</w:t>
            </w:r>
            <w:r>
              <w:rPr>
                <w:rFonts w:ascii="Arial" w:hAnsi="Arial" w:cs="Arial"/>
                <w:color w:val="000000" w:themeColor="text1"/>
                <w:sz w:val="22"/>
                <w:szCs w:val="22"/>
                <w14:textFill>
                  <w14:solidFill>
                    <w14:schemeClr w14:val="tx1"/>
                  </w14:solidFill>
                </w14:textFill>
              </w:rPr>
              <w:t>,</w:t>
            </w:r>
            <w:r>
              <w:rPr>
                <w:rFonts w:hint="eastAsia" w:ascii="Arial" w:hAnsi="Arial" w:cs="Arial"/>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one participant will be chosen at random to participate in the pilot interview; the remaining participants will serve as the primary data sources.</w:t>
            </w:r>
          </w:p>
        </w:tc>
      </w:tr>
    </w:tbl>
    <w:p>
      <w:pPr>
        <w:rPr>
          <w:rFonts w:ascii="Arial" w:hAnsi="Arial" w:cs="Arial"/>
        </w:rPr>
      </w:pPr>
    </w:p>
    <w:tbl>
      <w:tblPr>
        <w:tblStyle w:val="25"/>
        <w:tblW w:w="93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2"/>
        <w:gridCol w:w="6341"/>
        <w:gridCol w:w="887"/>
        <w:gridCol w:w="761"/>
        <w:gridCol w:w="889"/>
      </w:tblGrid>
      <w:tr>
        <w:trPr>
          <w:trHeight w:val="597"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6341" w:type="dxa"/>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887"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6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87"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20"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887" w:type="dxa"/>
            <w:shd w:val="clear" w:color="auto" w:fill="BEBEBE" w:themeFill="background1" w:themeFillShade="BF"/>
            <w:vAlign w:val="center"/>
          </w:tcPr>
          <w:sdt>
            <w:sdtPr>
              <w:rPr>
                <w:rFonts w:ascii="Arial" w:hAnsi="Arial" w:cs="Arial"/>
                <w:sz w:val="22"/>
                <w:szCs w:val="22"/>
              </w:rPr>
              <w:id w:val="-11475118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20421682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14408769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385"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887" w:type="dxa"/>
            <w:shd w:val="clear" w:color="auto" w:fill="BEBEBE" w:themeFill="background1" w:themeFillShade="BF"/>
            <w:vAlign w:val="center"/>
          </w:tcPr>
          <w:sdt>
            <w:sdtPr>
              <w:rPr>
                <w:rFonts w:ascii="Arial" w:hAnsi="Arial" w:cs="Arial"/>
                <w:sz w:val="22"/>
                <w:szCs w:val="22"/>
              </w:rPr>
              <w:id w:val="125787024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6179096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7551268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20"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887" w:type="dxa"/>
            <w:shd w:val="clear" w:color="auto" w:fill="BEBEBE" w:themeFill="background1" w:themeFillShade="BF"/>
            <w:vAlign w:val="center"/>
          </w:tcPr>
          <w:sdt>
            <w:sdtPr>
              <w:rPr>
                <w:rFonts w:ascii="Arial" w:hAnsi="Arial" w:cs="Arial"/>
                <w:sz w:val="22"/>
                <w:szCs w:val="22"/>
              </w:rPr>
              <w:id w:val="-13413972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4940819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658880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385"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887" w:type="dxa"/>
            <w:shd w:val="clear" w:color="auto" w:fill="BEBEBE" w:themeFill="background1" w:themeFillShade="BF"/>
            <w:vAlign w:val="center"/>
          </w:tcPr>
          <w:sdt>
            <w:sdtPr>
              <w:rPr>
                <w:rFonts w:ascii="Arial" w:hAnsi="Arial" w:cs="Arial"/>
                <w:sz w:val="22"/>
                <w:szCs w:val="22"/>
              </w:rPr>
              <w:id w:val="-80755010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11246907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23755180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20"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887" w:type="dxa"/>
            <w:shd w:val="clear" w:color="auto" w:fill="BEBEBE" w:themeFill="background1" w:themeFillShade="BF"/>
            <w:vAlign w:val="center"/>
          </w:tcPr>
          <w:sdt>
            <w:sdtPr>
              <w:rPr>
                <w:rFonts w:ascii="Arial" w:hAnsi="Arial" w:cs="Arial"/>
                <w:sz w:val="22"/>
                <w:szCs w:val="22"/>
              </w:rPr>
              <w:id w:val="211850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138198305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15008391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5"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887" w:type="dxa"/>
            <w:shd w:val="clear" w:color="auto" w:fill="BEBEBE" w:themeFill="background1" w:themeFillShade="BF"/>
            <w:vAlign w:val="center"/>
          </w:tcPr>
          <w:sdt>
            <w:sdtPr>
              <w:rPr>
                <w:rFonts w:ascii="Arial" w:hAnsi="Arial" w:cs="Arial"/>
                <w:sz w:val="22"/>
                <w:szCs w:val="22"/>
              </w:rPr>
              <w:id w:val="-102601405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108452435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898827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20"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887" w:type="dxa"/>
            <w:shd w:val="clear" w:color="auto" w:fill="BEBEBE" w:themeFill="background1" w:themeFillShade="BF"/>
            <w:vAlign w:val="center"/>
          </w:tcPr>
          <w:sdt>
            <w:sdtPr>
              <w:rPr>
                <w:rFonts w:ascii="Arial" w:hAnsi="Arial" w:cs="Arial"/>
                <w:sz w:val="22"/>
                <w:szCs w:val="22"/>
              </w:rPr>
              <w:id w:val="-18376753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4956960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125844584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rPr>
          <w:trHeight w:val="385"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887" w:type="dxa"/>
            <w:shd w:val="clear" w:color="auto" w:fill="BEBEBE" w:themeFill="background1" w:themeFillShade="BF"/>
            <w:vAlign w:val="center"/>
          </w:tcPr>
          <w:sdt>
            <w:sdtPr>
              <w:rPr>
                <w:rFonts w:ascii="Arial" w:hAnsi="Arial" w:cs="Arial"/>
                <w:sz w:val="22"/>
                <w:szCs w:val="22"/>
              </w:rPr>
              <w:id w:val="-212075593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19442668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1277763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20" w:hRule="atLeast"/>
        </w:trPr>
        <w:tc>
          <w:tcPr>
            <w:tcW w:w="50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6341"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887" w:type="dxa"/>
            <w:shd w:val="clear" w:color="auto" w:fill="BEBEBE" w:themeFill="background1" w:themeFillShade="BF"/>
            <w:vAlign w:val="center"/>
          </w:tcPr>
          <w:sdt>
            <w:sdtPr>
              <w:rPr>
                <w:rFonts w:ascii="Arial" w:hAnsi="Arial" w:cs="Arial"/>
                <w:sz w:val="22"/>
                <w:szCs w:val="22"/>
              </w:rPr>
              <w:id w:val="-7874299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61" w:type="dxa"/>
            <w:shd w:val="clear" w:color="auto" w:fill="BEBEBE" w:themeFill="background1" w:themeFillShade="BF"/>
            <w:vAlign w:val="center"/>
          </w:tcPr>
          <w:sdt>
            <w:sdtPr>
              <w:rPr>
                <w:rFonts w:ascii="Arial" w:hAnsi="Arial" w:cs="Arial"/>
                <w:sz w:val="22"/>
                <w:szCs w:val="22"/>
              </w:rPr>
              <w:id w:val="18699506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87" w:type="dxa"/>
            <w:shd w:val="clear" w:color="auto" w:fill="BEBEBE" w:themeFill="background1" w:themeFillShade="BF"/>
            <w:vAlign w:val="center"/>
          </w:tcPr>
          <w:sdt>
            <w:sdtPr>
              <w:rPr>
                <w:rFonts w:ascii="Arial" w:hAnsi="Arial" w:cs="Arial"/>
                <w:sz w:val="22"/>
                <w:szCs w:val="22"/>
              </w:rPr>
              <w:id w:val="4214534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385" w:hRule="atLeast"/>
        </w:trPr>
        <w:tc>
          <w:tcPr>
            <w:tcW w:w="50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8878"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385" w:hRule="atLeast"/>
        </w:trPr>
        <w:tc>
          <w:tcPr>
            <w:tcW w:w="502" w:type="dxa"/>
            <w:vAlign w:val="center"/>
          </w:tcPr>
          <w:p>
            <w:pPr>
              <w:jc w:val="center"/>
              <w:rPr>
                <w:rFonts w:ascii="Arial" w:hAnsi="Arial" w:cs="Arial"/>
                <w:sz w:val="22"/>
                <w:szCs w:val="22"/>
              </w:rPr>
            </w:pPr>
          </w:p>
        </w:tc>
        <w:tc>
          <w:tcPr>
            <w:tcW w:w="8878" w:type="dxa"/>
            <w:gridSpan w:val="4"/>
            <w:vAlign w:val="center"/>
          </w:tcPr>
          <w:p>
            <w:pPr>
              <w:autoSpaceDE w:val="0"/>
              <w:autoSpaceDN w:val="0"/>
              <w:adjustRightInd w:val="0"/>
              <w:rPr>
                <w:rFonts w:ascii="Arial" w:hAnsi="Arial" w:cs="Arial"/>
              </w:rPr>
            </w:pPr>
          </w:p>
        </w:tc>
      </w:tr>
    </w:tbl>
    <w:p>
      <w:pPr>
        <w:rPr>
          <w:rFonts w:ascii="Arial" w:hAnsi="Arial" w:cs="Arial"/>
        </w:rPr>
      </w:pPr>
    </w:p>
    <w:tbl>
      <w:tblPr>
        <w:tblStyle w:val="25"/>
        <w:tblW w:w="934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0"/>
        <w:gridCol w:w="6317"/>
        <w:gridCol w:w="883"/>
        <w:gridCol w:w="758"/>
        <w:gridCol w:w="8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79" w:hRule="atLeast"/>
        </w:trPr>
        <w:tc>
          <w:tcPr>
            <w:tcW w:w="500" w:type="dxa"/>
            <w:shd w:val="clear" w:color="auto" w:fill="F1F1F1" w:themeFill="background1" w:themeFillShade="F2"/>
          </w:tcPr>
          <w:p>
            <w:pPr>
              <w:autoSpaceDE w:val="0"/>
              <w:autoSpaceDN w:val="0"/>
              <w:adjustRightInd w:val="0"/>
              <w:rPr>
                <w:rFonts w:ascii="Arial" w:hAnsi="Arial" w:cs="Arial"/>
                <w:bCs/>
                <w:sz w:val="22"/>
                <w:szCs w:val="22"/>
              </w:rPr>
            </w:pPr>
          </w:p>
        </w:tc>
        <w:tc>
          <w:tcPr>
            <w:tcW w:w="631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883"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58"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85"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7" w:hRule="atLeast"/>
        </w:trPr>
        <w:tc>
          <w:tcPr>
            <w:tcW w:w="50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63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883" w:type="dxa"/>
            <w:shd w:val="clear" w:color="auto" w:fill="BEBEBE" w:themeFill="background1" w:themeFillShade="BF"/>
            <w:vAlign w:val="center"/>
          </w:tcPr>
          <w:sdt>
            <w:sdtPr>
              <w:rPr>
                <w:rFonts w:ascii="Arial" w:hAnsi="Arial" w:cs="Arial"/>
                <w:sz w:val="22"/>
                <w:szCs w:val="22"/>
              </w:rPr>
              <w:id w:val="-15499831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58" w:type="dxa"/>
            <w:shd w:val="clear" w:color="auto" w:fill="BEBEBE" w:themeFill="background1" w:themeFillShade="BF"/>
            <w:vAlign w:val="center"/>
          </w:tcPr>
          <w:sdt>
            <w:sdtPr>
              <w:rPr>
                <w:rFonts w:ascii="Arial" w:hAnsi="Arial" w:cs="Arial"/>
                <w:sz w:val="22"/>
                <w:szCs w:val="22"/>
              </w:rPr>
              <w:id w:val="-8272896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85" w:type="dxa"/>
            <w:shd w:val="clear" w:color="auto" w:fill="BEBEBE" w:themeFill="background1" w:themeFillShade="BF"/>
            <w:vAlign w:val="center"/>
          </w:tcPr>
          <w:sdt>
            <w:sdtPr>
              <w:rPr>
                <w:rFonts w:ascii="Arial" w:hAnsi="Arial" w:cs="Arial"/>
                <w:sz w:val="22"/>
                <w:szCs w:val="22"/>
              </w:rPr>
              <w:id w:val="151379558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4" w:hRule="atLeast"/>
        </w:trPr>
        <w:tc>
          <w:tcPr>
            <w:tcW w:w="50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63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883" w:type="dxa"/>
            <w:shd w:val="clear" w:color="auto" w:fill="BEBEBE" w:themeFill="background1" w:themeFillShade="BF"/>
            <w:vAlign w:val="center"/>
          </w:tcPr>
          <w:sdt>
            <w:sdtPr>
              <w:rPr>
                <w:rFonts w:ascii="Arial" w:hAnsi="Arial" w:cs="Arial"/>
                <w:sz w:val="22"/>
                <w:szCs w:val="22"/>
              </w:rPr>
              <w:id w:val="-9108420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758" w:type="dxa"/>
            <w:shd w:val="clear" w:color="auto" w:fill="BEBEBE" w:themeFill="background1" w:themeFillShade="BF"/>
            <w:vAlign w:val="center"/>
          </w:tcPr>
          <w:sdt>
            <w:sdtPr>
              <w:rPr>
                <w:rFonts w:ascii="Arial" w:hAnsi="Arial" w:cs="Arial"/>
                <w:sz w:val="22"/>
                <w:szCs w:val="22"/>
              </w:rPr>
              <w:id w:val="-8607352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85" w:type="dxa"/>
            <w:shd w:val="clear" w:color="auto" w:fill="BEBEBE" w:themeFill="background1" w:themeFillShade="BF"/>
            <w:vAlign w:val="center"/>
          </w:tcPr>
          <w:sdt>
            <w:sdtPr>
              <w:rPr>
                <w:rFonts w:ascii="Arial" w:hAnsi="Arial" w:cs="Arial"/>
                <w:sz w:val="22"/>
                <w:szCs w:val="22"/>
              </w:rPr>
              <w:id w:val="-13992062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7" w:hRule="atLeast"/>
        </w:trPr>
        <w:tc>
          <w:tcPr>
            <w:tcW w:w="50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63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883" w:type="dxa"/>
            <w:shd w:val="clear" w:color="auto" w:fill="BEBEBE" w:themeFill="background1" w:themeFillShade="BF"/>
            <w:vAlign w:val="center"/>
          </w:tcPr>
          <w:sdt>
            <w:sdtPr>
              <w:rPr>
                <w:rFonts w:ascii="Arial" w:hAnsi="Arial" w:cs="Arial"/>
                <w:sz w:val="22"/>
                <w:szCs w:val="22"/>
              </w:rPr>
              <w:id w:val="-5698865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58" w:type="dxa"/>
            <w:shd w:val="clear" w:color="auto" w:fill="BEBEBE" w:themeFill="background1" w:themeFillShade="BF"/>
            <w:vAlign w:val="center"/>
          </w:tcPr>
          <w:sdt>
            <w:sdtPr>
              <w:rPr>
                <w:rFonts w:ascii="Arial" w:hAnsi="Arial" w:cs="Arial"/>
                <w:sz w:val="22"/>
                <w:szCs w:val="22"/>
              </w:rPr>
              <w:id w:val="33419364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85" w:type="dxa"/>
            <w:shd w:val="clear" w:color="auto" w:fill="BEBEBE" w:themeFill="background1" w:themeFillShade="BF"/>
            <w:vAlign w:val="center"/>
          </w:tcPr>
          <w:sdt>
            <w:sdtPr>
              <w:rPr>
                <w:rFonts w:ascii="Arial" w:hAnsi="Arial" w:cs="Arial"/>
                <w:sz w:val="22"/>
                <w:szCs w:val="22"/>
              </w:rPr>
              <w:id w:val="2042320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4" w:hRule="atLeast"/>
        </w:trPr>
        <w:tc>
          <w:tcPr>
            <w:tcW w:w="50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63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883" w:type="dxa"/>
            <w:shd w:val="clear" w:color="auto" w:fill="BEBEBE" w:themeFill="background1" w:themeFillShade="BF"/>
            <w:vAlign w:val="center"/>
          </w:tcPr>
          <w:sdt>
            <w:sdtPr>
              <w:rPr>
                <w:rFonts w:ascii="Arial" w:hAnsi="Arial" w:cs="Arial"/>
                <w:sz w:val="22"/>
                <w:szCs w:val="22"/>
              </w:rPr>
              <w:id w:val="-1792507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758" w:type="dxa"/>
            <w:shd w:val="clear" w:color="auto" w:fill="BEBEBE" w:themeFill="background1" w:themeFillShade="BF"/>
            <w:vAlign w:val="center"/>
          </w:tcPr>
          <w:sdt>
            <w:sdtPr>
              <w:rPr>
                <w:rFonts w:ascii="Arial" w:hAnsi="Arial" w:cs="Arial"/>
                <w:sz w:val="22"/>
                <w:szCs w:val="22"/>
              </w:rPr>
              <w:id w:val="91690285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85" w:type="dxa"/>
            <w:shd w:val="clear" w:color="auto" w:fill="BEBEBE" w:themeFill="background1" w:themeFillShade="BF"/>
            <w:vAlign w:val="center"/>
          </w:tcPr>
          <w:sdt>
            <w:sdtPr>
              <w:rPr>
                <w:rFonts w:ascii="Arial" w:hAnsi="Arial" w:cs="Arial"/>
                <w:sz w:val="22"/>
                <w:szCs w:val="22"/>
              </w:rPr>
              <w:id w:val="10215079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4" w:hRule="atLeast"/>
        </w:trPr>
        <w:tc>
          <w:tcPr>
            <w:tcW w:w="50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8844"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4" w:hRule="atLeast"/>
        </w:trPr>
        <w:tc>
          <w:tcPr>
            <w:tcW w:w="500" w:type="dxa"/>
            <w:vAlign w:val="center"/>
          </w:tcPr>
          <w:p>
            <w:pPr>
              <w:jc w:val="center"/>
              <w:rPr>
                <w:rFonts w:ascii="Arial" w:hAnsi="Arial" w:cs="Arial"/>
                <w:sz w:val="22"/>
                <w:szCs w:val="22"/>
              </w:rPr>
            </w:pPr>
          </w:p>
        </w:tc>
        <w:tc>
          <w:tcPr>
            <w:tcW w:w="8844" w:type="dxa"/>
            <w:gridSpan w:val="4"/>
            <w:vAlign w:val="center"/>
          </w:tcPr>
          <w:p>
            <w:pPr>
              <w:rPr>
                <w:rFonts w:ascii="Arial" w:hAnsi="Arial" w:cs="Arial"/>
                <w:color w:val="FF0000"/>
              </w:rPr>
            </w:pPr>
          </w:p>
        </w:tc>
      </w:tr>
    </w:tbl>
    <w:p>
      <w:pPr>
        <w:rPr>
          <w:rFonts w:ascii="Arial" w:hAnsi="Arial" w:cs="Arial"/>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24"/>
        <w:tblW w:w="9355"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4"/>
        <w:gridCol w:w="4296"/>
        <w:gridCol w:w="2544"/>
        <w:gridCol w:w="841"/>
        <w:gridCol w:w="1350"/>
      </w:tblGrid>
      <w:tr>
        <w:trPr>
          <w:trHeight w:val="1304" w:hRule="atLeast"/>
        </w:trPr>
        <w:tc>
          <w:tcPr>
            <w:tcW w:w="324" w:type="dxa"/>
            <w:tcBorders>
              <w:bottom w:val="single" w:color="auto" w:sz="4" w:space="0"/>
            </w:tcBorders>
            <w:shd w:val="clear" w:color="auto" w:fill="F1F1F1" w:themeFill="background1" w:themeFillShade="F2"/>
          </w:tcPr>
          <w:p>
            <w:pPr>
              <w:pStyle w:val="2"/>
              <w:jc w:val="left"/>
              <w:rPr>
                <w:rFonts w:ascii="Arial" w:hAnsi="Arial" w:cs="Arial"/>
                <w:b w:val="0"/>
                <w:bCs w:val="0"/>
                <w:sz w:val="24"/>
                <w:szCs w:val="24"/>
              </w:rPr>
            </w:pPr>
          </w:p>
        </w:tc>
        <w:tc>
          <w:tcPr>
            <w:tcW w:w="9031" w:type="dxa"/>
            <w:gridSpan w:val="4"/>
            <w:tcBorders>
              <w:bottom w:val="single" w:color="auto" w:sz="4" w:space="0"/>
            </w:tcBorders>
            <w:shd w:val="clear" w:color="auto" w:fill="F1F1F1" w:themeFill="background1" w:themeFillShade="F2"/>
          </w:tcPr>
          <w:p>
            <w:pPr>
              <w:rPr>
                <w:b/>
              </w:rPr>
            </w:pPr>
            <w:r>
              <w:rPr>
                <w:sz w:val="24"/>
              </w:rPr>
              <w:br w:type="page"/>
            </w:r>
            <w:r>
              <w:rPr>
                <w:b/>
              </w:rPr>
              <w:t>Outline any anticipated risks that may adversely affect any of the participants, the researchers and/or the University, and the steps that will be taken to address them.</w:t>
            </w:r>
          </w:p>
          <w:p>
            <w:pPr>
              <w:rPr>
                <w:rFonts w:ascii="Arial" w:hAnsi="Arial" w:cs="Arial"/>
                <w:sz w:val="24"/>
              </w:rPr>
            </w:pPr>
            <w:r>
              <w:rPr>
                <w:rFonts w:ascii="Arial" w:hAnsi="Arial" w:cs="Arial"/>
                <w:sz w:val="24"/>
              </w:rPr>
              <w:t xml:space="preserve">If you have completed a full risk assessment (for example as required by a laboratory, or external research collaborator) you may append that to this form.  </w:t>
            </w:r>
          </w:p>
        </w:tc>
      </w:tr>
      <w:tr>
        <w:trPr>
          <w:trHeight w:val="578" w:hRule="atLeast"/>
        </w:trPr>
        <w:tc>
          <w:tcPr>
            <w:tcW w:w="324" w:type="dxa"/>
            <w:vMerge w:val="restart"/>
            <w:shd w:val="clear" w:color="auto" w:fill="F1F1F1" w:themeFill="background1" w:themeFillShade="F2"/>
            <w:vAlign w:val="center"/>
          </w:tcPr>
          <w:p>
            <w:pPr>
              <w:jc w:val="center"/>
              <w:rPr>
                <w:rFonts w:ascii="Arial" w:hAnsi="Arial" w:cs="Arial"/>
                <w:sz w:val="24"/>
              </w:rPr>
            </w:pPr>
            <w:r>
              <w:rPr>
                <w:rFonts w:ascii="Arial" w:hAnsi="Arial" w:cs="Arial"/>
                <w:sz w:val="24"/>
              </w:rPr>
              <w:t>1</w:t>
            </w:r>
          </w:p>
        </w:tc>
        <w:tc>
          <w:tcPr>
            <w:tcW w:w="6840" w:type="dxa"/>
            <w:gridSpan w:val="2"/>
            <w:vMerge w:val="restart"/>
            <w:shd w:val="clear" w:color="auto" w:fill="F1F1F1" w:themeFill="background1" w:themeFillShade="F2"/>
            <w:vAlign w:val="center"/>
          </w:tcPr>
          <w:p>
            <w:pPr>
              <w:rPr>
                <w:b/>
              </w:rPr>
            </w:pPr>
            <w:r>
              <w:rPr>
                <w:b/>
              </w:rPr>
              <w:t xml:space="preserve">Full risk assessment completed and appended? </w:t>
            </w:r>
          </w:p>
        </w:tc>
        <w:tc>
          <w:tcPr>
            <w:tcW w:w="841" w:type="dxa"/>
            <w:tcBorders>
              <w:bottom w:val="single" w:color="auto" w:sz="4" w:space="0"/>
            </w:tcBorders>
            <w:shd w:val="clear" w:color="auto" w:fill="F1F1F1" w:themeFill="background1" w:themeFillShade="F2"/>
          </w:tcPr>
          <w:p>
            <w:pPr>
              <w:rPr>
                <w:b/>
              </w:rPr>
            </w:pPr>
            <w:r>
              <w:rPr>
                <w:b/>
              </w:rPr>
              <w:t xml:space="preserve">Yes </w:t>
            </w:r>
          </w:p>
        </w:tc>
        <w:tc>
          <w:tcPr>
            <w:tcW w:w="1350" w:type="dxa"/>
            <w:tcBorders>
              <w:bottom w:val="single" w:color="auto" w:sz="4" w:space="0"/>
            </w:tcBorders>
            <w:shd w:val="clear" w:color="auto" w:fill="BEBEBE" w:themeFill="background1" w:themeFillShade="BF"/>
          </w:tcPr>
          <w:p>
            <w:pPr>
              <w:rPr>
                <w:b/>
              </w:rPr>
            </w:pPr>
            <w:sdt>
              <w:sdtPr>
                <w:rPr>
                  <w:b/>
                </w:rPr>
                <w:id w:val="-2006964611"/>
                <w14:checkbox>
                  <w14:checked w14:val="0"/>
                  <w14:checkedState w14:val="2612" w14:font="MS Gothic"/>
                  <w14:uncheckedState w14:val="2610" w14:font="MS Gothic"/>
                </w14:checkbox>
              </w:sdtPr>
              <w:sdtEndPr>
                <w:rPr>
                  <w:b/>
                </w:rPr>
              </w:sdtEndPr>
              <w:sdtContent>
                <w:r>
                  <w:rPr>
                    <w:rFonts w:ascii="Segoe UI Symbol" w:hAnsi="Segoe UI Symbol" w:cs="Segoe UI Symbol"/>
                    <w:b/>
                  </w:rPr>
                  <w:t>☐</w:t>
                </w:r>
              </w:sdtContent>
            </w:sdt>
          </w:p>
        </w:tc>
      </w:tr>
      <w:tr>
        <w:trPr>
          <w:trHeight w:val="578" w:hRule="atLeast"/>
        </w:trPr>
        <w:tc>
          <w:tcPr>
            <w:tcW w:w="324"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4"/>
                <w:szCs w:val="24"/>
              </w:rPr>
            </w:pPr>
          </w:p>
        </w:tc>
        <w:tc>
          <w:tcPr>
            <w:tcW w:w="6840" w:type="dxa"/>
            <w:gridSpan w:val="2"/>
            <w:vMerge w:val="continue"/>
            <w:tcBorders>
              <w:bottom w:val="single" w:color="auto" w:sz="4" w:space="0"/>
            </w:tcBorders>
            <w:shd w:val="clear" w:color="auto" w:fill="F1F1F1" w:themeFill="background1" w:themeFillShade="F2"/>
          </w:tcPr>
          <w:p>
            <w:pPr>
              <w:rPr>
                <w:b/>
              </w:rPr>
            </w:pPr>
          </w:p>
        </w:tc>
        <w:tc>
          <w:tcPr>
            <w:tcW w:w="841" w:type="dxa"/>
            <w:tcBorders>
              <w:bottom w:val="single" w:color="auto" w:sz="4" w:space="0"/>
            </w:tcBorders>
            <w:shd w:val="clear" w:color="auto" w:fill="F1F1F1" w:themeFill="background1" w:themeFillShade="F2"/>
          </w:tcPr>
          <w:p>
            <w:pPr>
              <w:rPr>
                <w:b/>
              </w:rPr>
            </w:pPr>
            <w:r>
              <w:rPr>
                <w:b/>
              </w:rPr>
              <w:t>No</w:t>
            </w:r>
          </w:p>
        </w:tc>
        <w:tc>
          <w:tcPr>
            <w:tcW w:w="1350" w:type="dxa"/>
            <w:tcBorders>
              <w:bottom w:val="single" w:color="auto" w:sz="4" w:space="0"/>
            </w:tcBorders>
            <w:shd w:val="clear" w:color="auto" w:fill="BEBEBE" w:themeFill="background1" w:themeFillShade="BF"/>
          </w:tcPr>
          <w:p>
            <w:pPr>
              <w:rPr>
                <w:b/>
              </w:rPr>
            </w:pPr>
            <w:sdt>
              <w:sdtPr>
                <w:rPr>
                  <w:b/>
                </w:rPr>
                <w:id w:val="-389729326"/>
                <w14:checkbox>
                  <w14:checked w14:val="1"/>
                  <w14:checkedState w14:val="2612" w14:font="MS Gothic"/>
                  <w14:uncheckedState w14:val="2610" w14:font="MS Gothic"/>
                </w14:checkbox>
              </w:sdtPr>
              <w:sdtEndPr>
                <w:rPr>
                  <w:b/>
                </w:rPr>
              </w:sdtEndPr>
              <w:sdtContent>
                <w:r>
                  <w:rPr>
                    <w:rFonts w:ascii="Segoe UI Symbol" w:hAnsi="Segoe UI Symbol" w:cs="Segoe UI Symbol"/>
                    <w:b/>
                  </w:rPr>
                  <w:t>☒</w:t>
                </w:r>
              </w:sdtContent>
            </w:sdt>
          </w:p>
        </w:tc>
      </w:tr>
      <w:tr>
        <w:trPr>
          <w:trHeight w:val="862" w:hRule="atLeast"/>
        </w:trPr>
        <w:tc>
          <w:tcPr>
            <w:tcW w:w="324" w:type="dxa"/>
            <w:tcBorders>
              <w:bottom w:val="single" w:color="auto" w:sz="4" w:space="0"/>
            </w:tcBorders>
            <w:shd w:val="clear" w:color="auto" w:fill="F1F1F1" w:themeFill="background1" w:themeFillShade="F2"/>
            <w:vAlign w:val="center"/>
          </w:tcPr>
          <w:p>
            <w:pPr>
              <w:jc w:val="center"/>
              <w:rPr>
                <w:rFonts w:ascii="Arial" w:hAnsi="Arial" w:cs="Arial"/>
                <w:sz w:val="24"/>
              </w:rPr>
            </w:pPr>
            <w:r>
              <w:rPr>
                <w:rFonts w:ascii="Arial" w:hAnsi="Arial" w:cs="Arial"/>
                <w:sz w:val="24"/>
              </w:rPr>
              <w:t>2</w:t>
            </w:r>
          </w:p>
        </w:tc>
        <w:tc>
          <w:tcPr>
            <w:tcW w:w="9031"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trPr>
        <w:tc>
          <w:tcPr>
            <w:tcW w:w="324"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bookmarkStart w:id="469" w:name="_Hlk151799077"/>
          </w:p>
        </w:tc>
        <w:tc>
          <w:tcPr>
            <w:tcW w:w="4296" w:type="dxa"/>
            <w:tcBorders>
              <w:top w:val="single" w:color="auto" w:sz="4" w:space="0"/>
              <w:bottom w:val="single" w:color="auto" w:sz="4" w:space="0"/>
            </w:tcBorders>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participants:</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Respondents will be asked to talk about their personal experiences and may feel pressurised if they have had a negative experience.</w:t>
            </w:r>
          </w:p>
          <w:p>
            <w:pPr>
              <w:rPr>
                <w:rFonts w:ascii="Arial" w:hAnsi="Arial" w:cs="Arial"/>
                <w:color w:val="000000" w:themeColor="text1"/>
                <w:sz w:val="22"/>
                <w:szCs w:val="22"/>
                <w14:textFill>
                  <w14:solidFill>
                    <w14:schemeClr w14:val="tx1"/>
                  </w14:solidFill>
                </w14:textFill>
              </w:rPr>
            </w:pPr>
          </w:p>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Interviewers may be concerned about privacy breaches or being recognised by others.</w:t>
            </w:r>
          </w:p>
          <w:p>
            <w:pPr>
              <w:autoSpaceDE w:val="0"/>
              <w:autoSpaceDN w:val="0"/>
              <w:adjustRightInd w:val="0"/>
              <w:rPr>
                <w:rFonts w:ascii="Arial" w:hAnsi="Arial" w:cs="Arial"/>
                <w:color w:val="000000" w:themeColor="text1"/>
                <w:sz w:val="22"/>
                <w:szCs w:val="22"/>
                <w14:textFill>
                  <w14:solidFill>
                    <w14:schemeClr w14:val="tx1"/>
                  </w14:solidFill>
                </w14:textFill>
              </w:rPr>
            </w:pPr>
          </w:p>
          <w:p>
            <w:pPr>
              <w:autoSpaceDE w:val="0"/>
              <w:autoSpaceDN w:val="0"/>
              <w:adjustRightInd w:val="0"/>
              <w:rPr>
                <w:rFonts w:ascii="Arial" w:hAnsi="Arial" w:cs="Arial"/>
                <w:color w:val="000000" w:themeColor="text1"/>
                <w:sz w:val="22"/>
                <w:szCs w:val="22"/>
                <w:lang w:val="en-GB"/>
                <w14:textFill>
                  <w14:solidFill>
                    <w14:schemeClr w14:val="tx1"/>
                  </w14:solidFill>
                </w14:textFill>
              </w:rPr>
            </w:pPr>
          </w:p>
        </w:tc>
        <w:tc>
          <w:tcPr>
            <w:tcW w:w="4735" w:type="dxa"/>
            <w:gridSpan w:val="3"/>
            <w:tcBorders>
              <w:top w:val="single" w:color="auto" w:sz="4" w:space="0"/>
              <w:bottom w:val="single" w:color="auto" w:sz="4" w:space="0"/>
            </w:tcBorders>
          </w:tcPr>
          <w:p>
            <w:pPr>
              <w:autoSpaceDE w:val="0"/>
              <w:autoSpaceDN w:val="0"/>
              <w:adjustRightInd w:val="0"/>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How you will mitigate the risk to participants:</w:t>
            </w:r>
          </w:p>
          <w:p>
            <w:pPr>
              <w:autoSpaceDE w:val="0"/>
              <w:autoSpaceDN w:val="0"/>
              <w:adjustRightInd w:val="0"/>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Firstly, the interviewer tries to make the respondent feel safe by showing unconditional listening and not making any subjective judgements or rebuttals. If the interviewee does not want to answer a question, they can always skip it.</w:t>
            </w:r>
          </w:p>
          <w:p>
            <w:pPr>
              <w:autoSpaceDE w:val="0"/>
              <w:autoSpaceDN w:val="0"/>
              <w:adjustRightInd w:val="0"/>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All participants will be anonymised or use a pseudonym (as they wish), and if someone mentions details that could easily be used for identification (e.g. their city, university), these details will be slightly modified (with their consent) to protect their privacy without compromising the research.</w:t>
            </w:r>
          </w:p>
          <w:p>
            <w:pPr>
              <w:autoSpaceDE w:val="0"/>
              <w:autoSpaceDN w:val="0"/>
              <w:adjustRightInd w:val="0"/>
              <w:rPr>
                <w:rFonts w:ascii="Arial" w:hAnsi="Arial" w:cs="Arial"/>
                <w:color w:val="000000" w:themeColor="text1"/>
                <w:szCs w:val="21"/>
                <w14:textFill>
                  <w14:solidFill>
                    <w14:schemeClr w14:val="tx1"/>
                  </w14:solidFill>
                </w14:textFill>
              </w:rPr>
            </w:pPr>
            <w:r>
              <w:rPr>
                <w:rFonts w:ascii="Arial" w:hAnsi="Arial" w:cs="Arial"/>
                <w:color w:val="000000" w:themeColor="text1"/>
                <w:szCs w:val="21"/>
                <w14:textFill>
                  <w14:solidFill>
                    <w14:schemeClr w14:val="tx1"/>
                  </w14:solidFill>
                </w14:textFill>
              </w:rPr>
              <w:t xml:space="preserve">If respondents want to withdraw at any stage, they </w:t>
            </w:r>
            <w:r>
              <w:rPr>
                <w:rFonts w:hint="eastAsia" w:ascii="Arial" w:hAnsi="Arial" w:cs="Arial"/>
                <w:color w:val="000000" w:themeColor="text1"/>
                <w:szCs w:val="21"/>
                <w14:textFill>
                  <w14:solidFill>
                    <w14:schemeClr w14:val="tx1"/>
                  </w14:solidFill>
                </w14:textFill>
              </w:rPr>
              <w:t>will</w:t>
            </w:r>
            <w:r>
              <w:rPr>
                <w:rFonts w:ascii="Arial" w:hAnsi="Arial" w:cs="Arial"/>
                <w:color w:val="000000" w:themeColor="text1"/>
                <w:szCs w:val="21"/>
                <w14:textFill>
                  <w14:solidFill>
                    <w14:schemeClr w14:val="tx1"/>
                  </w14:solidFill>
                </w14:textFill>
              </w:rPr>
              <w:t xml:space="preserve"> have been given permission to do so. They will be explicitly informed that all information will be kept strictly confidential (only the researcher will have read access) and that all relevant data will be deleted three months after the end of the study.</w:t>
            </w:r>
          </w:p>
        </w:tc>
      </w:tr>
      <w:bookmarkEnd w:id="469"/>
      <w:tr>
        <w:trPr>
          <w:trHeight w:val="1715" w:hRule="atLeast"/>
        </w:trPr>
        <w:tc>
          <w:tcPr>
            <w:tcW w:w="324"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031" w:type="dxa"/>
            <w:gridSpan w:val="4"/>
            <w:tcBorders>
              <w:bottom w:val="single" w:color="auto" w:sz="4" w:space="0"/>
            </w:tcBorders>
            <w:shd w:val="clear" w:color="auto" w:fill="F1F1F1" w:themeFill="background1" w:themeFillShade="F2"/>
          </w:tcPr>
          <w:p>
            <w:pPr>
              <w:rPr>
                <w:rFonts w:ascii="Arial" w:hAnsi="Arial" w:cs="Arial"/>
                <w:sz w:val="22"/>
                <w:szCs w:val="22"/>
              </w:rPr>
            </w:pPr>
            <w:bookmarkStart w:id="470" w:name="OLE_LINK220"/>
            <w:bookmarkStart w:id="471" w:name="OLE_LINK219"/>
            <w:bookmarkStart w:id="472" w:name="OLE_LINK221"/>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bookmarkEnd w:id="470"/>
            <w:bookmarkEnd w:id="471"/>
            <w:bookmarkEnd w:id="472"/>
          </w:p>
        </w:tc>
      </w:tr>
      <w:tr>
        <w:trPr>
          <w:trHeight w:val="1715" w:hRule="atLeast"/>
        </w:trPr>
        <w:tc>
          <w:tcPr>
            <w:tcW w:w="324" w:type="dxa"/>
            <w:tcBorders>
              <w:top w:val="single" w:color="auto" w:sz="4" w:space="0"/>
              <w:bottom w:val="single" w:color="auto" w:sz="4" w:space="0"/>
            </w:tcBorders>
            <w:vAlign w:val="center"/>
          </w:tcPr>
          <w:p>
            <w:pPr>
              <w:jc w:val="center"/>
              <w:rPr>
                <w:rFonts w:ascii="Arial" w:hAnsi="Arial" w:cs="Arial"/>
                <w:sz w:val="22"/>
                <w:szCs w:val="22"/>
              </w:rPr>
            </w:pPr>
          </w:p>
        </w:tc>
        <w:tc>
          <w:tcPr>
            <w:tcW w:w="9031" w:type="dxa"/>
            <w:gridSpan w:val="4"/>
            <w:tcBorders>
              <w:top w:val="single" w:color="auto" w:sz="4" w:space="0"/>
              <w:bottom w:val="single" w:color="auto" w:sz="4" w:space="0"/>
            </w:tcBorders>
          </w:tcPr>
          <w:p>
            <w:pPr>
              <w:rPr>
                <w:rFonts w:ascii="Arial" w:hAnsi="Arial" w:cs="Arial"/>
                <w:szCs w:val="21"/>
              </w:rPr>
            </w:pPr>
            <w:r>
              <w:rPr>
                <w:rFonts w:ascii="Arial" w:hAnsi="Arial" w:cs="Arial"/>
                <w:color w:val="000000" w:themeColor="text1"/>
                <w:szCs w:val="21"/>
                <w14:textFill>
                  <w14:solidFill>
                    <w14:schemeClr w14:val="tx1"/>
                  </w14:solidFill>
                </w14:textFill>
              </w:rPr>
              <w:t>There will not be any sensitive, awkward or disturbing topics in the interview, and if any topic makes the interviewee uncomfortable, they can either not answer or discontinue the interview. In addition, appropriate helplines (e.g. psychological counselling) will be provided to the interviewees.</w:t>
            </w:r>
            <w:r>
              <w:rPr>
                <w:rFonts w:ascii="Arial" w:hAnsi="Arial" w:cs="Arial"/>
                <w:color w:val="000000" w:themeColor="text1"/>
                <w:szCs w:val="21"/>
                <w14:textFill>
                  <w14:solidFill>
                    <w14:schemeClr w14:val="tx1"/>
                  </w14:solidFill>
                </w14:textFill>
              </w:rPr>
              <w:br w:type="textWrapping"/>
            </w:r>
            <w:r>
              <w:rPr>
                <w:rFonts w:ascii="Arial" w:hAnsi="Arial" w:cs="Arial"/>
                <w:color w:val="000000" w:themeColor="text1"/>
                <w:szCs w:val="21"/>
                <w14:textFill>
                  <w14:solidFill>
                    <w14:schemeClr w14:val="tx1"/>
                  </w14:solidFill>
                </w14:textFill>
              </w:rPr>
              <w:t>If potentially illegal experiences are discovered during the project, they will be reported to the authorities immediately.</w:t>
            </w:r>
          </w:p>
        </w:tc>
      </w:tr>
      <w:tr>
        <w:trPr>
          <w:trHeight w:val="862" w:hRule="atLeast"/>
        </w:trPr>
        <w:tc>
          <w:tcPr>
            <w:tcW w:w="324"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031"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rPr>
          <w:trHeight w:val="6971" w:hRule="atLeast"/>
        </w:trPr>
        <w:tc>
          <w:tcPr>
            <w:tcW w:w="324"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296" w:type="dxa"/>
            <w:tcBorders>
              <w:top w:val="single" w:color="auto" w:sz="4" w:space="0"/>
              <w:bottom w:val="single" w:color="auto" w:sz="4" w:space="0"/>
            </w:tcBorders>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investigator:</w:t>
            </w:r>
          </w:p>
          <w:p>
            <w:pPr>
              <w:autoSpaceDE w:val="0"/>
              <w:autoSpaceDN w:val="0"/>
              <w:adjustRightInd w:val="0"/>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Due to the sensitive nature of the data gathered and the possibility for conflicts of interest, the main hazards to the investigator performing this study may include emotional discomfort. When working with participants' personal information and experiences, the researcher runs the danger of being accused of wrongdoing or improper behavior. </w:t>
            </w:r>
          </w:p>
          <w:p>
            <w:pPr>
              <w:autoSpaceDE w:val="0"/>
              <w:autoSpaceDN w:val="0"/>
              <w:adjustRightInd w:val="0"/>
              <w:rPr>
                <w:rFonts w:ascii="Arial" w:hAnsi="Arial" w:cs="Arial"/>
                <w:i/>
                <w:color w:val="000000" w:themeColor="text1"/>
                <w:sz w:val="18"/>
                <w:szCs w:val="18"/>
                <w14:textFill>
                  <w14:solidFill>
                    <w14:schemeClr w14:val="tx1"/>
                  </w14:solidFill>
                </w14:textFill>
              </w:rPr>
            </w:pPr>
          </w:p>
          <w:p>
            <w:pPr>
              <w:autoSpaceDE w:val="0"/>
              <w:autoSpaceDN w:val="0"/>
              <w:adjustRightInd w:val="0"/>
              <w:rPr>
                <w:rFonts w:ascii="Arial" w:hAnsi="Arial" w:cs="Arial"/>
                <w:color w:val="000000" w:themeColor="text1"/>
                <w:sz w:val="22"/>
                <w:szCs w:val="22"/>
                <w14:textFill>
                  <w14:solidFill>
                    <w14:schemeClr w14:val="tx1"/>
                  </w14:solidFill>
                </w14:textFill>
              </w:rPr>
            </w:pPr>
            <w:bookmarkStart w:id="473" w:name="OLE_LINK54"/>
            <w:bookmarkStart w:id="474" w:name="OLE_LINK53"/>
            <w:r>
              <w:rPr>
                <w:rFonts w:ascii="Arial" w:hAnsi="Arial" w:cs="Arial"/>
                <w:color w:val="000000" w:themeColor="text1"/>
                <w:sz w:val="22"/>
                <w:szCs w:val="22"/>
                <w14:textFill>
                  <w14:solidFill>
                    <w14:schemeClr w14:val="tx1"/>
                  </w14:solidFill>
                </w14:textFill>
              </w:rPr>
              <w:t>British Educational Research Association</w:t>
            </w:r>
          </w:p>
          <w:p>
            <w:pPr>
              <w:autoSpaceDE w:val="0"/>
              <w:autoSpaceDN w:val="0"/>
              <w:adjustRightInd w:val="0"/>
              <w:ind w:firstLine="220" w:firstLineChars="10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(2018, June 20). </w:t>
            </w:r>
            <w:r>
              <w:rPr>
                <w:rFonts w:ascii="Arial" w:hAnsi="Arial" w:cs="Arial"/>
                <w:i/>
                <w:color w:val="000000" w:themeColor="text1"/>
                <w:sz w:val="22"/>
                <w:szCs w:val="22"/>
                <w14:textFill>
                  <w14:solidFill>
                    <w14:schemeClr w14:val="tx1"/>
                  </w14:solidFill>
                </w14:textFill>
              </w:rPr>
              <w:t>Ethical Guidelines or Educational Research, fourth edition (2018)</w:t>
            </w:r>
            <w:r>
              <w:rPr>
                <w:rFonts w:ascii="Arial" w:hAnsi="Arial" w:cs="Arial"/>
                <w:color w:val="000000" w:themeColor="text1"/>
                <w:sz w:val="22"/>
                <w:szCs w:val="22"/>
                <w14:textFill>
                  <w14:solidFill>
                    <w14:schemeClr w14:val="tx1"/>
                  </w14:solidFill>
                </w14:textFill>
              </w:rPr>
              <w:t>.Bera.ac.uk: British Educational Research Association. https://www.bera.ac.uk/publication/ethical-quidelines-for-educational-research-2018</w:t>
            </w:r>
          </w:p>
          <w:bookmarkEnd w:id="473"/>
          <w:bookmarkEnd w:id="474"/>
          <w:p>
            <w:pPr>
              <w:autoSpaceDE w:val="0"/>
              <w:autoSpaceDN w:val="0"/>
              <w:adjustRightInd w:val="0"/>
              <w:rPr>
                <w:rFonts w:ascii="Arial" w:hAnsi="Arial" w:cs="Arial"/>
                <w:color w:val="000000" w:themeColor="text1"/>
                <w:sz w:val="22"/>
                <w:szCs w:val="22"/>
                <w14:textFill>
                  <w14:solidFill>
                    <w14:schemeClr w14:val="tx1"/>
                  </w14:solidFill>
                </w14:textFill>
              </w:rPr>
            </w:pPr>
          </w:p>
        </w:tc>
        <w:tc>
          <w:tcPr>
            <w:tcW w:w="4735" w:type="dxa"/>
            <w:gridSpan w:val="3"/>
            <w:tcBorders>
              <w:top w:val="single" w:color="auto" w:sz="4" w:space="0"/>
              <w:bottom w:val="single" w:color="auto" w:sz="4" w:space="0"/>
            </w:tcBorders>
          </w:tcPr>
          <w:p>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the investigator:</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Guidelines for Training and Research Ethics: The researcher will get adequate training in research ethics, including how to handle sensitive data and conduct interviews ethically. The researcher will follow ethical principles and industry standards.</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help and Debriefing: The investigator will have access to resources and help for handling any emotional discomfort that may develop as a result of the interviews.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There will be debriefing sessions to discuss issues and provide emotional support.</w:t>
            </w:r>
          </w:p>
          <w:p>
            <w:pPr>
              <w:rPr>
                <w:rFonts w:ascii="Arial" w:hAnsi="Arial" w:cs="Arial"/>
                <w:color w:val="000000" w:themeColor="text1"/>
                <w:sz w:val="22"/>
                <w:szCs w:val="22"/>
                <w14:textFill>
                  <w14:solidFill>
                    <w14:schemeClr w14:val="tx1"/>
                  </w14:solidFill>
                </w14:textFill>
              </w:rPr>
            </w:pPr>
          </w:p>
          <w:p>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Disclosure of possible Conflicts of Interest: The researcher will make clear any possible conflicts of interest that may arise from the study, such as financial or personal interests. A primary emphasis will be transparency in disclosing possible conflicts of interest.</w:t>
            </w:r>
          </w:p>
        </w:tc>
      </w:tr>
      <w:tr>
        <w:trPr>
          <w:trHeight w:val="578" w:hRule="atLeast"/>
        </w:trPr>
        <w:tc>
          <w:tcPr>
            <w:tcW w:w="324"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031" w:type="dxa"/>
            <w:gridSpan w:val="4"/>
            <w:tcBorders>
              <w:top w:val="single" w:color="auto" w:sz="4" w:space="0"/>
              <w:bottom w:val="single" w:color="auto" w:sz="4" w:space="0"/>
            </w:tcBorders>
            <w:shd w:val="clear" w:color="auto" w:fill="F1F1F1" w:themeFill="background1" w:themeFillShade="F2"/>
          </w:tcPr>
          <w:p>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University/institutional risks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adverse publicity, financial loss, data protection</w:t>
            </w:r>
          </w:p>
        </w:tc>
      </w:tr>
      <w:tr>
        <w:trPr>
          <w:trHeight w:val="90" w:hRule="atLeast"/>
        </w:trPr>
        <w:tc>
          <w:tcPr>
            <w:tcW w:w="324"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296" w:type="dxa"/>
            <w:tcBorders>
              <w:top w:val="single" w:color="auto" w:sz="4" w:space="0"/>
              <w:bottom w:val="single" w:color="auto" w:sz="4" w:space="0"/>
            </w:tcBorders>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University:</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Data protection and management risk.</w:t>
            </w:r>
          </w:p>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c>
          <w:tcPr>
            <w:tcW w:w="4735" w:type="dxa"/>
            <w:gridSpan w:val="3"/>
            <w:tcBorders>
              <w:top w:val="single" w:color="auto" w:sz="4" w:space="0"/>
              <w:bottom w:val="single" w:color="auto" w:sz="4" w:space="0"/>
            </w:tcBorders>
          </w:tcPr>
          <w:p>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the University:</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w:t>
            </w:r>
            <w:r>
              <w:rPr>
                <w:rFonts w:hint="eastAsia" w:ascii="Arial" w:hAnsi="Arial" w:cs="Arial"/>
                <w:color w:val="000000" w:themeColor="text1"/>
                <w:sz w:val="22"/>
                <w:szCs w:val="22"/>
                <w14:textFill>
                  <w14:solidFill>
                    <w14:schemeClr w14:val="tx1"/>
                  </w14:solidFill>
                </w14:textFill>
              </w:rPr>
              <w: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w:t>
            </w:r>
            <w:r>
              <w:rPr>
                <w:rFonts w:ascii="Arial" w:hAnsi="Arial" w:cs="Arial"/>
                <w:color w:val="000000" w:themeColor="text1"/>
                <w:sz w:val="22"/>
                <w:szCs w:val="22"/>
                <w14:textFill>
                  <w14:solidFill>
                    <w14:schemeClr w14:val="tx1"/>
                  </w14:solidFill>
                </w14:textFill>
              </w:rPr>
              <w:t xml:space="preserve">esearcher </w:t>
            </w:r>
            <w:r>
              <w:rPr>
                <w:rFonts w:hint="eastAsia" w:ascii="Arial" w:hAnsi="Arial" w:cs="Arial"/>
                <w:color w:val="000000" w:themeColor="text1"/>
                <w:sz w:val="22"/>
                <w:szCs w:val="22"/>
                <w14:textFill>
                  <w14:solidFill>
                    <w14:schemeClr w14:val="tx1"/>
                  </w14:solidFill>
                </w14:textFill>
              </w:rPr>
              <w:t>wi</w:t>
            </w:r>
            <w:r>
              <w:rPr>
                <w:rFonts w:ascii="Arial" w:hAnsi="Arial" w:cs="Arial"/>
                <w:color w:val="000000" w:themeColor="text1"/>
                <w:sz w:val="22"/>
                <w:szCs w:val="22"/>
                <w14:textFill>
                  <w14:solidFill>
                    <w14:schemeClr w14:val="tx1"/>
                  </w14:solidFill>
                </w14:textFill>
              </w:rPr>
              <w:t>ll make sure no outside party gets access to the information provided to the university. A</w:t>
            </w:r>
            <w:r>
              <w:rPr>
                <w:rFonts w:hint="eastAsia" w:ascii="Arial" w:hAnsi="Arial" w:cs="Arial"/>
                <w:color w:val="000000" w:themeColor="text1"/>
                <w:sz w:val="22"/>
                <w:szCs w:val="22"/>
                <w14:textFill>
                  <w14:solidFill>
                    <w14:schemeClr w14:val="tx1"/>
                  </w14:solidFill>
                </w14:textFill>
              </w:rPr>
              <w:t>lso</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research</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w</w:t>
            </w:r>
            <w:r>
              <w:rPr>
                <w:rFonts w:ascii="Arial" w:hAnsi="Arial" w:cs="Arial"/>
                <w:color w:val="000000" w:themeColor="text1"/>
                <w:sz w:val="22"/>
                <w:szCs w:val="22"/>
                <w14:textFill>
                  <w14:solidFill>
                    <w14:schemeClr w14:val="tx1"/>
                  </w14:solidFill>
                </w14:textFill>
              </w:rPr>
              <w:t>ill sign a contract requiring the use of data-protection procedures like access authorization, data encryption, usage of strong passwords, and access restriction measures (British Educational Research Association, 2018).</w:t>
            </w:r>
          </w:p>
        </w:tc>
      </w:tr>
      <w:tr>
        <w:trPr>
          <w:trHeight w:val="578" w:hRule="atLeast"/>
        </w:trPr>
        <w:tc>
          <w:tcPr>
            <w:tcW w:w="324"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031" w:type="dxa"/>
            <w:gridSpan w:val="4"/>
            <w:tcBorders>
              <w:top w:val="single" w:color="auto" w:sz="4" w:space="0"/>
              <w:bottom w:val="single" w:color="auto" w:sz="4" w:space="0"/>
            </w:tcBorders>
            <w:shd w:val="clear" w:color="auto" w:fill="F1F1F1" w:themeFill="background1" w:themeFillShade="F2"/>
          </w:tcPr>
          <w:p>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Environmental risks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accidental spillage of pollutants, damage to local ecosystems</w:t>
            </w:r>
          </w:p>
        </w:tc>
      </w:tr>
      <w:tr>
        <w:trPr>
          <w:trHeight w:val="2355" w:hRule="atLeast"/>
        </w:trPr>
        <w:tc>
          <w:tcPr>
            <w:tcW w:w="324"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296" w:type="dxa"/>
            <w:tcBorders>
              <w:top w:val="single" w:color="auto" w:sz="4" w:space="0"/>
              <w:bottom w:val="single" w:color="auto" w:sz="4" w:space="0"/>
            </w:tcBorders>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environment:</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material waste from poorly disposed paper.</w:t>
            </w:r>
          </w:p>
          <w:p>
            <w:pPr>
              <w:autoSpaceDE w:val="0"/>
              <w:autoSpaceDN w:val="0"/>
              <w:adjustRightInd w:val="0"/>
              <w:rPr>
                <w:rFonts w:ascii="Arial" w:hAnsi="Arial" w:cs="Arial"/>
                <w:color w:val="000000" w:themeColor="text1"/>
                <w:sz w:val="22"/>
                <w:szCs w:val="22"/>
                <w14:textFill>
                  <w14:solidFill>
                    <w14:schemeClr w14:val="tx1"/>
                  </w14:solidFill>
                </w14:textFill>
              </w:rPr>
            </w:pPr>
          </w:p>
        </w:tc>
        <w:tc>
          <w:tcPr>
            <w:tcW w:w="4735" w:type="dxa"/>
            <w:gridSpan w:val="3"/>
            <w:tcBorders>
              <w:top w:val="single" w:color="auto" w:sz="4" w:space="0"/>
              <w:bottom w:val="single" w:color="auto" w:sz="4" w:space="0"/>
            </w:tcBorders>
          </w:tcPr>
          <w:p>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environment:</w:t>
            </w:r>
          </w:p>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researcher will make every effort to use online survey methods as much as possible and use less paper; they will be used sparingly to prevent any litter overflow (</w:t>
            </w:r>
            <w:r>
              <w:rPr>
                <w:rFonts w:hint="eastAsia" w:ascii="Arial" w:hAnsi="Arial" w:cs="Arial"/>
                <w:color w:val="000000" w:themeColor="text1"/>
                <w:sz w:val="22"/>
                <w:szCs w:val="22"/>
                <w14:textFill>
                  <w14:solidFill>
                    <w14:schemeClr w14:val="tx1"/>
                  </w14:solidFill>
                </w14:textFill>
              </w:rPr>
              <w:t>e.g</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print</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double</w:t>
            </w:r>
            <w:r>
              <w:rPr>
                <w:rFonts w:ascii="Arial" w:hAnsi="Arial" w:cs="Arial"/>
                <w:color w:val="000000" w:themeColor="text1"/>
                <w:sz w:val="22"/>
                <w:szCs w:val="22"/>
                <w14:textFill>
                  <w14:solidFill>
                    <w14:schemeClr w14:val="tx1"/>
                  </w14:solidFill>
                </w14:textFill>
              </w:rPr>
              <w:t>-</w:t>
            </w:r>
            <w:r>
              <w:rPr>
                <w:rFonts w:hint="eastAsia" w:ascii="Arial" w:hAnsi="Arial" w:cs="Arial"/>
                <w:color w:val="000000" w:themeColor="text1"/>
                <w:sz w:val="22"/>
                <w:szCs w:val="22"/>
                <w14:textFill>
                  <w14:solidFill>
                    <w14:schemeClr w14:val="tx1"/>
                  </w14:solidFill>
                </w14:textFill>
              </w:rPr>
              <w:t>sided</w:t>
            </w:r>
            <w:r>
              <w:rPr>
                <w:rFonts w:ascii="Arial" w:hAnsi="Arial" w:cs="Arial"/>
                <w:color w:val="000000" w:themeColor="text1"/>
                <w:sz w:val="22"/>
                <w:szCs w:val="22"/>
                <w14:textFill>
                  <w14:solidFill>
                    <w14:schemeClr w14:val="tx1"/>
                  </w14:solidFill>
                </w14:textFill>
              </w:rPr>
              <w:t>)</w:t>
            </w:r>
            <w:r>
              <w:rPr>
                <w:rFonts w:hint="eastAsia" w:ascii="Arial" w:hAnsi="Arial" w:cs="Arial"/>
                <w:color w:val="000000" w:themeColor="text1"/>
                <w:sz w:val="22"/>
                <w:szCs w:val="22"/>
                <w14:textFill>
                  <w14:solidFill>
                    <w14:schemeClr w14:val="tx1"/>
                  </w14:solidFill>
                </w14:textFill>
              </w:rPr>
              <w:t>.</w:t>
            </w:r>
            <w:r>
              <w:rPr>
                <w:rFonts w:ascii="Arial" w:hAnsi="Arial" w:cs="Arial"/>
                <w:color w:val="000000" w:themeColor="text1"/>
                <w:sz w:val="22"/>
                <w:szCs w:val="22"/>
                <w14:textFill>
                  <w14:solidFill>
                    <w14:schemeClr w14:val="tx1"/>
                  </w14:solidFill>
                </w14:textFill>
              </w:rPr>
              <w:t xml:space="preserve"> </w:t>
            </w:r>
          </w:p>
        </w:tc>
      </w:tr>
    </w:tbl>
    <w:p>
      <w:pPr>
        <w:rPr>
          <w:rFonts w:ascii="Arial" w:hAnsi="Arial" w:cs="Arial"/>
        </w:rPr>
      </w:pPr>
    </w:p>
    <w:tbl>
      <w:tblPr>
        <w:tblStyle w:val="24"/>
        <w:tblW w:w="97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0"/>
        <w:gridCol w:w="6839"/>
        <w:gridCol w:w="758"/>
        <w:gridCol w:w="785"/>
        <w:gridCol w:w="7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3" w:hRule="atLeast"/>
        </w:trPr>
        <w:tc>
          <w:tcPr>
            <w:tcW w:w="55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169"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90" w:hRule="atLeast"/>
        </w:trPr>
        <w:tc>
          <w:tcPr>
            <w:tcW w:w="55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683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58"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785"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786"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72" w:hRule="atLeast"/>
        </w:trPr>
        <w:tc>
          <w:tcPr>
            <w:tcW w:w="55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683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58"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785"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bookmarkStart w:id="475" w:name="OLE_LINK235"/>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rPr>
                  <w:t>☒</w:t>
                </w:r>
              </w:sdtContent>
            </w:sdt>
            <w:bookmarkEnd w:id="475"/>
          </w:p>
        </w:tc>
        <w:tc>
          <w:tcPr>
            <w:tcW w:w="786"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72" w:hRule="atLeast"/>
        </w:trPr>
        <w:tc>
          <w:tcPr>
            <w:tcW w:w="55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683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330"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rPr>
          <w:rFonts w:ascii="Arial" w:hAnsi="Arial" w:cs="Arial"/>
          <w:b/>
          <w:sz w:val="22"/>
          <w:szCs w:val="22"/>
        </w:rPr>
      </w:pPr>
      <w:r>
        <w:rPr>
          <w:rFonts w:ascii="Arial" w:hAnsi="Arial" w:cs="Arial"/>
          <w:b/>
          <w:sz w:val="22"/>
          <w:szCs w:val="22"/>
        </w:rPr>
        <w:t>SECTION I: Feedback, Consent and Confidentiality</w:t>
      </w:r>
    </w:p>
    <w:tbl>
      <w:tblPr>
        <w:tblStyle w:val="24"/>
        <w:tblW w:w="969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91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15" w:hRule="atLeast"/>
        </w:trPr>
        <w:tc>
          <w:tcPr>
            <w:tcW w:w="549"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bookmarkStart w:id="476" w:name="_Hlk148882339"/>
            <w:r>
              <w:rPr>
                <w:rFonts w:ascii="Arial" w:hAnsi="Arial" w:cs="Arial"/>
                <w:bCs/>
                <w:sz w:val="22"/>
                <w:szCs w:val="22"/>
              </w:rPr>
              <w:t>1</w:t>
            </w:r>
          </w:p>
        </w:tc>
        <w:tc>
          <w:tcPr>
            <w:tcW w:w="9143" w:type="dxa"/>
            <w:tcBorders>
              <w:top w:val="single" w:color="auto" w:sz="4" w:space="0"/>
              <w:bottom w:val="single" w:color="auto" w:sz="4" w:space="0"/>
            </w:tcBorders>
            <w:shd w:val="clear" w:color="auto" w:fill="F1F1F1" w:themeFill="background1" w:themeFillShade="F2"/>
          </w:tcPr>
          <w:p>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Feedback</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876" w:hRule="atLeast"/>
        </w:trPr>
        <w:tc>
          <w:tcPr>
            <w:tcW w:w="549" w:type="dxa"/>
            <w:tcBorders>
              <w:top w:val="single" w:color="auto" w:sz="4" w:space="0"/>
              <w:bottom w:val="single" w:color="auto" w:sz="4" w:space="0"/>
            </w:tcBorders>
          </w:tcPr>
          <w:p>
            <w:pPr>
              <w:rPr>
                <w:rFonts w:ascii="Arial" w:hAnsi="Arial" w:cs="Arial"/>
                <w:bCs/>
                <w:color w:val="000000" w:themeColor="text1"/>
                <w:sz w:val="22"/>
                <w:szCs w:val="22"/>
                <w14:textFill>
                  <w14:solidFill>
                    <w14:schemeClr w14:val="tx1"/>
                  </w14:solidFill>
                </w14:textFill>
              </w:rPr>
            </w:pPr>
          </w:p>
        </w:tc>
        <w:tc>
          <w:tcPr>
            <w:tcW w:w="9143" w:type="dxa"/>
            <w:tcBorders>
              <w:top w:val="single" w:color="auto" w:sz="4" w:space="0"/>
              <w:bottom w:val="single" w:color="auto" w:sz="4" w:space="0"/>
            </w:tcBorders>
          </w:tcPr>
          <w:p>
            <w:pPr>
              <w:pStyle w:val="57"/>
              <w:numPr>
                <w:ilvl w:val="0"/>
                <w:numId w:val="3"/>
              </w:numPr>
              <w:rPr>
                <w:rFonts w:ascii="Arial" w:hAnsi="Arial" w:cs="Arial"/>
                <w:color w:val="000000" w:themeColor="text1"/>
                <w14:textFill>
                  <w14:solidFill>
                    <w14:schemeClr w14:val="tx1"/>
                  </w14:solidFill>
                </w14:textFill>
              </w:rPr>
            </w:pPr>
            <w:bookmarkStart w:id="477" w:name="OLE_LINK230"/>
            <w:bookmarkStart w:id="478" w:name="OLE_LINK228"/>
            <w:bookmarkStart w:id="479" w:name="OLE_LINK229"/>
            <w:r>
              <w:rPr>
                <w:rFonts w:ascii="Arial" w:hAnsi="Arial" w:cs="Arial"/>
                <w:color w:val="000000" w:themeColor="text1"/>
                <w:lang w:eastAsia="zh-CN"/>
                <w14:textFill>
                  <w14:solidFill>
                    <w14:schemeClr w14:val="tx1"/>
                  </w14:solidFill>
                </w14:textFill>
              </w:rPr>
              <w:t>Before the interview, the participants will sign a consent to show that they volunteer to take part in this study after knowing how their data will be collected (with semi-interview) and how their data will be used (in the research).</w:t>
            </w:r>
          </w:p>
          <w:bookmarkEnd w:id="477"/>
          <w:bookmarkEnd w:id="478"/>
          <w:bookmarkEnd w:id="479"/>
          <w:p>
            <w:pPr>
              <w:pStyle w:val="57"/>
              <w:numPr>
                <w:ilvl w:val="0"/>
                <w:numId w:val="3"/>
              </w:numPr>
              <w:rPr>
                <w:rFonts w:ascii="Arial" w:hAnsi="Arial" w:cs="Arial"/>
                <w:color w:val="000000" w:themeColor="text1"/>
                <w14:textFill>
                  <w14:solidFill>
                    <w14:schemeClr w14:val="tx1"/>
                  </w14:solidFill>
                </w14:textFill>
              </w:rPr>
            </w:pPr>
            <w:r>
              <w:rPr>
                <w:rFonts w:ascii="Arial" w:hAnsi="Arial" w:cs="Arial"/>
                <w:color w:val="000000" w:themeColor="text1"/>
                <w:lang w:eastAsia="zh-CN"/>
                <w14:textFill>
                  <w14:solidFill>
                    <w14:schemeClr w14:val="tx1"/>
                  </w14:solidFill>
                </w14:textFill>
              </w:rPr>
              <w:t xml:space="preserve">The researcher will record the interviews and transcribe them into words and then show them to the participants to make sure that they fully agree with the content. </w:t>
            </w:r>
          </w:p>
          <w:p>
            <w:pPr>
              <w:pStyle w:val="57"/>
              <w:numPr>
                <w:ilvl w:val="0"/>
                <w:numId w:val="3"/>
              </w:numPr>
              <w:rPr>
                <w:rFonts w:ascii="Arial" w:hAnsi="Arial" w:cs="Arial"/>
                <w:color w:val="000000" w:themeColor="text1"/>
                <w14:textFill>
                  <w14:solidFill>
                    <w14:schemeClr w14:val="tx1"/>
                  </w14:solidFill>
                </w14:textFill>
              </w:rPr>
            </w:pPr>
            <w:r>
              <w:rPr>
                <w:rFonts w:ascii="Arial" w:hAnsi="Arial" w:cs="Arial"/>
                <w:color w:val="000000" w:themeColor="text1"/>
                <w:lang w:eastAsia="zh-CN"/>
                <w14:textFill>
                  <w14:solidFill>
                    <w14:schemeClr w14:val="tx1"/>
                  </w14:solidFill>
                </w14:textFill>
              </w:rPr>
              <w:t>All respondents are clearly informed of their right to withdraw from the study at any stage.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575" w:hRule="atLeast"/>
        </w:trPr>
        <w:tc>
          <w:tcPr>
            <w:tcW w:w="549"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bookmarkStart w:id="480" w:name="_Hlk148882811"/>
            <w:r>
              <w:rPr>
                <w:rFonts w:ascii="Arial" w:hAnsi="Arial" w:cs="Arial"/>
                <w:bCs/>
                <w:sz w:val="22"/>
                <w:szCs w:val="22"/>
              </w:rPr>
              <w:t>2</w:t>
            </w:r>
          </w:p>
        </w:tc>
        <w:tc>
          <w:tcPr>
            <w:tcW w:w="914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25" w:hRule="atLeast"/>
        </w:trPr>
        <w:tc>
          <w:tcPr>
            <w:tcW w:w="549" w:type="dxa"/>
            <w:tcBorders>
              <w:top w:val="single" w:color="auto" w:sz="4" w:space="0"/>
              <w:bottom w:val="single" w:color="auto" w:sz="4" w:space="0"/>
            </w:tcBorders>
          </w:tcPr>
          <w:p>
            <w:pPr>
              <w:rPr>
                <w:rFonts w:ascii="Arial" w:hAnsi="Arial" w:cs="Arial"/>
                <w:bCs/>
                <w:color w:val="000000" w:themeColor="text1"/>
                <w:sz w:val="22"/>
                <w:szCs w:val="22"/>
                <w14:textFill>
                  <w14:solidFill>
                    <w14:schemeClr w14:val="tx1"/>
                  </w14:solidFill>
                </w14:textFill>
              </w:rPr>
            </w:pPr>
          </w:p>
        </w:tc>
        <w:tc>
          <w:tcPr>
            <w:tcW w:w="9143" w:type="dxa"/>
            <w:tcBorders>
              <w:top w:val="single" w:color="auto" w:sz="4" w:space="0"/>
              <w:bottom w:val="single" w:color="auto" w:sz="4" w:space="0"/>
            </w:tcBorders>
          </w:tcPr>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Before the research, </w:t>
            </w:r>
            <w:r>
              <w:rPr>
                <w:rFonts w:ascii="Arial" w:hAnsi="Arial" w:cs="Arial"/>
                <w:color w:val="000000" w:themeColor="text1"/>
                <w:sz w:val="22"/>
                <w:szCs w:val="22"/>
                <w14:textFill>
                  <w14:solidFill>
                    <w14:schemeClr w14:val="tx1"/>
                  </w14:solidFill>
                </w14:textFill>
              </w:rPr>
              <w:t>the researcher will first send out an invitation</w:t>
            </w:r>
            <w:r>
              <w:rPr>
                <w:rFonts w:ascii="Arial" w:hAnsi="Arial" w:cs="Arial"/>
                <w:color w:val="000000" w:themeColor="text1"/>
                <w14:textFill>
                  <w14:solidFill>
                    <w14:schemeClr w14:val="tx1"/>
                  </w14:solidFill>
                </w14:textFill>
              </w:rPr>
              <w:t xml:space="preserve"> to the participants</w:t>
            </w:r>
            <w:r>
              <w:rPr>
                <w:rFonts w:ascii="Arial" w:hAnsi="Arial" w:cs="Arial"/>
                <w:color w:val="000000" w:themeColor="text1"/>
                <w:sz w:val="22"/>
                <w:szCs w:val="22"/>
                <w14:textFill>
                  <w14:solidFill>
                    <w14:schemeClr w14:val="tx1"/>
                  </w14:solidFill>
                </w14:textFill>
              </w:rPr>
              <w:t xml:space="preserve"> that </w:t>
            </w:r>
            <w:r>
              <w:rPr>
                <w:rFonts w:ascii="Arial" w:hAnsi="Arial" w:cs="Arial"/>
                <w:color w:val="000000" w:themeColor="text1"/>
                <w14:textFill>
                  <w14:solidFill>
                    <w14:schemeClr w14:val="tx1"/>
                  </w14:solidFill>
                </w14:textFill>
              </w:rPr>
              <w:t xml:space="preserve"> describes the aims and the procedures of the study. </w:t>
            </w:r>
          </w:p>
          <w:p>
            <w:pPr>
              <w:rPr>
                <w:rFonts w:ascii="Arial" w:hAnsi="Arial" w:cs="Arial"/>
                <w:color w:val="000000" w:themeColor="text1"/>
                <w14:textFill>
                  <w14:solidFill>
                    <w14:schemeClr w14:val="tx1"/>
                  </w14:solidFill>
                </w14:textFill>
              </w:rPr>
            </w:pPr>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Before the interview, the participants will sign a consent to show that they volunteer to take part in this study after knowing how their data will be collected (with semi-interview) and how their data will be used (in the research).</w:t>
            </w:r>
          </w:p>
          <w:p>
            <w:pPr>
              <w:rPr>
                <w:rFonts w:ascii="Arial" w:hAnsi="Arial" w:cs="Arial"/>
                <w:color w:val="000000" w:themeColor="text1"/>
                <w14:textFill>
                  <w14:solidFill>
                    <w14:schemeClr w14:val="tx1"/>
                  </w14:solidFill>
                </w14:textFill>
              </w:rPr>
            </w:pPr>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Respondents will be made aware of how the data is stored:</w:t>
            </w:r>
          </w:p>
          <w:p>
            <w:p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All the data will be stored and saved by the researcher in her own computer (with passwords), and only the researcher have the access to it and use it during the research. All participants will be pseudonymous or anonymous, and their private information will be slightly modified to avoid identification. All information will be deleted three months after completion of the study.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1" w:hRule="atLeast"/>
        </w:trPr>
        <w:tc>
          <w:tcPr>
            <w:tcW w:w="549" w:type="dxa"/>
            <w:tcBorders>
              <w:top w:val="single" w:color="auto" w:sz="4" w:space="0"/>
              <w:bottom w:val="single" w:color="auto" w:sz="4" w:space="0"/>
            </w:tcBorders>
            <w:shd w:val="clear" w:color="auto" w:fill="F1F1F1" w:themeFill="background1" w:themeFillShade="F2"/>
          </w:tcPr>
          <w:p>
            <w:pP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3</w:t>
            </w:r>
          </w:p>
        </w:tc>
        <w:tc>
          <w:tcPr>
            <w:tcW w:w="9143" w:type="dxa"/>
            <w:tcBorders>
              <w:top w:val="single" w:color="auto" w:sz="4" w:space="0"/>
              <w:bottom w:val="single" w:color="auto" w:sz="4" w:space="0"/>
            </w:tcBorders>
            <w:shd w:val="clear" w:color="auto" w:fill="F1F1F1" w:themeFill="background1" w:themeFillShade="F2"/>
          </w:tcPr>
          <w:p>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Confidentiality / Anonymity</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Set out how anonymity of participants and confidentiality will be ensured in any outputs. If anonymity is not being offered, explain why this is the case. </w:t>
            </w:r>
          </w:p>
        </w:tc>
      </w:tr>
      <w:bookmarkEnd w:id="480"/>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007" w:hRule="atLeast"/>
        </w:trPr>
        <w:tc>
          <w:tcPr>
            <w:tcW w:w="549" w:type="dxa"/>
            <w:tcBorders>
              <w:top w:val="single" w:color="auto" w:sz="4" w:space="0"/>
              <w:bottom w:val="single" w:color="auto" w:sz="4" w:space="0"/>
            </w:tcBorders>
          </w:tcPr>
          <w:p>
            <w:pPr>
              <w:rPr>
                <w:rFonts w:ascii="Arial" w:hAnsi="Arial" w:cs="Arial"/>
                <w:bCs/>
                <w:color w:val="000000" w:themeColor="text1"/>
                <w:sz w:val="22"/>
                <w:szCs w:val="22"/>
                <w14:textFill>
                  <w14:solidFill>
                    <w14:schemeClr w14:val="tx1"/>
                  </w14:solidFill>
                </w14:textFill>
              </w:rPr>
            </w:pPr>
          </w:p>
        </w:tc>
        <w:tc>
          <w:tcPr>
            <w:tcW w:w="9143" w:type="dxa"/>
            <w:tcBorders>
              <w:top w:val="single" w:color="auto" w:sz="4" w:space="0"/>
              <w:bottom w:val="single" w:color="auto" w:sz="4" w:space="0"/>
            </w:tcBorders>
          </w:tcPr>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All respondents’ names will be in coded form (e.g., Respondent #1) or in pseudonymised form (if they wish).</w:t>
            </w:r>
          </w:p>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All private information related to their identification (e.g., their city, university) will be excluded from the data analysis and writing process to ensure that they are not identified.</w:t>
            </w:r>
          </w:p>
          <w:p>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When it comes to experiences that are characteristically distinct, the researcher may slightly modify the details with the consent of the interviewer to ensure their privacy.</w:t>
            </w:r>
          </w:p>
        </w:tc>
      </w:tr>
      <w:bookmarkEnd w:id="476"/>
    </w:tbl>
    <w:p>
      <w:pPr>
        <w:rPr>
          <w:rFonts w:ascii="Arial" w:hAnsi="Arial" w:cs="Arial"/>
          <w:color w:val="000000" w:themeColor="text1"/>
          <w:sz w:val="22"/>
          <w:szCs w:val="22"/>
          <w14:textFill>
            <w14:solidFill>
              <w14:schemeClr w14:val="tx1"/>
            </w14:solidFill>
          </w14:textFill>
        </w:rPr>
      </w:pPr>
    </w:p>
    <w:p>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J: Data Protection and Storage</w:t>
      </w:r>
    </w:p>
    <w:p>
      <w:pPr>
        <w:rPr>
          <w:rFonts w:ascii="Arial" w:hAnsi="Arial" w:cs="Arial"/>
          <w:b/>
          <w:color w:val="000000" w:themeColor="text1"/>
          <w:sz w:val="22"/>
          <w:szCs w:val="22"/>
          <w14:textFill>
            <w14:solidFill>
              <w14:schemeClr w14:val="tx1"/>
            </w14:solidFill>
          </w14:textFill>
        </w:rPr>
      </w:pPr>
    </w:p>
    <w:tbl>
      <w:tblPr>
        <w:tblStyle w:val="24"/>
        <w:tblW w:w="9704"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24"/>
        <w:gridCol w:w="7313"/>
        <w:gridCol w:w="917"/>
        <w:gridCol w:w="950"/>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731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Does the research activity involve personal da</w:t>
            </w:r>
            <w:r>
              <w:rPr>
                <w:rFonts w:ascii="Arial" w:hAnsi="Arial" w:cs="Arial"/>
                <w:color w:val="000000" w:themeColor="text1"/>
                <w:sz w:val="22"/>
                <w:szCs w:val="22"/>
                <w:shd w:val="clear" w:color="auto" w:fill="F1F1F1" w:themeFill="background1" w:themeFillShade="F2"/>
                <w14:textFill>
                  <w14:solidFill>
                    <w14:schemeClr w14:val="tx1"/>
                  </w14:solidFill>
                </w14:textFill>
              </w:rPr>
              <w:t>t</w:t>
            </w:r>
            <w:r>
              <w:rPr>
                <w:rFonts w:ascii="Arial" w:hAnsi="Arial" w:cs="Arial"/>
                <w:color w:val="000000" w:themeColor="text1"/>
                <w:sz w:val="22"/>
                <w:szCs w:val="22"/>
                <w14:textFill>
                  <w14:solidFill>
                    <w14:schemeClr w14:val="tx1"/>
                  </w14:solidFill>
                </w14:textFill>
              </w:rPr>
              <w:t>a (as defined by the General Data Protection Regulation 2016 “GDPR” and the Data Protection Act 2018 “DPA”)?</w:t>
            </w:r>
          </w:p>
        </w:tc>
        <w:tc>
          <w:tcPr>
            <w:tcW w:w="91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eastAsia="MS Gothic"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94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eastAsia="MS Gothic"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cs="Arial"/>
                <w:bCs/>
                <w:iCs/>
                <w:color w:val="000000" w:themeColor="text1"/>
                <w:sz w:val="22"/>
                <w:szCs w:val="22"/>
                <w14:textFill>
                  <w14:solidFill>
                    <w14:schemeClr w14:val="tx1"/>
                  </w14:solidFill>
                </w14:textFill>
              </w:rPr>
            </w:pPr>
            <w:r>
              <w:rPr>
                <w:rFonts w:ascii="Arial" w:hAnsi="Arial" w:cs="Arial"/>
                <w:bCs/>
                <w:iCs/>
                <w:color w:val="000000" w:themeColor="text1"/>
                <w:sz w:val="22"/>
                <w:szCs w:val="22"/>
                <w14:textFill>
                  <w14:solidFill>
                    <w14:schemeClr w14:val="tx1"/>
                  </w14:solidFill>
                </w14:textFill>
              </w:rPr>
              <w:t>1</w:t>
            </w:r>
          </w:p>
        </w:tc>
        <w:tc>
          <w:tcPr>
            <w:tcW w:w="731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
                <w:bCs/>
                <w:i/>
                <w:iCs/>
                <w:color w:val="000000" w:themeColor="text1"/>
                <w:sz w:val="22"/>
                <w:szCs w:val="22"/>
                <w14:textFill>
                  <w14:solidFill>
                    <w14:schemeClr w14:val="tx1"/>
                  </w14:solidFill>
                </w14:textFill>
              </w:rPr>
              <w:t>“Personal data”</w:t>
            </w:r>
            <w:r>
              <w:rPr>
                <w:rFonts w:ascii="Arial" w:hAnsi="Arial" w:cs="Arial"/>
                <w:i/>
                <w:iCs/>
                <w:color w:val="000000" w:themeColor="text1"/>
                <w:sz w:val="22"/>
                <w:szCs w:val="22"/>
                <w14:textFill>
                  <w14:solidFill>
                    <w14:schemeClr w14:val="tx1"/>
                  </w14:solidFill>
                </w14:textFill>
              </w:rPr>
              <w:t xml:space="preserve"> </w:t>
            </w:r>
            <w:r>
              <w:rPr>
                <w:rFonts w:ascii="Arial" w:hAnsi="Arial" w:cs="Arial"/>
                <w:i/>
                <w:iCs/>
                <w:color w:val="000000" w:themeColor="text1"/>
                <w:sz w:val="22"/>
                <w:shd w:val="clear" w:color="auto" w:fill="F1F1F1" w:themeFill="background1" w:themeFillShade="F2"/>
                <w14:textFill>
                  <w14:solidFill>
                    <w14:schemeClr w14:val="tx1"/>
                  </w14:solidFill>
                </w14:textFill>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21"/>
              <w:autoSpaceDE w:val="0"/>
              <w:autoSpaceDN w:val="0"/>
              <w:adjustRightInd w:val="0"/>
              <w:jc w:val="center"/>
              <w:rPr>
                <w:rFonts w:ascii="Arial" w:hAnsi="Arial" w:eastAsia="MS Gothic" w:cs="Arial"/>
                <w:color w:val="000000" w:themeColor="text1"/>
                <w:sz w:val="22"/>
                <w:szCs w:val="22"/>
                <w14:textFill>
                  <w14:solidFill>
                    <w14:schemeClr w14:val="tx1"/>
                  </w14:solidFill>
                </w14:textFill>
              </w:rPr>
            </w:pPr>
            <w:sdt>
              <w:sdtPr>
                <w:rPr>
                  <w:rFonts w:ascii="Arial" w:hAnsi="Arial" w:cs="Arial"/>
                  <w:color w:val="000000" w:themeColor="text1"/>
                  <w:sz w:val="22"/>
                  <w:szCs w:val="22"/>
                  <w14:textFill>
                    <w14:solidFill>
                      <w14:schemeClr w14:val="tx1"/>
                    </w14:solidFill>
                  </w14:textFill>
                </w:rPr>
                <w:id w:val="-1892331963"/>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r>
                  <w:rPr>
                    <w:rFonts w:ascii="MS Gothic" w:hAnsi="MS Gothic" w:eastAsia="MS Gothic" w:cs="Segoe UI Symbol"/>
                    <w:color w:val="000000" w:themeColor="text1"/>
                    <w:sz w:val="22"/>
                    <w:szCs w:val="22"/>
                    <w:lang w:eastAsia="en-US"/>
                    <w14:textFill>
                      <w14:solidFill>
                        <w14:schemeClr w14:val="tx1"/>
                      </w14:solidFill>
                    </w14:textFill>
                  </w:rPr>
                  <w:t>☒</w:t>
                </w:r>
              </w:sdtContent>
            </w:sdt>
          </w:p>
        </w:tc>
        <w:tc>
          <w:tcPr>
            <w:tcW w:w="949"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21"/>
              <w:autoSpaceDE w:val="0"/>
              <w:autoSpaceDN w:val="0"/>
              <w:adjustRightInd w:val="0"/>
              <w:jc w:val="center"/>
              <w:rPr>
                <w:rFonts w:ascii="Arial" w:hAnsi="Arial" w:eastAsia="MS Gothic" w:cs="Arial"/>
                <w:color w:val="000000" w:themeColor="text1"/>
                <w:sz w:val="22"/>
                <w:szCs w:val="22"/>
                <w14:textFill>
                  <w14:solidFill>
                    <w14:schemeClr w14:val="tx1"/>
                  </w14:solidFill>
                </w14:textFill>
              </w:rPr>
            </w:pPr>
            <w:sdt>
              <w:sdtPr>
                <w:rPr>
                  <w:rFonts w:ascii="Arial" w:hAnsi="Arial" w:cs="Arial"/>
                  <w:color w:val="000000" w:themeColor="text1"/>
                  <w:sz w:val="22"/>
                  <w:szCs w:val="22"/>
                  <w14:textFill>
                    <w14:solidFill>
                      <w14:schemeClr w14:val="tx1"/>
                    </w14:solidFill>
                  </w14:textFill>
                </w:rPr>
                <w:id w:val="1662811546"/>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r>
                  <w:rPr>
                    <w:rFonts w:ascii="MS Gothic" w:hAnsi="MS Gothic" w:eastAsia="MS Gothic" w:cs="Segoe UI Symbol"/>
                    <w:color w:val="000000" w:themeColor="text1"/>
                    <w:sz w:val="22"/>
                    <w:szCs w:val="22"/>
                    <w:lang w:eastAsia="en-US"/>
                    <w14:textFill>
                      <w14:solidFill>
                        <w14:schemeClr w14:val="tx1"/>
                      </w14:solidFill>
                    </w14:textFill>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18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If YES, provide a</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9180"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0000" w:themeColor="text1"/>
                <w:sz w:val="22"/>
                <w:szCs w:val="22"/>
                <w14:textFill>
                  <w14:solidFill>
                    <w14:schemeClr w14:val="tx1"/>
                  </w14:solidFill>
                </w14:textFill>
              </w:rPr>
            </w:pPr>
          </w:p>
          <w:p>
            <w:pPr>
              <w:rPr>
                <w:rFonts w:ascii="Arial" w:hAnsi="Arial" w:cs="Arial"/>
                <w:color w:val="000000" w:themeColor="text1"/>
                <w:sz w:val="22"/>
                <w:szCs w:val="22"/>
                <w14:textFill>
                  <w14:solidFill>
                    <w14:schemeClr w14:val="tx1"/>
                  </w14:solidFill>
                </w14:textFill>
              </w:rPr>
            </w:pPr>
            <w:bookmarkStart w:id="481" w:name="OLE_LINK45"/>
            <w:bookmarkStart w:id="482" w:name="OLE_LINK46"/>
            <w:r>
              <w:rPr>
                <w:rFonts w:ascii="Arial" w:hAnsi="Arial" w:cs="Arial"/>
                <w:color w:val="000000" w:themeColor="text1"/>
                <w:sz w:val="22"/>
                <w:szCs w:val="22"/>
                <w14:textFill>
                  <w14:solidFill>
                    <w14:schemeClr w14:val="tx1"/>
                  </w14:solidFill>
                </w14:textFill>
              </w:rPr>
              <w:t xml:space="preserve">In order to better understand the learning context of the participants, the researcher will need to collect some information about the participants (e.g., region, age, how many years they have been teaching), but this information will not be used to identify the participants. Also, all participants will be anonymous or pseudonymous to protect their privacy. </w:t>
            </w:r>
          </w:p>
          <w:bookmarkEnd w:id="481"/>
          <w:bookmarkEnd w:id="482"/>
          <w:p>
            <w:pPr>
              <w:autoSpaceDE w:val="0"/>
              <w:autoSpaceDN w:val="0"/>
              <w:adjustRightInd w:val="0"/>
              <w:rPr>
                <w:rFonts w:ascii="Arial" w:hAnsi="Arial" w:cs="Arial"/>
                <w:i/>
                <w:color w:val="000000" w:themeColor="text1"/>
                <w14:textFill>
                  <w14:solidFill>
                    <w14:schemeClr w14:val="tx1"/>
                  </w14:solidFill>
                </w14:textFill>
              </w:rPr>
            </w:pPr>
          </w:p>
          <w:p>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Depending on the </w:t>
            </w:r>
            <w:r>
              <w:rPr>
                <w:rFonts w:hint="eastAsia" w:ascii="Arial" w:hAnsi="Arial" w:cs="Arial"/>
                <w:color w:val="000000" w:themeColor="text1"/>
                <w14:textFill>
                  <w14:solidFill>
                    <w14:schemeClr w14:val="tx1"/>
                  </w14:solidFill>
                </w14:textFill>
              </w:rPr>
              <w:t>participants</w:t>
            </w:r>
            <w:r>
              <w:rPr>
                <w:rFonts w:ascii="Arial" w:hAnsi="Arial" w:cs="Arial"/>
                <w:color w:val="000000" w:themeColor="text1"/>
                <w14:textFill>
                  <w14:solidFill>
                    <w14:schemeClr w14:val="tx1"/>
                  </w14:solidFill>
                </w14:textFill>
              </w:rPr>
              <w:t>’ wishes, the interviews will be conducted and recorded in video or audio format, so the study will obtain relevant interview data and textual data converted from the interviews.</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cs="Arial"/>
                <w:sz w:val="22"/>
                <w:szCs w:val="22"/>
              </w:rPr>
            </w:pPr>
          </w:p>
        </w:tc>
        <w:tc>
          <w:tcPr>
            <w:tcW w:w="731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rPr>
                <w:rFonts w:ascii="Arial" w:hAnsi="Arial" w:cs="Arial" w:eastAsiaTheme="minorHAnsi"/>
              </w:rPr>
            </w:pPr>
            <w:r>
              <w:rPr>
                <w:rFonts w:ascii="Arial" w:hAnsi="Arial" w:cs="Arial"/>
                <w:sz w:val="22"/>
                <w:szCs w:val="22"/>
              </w:rPr>
              <w:t>Does it involve special category data (as defined by the GDPR)?</w:t>
            </w:r>
          </w:p>
        </w:tc>
        <w:tc>
          <w:tcPr>
            <w:tcW w:w="91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49"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jc w:val="center"/>
              <w:rPr>
                <w:rStyle w:val="27"/>
                <w:rFonts w:ascii="Arial" w:hAnsi="Arial" w:cs="Arial"/>
                <w:b w:val="0"/>
                <w:iCs/>
                <w:color w:val="000000"/>
                <w:sz w:val="20"/>
                <w:szCs w:val="23"/>
              </w:rPr>
            </w:pPr>
            <w:r>
              <w:rPr>
                <w:rStyle w:val="27"/>
                <w:rFonts w:ascii="Arial" w:hAnsi="Arial" w:cs="Arial"/>
                <w:iCs/>
                <w:color w:val="000000"/>
                <w:sz w:val="20"/>
                <w:szCs w:val="23"/>
              </w:rPr>
              <w:t>3</w:t>
            </w:r>
          </w:p>
        </w:tc>
        <w:tc>
          <w:tcPr>
            <w:tcW w:w="731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rPr>
                <w:rFonts w:ascii="Arial" w:hAnsi="Arial" w:cs="Arial"/>
              </w:rPr>
            </w:pPr>
            <w:r>
              <w:rPr>
                <w:rStyle w:val="2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21"/>
              <w:rPr>
                <w:rFonts w:ascii="Arial" w:hAnsi="Arial" w:cs="Arial"/>
              </w:rPr>
            </w:pPr>
            <w:r>
              <w:rPr>
                <w:rFonts w:ascii="Arial" w:hAnsi="Arial" w:cs="Arial"/>
                <w:i/>
                <w:iCs/>
                <w:color w:val="000000"/>
                <w:sz w:val="20"/>
                <w:szCs w:val="23"/>
              </w:rPr>
              <w:t>(a) racial or ethnic origin,</w:t>
            </w:r>
          </w:p>
          <w:p>
            <w:pPr>
              <w:pStyle w:val="21"/>
              <w:rPr>
                <w:rFonts w:ascii="Arial" w:hAnsi="Arial" w:cs="Arial"/>
              </w:rPr>
            </w:pPr>
            <w:r>
              <w:rPr>
                <w:rFonts w:ascii="Arial" w:hAnsi="Arial" w:cs="Arial"/>
                <w:i/>
                <w:iCs/>
                <w:color w:val="000000"/>
                <w:sz w:val="20"/>
                <w:szCs w:val="23"/>
              </w:rPr>
              <w:t>(b) political opinions,</w:t>
            </w:r>
          </w:p>
          <w:p>
            <w:pPr>
              <w:pStyle w:val="21"/>
              <w:rPr>
                <w:rFonts w:ascii="Arial" w:hAnsi="Arial" w:cs="Arial"/>
              </w:rPr>
            </w:pPr>
            <w:r>
              <w:rPr>
                <w:rFonts w:ascii="Arial" w:hAnsi="Arial" w:cs="Arial"/>
                <w:i/>
                <w:iCs/>
                <w:color w:val="000000"/>
                <w:sz w:val="20"/>
                <w:szCs w:val="23"/>
              </w:rPr>
              <w:t>(c ) religious beliefs or other beliefs of a similar nature,</w:t>
            </w:r>
          </w:p>
          <w:p>
            <w:pPr>
              <w:pStyle w:val="21"/>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21"/>
              <w:rPr>
                <w:rFonts w:ascii="Arial" w:hAnsi="Arial" w:cs="Arial"/>
              </w:rPr>
            </w:pPr>
            <w:r>
              <w:rPr>
                <w:rFonts w:ascii="Arial" w:hAnsi="Arial" w:cs="Arial"/>
                <w:i/>
                <w:iCs/>
                <w:color w:val="000000"/>
                <w:sz w:val="20"/>
                <w:szCs w:val="23"/>
              </w:rPr>
              <w:t>(e) physical or mental health or condition,</w:t>
            </w:r>
          </w:p>
          <w:p>
            <w:pPr>
              <w:pStyle w:val="21"/>
              <w:rPr>
                <w:rFonts w:ascii="Arial" w:hAnsi="Arial" w:cs="Arial"/>
              </w:rPr>
            </w:pPr>
            <w:r>
              <w:rPr>
                <w:rFonts w:ascii="Arial" w:hAnsi="Arial" w:cs="Arial"/>
                <w:i/>
                <w:iCs/>
                <w:color w:val="000000"/>
                <w:sz w:val="20"/>
                <w:szCs w:val="23"/>
              </w:rPr>
              <w:t>(f) sexual life,</w:t>
            </w:r>
          </w:p>
          <w:p>
            <w:pPr>
              <w:pStyle w:val="21"/>
              <w:rPr>
                <w:rFonts w:ascii="Arial" w:hAnsi="Arial" w:cs="Arial"/>
              </w:rPr>
            </w:pPr>
            <w:r>
              <w:rPr>
                <w:rFonts w:ascii="Arial" w:hAnsi="Arial" w:cs="Arial"/>
                <w:i/>
                <w:iCs/>
                <w:color w:val="000000"/>
                <w:sz w:val="20"/>
                <w:szCs w:val="23"/>
              </w:rPr>
              <w:t>(g) genetics,</w:t>
            </w:r>
          </w:p>
          <w:p>
            <w:pPr>
              <w:pStyle w:val="21"/>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1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21"/>
              <w:autoSpaceDE w:val="0"/>
              <w:autoSpaceDN w:val="0"/>
              <w:adjustRightInd w:val="0"/>
              <w:jc w:val="center"/>
              <w:rPr>
                <w:rFonts w:ascii="Arial" w:hAnsi="Arial" w:cs="Arial"/>
              </w:rPr>
            </w:pPr>
            <w:r>
              <w:rPr>
                <w:rFonts w:ascii="Segoe UI Symbol" w:hAnsi="Segoe UI Symbol" w:eastAsia="MS Gothic" w:cs="Segoe UI Symbol"/>
                <w:sz w:val="22"/>
                <w:szCs w:val="22"/>
              </w:rPr>
              <w:t>☐</w:t>
            </w:r>
          </w:p>
        </w:tc>
        <w:tc>
          <w:tcPr>
            <w:tcW w:w="949"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21"/>
              <w:autoSpaceDE w:val="0"/>
              <w:autoSpaceDN w:val="0"/>
              <w:adjustRightInd w:val="0"/>
              <w:jc w:val="center"/>
              <w:rPr>
                <w:rFonts w:ascii="Arial" w:hAnsi="Arial" w:cs="Arial"/>
              </w:rPr>
            </w:pPr>
            <w:sdt>
              <w:sdtPr>
                <w:rPr>
                  <w:rFonts w:ascii="Arial" w:hAnsi="Arial" w:cs="Arial"/>
                  <w:color w:val="000000" w:themeColor="text1"/>
                  <w:sz w:val="22"/>
                  <w:szCs w:val="22"/>
                  <w14:textFill>
                    <w14:solidFill>
                      <w14:schemeClr w14:val="tx1"/>
                    </w14:solidFill>
                  </w14:textFill>
                </w:rPr>
                <w:id w:val="-784882396"/>
                <w14:checkbox>
                  <w14:checked w14:val="1"/>
                  <w14:checkedState w14:val="2612" w14:font="MS Gothic"/>
                  <w14:uncheckedState w14:val="2610" w14:font="MS Gothic"/>
                </w14:checkbox>
              </w:sdtPr>
              <w:sdtEndPr>
                <w:rPr>
                  <w:rFonts w:ascii="Arial" w:hAnsi="Arial" w:cs="Arial"/>
                  <w:color w:val="FF0000"/>
                  <w:sz w:val="22"/>
                  <w:szCs w:val="22"/>
                </w:rPr>
              </w:sdtEndPr>
              <w:sdtContent>
                <w:r>
                  <w:rPr>
                    <w:rFonts w:ascii="MS Gothic" w:hAnsi="MS Gothic" w:eastAsia="MS Gothic" w:cs="Segoe UI Symbol"/>
                    <w:color w:val="000000" w:themeColor="text1"/>
                    <w:sz w:val="22"/>
                    <w:szCs w:val="22"/>
                    <w:lang w:eastAsia="en-US"/>
                    <w14:textFill>
                      <w14:solidFill>
                        <w14:schemeClr w14:val="tx1"/>
                      </w14:solidFill>
                    </w14:textFill>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jc w:val="center"/>
              <w:rPr>
                <w:rFonts w:ascii="Arial" w:hAnsi="Arial" w:cs="Arial"/>
                <w:sz w:val="22"/>
                <w:szCs w:val="22"/>
              </w:rPr>
            </w:pPr>
          </w:p>
        </w:tc>
        <w:tc>
          <w:tcPr>
            <w:tcW w:w="918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21"/>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0" w:hRule="atLeast"/>
        </w:trPr>
        <w:tc>
          <w:tcPr>
            <w:tcW w:w="524"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180" w:type="dxa"/>
            <w:gridSpan w:val="3"/>
            <w:tcBorders>
              <w:top w:val="single" w:color="auto" w:sz="4" w:space="0"/>
              <w:left w:val="single" w:color="auto" w:sz="4" w:space="0"/>
              <w:bottom w:val="single" w:color="auto" w:sz="4" w:space="0"/>
              <w:right w:val="single" w:color="auto" w:sz="4" w:space="0"/>
            </w:tcBorders>
            <w:vAlign w:val="center"/>
          </w:tcPr>
          <w:p>
            <w:pPr>
              <w:autoSpaceDE w:val="0"/>
              <w:autoSpaceDN w:val="0"/>
              <w:adjustRightInd w:val="0"/>
              <w:rPr>
                <w:rFonts w:ascii="Arial" w:hAnsi="Arial" w:cs="Arial"/>
              </w:rPr>
            </w:pPr>
            <w:r>
              <w:rPr>
                <w:rFonts w:ascii="Arial" w:hAnsi="Arial" w:cs="Arial"/>
                <w:i/>
                <w:color w:val="808080"/>
                <w:sz w:val="18"/>
                <w:szCs w:val="18"/>
              </w:rPr>
              <w:t>N</w:t>
            </w:r>
            <w:r>
              <w:rPr>
                <w:rFonts w:hint="eastAsia" w:ascii="Arial" w:hAnsi="Arial" w:cs="Arial"/>
                <w:i/>
                <w:color w:val="808080"/>
                <w:sz w:val="18"/>
                <w:szCs w:val="18"/>
              </w:rPr>
              <w:t>o</w:t>
            </w:r>
          </w:p>
        </w:tc>
      </w:tr>
    </w:tbl>
    <w:p>
      <w:pPr>
        <w:rPr>
          <w:rFonts w:ascii="Arial" w:hAnsi="Arial" w:cs="Arial"/>
        </w:rPr>
      </w:pPr>
    </w:p>
    <w:tbl>
      <w:tblPr>
        <w:tblStyle w:val="25"/>
        <w:tblW w:w="96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8"/>
        <w:gridCol w:w="7297"/>
        <w:gridCol w:w="827"/>
        <w:gridCol w:w="1035"/>
      </w:tblGrid>
      <w:tr>
        <w:trPr>
          <w:trHeight w:val="413"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bookmarkStart w:id="483" w:name="OLE_LINK416"/>
          </w:p>
        </w:tc>
        <w:tc>
          <w:tcPr>
            <w:tcW w:w="7297"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827"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35"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29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827" w:type="dxa"/>
            <w:shd w:val="clear" w:color="auto" w:fill="BEBEBE" w:themeFill="background1" w:themeFillShade="BF"/>
          </w:tcPr>
          <w:sdt>
            <w:sdtPr>
              <w:rPr>
                <w:rFonts w:ascii="Arial" w:hAnsi="Arial" w:cs="Arial"/>
                <w:sz w:val="22"/>
                <w:szCs w:val="22"/>
              </w:rPr>
              <w:id w:val="6018476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35" w:type="dxa"/>
            <w:shd w:val="clear" w:color="auto" w:fill="BEBEBE" w:themeFill="background1" w:themeFillShade="BF"/>
          </w:tcPr>
          <w:sdt>
            <w:sdtPr>
              <w:rPr>
                <w:rFonts w:ascii="Arial" w:hAnsi="Arial" w:cs="Arial"/>
                <w:sz w:val="22"/>
                <w:szCs w:val="22"/>
              </w:rPr>
              <w:id w:val="11582628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29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827" w:type="dxa"/>
            <w:shd w:val="clear" w:color="auto" w:fill="BEBEBE" w:themeFill="background1" w:themeFillShade="BF"/>
          </w:tcPr>
          <w:sdt>
            <w:sdtPr>
              <w:rPr>
                <w:rFonts w:ascii="Arial" w:hAnsi="Arial" w:cs="Arial"/>
                <w:sz w:val="22"/>
                <w:szCs w:val="22"/>
              </w:rPr>
              <w:id w:val="-208035690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35" w:type="dxa"/>
            <w:shd w:val="clear" w:color="auto" w:fill="BEBEBE" w:themeFill="background1" w:themeFillShade="BF"/>
          </w:tcPr>
          <w:sdt>
            <w:sdtPr>
              <w:rPr>
                <w:rFonts w:ascii="Arial" w:hAnsi="Arial" w:cs="Arial"/>
                <w:sz w:val="22"/>
                <w:szCs w:val="22"/>
              </w:rPr>
              <w:id w:val="-9148529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29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Private company computers?</w:t>
            </w:r>
          </w:p>
        </w:tc>
        <w:tc>
          <w:tcPr>
            <w:tcW w:w="827" w:type="dxa"/>
            <w:shd w:val="clear" w:color="auto" w:fill="BEBEBE" w:themeFill="background1" w:themeFillShade="BF"/>
          </w:tcPr>
          <w:sdt>
            <w:sdtPr>
              <w:rPr>
                <w:rFonts w:ascii="Arial" w:hAnsi="Arial" w:cs="Arial"/>
                <w:color w:val="000000" w:themeColor="text1"/>
                <w:sz w:val="22"/>
                <w:szCs w:val="22"/>
                <w14:textFill>
                  <w14:solidFill>
                    <w14:schemeClr w14:val="tx1"/>
                  </w14:solidFill>
                </w14:textFill>
              </w:rPr>
              <w:id w:val="152962018"/>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35" w:type="dxa"/>
            <w:shd w:val="clear" w:color="auto" w:fill="BEBEBE" w:themeFill="background1" w:themeFillShade="BF"/>
          </w:tcPr>
          <w:sdt>
            <w:sdtPr>
              <w:rPr>
                <w:rFonts w:ascii="Arial" w:hAnsi="Arial" w:cs="Arial"/>
                <w:sz w:val="22"/>
                <w:szCs w:val="22"/>
              </w:rPr>
              <w:id w:val="93548693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29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Home or other personal computers?</w:t>
            </w:r>
          </w:p>
        </w:tc>
        <w:tc>
          <w:tcPr>
            <w:tcW w:w="827" w:type="dxa"/>
            <w:shd w:val="clear" w:color="auto" w:fill="BEBEBE" w:themeFill="background1" w:themeFillShade="BF"/>
          </w:tcPr>
          <w:sdt>
            <w:sdtPr>
              <w:rPr>
                <w:rFonts w:ascii="Arial" w:hAnsi="Arial" w:cs="Arial"/>
                <w:color w:val="000000" w:themeColor="text1"/>
                <w:sz w:val="22"/>
                <w:szCs w:val="22"/>
                <w14:textFill>
                  <w14:solidFill>
                    <w14:schemeClr w14:val="tx1"/>
                  </w14:solidFill>
                </w14:textFill>
              </w:rPr>
              <w:id w:val="1977640931"/>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color w:val="000000" w:themeColor="text1"/>
                    <w:sz w:val="22"/>
                    <w:szCs w:val="22"/>
                    <w14:textFill>
                      <w14:solidFill>
                        <w14:schemeClr w14:val="tx1"/>
                      </w14:solidFill>
                    </w14:textFill>
                  </w:rPr>
                  <w:t>☒</w:t>
                </w:r>
              </w:p>
            </w:sdtContent>
          </w:sdt>
        </w:tc>
        <w:tc>
          <w:tcPr>
            <w:tcW w:w="1035" w:type="dxa"/>
            <w:shd w:val="clear" w:color="auto" w:fill="BEBEBE" w:themeFill="background1" w:themeFillShade="BF"/>
          </w:tcPr>
          <w:sdt>
            <w:sdtPr>
              <w:rPr>
                <w:rFonts w:ascii="Arial" w:hAnsi="Arial" w:cs="Arial"/>
                <w:sz w:val="22"/>
                <w:szCs w:val="22"/>
              </w:rPr>
              <w:id w:val="-88432940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29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827" w:type="dxa"/>
            <w:shd w:val="clear" w:color="auto" w:fill="BEBEBE" w:themeFill="background1" w:themeFillShade="BF"/>
          </w:tcPr>
          <w:sdt>
            <w:sdtPr>
              <w:rPr>
                <w:rFonts w:ascii="Arial" w:hAnsi="Arial" w:cs="Arial"/>
                <w:sz w:val="22"/>
                <w:szCs w:val="22"/>
              </w:rPr>
              <w:id w:val="18835185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35" w:type="dxa"/>
            <w:shd w:val="clear" w:color="auto" w:fill="BEBEBE" w:themeFill="background1" w:themeFillShade="BF"/>
          </w:tcPr>
          <w:sdt>
            <w:sdtPr>
              <w:rPr>
                <w:rFonts w:ascii="Arial" w:hAnsi="Arial" w:cs="Arial"/>
                <w:sz w:val="22"/>
                <w:szCs w:val="22"/>
              </w:rPr>
              <w:id w:val="-199602110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29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827" w:type="dxa"/>
            <w:shd w:val="clear" w:color="auto" w:fill="BEBEBE" w:themeFill="background1" w:themeFillShade="BF"/>
          </w:tcPr>
          <w:sdt>
            <w:sdtPr>
              <w:rPr>
                <w:rFonts w:ascii="Arial" w:hAnsi="Arial" w:cs="Arial"/>
                <w:sz w:val="22"/>
                <w:szCs w:val="22"/>
              </w:rPr>
              <w:id w:val="115010099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35" w:type="dxa"/>
            <w:shd w:val="clear" w:color="auto" w:fill="BEBEBE" w:themeFill="background1" w:themeFillShade="BF"/>
          </w:tcPr>
          <w:sdt>
            <w:sdtPr>
              <w:rPr>
                <w:rFonts w:ascii="Arial" w:hAnsi="Arial" w:cs="Arial"/>
                <w:sz w:val="22"/>
                <w:szCs w:val="22"/>
              </w:rPr>
              <w:id w:val="4471980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297"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827" w:type="dxa"/>
            <w:shd w:val="clear" w:color="auto" w:fill="BEBEBE" w:themeFill="background1" w:themeFillShade="BF"/>
            <w:vAlign w:val="center"/>
          </w:tcPr>
          <w:sdt>
            <w:sdtPr>
              <w:rPr>
                <w:rFonts w:ascii="Arial" w:hAnsi="Arial" w:cs="Arial"/>
                <w:sz w:val="22"/>
                <w:szCs w:val="22"/>
              </w:rPr>
              <w:id w:val="-8580441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35" w:type="dxa"/>
            <w:shd w:val="clear" w:color="auto" w:fill="BEBEBE" w:themeFill="background1" w:themeFillShade="BF"/>
            <w:vAlign w:val="center"/>
          </w:tcPr>
          <w:sdt>
            <w:sdtPr>
              <w:rPr>
                <w:rFonts w:ascii="Arial" w:hAnsi="Arial" w:cs="Arial"/>
                <w:sz w:val="22"/>
                <w:szCs w:val="22"/>
              </w:rPr>
              <w:id w:val="-7687000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15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9" w:hRule="atLeast"/>
        </w:trPr>
        <w:tc>
          <w:tcPr>
            <w:tcW w:w="518" w:type="dxa"/>
            <w:vAlign w:val="center"/>
          </w:tcPr>
          <w:p>
            <w:pPr>
              <w:jc w:val="center"/>
              <w:rPr>
                <w:rFonts w:ascii="Arial" w:hAnsi="Arial" w:cs="Arial"/>
                <w:sz w:val="22"/>
                <w:szCs w:val="22"/>
              </w:rPr>
            </w:pPr>
          </w:p>
        </w:tc>
        <w:tc>
          <w:tcPr>
            <w:tcW w:w="9159" w:type="dxa"/>
            <w:gridSpan w:val="3"/>
          </w:tcPr>
          <w:p>
            <w:pPr>
              <w:rPr>
                <w:color w:val="000000" w:themeColor="text1"/>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A</w:t>
            </w:r>
            <w:r>
              <w:rPr>
                <w:rFonts w:ascii="Arial" w:hAnsi="Arial" w:cs="Arial"/>
                <w:color w:val="000000" w:themeColor="text1"/>
                <w:sz w:val="22"/>
                <w:szCs w:val="22"/>
                <w14:textFill>
                  <w14:solidFill>
                    <w14:schemeClr w14:val="tx1"/>
                  </w14:solidFill>
                </w14:textFill>
              </w:rPr>
              <w:t>ll the data will be stored and saved by the researcher in her own computer (with passwords), and only the researcher have the access to it and use it during the research. All participants will be pseudonymous or anonymous, and their private information will be slightly modified to avoid identification.</w:t>
            </w:r>
            <w:r>
              <w:rPr>
                <w:color w:val="000000" w:themeColor="text1"/>
                <w14:textFill>
                  <w14:solidFill>
                    <w14:schemeClr w14:val="tx1"/>
                  </w14:solidFill>
                </w14:textFill>
              </w:rPr>
              <w:t xml:space="preserve"> </w:t>
            </w:r>
          </w:p>
          <w:p>
            <w:pPr>
              <w:rPr>
                <w:rFonts w:ascii="Arial" w:hAnsi="Arial" w:cs="Arial"/>
                <w:color w:val="FF0000"/>
                <w:szCs w:val="21"/>
              </w:rPr>
            </w:pPr>
            <w:r>
              <w:rPr>
                <w:rFonts w:ascii="Arial" w:hAnsi="Arial" w:cs="Arial"/>
                <w:color w:val="000000" w:themeColor="text1"/>
                <w:szCs w:val="21"/>
                <w14:textFill>
                  <w14:solidFill>
                    <w14:schemeClr w14:val="tx1"/>
                  </w14:solidFill>
                </w14:textFill>
              </w:rPr>
              <w:t>Also, all data will be backed up on the researcher’s private hard drive (with a password) and kept in a safe deposit box to which only the researcher has access. All information will be deleted three months after completion of the study.</w:t>
            </w:r>
          </w:p>
        </w:tc>
      </w:tr>
      <w:bookmarkEnd w:id="483"/>
    </w:tbl>
    <w:p>
      <w:pPr>
        <w:rPr>
          <w:rFonts w:ascii="Arial" w:hAnsi="Arial" w:cs="Arial"/>
        </w:rPr>
      </w:pPr>
    </w:p>
    <w:tbl>
      <w:tblPr>
        <w:tblStyle w:val="25"/>
        <w:tblW w:w="951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0"/>
        <w:gridCol w:w="7177"/>
        <w:gridCol w:w="900"/>
        <w:gridCol w:w="9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 w:hRule="atLeast"/>
        </w:trPr>
        <w:tc>
          <w:tcPr>
            <w:tcW w:w="510" w:type="dxa"/>
            <w:shd w:val="clear" w:color="auto" w:fill="F1F1F1" w:themeFill="background1" w:themeFillShade="F2"/>
          </w:tcPr>
          <w:p>
            <w:pPr>
              <w:autoSpaceDE w:val="0"/>
              <w:autoSpaceDN w:val="0"/>
              <w:adjustRightInd w:val="0"/>
              <w:rPr>
                <w:rFonts w:ascii="Arial" w:hAnsi="Arial" w:cs="Arial"/>
                <w:sz w:val="22"/>
                <w:szCs w:val="22"/>
              </w:rPr>
            </w:pPr>
          </w:p>
        </w:tc>
        <w:tc>
          <w:tcPr>
            <w:tcW w:w="900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177"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00"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3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00"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00"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00"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0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311477419"/>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color w:val="000000" w:themeColor="text1"/>
                    <w:sz w:val="22"/>
                    <w:szCs w:val="22"/>
                    <w14:textFill>
                      <w14:solidFill>
                        <w14:schemeClr w14:val="tx1"/>
                      </w14:solidFill>
                    </w14:textFill>
                  </w:rPr>
                  <w:t>☒</w:t>
                </w:r>
              </w:p>
            </w:sdtContent>
          </w:sdt>
        </w:tc>
        <w:tc>
          <w:tcPr>
            <w:tcW w:w="931"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0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580263657"/>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color w:val="000000" w:themeColor="text1"/>
                    <w:sz w:val="22"/>
                    <w:szCs w:val="22"/>
                    <w14:textFill>
                      <w14:solidFill>
                        <w14:schemeClr w14:val="tx1"/>
                      </w14:solidFill>
                    </w14:textFill>
                  </w:rPr>
                  <w:t>☒</w:t>
                </w:r>
              </w:p>
            </w:sdtContent>
          </w:sdt>
        </w:tc>
        <w:tc>
          <w:tcPr>
            <w:tcW w:w="931"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00"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17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00"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177"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00"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31"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00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vAlign w:val="center"/>
          </w:tcPr>
          <w:p>
            <w:pPr>
              <w:autoSpaceDE w:val="0"/>
              <w:autoSpaceDN w:val="0"/>
              <w:adjustRightInd w:val="0"/>
              <w:jc w:val="center"/>
              <w:rPr>
                <w:rFonts w:ascii="Arial" w:hAnsi="Arial" w:cs="Arial"/>
                <w:sz w:val="22"/>
                <w:szCs w:val="22"/>
              </w:rPr>
            </w:pPr>
          </w:p>
        </w:tc>
        <w:tc>
          <w:tcPr>
            <w:tcW w:w="9009" w:type="dxa"/>
            <w:gridSpan w:val="3"/>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bookmarkStart w:id="484" w:name="OLE_LINK10"/>
            <w:r>
              <w:rPr>
                <w:rFonts w:hint="eastAsia" w:ascii="Arial" w:hAnsi="Arial" w:cs="Arial"/>
                <w:color w:val="000000" w:themeColor="text1"/>
                <w:sz w:val="22"/>
                <w:szCs w:val="22"/>
                <w14:textFill>
                  <w14:solidFill>
                    <w14:schemeClr w14:val="tx1"/>
                  </w14:solidFill>
                </w14:textFill>
              </w:rPr>
              <w:t>A</w:t>
            </w:r>
            <w:r>
              <w:rPr>
                <w:rFonts w:ascii="Arial" w:hAnsi="Arial" w:cs="Arial"/>
                <w:color w:val="000000" w:themeColor="text1"/>
                <w:sz w:val="22"/>
                <w:szCs w:val="22"/>
                <w14:textFill>
                  <w14:solidFill>
                    <w14:schemeClr w14:val="tx1"/>
                  </w14:solidFill>
                </w14:textFill>
              </w:rPr>
              <w:t>ll the data will be stored and saved by the researcher in her own computer (with passwords), and only the researcher have the access to it and use it during the research. All information will be deleted three months after completion of the study.</w:t>
            </w:r>
            <w:bookmarkEnd w:id="484"/>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00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vAlign w:val="center"/>
          </w:tcPr>
          <w:p>
            <w:pPr>
              <w:autoSpaceDE w:val="0"/>
              <w:autoSpaceDN w:val="0"/>
              <w:adjustRightInd w:val="0"/>
              <w:jc w:val="center"/>
              <w:rPr>
                <w:rFonts w:ascii="Arial" w:hAnsi="Arial" w:cs="Arial"/>
                <w:sz w:val="22"/>
                <w:szCs w:val="22"/>
              </w:rPr>
            </w:pPr>
          </w:p>
        </w:tc>
        <w:tc>
          <w:tcPr>
            <w:tcW w:w="9009" w:type="dxa"/>
            <w:gridSpan w:val="3"/>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researcher</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and</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participant</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will</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have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right</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to check</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his</w:t>
            </w:r>
            <w:r>
              <w:rPr>
                <w:rFonts w:ascii="Arial" w:hAnsi="Arial" w:cs="Arial"/>
                <w:color w:val="000000" w:themeColor="text1"/>
                <w:sz w:val="22"/>
                <w:szCs w:val="22"/>
                <w14:textFill>
                  <w14:solidFill>
                    <w14:schemeClr w14:val="tx1"/>
                  </w14:solidFill>
                </w14:textFill>
              </w:rPr>
              <w:t>/</w:t>
            </w:r>
            <w:r>
              <w:rPr>
                <w:rFonts w:hint="eastAsia" w:ascii="Arial" w:hAnsi="Arial" w:cs="Arial"/>
                <w:color w:val="000000" w:themeColor="text1"/>
                <w:sz w:val="22"/>
                <w:szCs w:val="22"/>
                <w14:textFill>
                  <w14:solidFill>
                    <w14:schemeClr w14:val="tx1"/>
                  </w14:solidFill>
                </w14:textFill>
              </w:rPr>
              <w:t>her</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data</w:t>
            </w:r>
            <w:r>
              <w:rPr>
                <w:rFonts w:ascii="Arial" w:hAnsi="Arial" w:cs="Arial"/>
                <w:color w:val="000000" w:themeColor="text1"/>
                <w:sz w:val="22"/>
                <w:szCs w:val="22"/>
                <w14:textFill>
                  <w14:solidFill>
                    <w14:schemeClr w14:val="tx1"/>
                  </w14:solidFill>
                </w14:textFill>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00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List who will have control of, and act as </w:t>
            </w:r>
            <w:bookmarkStart w:id="485" w:name="OLE_LINK6"/>
            <w:bookmarkStart w:id="486" w:name="OLE_LINK5"/>
            <w:r>
              <w:rPr>
                <w:rFonts w:ascii="Arial" w:hAnsi="Arial" w:cs="Arial"/>
                <w:bCs/>
                <w:sz w:val="22"/>
                <w:szCs w:val="22"/>
              </w:rPr>
              <w:t>custodian</w:t>
            </w:r>
            <w:bookmarkEnd w:id="485"/>
            <w:bookmarkEnd w:id="486"/>
            <w:r>
              <w:rPr>
                <w:rFonts w:ascii="Arial" w:hAnsi="Arial" w:cs="Arial"/>
                <w:bCs/>
                <w:sz w:val="22"/>
                <w:szCs w:val="22"/>
              </w:rPr>
              <w:t>(s)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vAlign w:val="center"/>
          </w:tcPr>
          <w:p>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009" w:type="dxa"/>
            <w:gridSpan w:val="3"/>
          </w:tcPr>
          <w:p>
            <w:pPr>
              <w:autoSpaceDE w:val="0"/>
              <w:autoSpaceDN w:val="0"/>
              <w:adjustRightInd w:val="0"/>
              <w:rPr>
                <w:rFonts w:ascii="Arial" w:hAnsi="Arial" w:cs="Arial"/>
                <w:color w:val="000000" w:themeColor="text1"/>
                <w:sz w:val="22"/>
                <w:szCs w:val="22"/>
                <w14:textFill>
                  <w14:solidFill>
                    <w14:schemeClr w14:val="tx1"/>
                  </w14:solidFill>
                </w14:textFill>
              </w:rPr>
            </w:pPr>
            <w:bookmarkStart w:id="487" w:name="OLE_LINK7"/>
            <w:r>
              <w:rPr>
                <w:rFonts w:hint="eastAsia" w:ascii="Arial" w:hAnsi="Arial" w:cs="Arial"/>
                <w:color w:val="000000" w:themeColor="text1"/>
                <w:sz w:val="22"/>
                <w:szCs w:val="22"/>
                <w14:textFill>
                  <w14:solidFill>
                    <w14:schemeClr w14:val="tx1"/>
                  </w14:solidFill>
                </w14:textFill>
              </w:rPr>
              <w:t>The</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researcher</w:t>
            </w:r>
            <w:r>
              <w:rPr>
                <w:rFonts w:ascii="Arial" w:hAnsi="Arial" w:cs="Arial"/>
                <w:color w:val="000000" w:themeColor="text1"/>
                <w:sz w:val="22"/>
                <w:szCs w:val="22"/>
                <w14:textFill>
                  <w14:solidFill>
                    <w14:schemeClr w14:val="tx1"/>
                  </w14:solidFill>
                </w14:textFill>
              </w:rPr>
              <w:t xml:space="preserve"> </w:t>
            </w:r>
            <w:r>
              <w:rPr>
                <w:rFonts w:hint="eastAsia" w:ascii="Arial" w:hAnsi="Arial" w:cs="Arial"/>
                <w:color w:val="000000" w:themeColor="text1"/>
                <w:sz w:val="22"/>
                <w:szCs w:val="22"/>
                <w14:textFill>
                  <w14:solidFill>
                    <w14:schemeClr w14:val="tx1"/>
                  </w14:solidFill>
                </w14:textFill>
              </w:rPr>
              <w:t>only</w:t>
            </w:r>
            <w:r>
              <w:rPr>
                <w:rFonts w:ascii="Arial" w:hAnsi="Arial" w:cs="Arial"/>
                <w:color w:val="000000" w:themeColor="text1"/>
                <w:sz w:val="22"/>
                <w:szCs w:val="22"/>
                <w14:textFill>
                  <w14:solidFill>
                    <w14:schemeClr w14:val="tx1"/>
                  </w14:solidFill>
                </w14:textFill>
              </w:rPr>
              <w:t>.</w:t>
            </w:r>
            <w:bookmarkEnd w:id="487"/>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00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vAlign w:val="center"/>
          </w:tcPr>
          <w:p>
            <w:pPr>
              <w:autoSpaceDE w:val="0"/>
              <w:autoSpaceDN w:val="0"/>
              <w:adjustRightInd w:val="0"/>
              <w:jc w:val="center"/>
              <w:rPr>
                <w:rFonts w:ascii="Arial" w:hAnsi="Arial" w:cs="Arial"/>
                <w:sz w:val="22"/>
                <w:szCs w:val="22"/>
              </w:rPr>
            </w:pPr>
          </w:p>
        </w:tc>
        <w:tc>
          <w:tcPr>
            <w:tcW w:w="9009" w:type="dxa"/>
            <w:gridSpan w:val="3"/>
          </w:tcPr>
          <w:p>
            <w:pPr>
              <w:rPr>
                <w:rFonts w:ascii="Arial" w:hAnsi="Arial" w:cs="Arial"/>
                <w:color w:val="000000" w:themeColor="text1"/>
                <w:szCs w:val="21"/>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A</w:t>
            </w:r>
            <w:r>
              <w:rPr>
                <w:rFonts w:ascii="Arial" w:hAnsi="Arial" w:cs="Arial"/>
                <w:color w:val="000000" w:themeColor="text1"/>
                <w:sz w:val="22"/>
                <w:szCs w:val="22"/>
                <w14:textFill>
                  <w14:solidFill>
                    <w14:schemeClr w14:val="tx1"/>
                  </w14:solidFill>
                </w14:textFill>
              </w:rPr>
              <w:t xml:space="preserve">ll the data will be stored and saved by the researcher in her own computer (with passwords), and only the researcher have the access to it and use it during the research. </w:t>
            </w:r>
            <w:r>
              <w:rPr>
                <w:rFonts w:ascii="Arial" w:hAnsi="Arial" w:cs="Arial"/>
                <w:color w:val="000000" w:themeColor="text1"/>
                <w:szCs w:val="21"/>
                <w14:textFill>
                  <w14:solidFill>
                    <w14:schemeClr w14:val="tx1"/>
                  </w14:solidFill>
                </w14:textFill>
              </w:rPr>
              <w:t>Also, all data will be backed up on the researcher’s private hard drive (with a password) and kept in a safe deposit box to which only the researcher has access. All information will be deleted three months after completion of the study.</w:t>
            </w:r>
          </w:p>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Participants’ consent will be documented by an informed consent form, which they sign after they are clearly aware of what the study is about, its purpose, and how they will participate.</w:t>
            </w:r>
          </w:p>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The researcher </w:t>
            </w:r>
            <w:r>
              <w:rPr>
                <w:rFonts w:hint="eastAsia" w:ascii="Arial" w:hAnsi="Arial" w:cs="Arial"/>
                <w:color w:val="000000" w:themeColor="text1"/>
                <w:sz w:val="22"/>
                <w:szCs w:val="22"/>
                <w14:textFill>
                  <w14:solidFill>
                    <w14:schemeClr w14:val="tx1"/>
                  </w14:solidFill>
                </w14:textFill>
              </w:rPr>
              <w:t>will</w:t>
            </w:r>
            <w:r>
              <w:rPr>
                <w:rFonts w:ascii="Arial" w:hAnsi="Arial" w:cs="Arial"/>
                <w:color w:val="000000" w:themeColor="text1"/>
                <w:sz w:val="22"/>
                <w:szCs w:val="22"/>
                <w14:textFill>
                  <w14:solidFill>
                    <w14:schemeClr w14:val="tx1"/>
                  </w14:solidFill>
                </w14:textFill>
              </w:rPr>
              <w:t xml:space="preserve"> collect all the consent forms from the participants and keeps them in a safe, along with a portable hard drive with back-up data, until the end of the study.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sz w:val="22"/>
                <w:szCs w:val="22"/>
              </w:rPr>
            </w:pPr>
            <w:bookmarkStart w:id="488" w:name="_Hlk148883519"/>
            <w:r>
              <w:rPr>
                <w:rFonts w:ascii="Arial" w:hAnsi="Arial" w:cs="Arial"/>
                <w:sz w:val="22"/>
                <w:szCs w:val="22"/>
              </w:rPr>
              <w:t>25</w:t>
            </w:r>
          </w:p>
        </w:tc>
        <w:tc>
          <w:tcPr>
            <w:tcW w:w="900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30"/>
                <w:rFonts w:ascii="Arial" w:hAnsi="Arial" w:cs="Arial"/>
                <w:color w:val="000000"/>
                <w:sz w:val="22"/>
                <w:szCs w:val="22"/>
              </w:rPr>
              <w:t>https://researchdata.uwtsd.ac.uk/</w:t>
            </w:r>
            <w:r>
              <w:rPr>
                <w:rStyle w:val="30"/>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bookmarkEnd w:id="488"/>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0" w:hRule="atLeast"/>
        </w:trPr>
        <w:tc>
          <w:tcPr>
            <w:tcW w:w="510" w:type="dxa"/>
            <w:vAlign w:val="center"/>
          </w:tcPr>
          <w:p>
            <w:pPr>
              <w:autoSpaceDE w:val="0"/>
              <w:autoSpaceDN w:val="0"/>
              <w:adjustRightInd w:val="0"/>
              <w:jc w:val="center"/>
              <w:rPr>
                <w:rFonts w:ascii="Arial" w:hAnsi="Arial" w:cs="Arial"/>
                <w:sz w:val="22"/>
                <w:szCs w:val="22"/>
              </w:rPr>
            </w:pPr>
          </w:p>
        </w:tc>
        <w:tc>
          <w:tcPr>
            <w:tcW w:w="9009" w:type="dxa"/>
            <w:gridSpan w:val="3"/>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No</w:t>
            </w:r>
            <w:r>
              <w:rPr>
                <w:rFonts w:ascii="Arial" w:hAnsi="Arial" w:cs="Arial"/>
                <w:color w:val="000000" w:themeColor="text1"/>
                <w:sz w:val="22"/>
                <w:szCs w:val="22"/>
                <w14:textFill>
                  <w14:solidFill>
                    <w14:schemeClr w14:val="tx1"/>
                  </w14:solidFill>
                </w14:textFill>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2"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177"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30"/>
                <w:rFonts w:ascii="Arial" w:hAnsi="Arial" w:cs="Arial"/>
                <w:color w:val="000000"/>
                <w:sz w:val="22"/>
                <w:szCs w:val="22"/>
              </w:rPr>
              <w:t>https://www.uwtsd.ac.uk/library/research-data-management/</w:t>
            </w:r>
            <w:r>
              <w:rPr>
                <w:rStyle w:val="30"/>
                <w:rFonts w:ascii="Arial" w:hAnsi="Arial" w:cs="Arial"/>
                <w:color w:val="000000"/>
                <w:sz w:val="22"/>
                <w:szCs w:val="22"/>
              </w:rPr>
              <w:fldChar w:fldCharType="end"/>
            </w:r>
            <w:r>
              <w:rPr>
                <w:rFonts w:ascii="Arial" w:hAnsi="Arial" w:cs="Arial"/>
                <w:color w:val="000000"/>
                <w:sz w:val="22"/>
                <w:szCs w:val="22"/>
              </w:rPr>
              <w:t>)</w:t>
            </w:r>
          </w:p>
        </w:tc>
        <w:tc>
          <w:tcPr>
            <w:tcW w:w="90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931"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8" w:hRule="atLeast"/>
        </w:trPr>
        <w:tc>
          <w:tcPr>
            <w:tcW w:w="510"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177"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0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931"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pPr>
        <w:rPr>
          <w:rFonts w:ascii="Arial" w:hAnsi="Arial" w:cs="Arial"/>
          <w:b/>
          <w:bCs/>
          <w:sz w:val="22"/>
          <w:szCs w:val="22"/>
        </w:rPr>
      </w:pPr>
    </w:p>
    <w:p>
      <w:pPr>
        <w:autoSpaceDE w:val="0"/>
        <w:autoSpaceDN w:val="0"/>
        <w:adjustRightInd w:val="0"/>
        <w:spacing w:after="240"/>
        <w:rPr>
          <w:rFonts w:ascii="Arial" w:hAnsi="Arial" w:cs="Arial"/>
          <w:b/>
          <w:sz w:val="22"/>
          <w:szCs w:val="22"/>
        </w:rPr>
      </w:pPr>
      <w:r>
        <w:rPr>
          <w:rFonts w:ascii="Arial" w:hAnsi="Arial" w:cs="Arial"/>
          <w:b/>
          <w:sz w:val="22"/>
          <w:szCs w:val="22"/>
        </w:rPr>
        <w:t>SECTION K: Declaration</w:t>
      </w:r>
    </w:p>
    <w:tbl>
      <w:tblPr>
        <w:tblStyle w:val="24"/>
        <w:tblW w:w="9523"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03"/>
        <w:gridCol w:w="2693"/>
        <w:gridCol w:w="4381"/>
        <w:gridCol w:w="1946"/>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731" w:hRule="atLeast"/>
        </w:trPr>
        <w:tc>
          <w:tcPr>
            <w:tcW w:w="503" w:type="dxa"/>
            <w:shd w:val="clear" w:color="auto" w:fill="F1F1F1" w:themeFill="background1" w:themeFillShade="F2"/>
            <w:vAlign w:val="center"/>
          </w:tcPr>
          <w:p>
            <w:pPr>
              <w:jc w:val="center"/>
              <w:rPr>
                <w:rFonts w:ascii="Arial" w:hAnsi="Arial" w:cs="Arial"/>
                <w:sz w:val="22"/>
                <w:szCs w:val="22"/>
              </w:rPr>
            </w:pPr>
          </w:p>
        </w:tc>
        <w:tc>
          <w:tcPr>
            <w:tcW w:w="9020" w:type="dxa"/>
            <w:gridSpan w:val="3"/>
            <w:shd w:val="clear" w:color="auto" w:fill="F1F1F1" w:themeFill="background1" w:themeFillShade="F2"/>
            <w:vAlign w:val="center"/>
          </w:tcPr>
          <w:p>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rPr>
                <w:rFonts w:ascii="Arial" w:hAnsi="Arial" w:cs="Arial"/>
                <w:b/>
                <w:bCs/>
                <w:color w:val="000000"/>
                <w:sz w:val="22"/>
                <w:szCs w:val="22"/>
              </w:rPr>
            </w:pPr>
          </w:p>
          <w:p>
            <w:pPr>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30"/>
                <w:rFonts w:ascii="Arial" w:hAnsi="Arial" w:cs="Arial"/>
                <w:sz w:val="22"/>
                <w:szCs w:val="22"/>
              </w:rPr>
              <w:t>https://www.uwtsd.ac.uk/research/research-ethics/</w:t>
            </w:r>
            <w:r>
              <w:rPr>
                <w:rStyle w:val="30"/>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29" w:hRule="atLeast"/>
        </w:trPr>
        <w:tc>
          <w:tcPr>
            <w:tcW w:w="50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69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381"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w:t>Xuanxuan Tang</w:t>
            </w:r>
          </w:p>
        </w:tc>
        <w:tc>
          <w:tcPr>
            <w:tcW w:w="1945" w:type="dxa"/>
            <w:vAlign w:val="center"/>
          </w:tcPr>
          <w:p>
            <w:pPr>
              <w:spacing w:before="100" w:beforeAutospacing="1" w:after="100" w:afterAutospacing="1"/>
              <w:rPr>
                <w:rFonts w:hint="default" w:ascii="Arial" w:hAnsi="Arial" w:cs="Arial"/>
                <w:b/>
                <w:bCs/>
                <w:sz w:val="22"/>
                <w:szCs w:val="22"/>
              </w:rPr>
            </w:pPr>
            <w:r>
              <w:rPr>
                <w:rFonts w:ascii="Arial" w:hAnsi="Arial" w:cs="Arial"/>
                <w:b/>
                <w:bCs/>
                <w:sz w:val="22"/>
                <w:szCs w:val="22"/>
              </w:rPr>
              <w:t>Date:</w:t>
            </w:r>
            <w:r>
              <w:rPr>
                <w:rFonts w:hint="default" w:ascii="Arial" w:hAnsi="Arial" w:cs="Arial"/>
                <w:b/>
                <w:bCs/>
                <w:sz w:val="22"/>
                <w:szCs w:val="22"/>
              </w:rPr>
              <w:t>2023.11.25</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bookmarkStart w:id="504" w:name="_GoBack"/>
    </w:p>
    <w:tbl>
      <w:tblPr>
        <w:tblStyle w:val="24"/>
        <w:tblW w:w="5631"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39"/>
        <w:gridCol w:w="2539"/>
        <w:gridCol w:w="3824"/>
        <w:gridCol w:w="25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5" w:hRule="atLeast"/>
        </w:trPr>
        <w:tc>
          <w:tcPr>
            <w:tcW w:w="333" w:type="pct"/>
            <w:shd w:val="clear" w:color="auto" w:fill="F1F1F1" w:themeFill="background1" w:themeFillShade="F2"/>
            <w:vAlign w:val="center"/>
          </w:tcPr>
          <w:p>
            <w:pPr>
              <w:pStyle w:val="57"/>
              <w:ind w:left="0"/>
              <w:jc w:val="center"/>
              <w:rPr>
                <w:rFonts w:ascii="Arial" w:hAnsi="Arial" w:cs="Arial"/>
              </w:rPr>
            </w:pPr>
            <w:r>
              <w:rPr>
                <w:rFonts w:ascii="Arial" w:hAnsi="Arial" w:cs="Arial"/>
              </w:rPr>
              <w:t>2</w:t>
            </w:r>
          </w:p>
        </w:tc>
        <w:tc>
          <w:tcPr>
            <w:tcW w:w="1322" w:type="pct"/>
            <w:shd w:val="clear" w:color="auto" w:fill="F1F1F1" w:themeFill="background1" w:themeFillShade="F2"/>
            <w:vAlign w:val="center"/>
          </w:tcPr>
          <w:p>
            <w:pPr>
              <w:pStyle w:val="57"/>
              <w:ind w:left="0"/>
              <w:rPr>
                <w:rFonts w:ascii="Arial" w:hAnsi="Arial" w:cs="Arial"/>
              </w:rPr>
            </w:pPr>
            <w:r>
              <w:rPr>
                <w:rFonts w:ascii="Arial" w:hAnsi="Arial" w:cs="Arial"/>
              </w:rPr>
              <w:t>Director of Studies/Supervisor:</w:t>
            </w:r>
          </w:p>
        </w:tc>
        <w:tc>
          <w:tcPr>
            <w:tcW w:w="1991" w:type="pct"/>
            <w:shd w:val="clear" w:color="auto" w:fill="auto"/>
            <w:vAlign w:val="center"/>
          </w:tcPr>
          <w:p>
            <w:pPr>
              <w:pStyle w:val="57"/>
              <w:ind w:left="0"/>
              <w:rPr>
                <w:rFonts w:ascii="Arial" w:hAnsi="Arial" w:cs="Arial"/>
              </w:rPr>
            </w:pPr>
          </w:p>
        </w:tc>
        <w:tc>
          <w:tcPr>
            <w:tcW w:w="1351" w:type="pct"/>
            <w:vMerge w:val="restart"/>
          </w:tcPr>
          <w:p>
            <w:pPr>
              <w:pStyle w:val="57"/>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4" w:hRule="atLeast"/>
        </w:trPr>
        <w:tc>
          <w:tcPr>
            <w:tcW w:w="333" w:type="pct"/>
            <w:shd w:val="clear" w:color="auto" w:fill="F1F1F1" w:themeFill="background1" w:themeFillShade="F2"/>
            <w:vAlign w:val="center"/>
          </w:tcPr>
          <w:p>
            <w:pPr>
              <w:pStyle w:val="57"/>
              <w:ind w:left="0"/>
              <w:jc w:val="center"/>
              <w:rPr>
                <w:rFonts w:ascii="Arial" w:hAnsi="Arial" w:cs="Arial"/>
              </w:rPr>
            </w:pPr>
            <w:r>
              <w:rPr>
                <w:rFonts w:ascii="Arial" w:hAnsi="Arial" w:cs="Arial"/>
              </w:rPr>
              <w:t>3</w:t>
            </w:r>
          </w:p>
        </w:tc>
        <w:tc>
          <w:tcPr>
            <w:tcW w:w="1322" w:type="pct"/>
            <w:shd w:val="clear" w:color="auto" w:fill="F1F1F1" w:themeFill="background1" w:themeFillShade="F2"/>
            <w:vAlign w:val="center"/>
          </w:tcPr>
          <w:p>
            <w:pPr>
              <w:pStyle w:val="57"/>
              <w:ind w:left="0"/>
              <w:rPr>
                <w:rFonts w:ascii="Arial" w:hAnsi="Arial" w:cs="Arial"/>
              </w:rPr>
            </w:pPr>
            <w:r>
              <w:rPr>
                <w:rFonts w:ascii="Arial" w:hAnsi="Arial" w:cs="Arial"/>
              </w:rPr>
              <w:t>Signature:</w:t>
            </w:r>
          </w:p>
        </w:tc>
        <w:tc>
          <w:tcPr>
            <w:tcW w:w="1991" w:type="pct"/>
            <w:shd w:val="clear" w:color="auto" w:fill="auto"/>
            <w:vAlign w:val="center"/>
          </w:tcPr>
          <w:p>
            <w:pPr>
              <w:pStyle w:val="57"/>
              <w:ind w:left="0"/>
              <w:rPr>
                <w:rFonts w:ascii="Arial" w:hAnsi="Arial" w:cs="Arial"/>
              </w:rPr>
            </w:pPr>
          </w:p>
          <w:p>
            <w:pPr>
              <w:pStyle w:val="57"/>
              <w:ind w:left="0"/>
              <w:rPr>
                <w:rFonts w:ascii="Arial" w:hAnsi="Arial" w:cs="Arial"/>
              </w:rPr>
            </w:pPr>
          </w:p>
        </w:tc>
        <w:tc>
          <w:tcPr>
            <w:tcW w:w="1351" w:type="pct"/>
            <w:vMerge w:val="continue"/>
            <w:vAlign w:val="center"/>
          </w:tcPr>
          <w:p>
            <w:pPr>
              <w:pStyle w:val="57"/>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24"/>
        <w:tblW w:w="567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45"/>
        <w:gridCol w:w="2560"/>
        <w:gridCol w:w="3857"/>
        <w:gridCol w:w="26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15" w:hRule="atLeast"/>
        </w:trPr>
        <w:tc>
          <w:tcPr>
            <w:tcW w:w="333" w:type="pct"/>
            <w:shd w:val="clear" w:color="auto" w:fill="F1F1F1" w:themeFill="background1" w:themeFillShade="F2"/>
            <w:vAlign w:val="center"/>
          </w:tcPr>
          <w:p>
            <w:pPr>
              <w:pStyle w:val="57"/>
              <w:ind w:left="0"/>
              <w:jc w:val="center"/>
              <w:rPr>
                <w:rFonts w:ascii="Arial" w:hAnsi="Arial" w:cs="Arial"/>
              </w:rPr>
            </w:pPr>
            <w:r>
              <w:rPr>
                <w:rFonts w:ascii="Arial" w:hAnsi="Arial" w:cs="Arial"/>
              </w:rPr>
              <w:t>4</w:t>
            </w:r>
          </w:p>
        </w:tc>
        <w:tc>
          <w:tcPr>
            <w:tcW w:w="1322" w:type="pct"/>
            <w:shd w:val="clear" w:color="auto" w:fill="F1F1F1" w:themeFill="background1" w:themeFillShade="F2"/>
            <w:vAlign w:val="center"/>
          </w:tcPr>
          <w:p>
            <w:pPr>
              <w:pStyle w:val="57"/>
              <w:ind w:left="0"/>
              <w:rPr>
                <w:rFonts w:ascii="Arial" w:hAnsi="Arial" w:cs="Arial"/>
              </w:rPr>
            </w:pPr>
            <w:r>
              <w:rPr>
                <w:rFonts w:ascii="Arial" w:hAnsi="Arial" w:cs="Arial"/>
              </w:rPr>
              <w:t>Academic Director/ Assistant Dean:</w:t>
            </w:r>
          </w:p>
        </w:tc>
        <w:tc>
          <w:tcPr>
            <w:tcW w:w="1992" w:type="pct"/>
            <w:shd w:val="clear" w:color="auto" w:fill="auto"/>
            <w:vAlign w:val="center"/>
          </w:tcPr>
          <w:p>
            <w:pPr>
              <w:pStyle w:val="57"/>
              <w:ind w:left="0"/>
              <w:rPr>
                <w:rFonts w:ascii="Arial" w:hAnsi="Arial" w:cs="Arial"/>
              </w:rPr>
            </w:pPr>
          </w:p>
        </w:tc>
        <w:tc>
          <w:tcPr>
            <w:tcW w:w="1351" w:type="pct"/>
            <w:vMerge w:val="restart"/>
          </w:tcPr>
          <w:p>
            <w:pPr>
              <w:pStyle w:val="57"/>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4" w:hRule="atLeast"/>
        </w:trPr>
        <w:tc>
          <w:tcPr>
            <w:tcW w:w="333" w:type="pct"/>
            <w:shd w:val="clear" w:color="auto" w:fill="F1F1F1" w:themeFill="background1" w:themeFillShade="F2"/>
            <w:vAlign w:val="center"/>
          </w:tcPr>
          <w:p>
            <w:pPr>
              <w:pStyle w:val="57"/>
              <w:ind w:left="0"/>
              <w:jc w:val="center"/>
              <w:rPr>
                <w:rFonts w:ascii="Arial" w:hAnsi="Arial" w:cs="Arial"/>
              </w:rPr>
            </w:pPr>
            <w:r>
              <w:rPr>
                <w:rFonts w:ascii="Arial" w:hAnsi="Arial" w:cs="Arial"/>
              </w:rPr>
              <w:t>5</w:t>
            </w:r>
          </w:p>
        </w:tc>
        <w:tc>
          <w:tcPr>
            <w:tcW w:w="1322" w:type="pct"/>
            <w:shd w:val="clear" w:color="auto" w:fill="F1F1F1" w:themeFill="background1" w:themeFillShade="F2"/>
            <w:vAlign w:val="center"/>
          </w:tcPr>
          <w:p>
            <w:pPr>
              <w:pStyle w:val="57"/>
              <w:ind w:left="0"/>
              <w:rPr>
                <w:rFonts w:ascii="Arial" w:hAnsi="Arial" w:cs="Arial"/>
              </w:rPr>
            </w:pPr>
            <w:r>
              <w:rPr>
                <w:rFonts w:ascii="Arial" w:hAnsi="Arial" w:cs="Arial"/>
              </w:rPr>
              <w:t>Signature:</w:t>
            </w:r>
          </w:p>
        </w:tc>
        <w:tc>
          <w:tcPr>
            <w:tcW w:w="1992" w:type="pct"/>
            <w:shd w:val="clear" w:color="auto" w:fill="auto"/>
            <w:vAlign w:val="center"/>
          </w:tcPr>
          <w:p>
            <w:pPr>
              <w:pStyle w:val="57"/>
              <w:ind w:left="0"/>
              <w:rPr>
                <w:rFonts w:ascii="Arial" w:hAnsi="Arial" w:cs="Arial"/>
              </w:rPr>
            </w:pPr>
          </w:p>
          <w:p>
            <w:pPr>
              <w:pStyle w:val="57"/>
              <w:ind w:left="0"/>
              <w:rPr>
                <w:rFonts w:ascii="Arial" w:hAnsi="Arial" w:cs="Arial"/>
              </w:rPr>
            </w:pPr>
          </w:p>
        </w:tc>
        <w:tc>
          <w:tcPr>
            <w:tcW w:w="1351" w:type="pct"/>
            <w:vMerge w:val="continue"/>
            <w:vAlign w:val="center"/>
          </w:tcPr>
          <w:p>
            <w:pPr>
              <w:pStyle w:val="57"/>
              <w:ind w:left="0"/>
              <w:rPr>
                <w:rFonts w:ascii="Arial" w:hAnsi="Arial" w:cs="Arial"/>
              </w:rPr>
            </w:pPr>
          </w:p>
        </w:tc>
      </w:tr>
    </w:tbl>
    <w:p>
      <w:pPr>
        <w:rPr>
          <w:rFonts w:ascii="Arial" w:hAnsi="Arial" w:cs="Arial"/>
          <w:b/>
          <w:sz w:val="22"/>
          <w:szCs w:val="22"/>
        </w:rPr>
      </w:pPr>
    </w:p>
    <w:p>
      <w:pPr>
        <w:autoSpaceDE w:val="0"/>
        <w:autoSpaceDN w:val="0"/>
        <w:adjustRightInd w:val="0"/>
        <w:spacing w:after="240"/>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5"/>
        <w:tblW w:w="95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16"/>
        <w:gridCol w:w="89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4" w:hRule="atLeast"/>
        </w:trPr>
        <w:tc>
          <w:tcPr>
            <w:tcW w:w="616" w:type="dxa"/>
            <w:shd w:val="clear" w:color="auto" w:fill="BEBEBE" w:themeFill="background1" w:themeFillShade="BF"/>
            <w:vAlign w:val="center"/>
          </w:tcPr>
          <w:sdt>
            <w:sdtPr>
              <w:rPr>
                <w:rFonts w:ascii="Arial" w:hAnsi="Arial" w:cs="Arial"/>
              </w:rPr>
              <w:id w:val="-9114749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rPr>
                  <w:t>☒</w:t>
                </w:r>
              </w:p>
            </w:sdtContent>
          </w:sdt>
        </w:tc>
        <w:tc>
          <w:tcPr>
            <w:tcW w:w="896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65" w:hRule="atLeast"/>
        </w:trPr>
        <w:tc>
          <w:tcPr>
            <w:tcW w:w="616" w:type="dxa"/>
            <w:shd w:val="clear" w:color="auto" w:fill="BEBEBE" w:themeFill="background1" w:themeFillShade="BF"/>
            <w:vAlign w:val="center"/>
          </w:tcPr>
          <w:sdt>
            <w:sdtPr>
              <w:rPr>
                <w:rFonts w:ascii="Arial" w:hAnsi="Arial" w:cs="Arial"/>
              </w:rPr>
              <w:id w:val="1594735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71" w:hRule="atLeast"/>
        </w:trPr>
        <w:tc>
          <w:tcPr>
            <w:tcW w:w="616" w:type="dxa"/>
            <w:shd w:val="clear" w:color="auto" w:fill="BEBEBE" w:themeFill="background1" w:themeFillShade="BF"/>
            <w:vAlign w:val="center"/>
          </w:tcPr>
          <w:sdt>
            <w:sdtPr>
              <w:rPr>
                <w:rFonts w:ascii="Arial" w:hAnsi="Arial" w:cs="Arial"/>
              </w:rPr>
              <w:id w:val="1238834579"/>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5" w:hRule="atLeast"/>
        </w:trPr>
        <w:tc>
          <w:tcPr>
            <w:tcW w:w="616" w:type="dxa"/>
            <w:shd w:val="clear" w:color="auto" w:fill="BEBEBE" w:themeFill="background1" w:themeFillShade="BF"/>
            <w:vAlign w:val="center"/>
          </w:tcPr>
          <w:sdt>
            <w:sdtPr>
              <w:rPr>
                <w:rFonts w:ascii="Arial" w:hAnsi="Arial" w:cs="Arial"/>
              </w:rPr>
              <w:id w:val="-836224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7" w:hRule="atLeast"/>
        </w:trPr>
        <w:tc>
          <w:tcPr>
            <w:tcW w:w="616" w:type="dxa"/>
            <w:shd w:val="clear" w:color="auto" w:fill="BEBEBE" w:themeFill="background1" w:themeFillShade="BF"/>
            <w:vAlign w:val="center"/>
          </w:tcPr>
          <w:sdt>
            <w:sdtPr>
              <w:rPr>
                <w:rFonts w:ascii="Arial" w:hAnsi="Arial" w:cs="Arial"/>
              </w:rPr>
              <w:id w:val="1384295758"/>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60" w:hRule="atLeast"/>
        </w:trPr>
        <w:tc>
          <w:tcPr>
            <w:tcW w:w="616" w:type="dxa"/>
            <w:shd w:val="clear" w:color="auto" w:fill="BEBEBE" w:themeFill="background1" w:themeFillShade="BF"/>
            <w:vAlign w:val="center"/>
          </w:tcPr>
          <w:sdt>
            <w:sdtPr>
              <w:rPr>
                <w:rFonts w:ascii="Arial" w:hAnsi="Arial" w:cs="Arial"/>
              </w:rPr>
              <w:id w:val="-106584288"/>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16" w:type="dxa"/>
            <w:shd w:val="clear" w:color="auto" w:fill="BEBEBE" w:themeFill="background1" w:themeFillShade="BF"/>
            <w:vAlign w:val="center"/>
          </w:tcPr>
          <w:sdt>
            <w:sdtPr>
              <w:rPr>
                <w:rFonts w:ascii="Arial" w:hAnsi="Arial" w:cs="Arial"/>
              </w:rPr>
              <w:id w:val="-788049068"/>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896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p>
      <w:pPr>
        <w:tabs>
          <w:tab w:val="left" w:pos="5103"/>
        </w:tabs>
        <w:rPr>
          <w:rFonts w:ascii="Arial" w:hAnsi="Arial" w:cs="Arial"/>
          <w:b/>
          <w:bCs/>
          <w:sz w:val="22"/>
          <w:szCs w:val="22"/>
        </w:rPr>
      </w:pPr>
    </w:p>
    <w:tbl>
      <w:tblPr>
        <w:tblStyle w:val="24"/>
        <w:tblW w:w="962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6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70" w:hRule="atLeast"/>
        </w:trPr>
        <w:tc>
          <w:tcPr>
            <w:tcW w:w="9629"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30"/>
                <w:rFonts w:ascii="Arial" w:hAnsi="Arial" w:cs="Arial"/>
                <w:sz w:val="22"/>
                <w:szCs w:val="22"/>
              </w:rPr>
              <w:t>https://mytsd.uwtsd.ac.uk</w:t>
            </w:r>
            <w:r>
              <w:rPr>
                <w:rStyle w:val="30"/>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84" w:hRule="atLeast"/>
        </w:trPr>
        <w:tc>
          <w:tcPr>
            <w:tcW w:w="9629"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30"/>
                <w:rFonts w:ascii="Arial" w:hAnsi="Arial" w:cs="Arial"/>
                <w:sz w:val="22"/>
                <w:szCs w:val="22"/>
              </w:rPr>
              <w:t>pgresearch@uwtsd.ac.uk</w:t>
            </w:r>
            <w:r>
              <w:rPr>
                <w:rStyle w:val="30"/>
                <w:rFonts w:ascii="Arial" w:hAnsi="Arial" w:cs="Arial"/>
                <w:sz w:val="22"/>
                <w:szCs w:val="22"/>
              </w:rPr>
              <w:fldChar w:fldCharType="end"/>
            </w:r>
            <w:r>
              <w:rPr>
                <w:rFonts w:ascii="Arial" w:hAnsi="Arial" w:cs="Arial"/>
                <w:sz w:val="22"/>
                <w:szCs w:val="22"/>
              </w:rPr>
              <w:t xml:space="preserve"> , with the title ‘Ethical Approval’ followed by your name.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34" w:hRule="atLeast"/>
        </w:trPr>
        <w:tc>
          <w:tcPr>
            <w:tcW w:w="9629"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38"/>
      </w:pPr>
      <w:bookmarkStart w:id="489" w:name="_Toc812807414"/>
      <w:bookmarkStart w:id="490" w:name="_Toc158754013"/>
      <w:bookmarkStart w:id="491" w:name="OLE_LINK135"/>
      <w:bookmarkStart w:id="492" w:name="OLE_LINK136"/>
      <w:r>
        <w:t>Appendix 2: Schedule of Interviews</w:t>
      </w:r>
      <w:bookmarkEnd w:id="489"/>
      <w:bookmarkEnd w:id="490"/>
    </w:p>
    <w:bookmarkEnd w:id="491"/>
    <w:bookmarkEnd w:id="492"/>
    <w:p>
      <w:pPr>
        <w:spacing w:line="190" w:lineRule="auto"/>
        <w:ind w:left="20"/>
        <w:rPr>
          <w:rFonts w:ascii="Times New Roman" w:hAnsi="Times New Roman" w:eastAsia="Times New Roman" w:cs="Times New Roman"/>
          <w:spacing w:val="-2"/>
          <w:sz w:val="24"/>
        </w:rPr>
      </w:pPr>
      <w:r>
        <w:rPr>
          <w:rFonts w:ascii="Times New Roman" w:hAnsi="Times New Roman" w:eastAsia="Times New Roman" w:cs="Times New Roman"/>
          <w:b/>
          <w:bCs/>
          <w:spacing w:val="-2"/>
          <w:sz w:val="24"/>
        </w:rPr>
        <w:t>Part one</w:t>
      </w:r>
      <w:r>
        <w:rPr>
          <w:rFonts w:ascii="Times New Roman" w:hAnsi="Times New Roman" w:eastAsia="Times New Roman" w:cs="Times New Roman"/>
          <w:spacing w:val="-2"/>
          <w:sz w:val="24"/>
        </w:rPr>
        <w:t>: Warm-up</w:t>
      </w:r>
    </w:p>
    <w:tbl>
      <w:tblPr>
        <w:tblStyle w:val="24"/>
        <w:tblW w:w="9344" w:type="dxa"/>
        <w:tblInd w:w="17"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1965"/>
        <w:gridCol w:w="3827"/>
        <w:gridCol w:w="3552"/>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477" w:hRule="atLeast"/>
        </w:trPr>
        <w:tc>
          <w:tcPr>
            <w:tcW w:w="1965" w:type="dxa"/>
          </w:tcPr>
          <w:p>
            <w:pPr>
              <w:pStyle w:val="40"/>
              <w:spacing w:before="154" w:line="192" w:lineRule="auto"/>
              <w:ind w:left="115"/>
            </w:pPr>
            <w:r>
              <w:rPr>
                <w:spacing w:val="-4"/>
              </w:rPr>
              <w:t>Topic:</w:t>
            </w:r>
          </w:p>
        </w:tc>
        <w:tc>
          <w:tcPr>
            <w:tcW w:w="3827" w:type="dxa"/>
          </w:tcPr>
          <w:p>
            <w:pPr>
              <w:pStyle w:val="40"/>
              <w:spacing w:before="157" w:line="194" w:lineRule="auto"/>
              <w:ind w:left="113"/>
            </w:pPr>
            <w:r>
              <w:rPr>
                <w:spacing w:val="-1"/>
              </w:rPr>
              <w:t>Questions</w:t>
            </w:r>
          </w:p>
        </w:tc>
        <w:tc>
          <w:tcPr>
            <w:tcW w:w="3552" w:type="dxa"/>
          </w:tcPr>
          <w:p>
            <w:pPr>
              <w:pStyle w:val="40"/>
              <w:spacing w:before="157" w:line="190" w:lineRule="auto"/>
              <w:ind w:left="111"/>
            </w:pPr>
            <w:r>
              <w:rPr>
                <w:spacing w:val="-1"/>
              </w:rPr>
              <w:t>Possible probes</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3708" w:hRule="atLeast"/>
        </w:trPr>
        <w:tc>
          <w:tcPr>
            <w:tcW w:w="1965" w:type="dxa"/>
          </w:tcPr>
          <w:p>
            <w:pPr>
              <w:pStyle w:val="40"/>
              <w:spacing w:line="189" w:lineRule="auto"/>
            </w:pPr>
          </w:p>
          <w:p>
            <w:pPr>
              <w:pStyle w:val="40"/>
              <w:spacing w:line="189" w:lineRule="auto"/>
            </w:pPr>
          </w:p>
          <w:p>
            <w:pPr>
              <w:pStyle w:val="40"/>
              <w:spacing w:line="189" w:lineRule="auto"/>
            </w:pPr>
          </w:p>
          <w:p>
            <w:pPr>
              <w:pStyle w:val="40"/>
              <w:spacing w:line="189" w:lineRule="auto"/>
            </w:pPr>
          </w:p>
          <w:p>
            <w:pPr>
              <w:pStyle w:val="40"/>
              <w:spacing w:line="189" w:lineRule="auto"/>
            </w:pPr>
          </w:p>
          <w:p>
            <w:pPr>
              <w:pStyle w:val="40"/>
              <w:spacing w:line="189" w:lineRule="auto"/>
            </w:pPr>
            <w:r>
              <w:t>1. Educational background</w:t>
            </w:r>
          </w:p>
        </w:tc>
        <w:tc>
          <w:tcPr>
            <w:tcW w:w="3827" w:type="dxa"/>
          </w:tcPr>
          <w:p>
            <w:pPr>
              <w:pStyle w:val="40"/>
              <w:numPr>
                <w:ilvl w:val="0"/>
                <w:numId w:val="4"/>
              </w:numPr>
              <w:spacing w:before="145" w:line="365" w:lineRule="auto"/>
              <w:ind w:right="82"/>
              <w:rPr>
                <w:spacing w:val="-5"/>
                <w:lang w:eastAsia="zh-Hans"/>
              </w:rPr>
            </w:pPr>
            <w:r>
              <w:rPr>
                <w:spacing w:val="-5"/>
              </w:rPr>
              <w:t>Where</w:t>
            </w:r>
            <w:r>
              <w:rPr>
                <w:spacing w:val="20"/>
                <w:w w:val="101"/>
              </w:rPr>
              <w:t xml:space="preserve"> </w:t>
            </w:r>
            <w:r>
              <w:rPr>
                <w:spacing w:val="-5"/>
              </w:rPr>
              <w:t>did</w:t>
            </w:r>
            <w:r>
              <w:rPr>
                <w:spacing w:val="12"/>
              </w:rPr>
              <w:t xml:space="preserve"> </w:t>
            </w:r>
            <w:r>
              <w:rPr>
                <w:spacing w:val="-5"/>
              </w:rPr>
              <w:t>you</w:t>
            </w:r>
            <w:r>
              <w:rPr>
                <w:spacing w:val="12"/>
              </w:rPr>
              <w:t xml:space="preserve"> </w:t>
            </w:r>
            <w:r>
              <w:rPr>
                <w:rFonts w:hint="eastAsia"/>
                <w:spacing w:val="-5"/>
                <w:lang w:eastAsia="zh-Hans"/>
              </w:rPr>
              <w:t>complete</w:t>
            </w:r>
            <w:r>
              <w:rPr>
                <w:spacing w:val="-5"/>
                <w:lang w:eastAsia="zh-Hans"/>
              </w:rPr>
              <w:t xml:space="preserve"> </w:t>
            </w:r>
            <w:r>
              <w:rPr>
                <w:rFonts w:hint="eastAsia"/>
                <w:spacing w:val="-5"/>
                <w:lang w:eastAsia="zh-Hans"/>
              </w:rPr>
              <w:t>your</w:t>
            </w:r>
            <w:r>
              <w:rPr>
                <w:spacing w:val="-5"/>
                <w:lang w:eastAsia="zh-Hans"/>
              </w:rPr>
              <w:t xml:space="preserve"> </w:t>
            </w:r>
            <w:r>
              <w:rPr>
                <w:rFonts w:hint="eastAsia"/>
                <w:spacing w:val="-5"/>
                <w:lang w:eastAsia="zh-Hans"/>
              </w:rPr>
              <w:t>primary</w:t>
            </w:r>
            <w:r>
              <w:rPr>
                <w:spacing w:val="-5"/>
                <w:lang w:eastAsia="zh-Hans"/>
              </w:rPr>
              <w:t xml:space="preserve"> </w:t>
            </w:r>
            <w:r>
              <w:rPr>
                <w:rFonts w:hint="eastAsia"/>
                <w:spacing w:val="-5"/>
                <w:lang w:eastAsia="zh-Hans"/>
              </w:rPr>
              <w:t>to</w:t>
            </w:r>
            <w:r>
              <w:rPr>
                <w:spacing w:val="-5"/>
                <w:lang w:eastAsia="zh-Hans"/>
              </w:rPr>
              <w:t xml:space="preserve"> </w:t>
            </w:r>
            <w:r>
              <w:rPr>
                <w:rFonts w:hint="eastAsia"/>
                <w:spacing w:val="-5"/>
                <w:lang w:eastAsia="zh-Hans"/>
              </w:rPr>
              <w:t>high</w:t>
            </w:r>
            <w:r>
              <w:rPr>
                <w:spacing w:val="-5"/>
                <w:lang w:eastAsia="zh-Hans"/>
              </w:rPr>
              <w:t xml:space="preserve"> </w:t>
            </w:r>
            <w:r>
              <w:rPr>
                <w:rFonts w:hint="eastAsia"/>
                <w:spacing w:val="-5"/>
                <w:lang w:eastAsia="zh-Hans"/>
              </w:rPr>
              <w:t>school</w:t>
            </w:r>
            <w:r>
              <w:rPr>
                <w:spacing w:val="-5"/>
                <w:lang w:eastAsia="zh-Hans"/>
              </w:rPr>
              <w:t xml:space="preserve"> </w:t>
            </w:r>
            <w:r>
              <w:rPr>
                <w:rFonts w:hint="eastAsia"/>
                <w:spacing w:val="-5"/>
                <w:lang w:eastAsia="zh-Hans"/>
              </w:rPr>
              <w:t>education</w:t>
            </w:r>
            <w:r>
              <w:rPr>
                <w:spacing w:val="-5"/>
                <w:lang w:eastAsia="zh-Hans"/>
              </w:rPr>
              <w:t>?</w:t>
            </w:r>
          </w:p>
          <w:p>
            <w:pPr>
              <w:pStyle w:val="40"/>
              <w:numPr>
                <w:ilvl w:val="0"/>
                <w:numId w:val="4"/>
              </w:numPr>
              <w:spacing w:before="145" w:line="365" w:lineRule="auto"/>
              <w:ind w:right="82"/>
              <w:rPr>
                <w:spacing w:val="7"/>
                <w:lang w:eastAsia="zh-Hans"/>
              </w:rPr>
            </w:pPr>
            <w:r>
              <w:rPr>
                <w:spacing w:val="-5"/>
              </w:rPr>
              <w:t xml:space="preserve">What </w:t>
            </w:r>
            <w:r>
              <w:rPr>
                <w:rFonts w:hint="eastAsia"/>
                <w:spacing w:val="7"/>
                <w:lang w:eastAsia="zh-Hans"/>
              </w:rPr>
              <w:t>d</w:t>
            </w:r>
            <w:r>
              <w:rPr>
                <w:spacing w:val="7"/>
                <w:lang w:eastAsia="zh-Hans"/>
              </w:rPr>
              <w:t>id you study as an undergraduate?</w:t>
            </w:r>
          </w:p>
          <w:p>
            <w:pPr>
              <w:pStyle w:val="40"/>
              <w:numPr>
                <w:ilvl w:val="0"/>
                <w:numId w:val="4"/>
              </w:numPr>
              <w:spacing w:before="145" w:line="365" w:lineRule="auto"/>
              <w:ind w:right="82"/>
            </w:pPr>
            <w:r>
              <w:rPr>
                <w:rFonts w:hint="eastAsia"/>
                <w:spacing w:val="-4"/>
              </w:rPr>
              <w:t>What English-related certificates did you obtain in your undergraduate studies?</w:t>
            </w:r>
          </w:p>
        </w:tc>
        <w:tc>
          <w:tcPr>
            <w:tcW w:w="3552" w:type="dxa"/>
          </w:tcPr>
          <w:p>
            <w:pPr>
              <w:pStyle w:val="40"/>
              <w:numPr>
                <w:ilvl w:val="0"/>
                <w:numId w:val="4"/>
              </w:numPr>
              <w:spacing w:before="142" w:line="324" w:lineRule="auto"/>
              <w:ind w:right="111"/>
            </w:pPr>
            <w:r>
              <w:rPr>
                <w:rFonts w:hint="eastAsia"/>
                <w:spacing w:val="-4"/>
              </w:rPr>
              <w:t>What is your favourite course or courses?</w:t>
            </w:r>
          </w:p>
          <w:p>
            <w:pPr>
              <w:pStyle w:val="40"/>
              <w:numPr>
                <w:ilvl w:val="0"/>
                <w:numId w:val="4"/>
              </w:numPr>
              <w:spacing w:before="193" w:line="365" w:lineRule="auto"/>
              <w:ind w:right="108"/>
            </w:pPr>
            <w:r>
              <w:rPr>
                <w:rFonts w:hint="eastAsia"/>
                <w:spacing w:val="-3"/>
              </w:rPr>
              <w:t>Do you think your certificate reflects your English level?</w:t>
            </w:r>
          </w:p>
        </w:tc>
      </w:tr>
    </w:tbl>
    <w:p>
      <w:pPr>
        <w:spacing w:before="69" w:line="190" w:lineRule="auto"/>
        <w:ind w:left="20"/>
        <w:jc w:val="left"/>
        <w:rPr>
          <w:rFonts w:ascii="Times New Roman" w:hAnsi="Times New Roman" w:eastAsia="Times New Roman" w:cs="Times New Roman"/>
          <w:sz w:val="24"/>
        </w:rPr>
      </w:pPr>
      <w:bookmarkStart w:id="493" w:name="OLE_LINK38"/>
      <w:bookmarkStart w:id="494" w:name="OLE_LINK37"/>
      <w:r>
        <w:rPr>
          <w:rFonts w:ascii="Times New Roman" w:hAnsi="Times New Roman" w:eastAsia="Times New Roman" w:cs="Times New Roman"/>
          <w:b/>
          <w:bCs/>
          <w:sz w:val="24"/>
        </w:rPr>
        <w:t>Prat</w:t>
      </w:r>
      <w:r>
        <w:rPr>
          <w:rFonts w:ascii="Times New Roman" w:hAnsi="Times New Roman" w:eastAsia="Times New Roman" w:cs="Times New Roman"/>
          <w:b/>
          <w:bCs/>
          <w:spacing w:val="2"/>
          <w:sz w:val="24"/>
        </w:rPr>
        <w:t xml:space="preserve"> </w:t>
      </w:r>
      <w:r>
        <w:rPr>
          <w:rFonts w:ascii="Times New Roman" w:hAnsi="Times New Roman" w:eastAsia="Times New Roman" w:cs="Times New Roman"/>
          <w:b/>
          <w:bCs/>
          <w:sz w:val="24"/>
        </w:rPr>
        <w:t>two</w:t>
      </w:r>
      <w:r>
        <w:rPr>
          <w:rFonts w:ascii="Times New Roman" w:hAnsi="Times New Roman" w:eastAsia="Times New Roman" w:cs="Times New Roman"/>
          <w:spacing w:val="2"/>
          <w:sz w:val="24"/>
        </w:rPr>
        <w:t xml:space="preserve">: </w:t>
      </w:r>
    </w:p>
    <w:p>
      <w:pPr>
        <w:spacing w:line="94" w:lineRule="exact"/>
        <w:jc w:val="left"/>
      </w:pPr>
    </w:p>
    <w:tbl>
      <w:tblPr>
        <w:tblStyle w:val="24"/>
        <w:tblW w:w="9539" w:type="dxa"/>
        <w:tblInd w:w="17"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108" w:type="dxa"/>
          <w:bottom w:w="0" w:type="dxa"/>
          <w:right w:w="108" w:type="dxa"/>
        </w:tblCellMar>
      </w:tblPr>
      <w:tblGrid>
        <w:gridCol w:w="2016"/>
        <w:gridCol w:w="3929"/>
        <w:gridCol w:w="3594"/>
      </w:tblGrid>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522" w:hRule="atLeast"/>
        </w:trPr>
        <w:tc>
          <w:tcPr>
            <w:tcW w:w="2016" w:type="dxa"/>
            <w:tcBorders>
              <w:top w:val="single" w:color="000000" w:sz="2" w:space="0"/>
              <w:left w:val="single" w:color="000000" w:sz="2" w:space="0"/>
              <w:bottom w:val="single" w:color="000000" w:sz="2" w:space="0"/>
              <w:right w:val="single" w:color="000000" w:sz="2" w:space="0"/>
            </w:tcBorders>
            <w:shd w:val="clear" w:color="auto" w:fill="auto"/>
          </w:tcPr>
          <w:p>
            <w:pPr>
              <w:pStyle w:val="21"/>
              <w:kinsoku w:val="0"/>
              <w:autoSpaceDE w:val="0"/>
              <w:autoSpaceDN w:val="0"/>
              <w:adjustRightInd w:val="0"/>
              <w:snapToGrid w:val="0"/>
              <w:spacing w:before="154"/>
              <w:ind w:left="115"/>
              <w:textAlignment w:val="baseline"/>
              <w:rPr>
                <w:rFonts w:ascii="Times New Roman Regular" w:hAnsi="Times New Roman Regular" w:cs="Times New Roman Regular"/>
              </w:rPr>
            </w:pPr>
            <w:bookmarkStart w:id="495" w:name="OLE_LINK64"/>
            <w:bookmarkStart w:id="496" w:name="OLE_LINK63"/>
            <w:r>
              <w:rPr>
                <w:rFonts w:ascii="Times New Roman" w:hAnsi="Times New Roman" w:eastAsia="宋体"/>
                <w:color w:val="000000"/>
                <w:spacing w:val="-4"/>
                <w:lang w:bidi="ar"/>
              </w:rPr>
              <w:t>Topic:</w:t>
            </w:r>
          </w:p>
        </w:tc>
        <w:tc>
          <w:tcPr>
            <w:tcW w:w="3929" w:type="dxa"/>
            <w:tcBorders>
              <w:top w:val="single" w:color="000000" w:sz="2" w:space="0"/>
              <w:left w:val="single" w:color="000000" w:sz="2" w:space="0"/>
              <w:bottom w:val="single" w:color="000000" w:sz="2" w:space="0"/>
              <w:right w:val="single" w:color="000000" w:sz="2" w:space="0"/>
            </w:tcBorders>
            <w:shd w:val="clear" w:color="auto" w:fill="auto"/>
          </w:tcPr>
          <w:p>
            <w:pPr>
              <w:pStyle w:val="21"/>
              <w:kinsoku w:val="0"/>
              <w:autoSpaceDE w:val="0"/>
              <w:autoSpaceDN w:val="0"/>
              <w:adjustRightInd w:val="0"/>
              <w:snapToGrid w:val="0"/>
              <w:spacing w:before="157"/>
              <w:ind w:left="113"/>
              <w:textAlignment w:val="baseline"/>
              <w:rPr>
                <w:rFonts w:ascii="Times New Roman Regular" w:hAnsi="Times New Roman Regular" w:cs="Times New Roman Regular"/>
              </w:rPr>
            </w:pPr>
            <w:r>
              <w:rPr>
                <w:rFonts w:ascii="Times New Roman" w:hAnsi="Times New Roman" w:eastAsia="宋体"/>
                <w:color w:val="000000"/>
                <w:spacing w:val="-1"/>
                <w:lang w:bidi="ar"/>
              </w:rPr>
              <w:t>Questions</w:t>
            </w:r>
          </w:p>
        </w:tc>
        <w:tc>
          <w:tcPr>
            <w:tcW w:w="3594" w:type="dxa"/>
            <w:tcBorders>
              <w:top w:val="single" w:color="000000" w:sz="2" w:space="0"/>
              <w:left w:val="single" w:color="000000" w:sz="2" w:space="0"/>
              <w:bottom w:val="single" w:color="000000" w:sz="2" w:space="0"/>
              <w:right w:val="single" w:color="000000" w:sz="2" w:space="0"/>
            </w:tcBorders>
            <w:shd w:val="clear" w:color="auto" w:fill="auto"/>
          </w:tcPr>
          <w:p>
            <w:pPr>
              <w:pStyle w:val="21"/>
              <w:kinsoku w:val="0"/>
              <w:autoSpaceDE w:val="0"/>
              <w:autoSpaceDN w:val="0"/>
              <w:adjustRightInd w:val="0"/>
              <w:snapToGrid w:val="0"/>
              <w:spacing w:before="157"/>
              <w:ind w:left="111"/>
              <w:textAlignment w:val="baseline"/>
              <w:rPr>
                <w:rFonts w:ascii="Times New Roman" w:hAnsi="Times New Roman" w:eastAsia="宋体"/>
                <w:color w:val="000000"/>
                <w:spacing w:val="-1"/>
                <w:lang w:bidi="ar"/>
              </w:rPr>
            </w:pPr>
            <w:r>
              <w:rPr>
                <w:rFonts w:ascii="Times New Roman" w:hAnsi="Times New Roman" w:eastAsia="宋体"/>
                <w:color w:val="000000"/>
                <w:spacing w:val="-1"/>
                <w:lang w:bidi="ar"/>
              </w:rPr>
              <w:t>Possible probes</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4562" w:hRule="atLeast"/>
        </w:trPr>
        <w:tc>
          <w:tcPr>
            <w:tcW w:w="2016" w:type="dxa"/>
            <w:tcBorders>
              <w:top w:val="single" w:color="000000" w:sz="2" w:space="0"/>
              <w:left w:val="single" w:color="000000" w:sz="2" w:space="0"/>
              <w:bottom w:val="single" w:color="000000" w:sz="2" w:space="0"/>
              <w:right w:val="single" w:color="000000" w:sz="2" w:space="0"/>
            </w:tcBorders>
            <w:shd w:val="clear" w:color="auto" w:fill="auto"/>
          </w:tcPr>
          <w:p>
            <w:pPr>
              <w:pStyle w:val="21"/>
              <w:kinsoku w:val="0"/>
              <w:autoSpaceDE w:val="0"/>
              <w:autoSpaceDN w:val="0"/>
              <w:adjustRightInd w:val="0"/>
              <w:snapToGrid w:val="0"/>
              <w:textAlignment w:val="baseline"/>
              <w:rPr>
                <w:rFonts w:ascii="Times New Roman" w:hAnsi="Times New Roman" w:eastAsia="宋体"/>
                <w:color w:val="000000"/>
              </w:rPr>
            </w:pPr>
          </w:p>
          <w:p>
            <w:pPr>
              <w:pStyle w:val="21"/>
              <w:widowControl/>
              <w:rPr>
                <w:rFonts w:ascii="Calibri" w:hAnsi="Calibri" w:eastAsia="宋体"/>
                <w:kern w:val="2"/>
                <w:sz w:val="21"/>
                <w:szCs w:val="21"/>
                <w:lang w:bidi="ar"/>
              </w:rPr>
            </w:pPr>
          </w:p>
          <w:p>
            <w:pPr>
              <w:pStyle w:val="21"/>
              <w:widowControl/>
              <w:rPr>
                <w:rFonts w:ascii="Calibri" w:hAnsi="Calibri" w:eastAsia="宋体"/>
                <w:kern w:val="2"/>
                <w:sz w:val="21"/>
                <w:szCs w:val="21"/>
                <w:lang w:bidi="ar"/>
              </w:rPr>
            </w:pPr>
          </w:p>
          <w:p>
            <w:pPr>
              <w:pStyle w:val="21"/>
              <w:widowControl/>
              <w:rPr>
                <w:rFonts w:ascii="Times New Roman Regular" w:hAnsi="Times New Roman Regular" w:cs="Times New Roman Regular"/>
              </w:rPr>
            </w:pPr>
            <w:r>
              <w:rPr>
                <w:rFonts w:ascii="Times New Roman Regular" w:hAnsi="Times New Roman Regular" w:eastAsia="宋体" w:cs="Times New Roman Regular"/>
                <w:kern w:val="2"/>
                <w:lang w:bidi="ar"/>
              </w:rPr>
              <w:t xml:space="preserve">2. </w:t>
            </w:r>
            <w:r>
              <w:rPr>
                <w:rFonts w:ascii="Times New Roman Regular" w:hAnsi="Times New Roman Regular" w:cs="Times New Roman Regular"/>
                <w:lang w:bidi="ar"/>
              </w:rPr>
              <w:t>Understanding of English </w:t>
            </w:r>
          </w:p>
          <w:p/>
          <w:p>
            <w:pPr>
              <w:pStyle w:val="21"/>
              <w:widowControl/>
              <w:kinsoku w:val="0"/>
              <w:autoSpaceDE w:val="0"/>
              <w:autoSpaceDN w:val="0"/>
              <w:adjustRightInd w:val="0"/>
              <w:snapToGrid w:val="0"/>
              <w:spacing w:before="151" w:line="408" w:lineRule="auto"/>
              <w:ind w:left="476" w:right="106" w:hanging="364"/>
            </w:pPr>
          </w:p>
        </w:tc>
        <w:tc>
          <w:tcPr>
            <w:tcW w:w="3929" w:type="dxa"/>
            <w:tcBorders>
              <w:top w:val="single" w:color="000000" w:sz="2" w:space="0"/>
              <w:left w:val="single" w:color="000000" w:sz="2" w:space="0"/>
              <w:bottom w:val="single" w:color="000000" w:sz="2" w:space="0"/>
              <w:right w:val="single" w:color="000000" w:sz="2" w:space="0"/>
            </w:tcBorders>
            <w:shd w:val="clear" w:color="auto" w:fill="auto"/>
          </w:tcPr>
          <w:p>
            <w:pPr>
              <w:pStyle w:val="21"/>
              <w:widowControl/>
              <w:numPr>
                <w:ilvl w:val="0"/>
                <w:numId w:val="4"/>
              </w:numPr>
              <w:kinsoku w:val="0"/>
              <w:autoSpaceDE w:val="0"/>
              <w:autoSpaceDN w:val="0"/>
              <w:adjustRightInd w:val="0"/>
              <w:snapToGrid w:val="0"/>
              <w:spacing w:before="241" w:line="364" w:lineRule="auto"/>
              <w:ind w:right="103"/>
              <w:jc w:val="both"/>
              <w:rPr>
                <w:spacing w:val="-5"/>
              </w:rPr>
            </w:pPr>
            <w:r>
              <w:rPr>
                <w:rFonts w:ascii="Times New Roman" w:hAnsi="Times New Roman"/>
                <w:color w:val="000000"/>
                <w:spacing w:val="-5"/>
                <w:lang w:bidi="ar"/>
              </w:rPr>
              <w:t>We are going to discuss both Standard English and the norms of native speakers. What is your understanding of these terms? What is your understanding of NS language performance?</w:t>
            </w:r>
          </w:p>
          <w:p>
            <w:pPr>
              <w:pStyle w:val="21"/>
              <w:widowControl/>
              <w:numPr>
                <w:ilvl w:val="0"/>
                <w:numId w:val="4"/>
              </w:numPr>
              <w:kinsoku w:val="0"/>
              <w:autoSpaceDE w:val="0"/>
              <w:autoSpaceDN w:val="0"/>
              <w:adjustRightInd w:val="0"/>
              <w:snapToGrid w:val="0"/>
              <w:spacing w:before="241" w:line="364" w:lineRule="auto"/>
              <w:ind w:right="103"/>
              <w:jc w:val="both"/>
              <w:rPr>
                <w:rFonts w:ascii="Times New Roman" w:hAnsi="Times New Roman"/>
                <w:color w:val="000000"/>
                <w:spacing w:val="-7"/>
                <w:lang w:bidi="ar"/>
              </w:rPr>
            </w:pPr>
            <w:r>
              <w:rPr>
                <w:rFonts w:ascii="Times New Roman" w:hAnsi="Times New Roman"/>
                <w:color w:val="000000"/>
                <w:spacing w:val="-7"/>
                <w:lang w:bidi="ar"/>
              </w:rPr>
              <w:t>How important are SE/NS norms in your eyes?</w:t>
            </w:r>
          </w:p>
          <w:p>
            <w:pPr>
              <w:numPr>
                <w:ilvl w:val="0"/>
                <w:numId w:val="4"/>
              </w:numPr>
              <w:rPr>
                <w:spacing w:val="-5"/>
              </w:rPr>
            </w:pPr>
            <w:r>
              <w:rPr>
                <w:rFonts w:ascii="Times New Roman" w:hAnsi="Times New Roman" w:cs="Times New Roman"/>
                <w:color w:val="000000"/>
                <w:spacing w:val="-7"/>
                <w:sz w:val="24"/>
                <w:lang w:bidi="ar"/>
              </w:rPr>
              <w:t>In general, what is your interpretation of it?</w:t>
            </w:r>
          </w:p>
        </w:tc>
        <w:tc>
          <w:tcPr>
            <w:tcW w:w="3594" w:type="dxa"/>
            <w:tcBorders>
              <w:top w:val="single" w:color="000000" w:sz="2" w:space="0"/>
              <w:left w:val="single" w:color="000000" w:sz="2" w:space="0"/>
              <w:bottom w:val="single" w:color="000000" w:sz="2" w:space="0"/>
              <w:right w:val="single" w:color="000000" w:sz="2" w:space="0"/>
            </w:tcBorders>
            <w:shd w:val="clear" w:color="auto" w:fill="auto"/>
          </w:tcPr>
          <w:p>
            <w:pPr>
              <w:pStyle w:val="21"/>
              <w:widowControl/>
              <w:numPr>
                <w:ilvl w:val="0"/>
                <w:numId w:val="4"/>
              </w:numPr>
              <w:kinsoku w:val="0"/>
              <w:autoSpaceDE w:val="0"/>
              <w:autoSpaceDN w:val="0"/>
              <w:adjustRightInd w:val="0"/>
              <w:snapToGrid w:val="0"/>
              <w:spacing w:before="141" w:line="372" w:lineRule="auto"/>
              <w:ind w:right="107"/>
            </w:pPr>
            <w:r>
              <w:rPr>
                <w:rFonts w:ascii="Times New Roman" w:hAnsi="Times New Roman"/>
                <w:color w:val="000000"/>
                <w:spacing w:val="-6"/>
                <w:lang w:bidi="ar"/>
              </w:rPr>
              <w:t>What do you see it as? A driver, a standard, a learning objective, or something else?</w:t>
            </w:r>
          </w:p>
          <w:p>
            <w:pPr>
              <w:pStyle w:val="21"/>
              <w:widowControl/>
              <w:numPr>
                <w:ilvl w:val="0"/>
                <w:numId w:val="4"/>
              </w:numPr>
              <w:kinsoku w:val="0"/>
              <w:autoSpaceDE w:val="0"/>
              <w:autoSpaceDN w:val="0"/>
              <w:adjustRightInd w:val="0"/>
              <w:snapToGrid w:val="0"/>
              <w:spacing w:before="193" w:line="372" w:lineRule="auto"/>
              <w:ind w:right="109"/>
              <w:rPr>
                <w:rFonts w:ascii="Times New Roman" w:hAnsi="Times New Roman"/>
                <w:color w:val="000000"/>
                <w:spacing w:val="-5"/>
                <w:lang w:bidi="ar"/>
              </w:rPr>
            </w:pPr>
            <w:r>
              <w:rPr>
                <w:rFonts w:ascii="Times New Roman" w:hAnsi="Times New Roman"/>
                <w:color w:val="000000"/>
                <w:spacing w:val="-5"/>
                <w:lang w:bidi="ar"/>
              </w:rPr>
              <w:t>Could you give more information about the level of language you want to reach? Like, language, vocabulary, or pronunciation?</w:t>
            </w:r>
          </w:p>
          <w:p>
            <w:pPr>
              <w:numPr>
                <w:ilvl w:val="0"/>
                <w:numId w:val="4"/>
              </w:numPr>
              <w:rPr>
                <w:rFonts w:ascii="Times New Roman" w:hAnsi="Times New Roman" w:eastAsia="Times New Roman" w:cs="Times New Roman"/>
                <w:color w:val="000000"/>
                <w:spacing w:val="-5"/>
                <w:sz w:val="24"/>
                <w:lang w:bidi="ar"/>
              </w:rPr>
            </w:pPr>
            <w:r>
              <w:rPr>
                <w:rFonts w:ascii="Times New Roman" w:hAnsi="Times New Roman" w:eastAsia="Times New Roman" w:cs="Times New Roman"/>
                <w:color w:val="000000"/>
                <w:spacing w:val="-5"/>
                <w:sz w:val="24"/>
                <w:lang w:bidi="ar"/>
              </w:rPr>
              <w:t>Do these language goals have anything to do with SE?</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2475" w:hRule="atLeast"/>
        </w:trPr>
        <w:tc>
          <w:tcPr>
            <w:tcW w:w="2016" w:type="dxa"/>
            <w:tcBorders>
              <w:top w:val="single" w:color="000000" w:sz="2" w:space="0"/>
              <w:left w:val="single" w:color="000000" w:sz="2" w:space="0"/>
              <w:bottom w:val="single" w:color="000000" w:sz="2" w:space="0"/>
              <w:right w:val="single" w:color="000000" w:sz="2" w:space="0"/>
            </w:tcBorders>
            <w:shd w:val="clear" w:color="auto" w:fill="auto"/>
          </w:tcPr>
          <w:p>
            <w:pPr>
              <w:pStyle w:val="21"/>
              <w:widowControl/>
              <w:kinsoku w:val="0"/>
              <w:autoSpaceDE w:val="0"/>
              <w:autoSpaceDN w:val="0"/>
              <w:adjustRightInd w:val="0"/>
              <w:snapToGrid w:val="0"/>
              <w:spacing w:before="151" w:line="408" w:lineRule="auto"/>
              <w:ind w:left="476" w:right="106" w:hanging="364"/>
              <w:rPr>
                <w:rFonts w:ascii="Times New Roman Regular" w:hAnsi="Times New Roman Regular" w:cs="Times New Roman Regular"/>
              </w:rPr>
            </w:pPr>
          </w:p>
          <w:p>
            <w:pPr>
              <w:pStyle w:val="21"/>
              <w:widowControl/>
              <w:kinsoku w:val="0"/>
              <w:autoSpaceDE w:val="0"/>
              <w:autoSpaceDN w:val="0"/>
              <w:adjustRightInd w:val="0"/>
              <w:snapToGrid w:val="0"/>
              <w:spacing w:before="151" w:line="408" w:lineRule="auto"/>
              <w:ind w:left="476" w:right="106" w:hanging="364"/>
              <w:rPr>
                <w:rFonts w:ascii="Times New Roman Regular" w:hAnsi="Times New Roman Regular" w:cs="Times New Roman Regular"/>
              </w:rPr>
            </w:pP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t>3. Learning experiences</w:t>
            </w:r>
          </w:p>
          <w:p>
            <w:pPr>
              <w:pStyle w:val="21"/>
              <w:widowControl/>
              <w:kinsoku w:val="0"/>
              <w:autoSpaceDE w:val="0"/>
              <w:autoSpaceDN w:val="0"/>
              <w:adjustRightInd w:val="0"/>
              <w:snapToGrid w:val="0"/>
              <w:spacing w:before="151" w:line="408" w:lineRule="auto"/>
              <w:ind w:right="106"/>
              <w:rPr>
                <w:rFonts w:ascii="Times New Roman Regular" w:hAnsi="Times New Roman Regular" w:cs="Times New Roman Regular"/>
              </w:rPr>
            </w:pPr>
          </w:p>
        </w:tc>
        <w:tc>
          <w:tcPr>
            <w:tcW w:w="3929" w:type="dxa"/>
            <w:tcBorders>
              <w:top w:val="single" w:color="000000" w:sz="2" w:space="0"/>
              <w:left w:val="single" w:color="000000" w:sz="2" w:space="0"/>
              <w:bottom w:val="single" w:color="000000" w:sz="2" w:space="0"/>
              <w:right w:val="single" w:color="000000" w:sz="2" w:space="0"/>
            </w:tcBorders>
            <w:shd w:val="clear" w:color="auto" w:fill="auto"/>
          </w:tcPr>
          <w:p>
            <w:pPr>
              <w:ind w:left="420"/>
              <w:jc w:val="left"/>
              <w:rPr>
                <w:rFonts w:ascii="Times New Roman Regular" w:hAnsi="Times New Roman Regular" w:eastAsia="Times New Roman" w:cs="Times New Roman Regular"/>
                <w:sz w:val="24"/>
                <w:lang w:bidi="ar"/>
              </w:rPr>
            </w:pPr>
          </w:p>
          <w:p>
            <w:pPr>
              <w:numPr>
                <w:ilvl w:val="0"/>
                <w:numId w:val="5"/>
              </w:numPr>
              <w:jc w:val="left"/>
              <w:rPr>
                <w:rFonts w:ascii="Times New Roman Regular" w:hAnsi="Times New Roman Regular" w:eastAsia="Times New Roman" w:cs="Times New Roman Regular"/>
                <w:sz w:val="24"/>
                <w:lang w:bidi="ar"/>
              </w:rPr>
            </w:pPr>
            <w:r>
              <w:rPr>
                <w:rFonts w:ascii="Times New Roman Regular" w:hAnsi="Times New Roman Regular" w:eastAsia="Times New Roman" w:cs="Times New Roman Regular"/>
                <w:sz w:val="24"/>
                <w:lang w:bidi="ar"/>
              </w:rPr>
              <w:t>What was your English education like before university?</w:t>
            </w:r>
          </w:p>
          <w:p>
            <w:pPr>
              <w:rPr>
                <w:rFonts w:ascii="Times New Roman Regular" w:hAnsi="Times New Roman Regular" w:eastAsia="Times New Roman" w:cs="Times New Roman Regular"/>
                <w:sz w:val="24"/>
                <w:lang w:bidi="ar"/>
              </w:rPr>
            </w:pPr>
          </w:p>
          <w:p>
            <w:pPr>
              <w:numPr>
                <w:ilvl w:val="0"/>
                <w:numId w:val="5"/>
              </w:numPr>
              <w:jc w:val="left"/>
              <w:rPr>
                <w:rFonts w:ascii="Times New Roman Regular" w:hAnsi="Times New Roman Regular" w:cs="Times New Roman Regular"/>
                <w:spacing w:val="-5"/>
                <w:sz w:val="24"/>
                <w:lang w:bidi="ar"/>
              </w:rPr>
            </w:pPr>
            <w:r>
              <w:rPr>
                <w:rFonts w:ascii="Times New Roman Regular" w:hAnsi="Times New Roman Regular" w:cs="Times New Roman Regular"/>
                <w:sz w:val="24"/>
                <w:lang w:bidi="ar"/>
              </w:rPr>
              <w:t>Have you ever been evaluated by NS norm?</w:t>
            </w:r>
          </w:p>
        </w:tc>
        <w:tc>
          <w:tcPr>
            <w:tcW w:w="3594" w:type="dxa"/>
            <w:tcBorders>
              <w:top w:val="single" w:color="000000" w:sz="2" w:space="0"/>
              <w:left w:val="single" w:color="000000" w:sz="2" w:space="0"/>
              <w:bottom w:val="single" w:color="000000" w:sz="2" w:space="0"/>
              <w:right w:val="single" w:color="000000" w:sz="2" w:space="0"/>
            </w:tcBorders>
            <w:shd w:val="clear" w:color="auto" w:fill="auto"/>
          </w:tcPr>
          <w:p>
            <w:pPr>
              <w:numPr>
                <w:ilvl w:val="0"/>
                <w:numId w:val="5"/>
              </w:numPr>
              <w:jc w:val="left"/>
              <w:rPr>
                <w:rFonts w:ascii="Times New Roman Regular" w:hAnsi="Times New Roman Regular" w:cs="Times New Roman Regular"/>
                <w:color w:val="000000"/>
                <w:sz w:val="24"/>
                <w:lang w:bidi="ar"/>
              </w:rPr>
            </w:pPr>
            <w:r>
              <w:rPr>
                <w:rFonts w:ascii="Times New Roman Regular" w:hAnsi="Times New Roman Regular" w:cs="Times New Roman Regular"/>
                <w:color w:val="000000"/>
                <w:spacing w:val="-4"/>
                <w:sz w:val="24"/>
                <w:lang w:bidi="ar"/>
              </w:rPr>
              <w:t>Are there any other learning experiences that you feel are relevant to NS norm?</w:t>
            </w:r>
            <w:r>
              <w:rPr>
                <w:rFonts w:ascii="Times New Roman Regular" w:hAnsi="Times New Roman Regular" w:cs="Times New Roman Regular"/>
                <w:color w:val="000000"/>
                <w:sz w:val="24"/>
                <w:lang w:bidi="ar"/>
              </w:rPr>
              <w:t xml:space="preserve"> </w:t>
            </w:r>
          </w:p>
          <w:p>
            <w:pPr>
              <w:ind w:left="420"/>
              <w:jc w:val="left"/>
              <w:rPr>
                <w:rFonts w:ascii="Times New Roman Regular" w:hAnsi="Times New Roman Regular" w:cs="Times New Roman Regular"/>
                <w:color w:val="000000"/>
                <w:sz w:val="24"/>
                <w:lang w:bidi="ar"/>
              </w:rPr>
            </w:pPr>
          </w:p>
          <w:p>
            <w:pPr>
              <w:numPr>
                <w:ilvl w:val="0"/>
                <w:numId w:val="5"/>
              </w:numPr>
              <w:jc w:val="left"/>
              <w:rPr>
                <w:rFonts w:ascii="Times New Roman Regular" w:hAnsi="Times New Roman Regular" w:eastAsia="Times New Roman" w:cs="Times New Roman Regular"/>
                <w:color w:val="000000"/>
                <w:spacing w:val="-5"/>
                <w:sz w:val="24"/>
                <w:lang w:bidi="ar"/>
              </w:rPr>
            </w:pPr>
            <w:r>
              <w:rPr>
                <w:rFonts w:ascii="Times New Roman Regular" w:hAnsi="Times New Roman Regular" w:cs="Times New Roman Regular"/>
                <w:color w:val="000000"/>
                <w:spacing w:val="-4"/>
                <w:sz w:val="24"/>
                <w:lang w:bidi="ar"/>
              </w:rPr>
              <w:t>A</w:t>
            </w:r>
            <w:r>
              <w:rPr>
                <w:rFonts w:hint="eastAsia" w:ascii="Times New Roman Regular" w:hAnsi="Times New Roman Regular" w:cs="Times New Roman Regular"/>
                <w:color w:val="000000"/>
                <w:spacing w:val="-4"/>
                <w:sz w:val="24"/>
                <w:lang w:bidi="ar"/>
              </w:rPr>
              <w:t>ny</w:t>
            </w:r>
            <w:r>
              <w:rPr>
                <w:rFonts w:ascii="Times New Roman Regular" w:hAnsi="Times New Roman Regular" w:cs="Times New Roman Regular"/>
                <w:color w:val="000000"/>
                <w:spacing w:val="-4"/>
                <w:sz w:val="24"/>
                <w:lang w:bidi="ar"/>
              </w:rPr>
              <w:t xml:space="preserve"> </w:t>
            </w:r>
            <w:r>
              <w:rPr>
                <w:rFonts w:hint="eastAsia" w:ascii="Times New Roman Regular" w:hAnsi="Times New Roman Regular" w:cs="Times New Roman Regular"/>
                <w:color w:val="000000"/>
                <w:spacing w:val="-4"/>
                <w:sz w:val="24"/>
                <w:lang w:bidi="ar"/>
              </w:rPr>
              <w:t>other</w:t>
            </w:r>
            <w:r>
              <w:rPr>
                <w:rFonts w:ascii="Times New Roman Regular" w:hAnsi="Times New Roman Regular" w:cs="Times New Roman Regular"/>
                <w:color w:val="000000"/>
                <w:spacing w:val="-4"/>
                <w:sz w:val="24"/>
                <w:lang w:bidi="ar"/>
              </w:rPr>
              <w:t xml:space="preserve"> information on assessments? From distinct linguistic perspectives?</w:t>
            </w:r>
            <w:r>
              <w:rPr>
                <w:rFonts w:ascii="Times New Roman Regular" w:hAnsi="Times New Roman Regular" w:cs="Times New Roman Regular"/>
                <w:color w:val="000000"/>
                <w:sz w:val="24"/>
                <w:lang w:bidi="ar"/>
              </w:rPr>
              <w:t xml:space="preserve"> </w:t>
            </w:r>
          </w:p>
        </w:tc>
      </w:tr>
      <w:tr>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PrEx>
        <w:trPr>
          <w:trHeight w:val="3423" w:hRule="atLeast"/>
        </w:trPr>
        <w:tc>
          <w:tcPr>
            <w:tcW w:w="2016" w:type="dxa"/>
            <w:tcBorders>
              <w:top w:val="single" w:color="000000" w:sz="2" w:space="0"/>
              <w:left w:val="single" w:color="000000" w:sz="2" w:space="0"/>
              <w:bottom w:val="single" w:color="000000" w:sz="2" w:space="0"/>
              <w:right w:val="single" w:color="000000" w:sz="2" w:space="0"/>
            </w:tcBorders>
            <w:shd w:val="clear" w:color="auto" w:fill="auto"/>
          </w:tcPr>
          <w:p>
            <w:pPr>
              <w:pStyle w:val="21"/>
              <w:widowControl/>
              <w:kinsoku w:val="0"/>
              <w:autoSpaceDE w:val="0"/>
              <w:autoSpaceDN w:val="0"/>
              <w:adjustRightInd w:val="0"/>
              <w:snapToGrid w:val="0"/>
              <w:spacing w:before="151" w:line="408" w:lineRule="auto"/>
              <w:ind w:right="106"/>
              <w:rPr>
                <w:rFonts w:ascii="Times New Roman Regular" w:hAnsi="Times New Roman Regular" w:cs="Times New Roman Regular"/>
              </w:rPr>
            </w:pPr>
            <w:r>
              <w:rPr>
                <w:rFonts w:ascii="Times New Roman Regular" w:hAnsi="Times New Roman Regular" w:cs="Times New Roman Regular"/>
              </w:rPr>
              <w:t>4. Future teaching intentions</w:t>
            </w:r>
          </w:p>
          <w:p>
            <w:pPr>
              <w:pStyle w:val="21"/>
              <w:widowControl/>
              <w:kinsoku w:val="0"/>
              <w:autoSpaceDE w:val="0"/>
              <w:autoSpaceDN w:val="0"/>
              <w:adjustRightInd w:val="0"/>
              <w:snapToGrid w:val="0"/>
              <w:spacing w:before="151" w:line="408" w:lineRule="auto"/>
              <w:ind w:right="106"/>
              <w:rPr>
                <w:rFonts w:ascii="Times New Roman Regular" w:hAnsi="Times New Roman Regular" w:cs="Times New Roman Regular"/>
              </w:rPr>
            </w:pPr>
          </w:p>
        </w:tc>
        <w:tc>
          <w:tcPr>
            <w:tcW w:w="3929" w:type="dxa"/>
            <w:tcBorders>
              <w:top w:val="single" w:color="000000" w:sz="2" w:space="0"/>
              <w:left w:val="single" w:color="000000" w:sz="2" w:space="0"/>
              <w:bottom w:val="single" w:color="000000" w:sz="2" w:space="0"/>
              <w:right w:val="single" w:color="000000" w:sz="2" w:space="0"/>
            </w:tcBorders>
            <w:shd w:val="clear" w:color="auto" w:fill="auto"/>
          </w:tcPr>
          <w:p>
            <w:pPr>
              <w:numPr>
                <w:ilvl w:val="0"/>
                <w:numId w:val="5"/>
              </w:numPr>
              <w:jc w:val="left"/>
              <w:rPr>
                <w:rFonts w:ascii="Times New Roman Regular" w:hAnsi="Times New Roman Regular" w:cs="Times New Roman Regular"/>
                <w:sz w:val="24"/>
                <w:lang w:bidi="ar"/>
              </w:rPr>
            </w:pPr>
            <w:r>
              <w:rPr>
                <w:rFonts w:ascii="Times New Roman Regular" w:hAnsi="Times New Roman Regular" w:cs="Times New Roman Regular"/>
                <w:sz w:val="24"/>
                <w:lang w:bidi="ar"/>
              </w:rPr>
              <w:t>Do you have a preference for teaching Standard English in the future?</w:t>
            </w:r>
          </w:p>
          <w:p>
            <w:pPr>
              <w:numPr>
                <w:ilvl w:val="0"/>
                <w:numId w:val="5"/>
              </w:numPr>
              <w:jc w:val="left"/>
              <w:rPr>
                <w:rFonts w:ascii="Times New Roman Regular" w:hAnsi="Times New Roman Regular" w:cs="Times New Roman Regular"/>
                <w:sz w:val="24"/>
                <w:lang w:bidi="ar"/>
              </w:rPr>
            </w:pPr>
            <w:r>
              <w:rPr>
                <w:rFonts w:ascii="Times New Roman Regular" w:hAnsi="Times New Roman Regular" w:cs="Times New Roman Regular"/>
                <w:sz w:val="24"/>
                <w:lang w:bidi="ar"/>
              </w:rPr>
              <w:t>Which specific variant of the English language would you want to instruct? For what reason?</w:t>
            </w:r>
          </w:p>
          <w:p>
            <w:pPr>
              <w:numPr>
                <w:ilvl w:val="0"/>
                <w:numId w:val="5"/>
              </w:numPr>
              <w:jc w:val="left"/>
              <w:rPr>
                <w:rFonts w:ascii="Times New Roman Regular" w:hAnsi="Times New Roman Regular" w:cs="Times New Roman Regular"/>
                <w:sz w:val="24"/>
                <w:lang w:bidi="ar"/>
              </w:rPr>
            </w:pPr>
            <w:r>
              <w:rPr>
                <w:rFonts w:ascii="Times New Roman Regular" w:hAnsi="Times New Roman Regular" w:cs="Times New Roman Regular"/>
                <w:sz w:val="24"/>
                <w:lang w:bidi="ar"/>
              </w:rPr>
              <w:t>What will be the role of SE in your future teaching?</w:t>
            </w:r>
          </w:p>
          <w:p>
            <w:pPr>
              <w:numPr>
                <w:ilvl w:val="0"/>
                <w:numId w:val="5"/>
              </w:numPr>
              <w:jc w:val="left"/>
              <w:rPr>
                <w:rFonts w:ascii="Times New Roman Regular" w:hAnsi="Times New Roman Regular" w:cs="Times New Roman Regular"/>
                <w:sz w:val="24"/>
                <w:lang w:bidi="ar"/>
              </w:rPr>
            </w:pPr>
            <w:r>
              <w:rPr>
                <w:rFonts w:ascii="Times New Roman Regular" w:hAnsi="Times New Roman Regular" w:cs="Times New Roman Regular"/>
                <w:sz w:val="24"/>
                <w:lang w:bidi="ar"/>
              </w:rPr>
              <w:t xml:space="preserve"> What is the objective of your teaching?</w:t>
            </w:r>
          </w:p>
        </w:tc>
        <w:tc>
          <w:tcPr>
            <w:tcW w:w="3594" w:type="dxa"/>
            <w:tcBorders>
              <w:top w:val="single" w:color="000000" w:sz="2" w:space="0"/>
              <w:left w:val="single" w:color="000000" w:sz="2" w:space="0"/>
              <w:bottom w:val="single" w:color="000000" w:sz="2" w:space="0"/>
              <w:right w:val="single" w:color="000000" w:sz="2" w:space="0"/>
            </w:tcBorders>
            <w:shd w:val="clear" w:color="auto" w:fill="auto"/>
          </w:tcPr>
          <w:p>
            <w:pPr>
              <w:numPr>
                <w:ilvl w:val="0"/>
                <w:numId w:val="5"/>
              </w:numPr>
              <w:jc w:val="left"/>
              <w:rPr>
                <w:rFonts w:ascii="Times New Roman Regular" w:hAnsi="Times New Roman Regular" w:cs="Times New Roman Regular"/>
                <w:color w:val="000000"/>
                <w:spacing w:val="-4"/>
                <w:sz w:val="24"/>
                <w:lang w:bidi="ar"/>
              </w:rPr>
            </w:pPr>
            <w:r>
              <w:rPr>
                <w:rFonts w:ascii="Times New Roman Regular" w:hAnsi="Times New Roman Regular" w:cs="Times New Roman Regular"/>
                <w:color w:val="000000"/>
                <w:spacing w:val="-4"/>
                <w:sz w:val="24"/>
                <w:lang w:bidi="ar"/>
              </w:rPr>
              <w:t>Is it appropriate for the possible situation in which you will teach? I</w:t>
            </w:r>
            <w:r>
              <w:rPr>
                <w:rFonts w:hint="eastAsia" w:ascii="Times New Roman Regular" w:hAnsi="Times New Roman Regular" w:cs="Times New Roman Regular"/>
                <w:color w:val="000000"/>
                <w:spacing w:val="-4"/>
                <w:sz w:val="24"/>
                <w:lang w:bidi="ar"/>
              </w:rPr>
              <w:t>n</w:t>
            </w:r>
            <w:r>
              <w:rPr>
                <w:rFonts w:ascii="Times New Roman Regular" w:hAnsi="Times New Roman Regular" w:cs="Times New Roman Regular"/>
                <w:color w:val="000000"/>
                <w:spacing w:val="-4"/>
                <w:sz w:val="24"/>
                <w:lang w:bidi="ar"/>
              </w:rPr>
              <w:t xml:space="preserve"> </w:t>
            </w:r>
            <w:r>
              <w:rPr>
                <w:rFonts w:hint="eastAsia" w:ascii="Times New Roman Regular" w:hAnsi="Times New Roman Regular" w:cs="Times New Roman Regular"/>
                <w:color w:val="000000"/>
                <w:spacing w:val="-4"/>
                <w:sz w:val="24"/>
                <w:lang w:bidi="ar"/>
              </w:rPr>
              <w:t>what</w:t>
            </w:r>
            <w:r>
              <w:rPr>
                <w:rFonts w:ascii="Times New Roman Regular" w:hAnsi="Times New Roman Regular" w:cs="Times New Roman Regular"/>
                <w:color w:val="000000"/>
                <w:spacing w:val="-4"/>
                <w:sz w:val="24"/>
                <w:lang w:bidi="ar"/>
              </w:rPr>
              <w:t xml:space="preserve"> </w:t>
            </w:r>
            <w:r>
              <w:rPr>
                <w:rFonts w:hint="eastAsia" w:ascii="Times New Roman Regular" w:hAnsi="Times New Roman Regular" w:cs="Times New Roman Regular"/>
                <w:color w:val="000000"/>
                <w:spacing w:val="-4"/>
                <w:sz w:val="24"/>
                <w:lang w:bidi="ar"/>
              </w:rPr>
              <w:t>ways?</w:t>
            </w:r>
          </w:p>
          <w:p>
            <w:pPr>
              <w:ind w:left="420"/>
              <w:jc w:val="left"/>
              <w:rPr>
                <w:rFonts w:ascii="Times New Roman Regular" w:hAnsi="Times New Roman Regular" w:cs="Times New Roman Regular"/>
                <w:color w:val="000000"/>
                <w:spacing w:val="-4"/>
                <w:sz w:val="24"/>
                <w:lang w:bidi="ar"/>
              </w:rPr>
            </w:pPr>
          </w:p>
          <w:p>
            <w:pPr>
              <w:numPr>
                <w:ilvl w:val="0"/>
                <w:numId w:val="5"/>
              </w:numPr>
              <w:jc w:val="left"/>
              <w:rPr>
                <w:rFonts w:ascii="Times New Roman Regular" w:hAnsi="Times New Roman Regular" w:cs="Times New Roman Regular"/>
                <w:color w:val="000000"/>
                <w:spacing w:val="-4"/>
                <w:sz w:val="24"/>
                <w:lang w:bidi="ar"/>
              </w:rPr>
            </w:pPr>
            <w:r>
              <w:rPr>
                <w:rFonts w:ascii="Times New Roman Regular" w:hAnsi="Times New Roman Regular" w:cs="Times New Roman Regular"/>
                <w:color w:val="000000"/>
                <w:spacing w:val="-4"/>
                <w:sz w:val="24"/>
                <w:lang w:bidi="ar"/>
              </w:rPr>
              <w:t>What norms will you apply in evaluations in addition to teaching? NS norms?</w:t>
            </w:r>
          </w:p>
        </w:tc>
      </w:tr>
      <w:bookmarkEnd w:id="493"/>
      <w:bookmarkEnd w:id="494"/>
      <w:bookmarkEnd w:id="495"/>
      <w:bookmarkEnd w:id="496"/>
    </w:tbl>
    <w:p>
      <w:pPr>
        <w:pStyle w:val="38"/>
        <w:rPr>
          <w:position w:val="21"/>
        </w:rPr>
      </w:pPr>
      <w:bookmarkStart w:id="497" w:name="OLE_LINK372"/>
      <w:bookmarkStart w:id="498" w:name="OLE_LINK369"/>
      <w:bookmarkStart w:id="499" w:name="_Toc158754014"/>
      <w:bookmarkStart w:id="500" w:name="_Toc710728531"/>
      <w:bookmarkStart w:id="501" w:name="OLE_LINK433"/>
      <w:bookmarkStart w:id="502" w:name="OLE_LINK432"/>
      <w:r>
        <w:rPr>
          <w:lang w:bidi="ar"/>
        </w:rPr>
        <w:t xml:space="preserve">Appendix </w:t>
      </w:r>
      <w:bookmarkEnd w:id="497"/>
      <w:bookmarkEnd w:id="498"/>
      <w:r>
        <w:rPr>
          <w:lang w:bidi="ar"/>
        </w:rPr>
        <w:t>3:</w:t>
      </w:r>
      <w:r>
        <w:rPr>
          <w:spacing w:val="-14"/>
          <w:lang w:bidi="ar"/>
        </w:rPr>
        <w:t xml:space="preserve"> </w:t>
      </w:r>
      <w:r>
        <w:rPr>
          <w:lang w:bidi="ar"/>
        </w:rPr>
        <w:t>An Example of An Interview Transcript</w:t>
      </w:r>
      <w:bookmarkEnd w:id="499"/>
      <w:bookmarkEnd w:id="500"/>
    </w:p>
    <w:bookmarkEnd w:id="501"/>
    <w:bookmarkEnd w:id="502"/>
    <w:p>
      <w:pPr>
        <w:widowControl/>
        <w:rPr>
          <w:rFonts w:ascii="Times New Roman" w:hAnsi="Times New Roman" w:cs="Times New Roman"/>
          <w:sz w:val="24"/>
        </w:rPr>
      </w:pPr>
      <w:r>
        <w:rPr>
          <w:rFonts w:ascii="Times New Roman" w:hAnsi="Times New Roman" w:cs="Times New Roman"/>
          <w:sz w:val="24"/>
          <w:highlight w:val="green"/>
        </w:rPr>
        <w:t>Interview with T1</w:t>
      </w:r>
    </w:p>
    <w:p>
      <w:pPr>
        <w:widowControl/>
        <w:rPr>
          <w:rFonts w:ascii="Times New Roman" w:hAnsi="Times New Roman" w:cs="Times New Roman"/>
          <w:sz w:val="24"/>
        </w:rPr>
      </w:pPr>
      <w:r>
        <w:rPr>
          <w:rFonts w:ascii="Times New Roman" w:hAnsi="Times New Roman" w:cs="Times New Roman"/>
          <w:sz w:val="24"/>
        </w:rPr>
        <w:t>The interview is scheduled on January 6, 2024.</w:t>
      </w:r>
    </w:p>
    <w:p>
      <w:pPr>
        <w:widowControl/>
        <w:rPr>
          <w:rFonts w:ascii="Times New Roman" w:hAnsi="Times New Roman" w:cs="Times New Roman"/>
          <w:sz w:val="24"/>
        </w:rPr>
      </w:pPr>
      <w:r>
        <w:rPr>
          <w:rFonts w:ascii="Times New Roman" w:hAnsi="Times New Roman" w:cs="Times New Roman"/>
          <w:sz w:val="24"/>
        </w:rPr>
        <w:t>Duration: 31 minutes.</w:t>
      </w:r>
    </w:p>
    <w:p>
      <w:pPr>
        <w:widowControl/>
        <w:kinsoku w:val="0"/>
        <w:autoSpaceDE w:val="0"/>
        <w:autoSpaceDN w:val="0"/>
        <w:adjustRightInd w:val="0"/>
        <w:snapToGrid w:val="0"/>
        <w:spacing w:before="93" w:line="230" w:lineRule="auto"/>
        <w:jc w:val="left"/>
        <w:rPr>
          <w:rFonts w:ascii="Times New Roman" w:hAnsi="Times New Roman" w:eastAsia="Times New Roman" w:cs="Times New Roman"/>
          <w:sz w:val="24"/>
          <w:highlight w:val="green"/>
        </w:rPr>
      </w:pPr>
      <w:r>
        <w:rPr>
          <w:rFonts w:ascii="Times New Roman" w:hAnsi="Times New Roman" w:eastAsia="Times New Roman" w:cs="Times New Roman"/>
          <w:color w:val="000000"/>
          <w:spacing w:val="-1"/>
          <w:kern w:val="0"/>
          <w:sz w:val="24"/>
          <w:highlight w:val="green"/>
          <w:lang w:bidi="ar"/>
        </w:rPr>
        <w:t>R: the researcher</w:t>
      </w:r>
    </w:p>
    <w:p>
      <w:pPr>
        <w:widowControl/>
        <w:kinsoku w:val="0"/>
        <w:autoSpaceDE w:val="0"/>
        <w:autoSpaceDN w:val="0"/>
        <w:adjustRightInd w:val="0"/>
        <w:snapToGrid w:val="0"/>
        <w:spacing w:before="45" w:line="230" w:lineRule="auto"/>
        <w:jc w:val="left"/>
        <w:rPr>
          <w:rFonts w:ascii="Times New Roman" w:hAnsi="Times New Roman" w:eastAsia="Times New Roman" w:cs="Times New Roman"/>
          <w:sz w:val="24"/>
        </w:rPr>
      </w:pPr>
      <w:r>
        <w:rPr>
          <w:rFonts w:ascii="Times New Roman" w:hAnsi="Times New Roman" w:eastAsia="Times New Roman" w:cs="Times New Roman"/>
          <w:color w:val="000000"/>
          <w:spacing w:val="-2"/>
          <w:kern w:val="0"/>
          <w:sz w:val="24"/>
          <w:highlight w:val="green"/>
          <w:lang w:bidi="ar"/>
        </w:rPr>
        <w:t>T: student</w:t>
      </w:r>
      <w:r>
        <w:rPr>
          <w:rFonts w:ascii="Times New Roman" w:hAnsi="Times New Roman" w:eastAsia="Times New Roman" w:cs="Times New Roman"/>
          <w:color w:val="000000"/>
          <w:spacing w:val="12"/>
          <w:kern w:val="0"/>
          <w:sz w:val="24"/>
          <w:highlight w:val="green"/>
          <w:lang w:bidi="ar"/>
        </w:rPr>
        <w:t xml:space="preserve"> </w:t>
      </w:r>
      <w:r>
        <w:rPr>
          <w:rFonts w:ascii="Times New Roman" w:hAnsi="Times New Roman" w:eastAsia="Times New Roman" w:cs="Times New Roman"/>
          <w:color w:val="000000"/>
          <w:spacing w:val="-2"/>
          <w:kern w:val="0"/>
          <w:sz w:val="24"/>
          <w:highlight w:val="green"/>
          <w:lang w:bidi="ar"/>
        </w:rPr>
        <w:t>teacher</w:t>
      </w:r>
    </w:p>
    <w:p>
      <w:pPr>
        <w:widowControl/>
        <w:rPr>
          <w:rFonts w:ascii="Times New Roman" w:hAnsi="Times New Roman" w:cs="Times New Roman"/>
          <w:sz w:val="24"/>
        </w:rPr>
      </w:pPr>
    </w:p>
    <w:p>
      <w:pPr>
        <w:widowControl/>
        <w:ind w:left="240" w:hanging="240" w:hangingChars="100"/>
        <w:rPr>
          <w:rFonts w:ascii="Times New Roman" w:hAnsi="Times New Roman" w:cs="Times New Roman"/>
          <w:sz w:val="24"/>
        </w:rPr>
      </w:pPr>
      <w:r>
        <w:rPr>
          <w:rFonts w:ascii="Times New Roman" w:hAnsi="Times New Roman" w:cs="Times New Roman"/>
          <w:sz w:val="24"/>
        </w:rPr>
        <w:t>R: Our discussion will focus on software engineering (SE) and network security  (NS) rules. What is your knowledge level about these terms? How do you interpret the concept of NS language performance?</w:t>
      </w:r>
    </w:p>
    <w:p>
      <w:pPr>
        <w:widowControl/>
        <w:ind w:left="240" w:hanging="240" w:hangingChars="100"/>
        <w:rPr>
          <w:rFonts w:ascii="Times New Roman" w:hAnsi="Times New Roman" w:cs="Times New Roman"/>
          <w:sz w:val="24"/>
        </w:rPr>
      </w:pPr>
      <w:r>
        <w:rPr>
          <w:rFonts w:ascii="Times New Roman" w:hAnsi="Times New Roman" w:cs="Times New Roman"/>
          <w:sz w:val="24"/>
        </w:rPr>
        <w:t>T: An assessment of English language proficiency. It is a level that I must attain as well.</w:t>
      </w:r>
    </w:p>
    <w:p>
      <w:pPr>
        <w:widowControl/>
        <w:rPr>
          <w:rFonts w:ascii="Times New Roman" w:hAnsi="Times New Roman" w:cs="Times New Roman"/>
          <w:sz w:val="24"/>
        </w:rPr>
      </w:pPr>
      <w:r>
        <w:rPr>
          <w:rFonts w:ascii="Times New Roman" w:hAnsi="Times New Roman" w:cs="Times New Roman"/>
          <w:sz w:val="24"/>
        </w:rPr>
        <w:t>R: Is this your objective for learning?</w:t>
      </w:r>
    </w:p>
    <w:p>
      <w:pPr>
        <w:widowControl/>
        <w:rPr>
          <w:rFonts w:ascii="Times New Roman" w:hAnsi="Times New Roman" w:cs="Times New Roman"/>
          <w:sz w:val="24"/>
        </w:rPr>
      </w:pPr>
      <w:r>
        <w:rPr>
          <w:rFonts w:ascii="Times New Roman" w:hAnsi="Times New Roman" w:cs="Times New Roman"/>
          <w:sz w:val="24"/>
        </w:rPr>
        <w:t>T: Correct. Nevertheless, the feasibility of doing it remains dubious.</w:t>
      </w:r>
    </w:p>
    <w:p>
      <w:pPr>
        <w:widowControl/>
        <w:rPr>
          <w:rFonts w:ascii="Times New Roman" w:hAnsi="Times New Roman" w:cs="Times New Roman"/>
          <w:sz w:val="24"/>
        </w:rPr>
      </w:pPr>
      <w:r>
        <w:rPr>
          <w:rFonts w:ascii="Times New Roman" w:hAnsi="Times New Roman" w:cs="Times New Roman"/>
          <w:sz w:val="24"/>
        </w:rPr>
        <w:t>R: Is it a perfect objective?</w:t>
      </w:r>
    </w:p>
    <w:p>
      <w:pPr>
        <w:widowControl/>
        <w:ind w:left="240" w:hanging="240" w:hangingChars="100"/>
        <w:rPr>
          <w:rFonts w:ascii="Times New Roman" w:hAnsi="Times New Roman" w:cs="Times New Roman"/>
          <w:sz w:val="24"/>
        </w:rPr>
      </w:pPr>
      <w:r>
        <w:rPr>
          <w:rFonts w:ascii="Times New Roman" w:hAnsi="Times New Roman" w:cs="Times New Roman"/>
          <w:sz w:val="24"/>
        </w:rPr>
        <w:t>T: Indeed, that is a very desirable learning objective. I acknowledge the challenge  involved in attaining such expertise, however I am determined to accomplish this objective. The only method is by means of consistent and repeated practice. I believe it is important to reside in an English-speaking nation for an extended duration of 10 years, during which you will be able to avoid the effect of your own language. Therefore, one may get proficiency in the NS language.</w:t>
      </w:r>
    </w:p>
    <w:p>
      <w:pPr>
        <w:widowControl/>
        <w:rPr>
          <w:rFonts w:ascii="Times New Roman" w:hAnsi="Times New Roman" w:cs="Times New Roman"/>
          <w:sz w:val="24"/>
        </w:rPr>
      </w:pPr>
      <w:r>
        <w:rPr>
          <w:rFonts w:ascii="Times New Roman" w:hAnsi="Times New Roman" w:cs="Times New Roman"/>
          <w:sz w:val="24"/>
        </w:rPr>
        <w:t>R: Which language factor has the greatest significance in your learning process?</w:t>
      </w:r>
    </w:p>
    <w:p>
      <w:pPr>
        <w:widowControl/>
        <w:rPr>
          <w:rFonts w:ascii="Times New Roman" w:hAnsi="Times New Roman" w:cs="Times New Roman"/>
          <w:sz w:val="24"/>
        </w:rPr>
      </w:pPr>
      <w:r>
        <w:rPr>
          <w:rFonts w:ascii="Times New Roman" w:hAnsi="Times New Roman" w:cs="Times New Roman"/>
          <w:sz w:val="24"/>
        </w:rPr>
        <w:t>T: First, we will focus on pronunciation, followed by vocabulary.</w:t>
      </w:r>
    </w:p>
    <w:p>
      <w:pPr>
        <w:widowControl/>
        <w:rPr>
          <w:rFonts w:ascii="Times New Roman" w:hAnsi="Times New Roman" w:cs="Times New Roman"/>
          <w:sz w:val="24"/>
        </w:rPr>
      </w:pPr>
      <w:r>
        <w:rPr>
          <w:rFonts w:ascii="Times New Roman" w:hAnsi="Times New Roman" w:cs="Times New Roman"/>
          <w:sz w:val="24"/>
        </w:rPr>
        <w:t>R: Let us begin with pronunciation. What is your perception of NS pronunciation?</w:t>
      </w:r>
    </w:p>
    <w:p>
      <w:pPr>
        <w:widowControl/>
        <w:rPr>
          <w:rFonts w:ascii="Times New Roman" w:hAnsi="Times New Roman" w:cs="Times New Roman"/>
          <w:sz w:val="24"/>
        </w:rPr>
      </w:pPr>
      <w:r>
        <w:rPr>
          <w:rFonts w:ascii="Times New Roman" w:hAnsi="Times New Roman" w:cs="Times New Roman"/>
          <w:sz w:val="24"/>
        </w:rPr>
        <w:t>T: Your speaking is fluent without any noticeable Chinese accents.</w:t>
      </w:r>
    </w:p>
    <w:p>
      <w:pPr>
        <w:widowControl/>
        <w:rPr>
          <w:rFonts w:ascii="Times New Roman" w:hAnsi="Times New Roman" w:cs="Times New Roman"/>
          <w:sz w:val="24"/>
        </w:rPr>
      </w:pPr>
      <w:r>
        <w:rPr>
          <w:rFonts w:ascii="Times New Roman" w:hAnsi="Times New Roman" w:cs="Times New Roman"/>
          <w:sz w:val="24"/>
        </w:rPr>
        <w:t>R: Is it important to possess a British or American accent?</w:t>
      </w:r>
    </w:p>
    <w:p>
      <w:pPr>
        <w:widowControl/>
        <w:rPr>
          <w:rFonts w:ascii="Times New Roman" w:hAnsi="Times New Roman" w:cs="Times New Roman"/>
          <w:sz w:val="24"/>
        </w:rPr>
      </w:pPr>
      <w:r>
        <w:rPr>
          <w:rFonts w:ascii="Times New Roman" w:hAnsi="Times New Roman" w:cs="Times New Roman"/>
          <w:sz w:val="24"/>
        </w:rPr>
        <w:t>T: You should strive to emulate their speech patterns.</w:t>
      </w:r>
    </w:p>
    <w:p>
      <w:pPr>
        <w:widowControl/>
        <w:rPr>
          <w:rFonts w:ascii="Times New Roman" w:hAnsi="Times New Roman" w:cs="Times New Roman"/>
          <w:sz w:val="24"/>
        </w:rPr>
      </w:pPr>
      <w:r>
        <w:rPr>
          <w:rFonts w:ascii="Times New Roman" w:hAnsi="Times New Roman" w:cs="Times New Roman"/>
          <w:sz w:val="24"/>
        </w:rPr>
        <w:t>R: Regarding vocabulary?</w:t>
      </w:r>
    </w:p>
    <w:p>
      <w:pPr>
        <w:widowControl/>
        <w:ind w:left="240" w:hanging="240" w:hangingChars="100"/>
        <w:rPr>
          <w:rFonts w:ascii="Times New Roman" w:hAnsi="Times New Roman" w:cs="Times New Roman"/>
          <w:sz w:val="24"/>
        </w:rPr>
      </w:pPr>
      <w:r>
        <w:rPr>
          <w:rFonts w:ascii="Times New Roman" w:hAnsi="Times New Roman" w:cs="Times New Roman"/>
          <w:sz w:val="24"/>
        </w:rPr>
        <w:t>T: In reality, I use quite simple vocabulary ... When I engage with literature, I see that native speakers’ writing tends to be more precise. Conversely, I have a tendency to use an excessive amount of superfluous words and construct lengthy phrases.</w:t>
      </w:r>
    </w:p>
    <w:p>
      <w:pPr>
        <w:widowControl/>
        <w:ind w:left="240" w:hanging="240" w:hangingChars="100"/>
        <w:rPr>
          <w:rFonts w:ascii="Times New Roman" w:hAnsi="Times New Roman" w:cs="Times New Roman"/>
          <w:sz w:val="24"/>
        </w:rPr>
      </w:pPr>
      <w:r>
        <w:rPr>
          <w:rFonts w:ascii="Times New Roman" w:hAnsi="Times New Roman" w:cs="Times New Roman"/>
          <w:sz w:val="24"/>
        </w:rPr>
        <w:t>R: Is there anything else you would want to discuss or inquire about? For example, are you referring about grammar?</w:t>
      </w:r>
    </w:p>
    <w:p>
      <w:pPr>
        <w:widowControl/>
        <w:ind w:left="240" w:hanging="240" w:hangingChars="100"/>
        <w:rPr>
          <w:rFonts w:ascii="Times New Roman" w:hAnsi="Times New Roman" w:cs="Times New Roman"/>
          <w:sz w:val="24"/>
        </w:rPr>
      </w:pPr>
      <w:r>
        <w:rPr>
          <w:rFonts w:ascii="Times New Roman" w:hAnsi="Times New Roman" w:cs="Times New Roman"/>
          <w:sz w:val="24"/>
        </w:rPr>
        <w:t>T: Affirmative, that is correct. I believe that our first language has had an impact on us, resulting in variations in the utilisation of grammatical structures, such as the passive voice, among others.</w:t>
      </w:r>
    </w:p>
    <w:p>
      <w:pPr>
        <w:widowControl/>
        <w:rPr>
          <w:rFonts w:ascii="Times New Roman" w:hAnsi="Times New Roman" w:cs="Times New Roman"/>
          <w:sz w:val="24"/>
        </w:rPr>
      </w:pPr>
      <w:r>
        <w:rPr>
          <w:rFonts w:ascii="Times New Roman" w:hAnsi="Times New Roman" w:cs="Times New Roman"/>
          <w:sz w:val="24"/>
        </w:rPr>
        <w:t>R: Specifically focusing on the grammar used in spoken language?</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Yes, because usually I double check the writing to make sure it’s correct.</w:t>
      </w:r>
      <w:r>
        <w:rPr>
          <w:rFonts w:hint="eastAsia" w:ascii="Times New Roman" w:hAnsi="Times New Roman" w:cs="Times New Roman"/>
          <w:sz w:val="24"/>
        </w:rPr>
        <w:t xml:space="preserve"> </w:t>
      </w:r>
    </w:p>
    <w:p>
      <w:pPr>
        <w:widowControl/>
        <w:rPr>
          <w:rFonts w:ascii="Times New Roman" w:hAnsi="Times New Roman" w:cs="Times New Roman"/>
          <w:sz w:val="24"/>
        </w:rPr>
      </w:pPr>
      <w:r>
        <w:rPr>
          <w:rFonts w:hint="eastAsia" w:ascii="Times New Roman" w:hAnsi="Times New Roman" w:cs="Times New Roman"/>
          <w:sz w:val="24"/>
        </w:rPr>
        <w:t xml:space="preserve">R: </w:t>
      </w:r>
      <w:r>
        <w:rPr>
          <w:rFonts w:ascii="Times New Roman" w:hAnsi="Times New Roman" w:cs="Times New Roman"/>
          <w:sz w:val="24"/>
        </w:rPr>
        <w:t>What do you think of NS’s grammar</w:t>
      </w:r>
      <w:r>
        <w:rPr>
          <w:rFonts w:hint="eastAsia" w:ascii="Times New Roman" w:hAnsi="Times New Roman" w:cs="Times New Roman"/>
          <w:sz w:val="24"/>
        </w:rPr>
        <w:t>?</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If we’re talking about speaking, I think fluency and accent are both important.</w:t>
      </w:r>
    </w:p>
    <w:p>
      <w:pPr>
        <w:widowControl/>
        <w:rPr>
          <w:rFonts w:ascii="Times New Roman" w:hAnsi="Times New Roman" w:cs="Times New Roman"/>
          <w:sz w:val="24"/>
        </w:rPr>
      </w:pPr>
      <w:r>
        <w:rPr>
          <w:rFonts w:hint="eastAsia" w:ascii="Times New Roman" w:hAnsi="Times New Roman" w:cs="Times New Roman"/>
          <w:sz w:val="24"/>
        </w:rPr>
        <w:t>R: So, how would you see NS grammar?</w:t>
      </w:r>
    </w:p>
    <w:p>
      <w:pPr>
        <w:widowControl/>
        <w:rPr>
          <w:rFonts w:ascii="Times New Roman" w:hAnsi="Times New Roman" w:cs="Times New Roman"/>
          <w:sz w:val="24"/>
        </w:rPr>
      </w:pPr>
      <w:r>
        <w:rPr>
          <w:rFonts w:hint="eastAsia" w:ascii="Times New Roman" w:hAnsi="Times New Roman" w:cs="Times New Roman"/>
          <w:sz w:val="24"/>
        </w:rPr>
        <w:t>T: Without errors. Unless they have spent a significant amount of time living abroad, those studying English as a foreign language are less prone to make such blunders.</w:t>
      </w:r>
    </w:p>
    <w:p>
      <w:pPr>
        <w:widowControl/>
        <w:rPr>
          <w:rFonts w:ascii="Times New Roman" w:hAnsi="Times New Roman" w:cs="Times New Roman"/>
          <w:sz w:val="24"/>
        </w:rPr>
      </w:pPr>
      <w:r>
        <w:rPr>
          <w:rFonts w:hint="eastAsia" w:ascii="Times New Roman" w:hAnsi="Times New Roman" w:cs="Times New Roman"/>
          <w:sz w:val="24"/>
        </w:rPr>
        <w:t>R: Which element do you believe makes it simpler to meet the standard?</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 xml:space="preserve">I </w:t>
      </w:r>
      <w:r>
        <w:rPr>
          <w:rFonts w:hint="eastAsia" w:ascii="Times New Roman" w:hAnsi="Times New Roman" w:cs="Times New Roman"/>
          <w:sz w:val="24"/>
        </w:rPr>
        <w:t>am</w:t>
      </w:r>
      <w:r>
        <w:rPr>
          <w:rFonts w:ascii="Times New Roman" w:hAnsi="Times New Roman" w:cs="Times New Roman"/>
          <w:sz w:val="24"/>
        </w:rPr>
        <w:t xml:space="preserve"> </w:t>
      </w:r>
      <w:r>
        <w:rPr>
          <w:rFonts w:hint="eastAsia" w:ascii="Times New Roman" w:hAnsi="Times New Roman" w:cs="Times New Roman"/>
          <w:sz w:val="24"/>
        </w:rPr>
        <w:t>not</w:t>
      </w:r>
      <w:r>
        <w:rPr>
          <w:rFonts w:ascii="Times New Roman" w:hAnsi="Times New Roman" w:cs="Times New Roman"/>
          <w:sz w:val="24"/>
        </w:rPr>
        <w:t xml:space="preserve"> </w:t>
      </w:r>
      <w:r>
        <w:rPr>
          <w:rFonts w:hint="eastAsia" w:ascii="Times New Roman" w:hAnsi="Times New Roman" w:cs="Times New Roman"/>
          <w:sz w:val="24"/>
        </w:rPr>
        <w:t>sure.</w:t>
      </w:r>
    </w:p>
    <w:p>
      <w:pPr>
        <w:widowControl/>
        <w:rPr>
          <w:rFonts w:ascii="Times New Roman" w:hAnsi="Times New Roman" w:cs="Times New Roman"/>
          <w:sz w:val="24"/>
        </w:rPr>
      </w:pPr>
      <w:r>
        <w:rPr>
          <w:rFonts w:hint="eastAsia" w:ascii="Times New Roman" w:hAnsi="Times New Roman" w:cs="Times New Roman"/>
          <w:sz w:val="24"/>
        </w:rPr>
        <w:t>R: So, w</w:t>
      </w:r>
      <w:r>
        <w:rPr>
          <w:rFonts w:ascii="Times New Roman" w:hAnsi="Times New Roman" w:cs="Times New Roman"/>
          <w:sz w:val="24"/>
        </w:rPr>
        <w:t xml:space="preserve">hich do you think is more useful? </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Definitely pronunciation. Because poor pronunciation affects whether people can understand you or not, but grammar doesn’t. And many native speakers don’t care about grammar.</w:t>
      </w:r>
    </w:p>
    <w:p>
      <w:pPr>
        <w:widowControl/>
        <w:rPr>
          <w:rFonts w:ascii="Times New Roman" w:hAnsi="Times New Roman" w:cs="Times New Roman"/>
          <w:sz w:val="24"/>
        </w:rPr>
      </w:pPr>
      <w:r>
        <w:rPr>
          <w:rFonts w:hint="eastAsia" w:ascii="Times New Roman" w:hAnsi="Times New Roman" w:cs="Times New Roman"/>
          <w:sz w:val="24"/>
        </w:rPr>
        <w:t>R: Overall, intelligibility is important to you, correct?</w:t>
      </w:r>
    </w:p>
    <w:p>
      <w:pPr>
        <w:widowControl/>
        <w:rPr>
          <w:rFonts w:ascii="Times New Roman" w:hAnsi="Times New Roman" w:cs="Times New Roman"/>
          <w:sz w:val="24"/>
        </w:rPr>
      </w:pPr>
      <w:r>
        <w:rPr>
          <w:rFonts w:hint="eastAsia" w:ascii="Times New Roman" w:hAnsi="Times New Roman" w:cs="Times New Roman"/>
          <w:sz w:val="24"/>
        </w:rPr>
        <w:t>T: Yes.</w:t>
      </w:r>
    </w:p>
    <w:p>
      <w:pPr>
        <w:widowControl/>
        <w:rPr>
          <w:rFonts w:ascii="Times New Roman" w:hAnsi="Times New Roman" w:cs="Times New Roman"/>
          <w:sz w:val="24"/>
        </w:rPr>
      </w:pPr>
      <w:r>
        <w:rPr>
          <w:rFonts w:hint="eastAsia" w:ascii="Times New Roman" w:hAnsi="Times New Roman" w:cs="Times New Roman"/>
          <w:sz w:val="24"/>
        </w:rPr>
        <w:t xml:space="preserve">R: </w:t>
      </w:r>
      <w:r>
        <w:rPr>
          <w:rFonts w:ascii="Times New Roman" w:hAnsi="Times New Roman" w:cs="Times New Roman"/>
          <w:sz w:val="24"/>
        </w:rPr>
        <w:t>As a learner, what kind of English do you think your teacher teaches you?</w:t>
      </w:r>
    </w:p>
    <w:p>
      <w:pPr>
        <w:widowControl/>
        <w:rPr>
          <w:rFonts w:ascii="Times New Roman" w:hAnsi="Times New Roman" w:cs="Times New Roman"/>
          <w:sz w:val="24"/>
        </w:rPr>
      </w:pPr>
      <w:r>
        <w:rPr>
          <w:rFonts w:hint="eastAsia" w:ascii="Times New Roman" w:hAnsi="Times New Roman" w:cs="Times New Roman"/>
          <w:sz w:val="24"/>
        </w:rPr>
        <w:t>T: emm</w:t>
      </w:r>
      <w:r>
        <w:rPr>
          <w:rFonts w:ascii="Times New Roman" w:hAnsi="Times New Roman" w:cs="Times New Roman"/>
          <w:sz w:val="24"/>
        </w:rPr>
        <w:t>… M</w:t>
      </w:r>
      <w:r>
        <w:rPr>
          <w:rFonts w:hint="eastAsia" w:ascii="Times New Roman" w:hAnsi="Times New Roman" w:cs="Times New Roman"/>
          <w:sz w:val="24"/>
        </w:rPr>
        <w:t>aybe</w:t>
      </w:r>
      <w:r>
        <w:rPr>
          <w:rFonts w:ascii="Times New Roman" w:hAnsi="Times New Roman" w:cs="Times New Roman"/>
          <w:sz w:val="24"/>
        </w:rPr>
        <w:t xml:space="preserve"> </w:t>
      </w:r>
      <w:r>
        <w:rPr>
          <w:rFonts w:hint="eastAsia" w:ascii="Times New Roman" w:hAnsi="Times New Roman" w:cs="Times New Roman"/>
          <w:sz w:val="24"/>
        </w:rPr>
        <w:t xml:space="preserve">Chinglish. </w:t>
      </w:r>
      <w:r>
        <w:rPr>
          <w:rFonts w:ascii="Times New Roman" w:hAnsi="Times New Roman" w:cs="Times New Roman"/>
          <w:sz w:val="24"/>
        </w:rPr>
        <w:t>But one of my favourite teachers used to teach NSE because he spent a lot of time overseas.</w:t>
      </w:r>
    </w:p>
    <w:p>
      <w:pPr>
        <w:widowControl/>
        <w:rPr>
          <w:rFonts w:ascii="Times New Roman" w:hAnsi="Times New Roman" w:cs="Times New Roman"/>
          <w:sz w:val="24"/>
        </w:rPr>
      </w:pPr>
      <w:r>
        <w:rPr>
          <w:rFonts w:ascii="Times New Roman" w:hAnsi="Times New Roman" w:cs="Times New Roman"/>
          <w:sz w:val="24"/>
        </w:rPr>
        <w:t>R: Would you use NSE in your future classroom?</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I don’t know if I can do it because it seems like most English learners in China are test-taking oriented</w:t>
      </w:r>
      <w:r>
        <w:rPr>
          <w:rFonts w:hint="eastAsia" w:ascii="Times New Roman" w:hAnsi="Times New Roman" w:cs="Times New Roman"/>
          <w:sz w:val="24"/>
        </w:rPr>
        <w:t>.</w:t>
      </w:r>
    </w:p>
    <w:p>
      <w:pPr>
        <w:widowControl/>
        <w:rPr>
          <w:rFonts w:ascii="Times New Roman" w:hAnsi="Times New Roman" w:cs="Times New Roman"/>
          <w:sz w:val="24"/>
        </w:rPr>
      </w:pPr>
      <w:r>
        <w:rPr>
          <w:rFonts w:hint="eastAsia" w:ascii="Times New Roman" w:hAnsi="Times New Roman" w:cs="Times New Roman"/>
          <w:sz w:val="24"/>
        </w:rPr>
        <w:t xml:space="preserve">R: </w:t>
      </w:r>
      <w:r>
        <w:rPr>
          <w:rFonts w:ascii="Times New Roman" w:hAnsi="Times New Roman" w:cs="Times New Roman"/>
          <w:sz w:val="24"/>
        </w:rPr>
        <w:t xml:space="preserve">Do you already have teaching </w:t>
      </w:r>
      <w:r>
        <w:rPr>
          <w:rFonts w:hint="eastAsia" w:ascii="Times New Roman" w:hAnsi="Times New Roman" w:cs="Times New Roman"/>
          <w:sz w:val="24"/>
        </w:rPr>
        <w:t>plans</w:t>
      </w:r>
      <w:r>
        <w:rPr>
          <w:rFonts w:ascii="Times New Roman" w:hAnsi="Times New Roman" w:cs="Times New Roman"/>
          <w:sz w:val="24"/>
        </w:rPr>
        <w:t xml:space="preserve"> </w:t>
      </w:r>
      <w:r>
        <w:rPr>
          <w:rFonts w:hint="eastAsia" w:ascii="Times New Roman" w:hAnsi="Times New Roman" w:cs="Times New Roman"/>
          <w:sz w:val="24"/>
        </w:rPr>
        <w:t xml:space="preserve">or </w:t>
      </w:r>
      <w:r>
        <w:rPr>
          <w:rFonts w:ascii="Times New Roman" w:hAnsi="Times New Roman" w:cs="Times New Roman"/>
          <w:sz w:val="24"/>
        </w:rPr>
        <w:t>objectives?</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O</w:t>
      </w:r>
      <w:r>
        <w:rPr>
          <w:rFonts w:hint="eastAsia" w:ascii="Times New Roman" w:hAnsi="Times New Roman" w:cs="Times New Roman"/>
          <w:sz w:val="24"/>
        </w:rPr>
        <w:t>f</w:t>
      </w:r>
      <w:r>
        <w:rPr>
          <w:rFonts w:ascii="Times New Roman" w:hAnsi="Times New Roman" w:cs="Times New Roman"/>
          <w:sz w:val="24"/>
        </w:rPr>
        <w:t xml:space="preserve"> </w:t>
      </w:r>
      <w:r>
        <w:rPr>
          <w:rFonts w:hint="eastAsia" w:ascii="Times New Roman" w:hAnsi="Times New Roman" w:cs="Times New Roman"/>
          <w:sz w:val="24"/>
        </w:rPr>
        <w:t>course.</w:t>
      </w:r>
    </w:p>
    <w:p>
      <w:pPr>
        <w:widowControl/>
        <w:rPr>
          <w:rFonts w:ascii="Times New Roman" w:hAnsi="Times New Roman" w:cs="Times New Roman"/>
          <w:sz w:val="24"/>
        </w:rPr>
      </w:pPr>
      <w:r>
        <w:rPr>
          <w:rFonts w:hint="eastAsia" w:ascii="Times New Roman" w:hAnsi="Times New Roman" w:cs="Times New Roman"/>
          <w:sz w:val="24"/>
        </w:rPr>
        <w:t xml:space="preserve">R: </w:t>
      </w:r>
      <w:r>
        <w:rPr>
          <w:rFonts w:ascii="Times New Roman" w:hAnsi="Times New Roman" w:cs="Times New Roman"/>
          <w:sz w:val="24"/>
        </w:rPr>
        <w:t>Do you use NSE to evaluate students’ English proficiency?</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V</w:t>
      </w:r>
      <w:r>
        <w:rPr>
          <w:rFonts w:hint="eastAsia" w:ascii="Times New Roman" w:hAnsi="Times New Roman" w:cs="Times New Roman"/>
          <w:sz w:val="24"/>
        </w:rPr>
        <w:t>ery</w:t>
      </w:r>
      <w:r>
        <w:rPr>
          <w:rFonts w:ascii="Times New Roman" w:hAnsi="Times New Roman" w:cs="Times New Roman"/>
          <w:sz w:val="24"/>
        </w:rPr>
        <w:t xml:space="preserve"> </w:t>
      </w:r>
      <w:r>
        <w:rPr>
          <w:rFonts w:hint="eastAsia" w:ascii="Times New Roman" w:hAnsi="Times New Roman" w:cs="Times New Roman"/>
          <w:sz w:val="24"/>
        </w:rPr>
        <w:t>likely. Particularly in pronunciation. since it</w:t>
      </w:r>
      <w:r>
        <w:rPr>
          <w:rFonts w:ascii="Times New Roman" w:hAnsi="Times New Roman" w:cs="Times New Roman"/>
          <w:sz w:val="24"/>
        </w:rPr>
        <w:t>’</w:t>
      </w:r>
      <w:r>
        <w:rPr>
          <w:rFonts w:hint="eastAsia" w:ascii="Times New Roman" w:hAnsi="Times New Roman" w:cs="Times New Roman"/>
          <w:sz w:val="24"/>
        </w:rPr>
        <w:t xml:space="preserve">s important in Chinese situations since it conveys the initial impression as well as your English skills. </w:t>
      </w:r>
    </w:p>
    <w:p>
      <w:pPr>
        <w:widowControl/>
        <w:rPr>
          <w:rFonts w:ascii="Times New Roman" w:hAnsi="Times New Roman" w:cs="Times New Roman"/>
          <w:sz w:val="24"/>
        </w:rPr>
      </w:pPr>
      <w:r>
        <w:rPr>
          <w:rFonts w:hint="eastAsia" w:ascii="Times New Roman" w:hAnsi="Times New Roman" w:cs="Times New Roman"/>
          <w:sz w:val="24"/>
        </w:rPr>
        <w:t>R: Could you explain in terms of language elements?</w:t>
      </w:r>
    </w:p>
    <w:p>
      <w:pPr>
        <w:widowControl/>
        <w:rPr>
          <w:rFonts w:ascii="Times New Roman" w:hAnsi="Times New Roman" w:cs="Times New Roman"/>
          <w:sz w:val="24"/>
        </w:rPr>
      </w:pPr>
      <w:r>
        <w:rPr>
          <w:rFonts w:hint="eastAsia" w:ascii="Times New Roman" w:hAnsi="Times New Roman" w:cs="Times New Roman"/>
          <w:sz w:val="24"/>
        </w:rPr>
        <w:t>I: You can</w:t>
      </w:r>
      <w:r>
        <w:rPr>
          <w:rFonts w:ascii="Times New Roman" w:hAnsi="Times New Roman" w:cs="Times New Roman"/>
          <w:sz w:val="24"/>
        </w:rPr>
        <w:t>’</w:t>
      </w:r>
      <w:r>
        <w:rPr>
          <w:rFonts w:hint="eastAsia" w:ascii="Times New Roman" w:hAnsi="Times New Roman" w:cs="Times New Roman"/>
          <w:sz w:val="24"/>
        </w:rPr>
        <w:t>t have too many errors in your sentences, and lexical precision is also important.</w:t>
      </w:r>
    </w:p>
    <w:p>
      <w:pPr>
        <w:widowControl/>
        <w:rPr>
          <w:rFonts w:ascii="Times New Roman" w:hAnsi="Times New Roman" w:cs="Times New Roman"/>
          <w:sz w:val="24"/>
        </w:rPr>
      </w:pPr>
      <w:r>
        <w:rPr>
          <w:rFonts w:hint="eastAsia" w:ascii="Times New Roman" w:hAnsi="Times New Roman" w:cs="Times New Roman"/>
          <w:sz w:val="24"/>
        </w:rPr>
        <w:t xml:space="preserve">R: </w:t>
      </w:r>
      <w:r>
        <w:rPr>
          <w:rFonts w:ascii="Times New Roman" w:hAnsi="Times New Roman" w:cs="Times New Roman"/>
          <w:sz w:val="24"/>
        </w:rPr>
        <w:t>You didn’t actually study NSE during your previous studies, but you expect to teach students about it and why</w:t>
      </w:r>
      <w:r>
        <w:rPr>
          <w:rFonts w:hint="eastAsia" w:ascii="Times New Roman" w:hAnsi="Times New Roman" w:cs="Times New Roman"/>
          <w:sz w:val="24"/>
        </w:rPr>
        <w:t>?</w:t>
      </w:r>
    </w:p>
    <w:p>
      <w:pPr>
        <w:widowControl/>
        <w:rPr>
          <w:rFonts w:ascii="Times New Roman" w:hAnsi="Times New Roman" w:cs="Times New Roman"/>
          <w:sz w:val="24"/>
        </w:rPr>
      </w:pPr>
      <w:r>
        <w:rPr>
          <w:rFonts w:hint="eastAsia" w:ascii="Times New Roman" w:hAnsi="Times New Roman" w:cs="Times New Roman"/>
          <w:sz w:val="24"/>
        </w:rPr>
        <w:t xml:space="preserve">T: </w:t>
      </w:r>
      <w:r>
        <w:rPr>
          <w:rFonts w:ascii="Times New Roman" w:hAnsi="Times New Roman" w:cs="Times New Roman"/>
          <w:sz w:val="24"/>
        </w:rPr>
        <w:t>Because I think it’s more effective than what I’ve received before.</w:t>
      </w:r>
    </w:p>
    <w:p>
      <w:pPr>
        <w:widowControl/>
        <w:rPr>
          <w:rFonts w:ascii="Times New Roman" w:hAnsi="Times New Roman" w:cs="Times New Roman"/>
          <w:sz w:val="24"/>
        </w:rPr>
      </w:pPr>
    </w:p>
    <w:p>
      <w:pPr>
        <w:widowControl/>
        <w:rPr>
          <w:rFonts w:ascii="Times New Roman" w:hAnsi="Times New Roman" w:cs="Times New Roman"/>
          <w:sz w:val="24"/>
        </w:rPr>
      </w:pPr>
    </w:p>
    <w:p>
      <w:pPr>
        <w:pStyle w:val="38"/>
        <w:jc w:val="both"/>
        <w:rPr>
          <w:position w:val="21"/>
        </w:rPr>
      </w:pPr>
      <w:bookmarkStart w:id="503" w:name="_Toc158754015"/>
      <w:r>
        <w:rPr>
          <w:lang w:bidi="ar"/>
        </w:rPr>
        <w:t>Appendix 4:</w:t>
      </w:r>
      <w:r>
        <w:rPr>
          <w:spacing w:val="-14"/>
          <w:lang w:bidi="ar"/>
        </w:rPr>
        <w:t xml:space="preserve"> </w:t>
      </w:r>
      <w:r>
        <w:rPr>
          <w:lang w:bidi="ar"/>
        </w:rPr>
        <w:t>An Example of C</w:t>
      </w:r>
      <w:r>
        <w:rPr>
          <w:rFonts w:hint="eastAsia"/>
          <w:lang w:bidi="ar"/>
        </w:rPr>
        <w:t>onsent</w:t>
      </w:r>
      <w:r>
        <w:rPr>
          <w:lang w:bidi="ar"/>
        </w:rPr>
        <w:t xml:space="preserve"> F</w:t>
      </w:r>
      <w:r>
        <w:rPr>
          <w:rFonts w:hint="eastAsia"/>
          <w:lang w:bidi="ar"/>
        </w:rPr>
        <w:t>orm</w:t>
      </w:r>
      <w:r>
        <w:rPr>
          <w:lang w:bidi="ar"/>
        </w:rPr>
        <w:t xml:space="preserve"> </w:t>
      </w:r>
      <w:r>
        <w:rPr>
          <w:rFonts w:hint="eastAsia"/>
          <w:lang w:bidi="ar"/>
        </w:rPr>
        <w:t>for</w:t>
      </w:r>
      <w:r>
        <w:rPr>
          <w:lang w:bidi="ar"/>
        </w:rPr>
        <w:t xml:space="preserve"> P</w:t>
      </w:r>
      <w:r>
        <w:rPr>
          <w:rFonts w:hint="eastAsia"/>
          <w:lang w:bidi="ar"/>
        </w:rPr>
        <w:t>articipants</w:t>
      </w:r>
      <w:bookmarkEnd w:id="503"/>
    </w:p>
    <w:p>
      <w:r>
        <w:drawing>
          <wp:inline distT="0" distB="0" distL="0" distR="0">
            <wp:extent cx="5296535" cy="5076825"/>
            <wp:effectExtent l="0" t="0" r="12065"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a:stretch>
                      <a:fillRect/>
                    </a:stretch>
                  </pic:blipFill>
                  <pic:spPr>
                    <a:xfrm>
                      <a:off x="0" y="0"/>
                      <a:ext cx="5296535" cy="5076825"/>
                    </a:xfrm>
                    <a:prstGeom prst="rect">
                      <a:avLst/>
                    </a:prstGeom>
                  </pic:spPr>
                </pic:pic>
              </a:graphicData>
            </a:graphic>
          </wp:inline>
        </w:drawing>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ahoma">
    <w:panose1 w:val="020B0604030504040204"/>
    <w:charset w:val="00"/>
    <w:family w:val="swiss"/>
    <w:pitch w:val="default"/>
    <w:sig w:usb0="00000000" w:usb1="00000000" w:usb2="00000000" w:usb3="00000000" w:csb0="00000000" w:csb1="00000000"/>
  </w:font>
  <w:font w:name="Book Antiqua">
    <w:altName w:val="苹方-简"/>
    <w:panose1 w:val="02040602050305030304"/>
    <w:charset w:val="00"/>
    <w:family w:val="roman"/>
    <w:pitch w:val="default"/>
    <w:sig w:usb0="00000000" w:usb1="00000000" w:usb2="00000000" w:usb3="00000000" w:csb0="0000009F" w:csb1="00000000"/>
  </w:font>
  <w:font w:name="苹方-简">
    <w:panose1 w:val="020B0400000000000000"/>
    <w:charset w:val="86"/>
    <w:family w:val="auto"/>
    <w:pitch w:val="default"/>
    <w:sig w:usb0="00000000" w:usb1="00000000" w:usb2="00000000" w:usb3="00000000" w:csb0="00160000" w:csb1="00000000"/>
  </w:font>
  <w:font w:name="Times New Roman Regular">
    <w:panose1 w:val="02020603050405020304"/>
    <w:charset w:val="00"/>
    <w:family w:val="roman"/>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2000000" w:usb3="00000000" w:csb0="0000019F" w:csb1="00000000"/>
  </w:font>
  <w:font w:name="Kingsoft Math">
    <w:panose1 w:val="02040503050406030204"/>
    <w:charset w:val="00"/>
    <w:family w:val="auto"/>
    <w:pitch w:val="default"/>
    <w:sig w:usb0="00000000" w:usb1="00000000" w:usb2="00000000" w:usb3="00000000" w:csb0="00000000"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Toppan Bunkyu Gothic"/>
    <w:panose1 w:val="020B0609070205080204"/>
    <w:charset w:val="80"/>
    <w:family w:val="modern"/>
    <w:pitch w:val="default"/>
    <w:sig w:usb0="00000000" w:usb1="00000000" w:usb2="08000012" w:usb3="00000000" w:csb0="0002009F" w:csb1="00000000"/>
  </w:font>
  <w:font w:name="Toppan Bunkyu Gothic">
    <w:panose1 w:val="020B04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Courier New">
    <w:panose1 w:val="02070309020205020404"/>
    <w:charset w:val="00"/>
    <w:family w:val="modern"/>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Arial Unicode MS">
    <w:panose1 w:val="020B0604020202020204"/>
    <w:charset w:val="86"/>
    <w:family w:val="auto"/>
    <w:pitch w:val="default"/>
    <w:sig w:usb0="00000000" w:usb1="00000000" w:usb2="00000000" w:usb3="00000000" w:csb0="003E0000" w:csb1="00000000"/>
  </w:font>
  <w:font w:name="汉仪中黑KW">
    <w:panose1 w:val="0002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71" w:lineRule="auto"/>
      <w:ind w:left="4088"/>
      <w:rPr>
        <w:rFonts w:ascii="宋体" w:hAnsi="宋体" w:eastAsia="宋体" w:cs="宋体"/>
        <w:sz w:val="18"/>
        <w:szCs w:val="18"/>
      </w:rPr>
    </w:pPr>
    <w:r>
      <w:rPr>
        <w:rFonts w:ascii="宋体" w:hAnsi="宋体" w:eastAsia="宋体" w:cs="宋体"/>
        <w:spacing w:val="-3"/>
        <w:sz w:val="18"/>
        <w:szCs w:val="18"/>
      </w:rPr>
      <w:t>51</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55008F"/>
    <w:multiLevelType w:val="singleLevel"/>
    <w:tmpl w:val="B155008F"/>
    <w:lvl w:ilvl="0" w:tentative="0">
      <w:start w:val="1"/>
      <w:numFmt w:val="bullet"/>
      <w:lvlText w:val=""/>
      <w:lvlJc w:val="left"/>
      <w:pPr>
        <w:ind w:left="420" w:hanging="420"/>
      </w:pPr>
      <w:rPr>
        <w:rFonts w:hint="default" w:ascii="Wingdings" w:hAnsi="Wingdings"/>
      </w:rPr>
    </w:lvl>
  </w:abstractNum>
  <w:abstractNum w:abstractNumId="1">
    <w:nsid w:val="FDE7FE1A"/>
    <w:multiLevelType w:val="singleLevel"/>
    <w:tmpl w:val="FDE7FE1A"/>
    <w:lvl w:ilvl="0" w:tentative="0">
      <w:start w:val="1"/>
      <w:numFmt w:val="bullet"/>
      <w:lvlText w:val=""/>
      <w:lvlJc w:val="left"/>
      <w:pPr>
        <w:ind w:left="420" w:hanging="420"/>
      </w:pPr>
      <w:rPr>
        <w:rFonts w:hint="default" w:ascii="Wingdings" w:hAnsi="Wingdings"/>
      </w:rPr>
    </w:lvl>
  </w:abstractNum>
  <w:abstractNum w:abstractNumId="2">
    <w:nsid w:val="5A135FE9"/>
    <w:multiLevelType w:val="multilevel"/>
    <w:tmpl w:val="5A135FE9"/>
    <w:lvl w:ilvl="0" w:tentative="0">
      <w:start w:val="1"/>
      <w:numFmt w:val="decimal"/>
      <w:lvlText w:val="%1."/>
      <w:lvlJc w:val="left"/>
      <w:pPr>
        <w:ind w:left="560" w:hanging="360"/>
      </w:pPr>
      <w:rPr>
        <w:rFonts w:hint="default"/>
        <w:color w:val="000000" w:themeColor="text1"/>
        <w14:textFill>
          <w14:solidFill>
            <w14:schemeClr w14:val="tx1"/>
          </w14:solidFill>
        </w14:textFill>
      </w:rPr>
    </w:lvl>
    <w:lvl w:ilvl="1" w:tentative="0">
      <w:start w:val="1"/>
      <w:numFmt w:val="lowerLetter"/>
      <w:lvlText w:val="%2)"/>
      <w:lvlJc w:val="left"/>
      <w:pPr>
        <w:ind w:left="1040" w:hanging="420"/>
      </w:pPr>
    </w:lvl>
    <w:lvl w:ilvl="2" w:tentative="0">
      <w:start w:val="1"/>
      <w:numFmt w:val="lowerRoman"/>
      <w:lvlText w:val="%3."/>
      <w:lvlJc w:val="right"/>
      <w:pPr>
        <w:ind w:left="1460" w:hanging="420"/>
      </w:pPr>
    </w:lvl>
    <w:lvl w:ilvl="3" w:tentative="0">
      <w:start w:val="1"/>
      <w:numFmt w:val="decimal"/>
      <w:lvlText w:val="%4."/>
      <w:lvlJc w:val="left"/>
      <w:pPr>
        <w:ind w:left="1880" w:hanging="420"/>
      </w:pPr>
    </w:lvl>
    <w:lvl w:ilvl="4" w:tentative="0">
      <w:start w:val="1"/>
      <w:numFmt w:val="lowerLetter"/>
      <w:lvlText w:val="%5)"/>
      <w:lvlJc w:val="left"/>
      <w:pPr>
        <w:ind w:left="2300" w:hanging="420"/>
      </w:pPr>
    </w:lvl>
    <w:lvl w:ilvl="5" w:tentative="0">
      <w:start w:val="1"/>
      <w:numFmt w:val="lowerRoman"/>
      <w:lvlText w:val="%6."/>
      <w:lvlJc w:val="right"/>
      <w:pPr>
        <w:ind w:left="2720" w:hanging="420"/>
      </w:pPr>
    </w:lvl>
    <w:lvl w:ilvl="6" w:tentative="0">
      <w:start w:val="1"/>
      <w:numFmt w:val="decimal"/>
      <w:lvlText w:val="%7."/>
      <w:lvlJc w:val="left"/>
      <w:pPr>
        <w:ind w:left="3140" w:hanging="420"/>
      </w:pPr>
    </w:lvl>
    <w:lvl w:ilvl="7" w:tentative="0">
      <w:start w:val="1"/>
      <w:numFmt w:val="lowerLetter"/>
      <w:lvlText w:val="%8)"/>
      <w:lvlJc w:val="left"/>
      <w:pPr>
        <w:ind w:left="3560" w:hanging="420"/>
      </w:pPr>
    </w:lvl>
    <w:lvl w:ilvl="8" w:tentative="0">
      <w:start w:val="1"/>
      <w:numFmt w:val="lowerRoman"/>
      <w:lvlText w:val="%9."/>
      <w:lvlJc w:val="right"/>
      <w:pPr>
        <w:ind w:left="3980" w:hanging="420"/>
      </w:pPr>
    </w:lvl>
  </w:abstractNum>
  <w:abstractNum w:abstractNumId="3">
    <w:nsid w:val="77972E9F"/>
    <w:multiLevelType w:val="multilevel"/>
    <w:tmpl w:val="77972E9F"/>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FEB7C165"/>
    <w:rsid w:val="000008ED"/>
    <w:rsid w:val="0000186C"/>
    <w:rsid w:val="0000403E"/>
    <w:rsid w:val="000075C1"/>
    <w:rsid w:val="00010D45"/>
    <w:rsid w:val="00010F8C"/>
    <w:rsid w:val="00015F40"/>
    <w:rsid w:val="0002048A"/>
    <w:rsid w:val="000215F9"/>
    <w:rsid w:val="00022668"/>
    <w:rsid w:val="00023C66"/>
    <w:rsid w:val="00025857"/>
    <w:rsid w:val="000277B1"/>
    <w:rsid w:val="000317A4"/>
    <w:rsid w:val="00032AC5"/>
    <w:rsid w:val="000332F9"/>
    <w:rsid w:val="00033445"/>
    <w:rsid w:val="00033EA5"/>
    <w:rsid w:val="00034939"/>
    <w:rsid w:val="00035E51"/>
    <w:rsid w:val="000361AA"/>
    <w:rsid w:val="000407A5"/>
    <w:rsid w:val="0004211E"/>
    <w:rsid w:val="0004262E"/>
    <w:rsid w:val="000459AF"/>
    <w:rsid w:val="00046931"/>
    <w:rsid w:val="00046F02"/>
    <w:rsid w:val="0005631D"/>
    <w:rsid w:val="0005698E"/>
    <w:rsid w:val="00057931"/>
    <w:rsid w:val="00060169"/>
    <w:rsid w:val="00061C7F"/>
    <w:rsid w:val="00063D98"/>
    <w:rsid w:val="00066EDA"/>
    <w:rsid w:val="0006715D"/>
    <w:rsid w:val="00070C39"/>
    <w:rsid w:val="00071DAF"/>
    <w:rsid w:val="00073FAE"/>
    <w:rsid w:val="00081074"/>
    <w:rsid w:val="00082AEB"/>
    <w:rsid w:val="00082D14"/>
    <w:rsid w:val="00083105"/>
    <w:rsid w:val="00083847"/>
    <w:rsid w:val="00085FD6"/>
    <w:rsid w:val="00090E92"/>
    <w:rsid w:val="000919C2"/>
    <w:rsid w:val="00094571"/>
    <w:rsid w:val="000949B9"/>
    <w:rsid w:val="000949E4"/>
    <w:rsid w:val="00097CD5"/>
    <w:rsid w:val="000A1235"/>
    <w:rsid w:val="000A499A"/>
    <w:rsid w:val="000A68C7"/>
    <w:rsid w:val="000A6C39"/>
    <w:rsid w:val="000B0073"/>
    <w:rsid w:val="000B55F9"/>
    <w:rsid w:val="000B7E47"/>
    <w:rsid w:val="000C4D31"/>
    <w:rsid w:val="000C6F33"/>
    <w:rsid w:val="000C70D2"/>
    <w:rsid w:val="000C783D"/>
    <w:rsid w:val="000D0194"/>
    <w:rsid w:val="000D10F5"/>
    <w:rsid w:val="000D1139"/>
    <w:rsid w:val="000D1EF3"/>
    <w:rsid w:val="000D3485"/>
    <w:rsid w:val="000D3E4A"/>
    <w:rsid w:val="000D5E70"/>
    <w:rsid w:val="000E30A3"/>
    <w:rsid w:val="000E3DF2"/>
    <w:rsid w:val="000E4FC3"/>
    <w:rsid w:val="000E6B60"/>
    <w:rsid w:val="000F0350"/>
    <w:rsid w:val="000F0D78"/>
    <w:rsid w:val="000F0F36"/>
    <w:rsid w:val="000F0F3E"/>
    <w:rsid w:val="000F229A"/>
    <w:rsid w:val="000F7028"/>
    <w:rsid w:val="001003CC"/>
    <w:rsid w:val="00100EB9"/>
    <w:rsid w:val="00102240"/>
    <w:rsid w:val="00102F02"/>
    <w:rsid w:val="00104154"/>
    <w:rsid w:val="00104DCD"/>
    <w:rsid w:val="001054B2"/>
    <w:rsid w:val="00106123"/>
    <w:rsid w:val="00106213"/>
    <w:rsid w:val="00106423"/>
    <w:rsid w:val="001074DA"/>
    <w:rsid w:val="00107D72"/>
    <w:rsid w:val="001140AF"/>
    <w:rsid w:val="00114C58"/>
    <w:rsid w:val="001172B9"/>
    <w:rsid w:val="0012053D"/>
    <w:rsid w:val="00120A0E"/>
    <w:rsid w:val="00120FB6"/>
    <w:rsid w:val="00121A7C"/>
    <w:rsid w:val="00122C54"/>
    <w:rsid w:val="00123AC3"/>
    <w:rsid w:val="00124185"/>
    <w:rsid w:val="001244EF"/>
    <w:rsid w:val="00126ADF"/>
    <w:rsid w:val="00127E59"/>
    <w:rsid w:val="00131CAB"/>
    <w:rsid w:val="00131D6E"/>
    <w:rsid w:val="001355DA"/>
    <w:rsid w:val="00135A5B"/>
    <w:rsid w:val="00136CE9"/>
    <w:rsid w:val="00141EDC"/>
    <w:rsid w:val="001428AE"/>
    <w:rsid w:val="00143329"/>
    <w:rsid w:val="00144B83"/>
    <w:rsid w:val="00152516"/>
    <w:rsid w:val="0015255F"/>
    <w:rsid w:val="00157744"/>
    <w:rsid w:val="00160E79"/>
    <w:rsid w:val="001617B4"/>
    <w:rsid w:val="00162086"/>
    <w:rsid w:val="0016295B"/>
    <w:rsid w:val="001676D1"/>
    <w:rsid w:val="001714DE"/>
    <w:rsid w:val="00172045"/>
    <w:rsid w:val="001763D0"/>
    <w:rsid w:val="00181247"/>
    <w:rsid w:val="001846F3"/>
    <w:rsid w:val="001856CC"/>
    <w:rsid w:val="00187720"/>
    <w:rsid w:val="001907EC"/>
    <w:rsid w:val="00192983"/>
    <w:rsid w:val="001947C2"/>
    <w:rsid w:val="00195F64"/>
    <w:rsid w:val="00197514"/>
    <w:rsid w:val="0019752E"/>
    <w:rsid w:val="001A090D"/>
    <w:rsid w:val="001A61CE"/>
    <w:rsid w:val="001A6888"/>
    <w:rsid w:val="001A6898"/>
    <w:rsid w:val="001A75A2"/>
    <w:rsid w:val="001B2767"/>
    <w:rsid w:val="001B3D8D"/>
    <w:rsid w:val="001B46E9"/>
    <w:rsid w:val="001B4844"/>
    <w:rsid w:val="001B772F"/>
    <w:rsid w:val="001B77FE"/>
    <w:rsid w:val="001C1C21"/>
    <w:rsid w:val="001C2396"/>
    <w:rsid w:val="001C320B"/>
    <w:rsid w:val="001C4965"/>
    <w:rsid w:val="001C6871"/>
    <w:rsid w:val="001C6BC0"/>
    <w:rsid w:val="001C790F"/>
    <w:rsid w:val="001D12A6"/>
    <w:rsid w:val="001D454E"/>
    <w:rsid w:val="001D4922"/>
    <w:rsid w:val="001D5065"/>
    <w:rsid w:val="001D6912"/>
    <w:rsid w:val="001E3139"/>
    <w:rsid w:val="001E3836"/>
    <w:rsid w:val="001E70DB"/>
    <w:rsid w:val="001F10D3"/>
    <w:rsid w:val="001F35AD"/>
    <w:rsid w:val="001F39D7"/>
    <w:rsid w:val="001F441C"/>
    <w:rsid w:val="001F4699"/>
    <w:rsid w:val="001F49CF"/>
    <w:rsid w:val="001F4B11"/>
    <w:rsid w:val="001F59BE"/>
    <w:rsid w:val="001F5FB3"/>
    <w:rsid w:val="001F7183"/>
    <w:rsid w:val="00203815"/>
    <w:rsid w:val="00204490"/>
    <w:rsid w:val="00205F2A"/>
    <w:rsid w:val="0020783F"/>
    <w:rsid w:val="00210E87"/>
    <w:rsid w:val="00212477"/>
    <w:rsid w:val="002156EE"/>
    <w:rsid w:val="0021761B"/>
    <w:rsid w:val="00220935"/>
    <w:rsid w:val="0022142E"/>
    <w:rsid w:val="00226766"/>
    <w:rsid w:val="00230021"/>
    <w:rsid w:val="00231956"/>
    <w:rsid w:val="00236011"/>
    <w:rsid w:val="0023643F"/>
    <w:rsid w:val="002400DA"/>
    <w:rsid w:val="00245F39"/>
    <w:rsid w:val="00246CD5"/>
    <w:rsid w:val="00247856"/>
    <w:rsid w:val="0025037D"/>
    <w:rsid w:val="00250AE3"/>
    <w:rsid w:val="0025177D"/>
    <w:rsid w:val="002546FA"/>
    <w:rsid w:val="00260489"/>
    <w:rsid w:val="00260B59"/>
    <w:rsid w:val="00260D52"/>
    <w:rsid w:val="002629CB"/>
    <w:rsid w:val="00265503"/>
    <w:rsid w:val="00265B0A"/>
    <w:rsid w:val="002665E8"/>
    <w:rsid w:val="00266610"/>
    <w:rsid w:val="00266CDD"/>
    <w:rsid w:val="00272B1C"/>
    <w:rsid w:val="00273682"/>
    <w:rsid w:val="002739D6"/>
    <w:rsid w:val="002774DC"/>
    <w:rsid w:val="00280F9E"/>
    <w:rsid w:val="00281228"/>
    <w:rsid w:val="00281A13"/>
    <w:rsid w:val="002828DD"/>
    <w:rsid w:val="00285FBF"/>
    <w:rsid w:val="0028601F"/>
    <w:rsid w:val="0029065E"/>
    <w:rsid w:val="00296617"/>
    <w:rsid w:val="00296D3C"/>
    <w:rsid w:val="002A0CD0"/>
    <w:rsid w:val="002A1CBF"/>
    <w:rsid w:val="002A3CB3"/>
    <w:rsid w:val="002A4BDF"/>
    <w:rsid w:val="002A642F"/>
    <w:rsid w:val="002A6534"/>
    <w:rsid w:val="002A7CC6"/>
    <w:rsid w:val="002B5A25"/>
    <w:rsid w:val="002C00E5"/>
    <w:rsid w:val="002C21F7"/>
    <w:rsid w:val="002C22DE"/>
    <w:rsid w:val="002C40B4"/>
    <w:rsid w:val="002C41AC"/>
    <w:rsid w:val="002C42FE"/>
    <w:rsid w:val="002C56FE"/>
    <w:rsid w:val="002C68C4"/>
    <w:rsid w:val="002C6E7E"/>
    <w:rsid w:val="002D219F"/>
    <w:rsid w:val="002D49A3"/>
    <w:rsid w:val="002D49D7"/>
    <w:rsid w:val="002D5014"/>
    <w:rsid w:val="002D68BC"/>
    <w:rsid w:val="002D7439"/>
    <w:rsid w:val="002E001C"/>
    <w:rsid w:val="002E66F7"/>
    <w:rsid w:val="002E69A6"/>
    <w:rsid w:val="002F00D2"/>
    <w:rsid w:val="002F3730"/>
    <w:rsid w:val="002F4234"/>
    <w:rsid w:val="002F60FB"/>
    <w:rsid w:val="002F67CB"/>
    <w:rsid w:val="00300090"/>
    <w:rsid w:val="00300F92"/>
    <w:rsid w:val="00301896"/>
    <w:rsid w:val="00301CAC"/>
    <w:rsid w:val="003061D0"/>
    <w:rsid w:val="003064E2"/>
    <w:rsid w:val="003067E7"/>
    <w:rsid w:val="00306918"/>
    <w:rsid w:val="00307175"/>
    <w:rsid w:val="00315DAD"/>
    <w:rsid w:val="00317219"/>
    <w:rsid w:val="0031786B"/>
    <w:rsid w:val="00317E28"/>
    <w:rsid w:val="003307D1"/>
    <w:rsid w:val="00332C73"/>
    <w:rsid w:val="00334402"/>
    <w:rsid w:val="00336579"/>
    <w:rsid w:val="003405CB"/>
    <w:rsid w:val="0034162F"/>
    <w:rsid w:val="00352AF7"/>
    <w:rsid w:val="00352D4A"/>
    <w:rsid w:val="00353809"/>
    <w:rsid w:val="003575C7"/>
    <w:rsid w:val="00361541"/>
    <w:rsid w:val="0036304B"/>
    <w:rsid w:val="0036463E"/>
    <w:rsid w:val="00370CBD"/>
    <w:rsid w:val="003714D4"/>
    <w:rsid w:val="003732DD"/>
    <w:rsid w:val="003736A7"/>
    <w:rsid w:val="00373DC6"/>
    <w:rsid w:val="00374B24"/>
    <w:rsid w:val="00374FEC"/>
    <w:rsid w:val="00375BB3"/>
    <w:rsid w:val="00376DE7"/>
    <w:rsid w:val="00376F5B"/>
    <w:rsid w:val="0038030C"/>
    <w:rsid w:val="003810EE"/>
    <w:rsid w:val="003826CB"/>
    <w:rsid w:val="00382730"/>
    <w:rsid w:val="00384BE6"/>
    <w:rsid w:val="00387612"/>
    <w:rsid w:val="00390292"/>
    <w:rsid w:val="00394867"/>
    <w:rsid w:val="00395019"/>
    <w:rsid w:val="003975CB"/>
    <w:rsid w:val="00397DBA"/>
    <w:rsid w:val="003A1504"/>
    <w:rsid w:val="003A2025"/>
    <w:rsid w:val="003A6F16"/>
    <w:rsid w:val="003B2C1B"/>
    <w:rsid w:val="003B4BF3"/>
    <w:rsid w:val="003B6678"/>
    <w:rsid w:val="003B7E5B"/>
    <w:rsid w:val="003C274C"/>
    <w:rsid w:val="003C73AA"/>
    <w:rsid w:val="003C7D82"/>
    <w:rsid w:val="003D1942"/>
    <w:rsid w:val="003D1B24"/>
    <w:rsid w:val="003D2AD2"/>
    <w:rsid w:val="003D3914"/>
    <w:rsid w:val="003D5310"/>
    <w:rsid w:val="003D7F03"/>
    <w:rsid w:val="003E30CF"/>
    <w:rsid w:val="003E329E"/>
    <w:rsid w:val="003E3892"/>
    <w:rsid w:val="003E7AA5"/>
    <w:rsid w:val="003F00AE"/>
    <w:rsid w:val="003F5C6B"/>
    <w:rsid w:val="004005FB"/>
    <w:rsid w:val="00400B36"/>
    <w:rsid w:val="00403E84"/>
    <w:rsid w:val="00405188"/>
    <w:rsid w:val="00412A10"/>
    <w:rsid w:val="00412BFF"/>
    <w:rsid w:val="00413451"/>
    <w:rsid w:val="00413D39"/>
    <w:rsid w:val="00415304"/>
    <w:rsid w:val="00423302"/>
    <w:rsid w:val="00423AD8"/>
    <w:rsid w:val="00424CC5"/>
    <w:rsid w:val="00425310"/>
    <w:rsid w:val="00426EEB"/>
    <w:rsid w:val="00427D83"/>
    <w:rsid w:val="00432CAB"/>
    <w:rsid w:val="0043325C"/>
    <w:rsid w:val="00433B44"/>
    <w:rsid w:val="0043500A"/>
    <w:rsid w:val="00436C61"/>
    <w:rsid w:val="00437EF3"/>
    <w:rsid w:val="00440947"/>
    <w:rsid w:val="00440D8B"/>
    <w:rsid w:val="00446217"/>
    <w:rsid w:val="00447EF7"/>
    <w:rsid w:val="00453618"/>
    <w:rsid w:val="0045538F"/>
    <w:rsid w:val="004556EA"/>
    <w:rsid w:val="00466BA6"/>
    <w:rsid w:val="00471B51"/>
    <w:rsid w:val="00474605"/>
    <w:rsid w:val="00475846"/>
    <w:rsid w:val="00475FE1"/>
    <w:rsid w:val="004806E2"/>
    <w:rsid w:val="00480BC9"/>
    <w:rsid w:val="00482736"/>
    <w:rsid w:val="00483DB2"/>
    <w:rsid w:val="00485CC4"/>
    <w:rsid w:val="004865A4"/>
    <w:rsid w:val="004866E4"/>
    <w:rsid w:val="004927D7"/>
    <w:rsid w:val="00492FCC"/>
    <w:rsid w:val="004973DF"/>
    <w:rsid w:val="004A0624"/>
    <w:rsid w:val="004A1052"/>
    <w:rsid w:val="004A1801"/>
    <w:rsid w:val="004A1DEA"/>
    <w:rsid w:val="004A2C0A"/>
    <w:rsid w:val="004A4ABC"/>
    <w:rsid w:val="004B0434"/>
    <w:rsid w:val="004B17B0"/>
    <w:rsid w:val="004B427A"/>
    <w:rsid w:val="004B64B4"/>
    <w:rsid w:val="004C044B"/>
    <w:rsid w:val="004C0991"/>
    <w:rsid w:val="004C300C"/>
    <w:rsid w:val="004C7620"/>
    <w:rsid w:val="004D1BD3"/>
    <w:rsid w:val="004D2BDF"/>
    <w:rsid w:val="004D3982"/>
    <w:rsid w:val="004D74DF"/>
    <w:rsid w:val="004D7791"/>
    <w:rsid w:val="004E096E"/>
    <w:rsid w:val="004E1117"/>
    <w:rsid w:val="004E340A"/>
    <w:rsid w:val="004E5898"/>
    <w:rsid w:val="004F0E1D"/>
    <w:rsid w:val="004F0EEB"/>
    <w:rsid w:val="004F1139"/>
    <w:rsid w:val="004F1140"/>
    <w:rsid w:val="004F3BB5"/>
    <w:rsid w:val="004F5BB3"/>
    <w:rsid w:val="004F5EBA"/>
    <w:rsid w:val="004F6A73"/>
    <w:rsid w:val="004F76E5"/>
    <w:rsid w:val="00500029"/>
    <w:rsid w:val="00501491"/>
    <w:rsid w:val="00501E12"/>
    <w:rsid w:val="00504C20"/>
    <w:rsid w:val="00505423"/>
    <w:rsid w:val="00506AAA"/>
    <w:rsid w:val="00506BEE"/>
    <w:rsid w:val="0051117A"/>
    <w:rsid w:val="0051584A"/>
    <w:rsid w:val="005169B5"/>
    <w:rsid w:val="00521C25"/>
    <w:rsid w:val="005226F5"/>
    <w:rsid w:val="005235A9"/>
    <w:rsid w:val="005239A4"/>
    <w:rsid w:val="00531734"/>
    <w:rsid w:val="00531B35"/>
    <w:rsid w:val="005330B2"/>
    <w:rsid w:val="005331C9"/>
    <w:rsid w:val="0053494E"/>
    <w:rsid w:val="005354C3"/>
    <w:rsid w:val="00535F02"/>
    <w:rsid w:val="00537608"/>
    <w:rsid w:val="005407D1"/>
    <w:rsid w:val="005414EA"/>
    <w:rsid w:val="00542A6F"/>
    <w:rsid w:val="00542A9E"/>
    <w:rsid w:val="00544294"/>
    <w:rsid w:val="00544D4D"/>
    <w:rsid w:val="00547070"/>
    <w:rsid w:val="00550D89"/>
    <w:rsid w:val="0055267A"/>
    <w:rsid w:val="00552C05"/>
    <w:rsid w:val="0055429F"/>
    <w:rsid w:val="00560E07"/>
    <w:rsid w:val="00567D83"/>
    <w:rsid w:val="00567F14"/>
    <w:rsid w:val="00570FF3"/>
    <w:rsid w:val="005711AC"/>
    <w:rsid w:val="0057387E"/>
    <w:rsid w:val="00573A18"/>
    <w:rsid w:val="005740DA"/>
    <w:rsid w:val="00574321"/>
    <w:rsid w:val="00577661"/>
    <w:rsid w:val="005800E5"/>
    <w:rsid w:val="005830A2"/>
    <w:rsid w:val="00585B93"/>
    <w:rsid w:val="00586237"/>
    <w:rsid w:val="00587075"/>
    <w:rsid w:val="00590D08"/>
    <w:rsid w:val="00591332"/>
    <w:rsid w:val="00591720"/>
    <w:rsid w:val="005932B7"/>
    <w:rsid w:val="005932CF"/>
    <w:rsid w:val="00594E99"/>
    <w:rsid w:val="00597FAB"/>
    <w:rsid w:val="005A1A27"/>
    <w:rsid w:val="005A1AA3"/>
    <w:rsid w:val="005A1FFF"/>
    <w:rsid w:val="005A20A0"/>
    <w:rsid w:val="005A2FB6"/>
    <w:rsid w:val="005A37FE"/>
    <w:rsid w:val="005A4641"/>
    <w:rsid w:val="005A7CA8"/>
    <w:rsid w:val="005C0BB0"/>
    <w:rsid w:val="005C0FF5"/>
    <w:rsid w:val="005C6C4E"/>
    <w:rsid w:val="005D2C9F"/>
    <w:rsid w:val="005E4825"/>
    <w:rsid w:val="005E48D8"/>
    <w:rsid w:val="005E55A6"/>
    <w:rsid w:val="005F2F3E"/>
    <w:rsid w:val="005F5977"/>
    <w:rsid w:val="0060140F"/>
    <w:rsid w:val="00606192"/>
    <w:rsid w:val="006066B2"/>
    <w:rsid w:val="00610E59"/>
    <w:rsid w:val="00612D9A"/>
    <w:rsid w:val="0061378C"/>
    <w:rsid w:val="00613F38"/>
    <w:rsid w:val="00620DA8"/>
    <w:rsid w:val="00623984"/>
    <w:rsid w:val="00623CA7"/>
    <w:rsid w:val="006250E5"/>
    <w:rsid w:val="006252C7"/>
    <w:rsid w:val="00626827"/>
    <w:rsid w:val="0063214E"/>
    <w:rsid w:val="00633593"/>
    <w:rsid w:val="006336A7"/>
    <w:rsid w:val="00633DFE"/>
    <w:rsid w:val="00635BB7"/>
    <w:rsid w:val="00637166"/>
    <w:rsid w:val="00637FBA"/>
    <w:rsid w:val="00642446"/>
    <w:rsid w:val="006444D8"/>
    <w:rsid w:val="00644A29"/>
    <w:rsid w:val="00644AC8"/>
    <w:rsid w:val="00644CCC"/>
    <w:rsid w:val="006458E3"/>
    <w:rsid w:val="00645FEA"/>
    <w:rsid w:val="00647881"/>
    <w:rsid w:val="00647CDC"/>
    <w:rsid w:val="0065006A"/>
    <w:rsid w:val="006507A8"/>
    <w:rsid w:val="00650F15"/>
    <w:rsid w:val="006513CC"/>
    <w:rsid w:val="00655176"/>
    <w:rsid w:val="0065722A"/>
    <w:rsid w:val="0066048B"/>
    <w:rsid w:val="0067058D"/>
    <w:rsid w:val="00670664"/>
    <w:rsid w:val="0067087F"/>
    <w:rsid w:val="00670B98"/>
    <w:rsid w:val="00672390"/>
    <w:rsid w:val="006725FD"/>
    <w:rsid w:val="00674710"/>
    <w:rsid w:val="0067608A"/>
    <w:rsid w:val="00677F63"/>
    <w:rsid w:val="006806BB"/>
    <w:rsid w:val="00680DBB"/>
    <w:rsid w:val="00682A94"/>
    <w:rsid w:val="00684A3E"/>
    <w:rsid w:val="006867E2"/>
    <w:rsid w:val="00690677"/>
    <w:rsid w:val="00694CC7"/>
    <w:rsid w:val="00695731"/>
    <w:rsid w:val="00696F8E"/>
    <w:rsid w:val="006977A1"/>
    <w:rsid w:val="006A09D9"/>
    <w:rsid w:val="006A1FB4"/>
    <w:rsid w:val="006A21E9"/>
    <w:rsid w:val="006A5472"/>
    <w:rsid w:val="006A6076"/>
    <w:rsid w:val="006A737E"/>
    <w:rsid w:val="006A77E5"/>
    <w:rsid w:val="006B3675"/>
    <w:rsid w:val="006B3F90"/>
    <w:rsid w:val="006B5591"/>
    <w:rsid w:val="006C262F"/>
    <w:rsid w:val="006C2B68"/>
    <w:rsid w:val="006C2C87"/>
    <w:rsid w:val="006D528D"/>
    <w:rsid w:val="006D5A6F"/>
    <w:rsid w:val="006D7207"/>
    <w:rsid w:val="006D74BA"/>
    <w:rsid w:val="006E1DEB"/>
    <w:rsid w:val="006E2E4E"/>
    <w:rsid w:val="006E3CFC"/>
    <w:rsid w:val="006E3E69"/>
    <w:rsid w:val="006E4C95"/>
    <w:rsid w:val="006E5ED9"/>
    <w:rsid w:val="006E6FDF"/>
    <w:rsid w:val="006E7ECA"/>
    <w:rsid w:val="006F1353"/>
    <w:rsid w:val="007007A9"/>
    <w:rsid w:val="007010A5"/>
    <w:rsid w:val="007023A4"/>
    <w:rsid w:val="007038A3"/>
    <w:rsid w:val="00706E16"/>
    <w:rsid w:val="00711C45"/>
    <w:rsid w:val="00713440"/>
    <w:rsid w:val="0071409F"/>
    <w:rsid w:val="00714C42"/>
    <w:rsid w:val="00714FE5"/>
    <w:rsid w:val="00717EF8"/>
    <w:rsid w:val="00720615"/>
    <w:rsid w:val="00723613"/>
    <w:rsid w:val="00725E7C"/>
    <w:rsid w:val="00727FC1"/>
    <w:rsid w:val="007308F5"/>
    <w:rsid w:val="0073096E"/>
    <w:rsid w:val="007337F2"/>
    <w:rsid w:val="00741BBD"/>
    <w:rsid w:val="00743962"/>
    <w:rsid w:val="00746741"/>
    <w:rsid w:val="00746967"/>
    <w:rsid w:val="00746973"/>
    <w:rsid w:val="00746D12"/>
    <w:rsid w:val="00746FDD"/>
    <w:rsid w:val="00751732"/>
    <w:rsid w:val="007523D7"/>
    <w:rsid w:val="007575C3"/>
    <w:rsid w:val="007618CA"/>
    <w:rsid w:val="00762394"/>
    <w:rsid w:val="007634F0"/>
    <w:rsid w:val="00763B87"/>
    <w:rsid w:val="00763D9D"/>
    <w:rsid w:val="00765E58"/>
    <w:rsid w:val="00766C17"/>
    <w:rsid w:val="00770B7D"/>
    <w:rsid w:val="00770CD1"/>
    <w:rsid w:val="00772DF2"/>
    <w:rsid w:val="007736E0"/>
    <w:rsid w:val="007753D3"/>
    <w:rsid w:val="00776AF5"/>
    <w:rsid w:val="00781B94"/>
    <w:rsid w:val="00783B84"/>
    <w:rsid w:val="00786D55"/>
    <w:rsid w:val="007875B3"/>
    <w:rsid w:val="007909A9"/>
    <w:rsid w:val="00793F04"/>
    <w:rsid w:val="007A1687"/>
    <w:rsid w:val="007A3815"/>
    <w:rsid w:val="007A3E2A"/>
    <w:rsid w:val="007A54C5"/>
    <w:rsid w:val="007B0F59"/>
    <w:rsid w:val="007B3AEB"/>
    <w:rsid w:val="007B6511"/>
    <w:rsid w:val="007B67E4"/>
    <w:rsid w:val="007B6AE9"/>
    <w:rsid w:val="007C26B4"/>
    <w:rsid w:val="007C2A9E"/>
    <w:rsid w:val="007C4133"/>
    <w:rsid w:val="007C61E3"/>
    <w:rsid w:val="007C7C60"/>
    <w:rsid w:val="007D0F33"/>
    <w:rsid w:val="007D370C"/>
    <w:rsid w:val="007D7ABE"/>
    <w:rsid w:val="007D7D4C"/>
    <w:rsid w:val="007E04B8"/>
    <w:rsid w:val="007F4376"/>
    <w:rsid w:val="0080189A"/>
    <w:rsid w:val="00803839"/>
    <w:rsid w:val="008040B1"/>
    <w:rsid w:val="00807E12"/>
    <w:rsid w:val="00810275"/>
    <w:rsid w:val="0081666A"/>
    <w:rsid w:val="00817B70"/>
    <w:rsid w:val="00820A4B"/>
    <w:rsid w:val="00823E02"/>
    <w:rsid w:val="00826D94"/>
    <w:rsid w:val="00826DEF"/>
    <w:rsid w:val="00826FF8"/>
    <w:rsid w:val="00827C4A"/>
    <w:rsid w:val="0083093E"/>
    <w:rsid w:val="00831692"/>
    <w:rsid w:val="0083265D"/>
    <w:rsid w:val="00833FCA"/>
    <w:rsid w:val="008342C7"/>
    <w:rsid w:val="00835DA7"/>
    <w:rsid w:val="00836749"/>
    <w:rsid w:val="00841511"/>
    <w:rsid w:val="00842B25"/>
    <w:rsid w:val="008454DE"/>
    <w:rsid w:val="008456AC"/>
    <w:rsid w:val="00850CD9"/>
    <w:rsid w:val="008522DC"/>
    <w:rsid w:val="00860B5D"/>
    <w:rsid w:val="00863E84"/>
    <w:rsid w:val="0086443C"/>
    <w:rsid w:val="00872BF7"/>
    <w:rsid w:val="008730BB"/>
    <w:rsid w:val="00873D9D"/>
    <w:rsid w:val="008769B9"/>
    <w:rsid w:val="0087731B"/>
    <w:rsid w:val="00880355"/>
    <w:rsid w:val="00880B77"/>
    <w:rsid w:val="00881E67"/>
    <w:rsid w:val="00886E4C"/>
    <w:rsid w:val="00890878"/>
    <w:rsid w:val="008908B3"/>
    <w:rsid w:val="00893EC0"/>
    <w:rsid w:val="00893F2A"/>
    <w:rsid w:val="00894F2F"/>
    <w:rsid w:val="00896700"/>
    <w:rsid w:val="008975AF"/>
    <w:rsid w:val="008A19FF"/>
    <w:rsid w:val="008A2930"/>
    <w:rsid w:val="008A5EFA"/>
    <w:rsid w:val="008B14B6"/>
    <w:rsid w:val="008B3114"/>
    <w:rsid w:val="008B6BEC"/>
    <w:rsid w:val="008C0C24"/>
    <w:rsid w:val="008C3532"/>
    <w:rsid w:val="008D1501"/>
    <w:rsid w:val="008D2578"/>
    <w:rsid w:val="008D277D"/>
    <w:rsid w:val="008D386A"/>
    <w:rsid w:val="008D4616"/>
    <w:rsid w:val="008D5912"/>
    <w:rsid w:val="008D665F"/>
    <w:rsid w:val="008D7976"/>
    <w:rsid w:val="008D7AD6"/>
    <w:rsid w:val="008E16DA"/>
    <w:rsid w:val="008E3083"/>
    <w:rsid w:val="008E3D38"/>
    <w:rsid w:val="008E3DA3"/>
    <w:rsid w:val="008E7508"/>
    <w:rsid w:val="008F1B2B"/>
    <w:rsid w:val="008F64D5"/>
    <w:rsid w:val="00903F33"/>
    <w:rsid w:val="009051E9"/>
    <w:rsid w:val="0090654F"/>
    <w:rsid w:val="009111E8"/>
    <w:rsid w:val="0091151D"/>
    <w:rsid w:val="00911635"/>
    <w:rsid w:val="00914245"/>
    <w:rsid w:val="0091623F"/>
    <w:rsid w:val="009171EF"/>
    <w:rsid w:val="0092195F"/>
    <w:rsid w:val="009230D4"/>
    <w:rsid w:val="009240C9"/>
    <w:rsid w:val="00924696"/>
    <w:rsid w:val="00925F0B"/>
    <w:rsid w:val="00927242"/>
    <w:rsid w:val="009301EC"/>
    <w:rsid w:val="00932556"/>
    <w:rsid w:val="00933750"/>
    <w:rsid w:val="00935334"/>
    <w:rsid w:val="009369BC"/>
    <w:rsid w:val="0093764B"/>
    <w:rsid w:val="00943917"/>
    <w:rsid w:val="0095111C"/>
    <w:rsid w:val="0095297A"/>
    <w:rsid w:val="00953156"/>
    <w:rsid w:val="00955A92"/>
    <w:rsid w:val="00965158"/>
    <w:rsid w:val="00966A3E"/>
    <w:rsid w:val="00970E15"/>
    <w:rsid w:val="009724F6"/>
    <w:rsid w:val="009734F7"/>
    <w:rsid w:val="00980645"/>
    <w:rsid w:val="00983909"/>
    <w:rsid w:val="00984EA3"/>
    <w:rsid w:val="00985249"/>
    <w:rsid w:val="00986A65"/>
    <w:rsid w:val="00986A9D"/>
    <w:rsid w:val="009876F3"/>
    <w:rsid w:val="009877BE"/>
    <w:rsid w:val="00992361"/>
    <w:rsid w:val="00995380"/>
    <w:rsid w:val="00995A0B"/>
    <w:rsid w:val="00996419"/>
    <w:rsid w:val="009965BC"/>
    <w:rsid w:val="00996DCD"/>
    <w:rsid w:val="00997139"/>
    <w:rsid w:val="00997B47"/>
    <w:rsid w:val="00997C7A"/>
    <w:rsid w:val="009A11BA"/>
    <w:rsid w:val="009A1CED"/>
    <w:rsid w:val="009B0117"/>
    <w:rsid w:val="009B1896"/>
    <w:rsid w:val="009B77F2"/>
    <w:rsid w:val="009C05CC"/>
    <w:rsid w:val="009C4C1D"/>
    <w:rsid w:val="009C4EB1"/>
    <w:rsid w:val="009C5843"/>
    <w:rsid w:val="009C71AD"/>
    <w:rsid w:val="009D241E"/>
    <w:rsid w:val="009D2CCB"/>
    <w:rsid w:val="009D57D8"/>
    <w:rsid w:val="009D5F20"/>
    <w:rsid w:val="009D6878"/>
    <w:rsid w:val="009D6939"/>
    <w:rsid w:val="009E38DB"/>
    <w:rsid w:val="009E6276"/>
    <w:rsid w:val="009E6D58"/>
    <w:rsid w:val="009E747E"/>
    <w:rsid w:val="009F0556"/>
    <w:rsid w:val="009F3472"/>
    <w:rsid w:val="00A01728"/>
    <w:rsid w:val="00A020AB"/>
    <w:rsid w:val="00A02850"/>
    <w:rsid w:val="00A050A7"/>
    <w:rsid w:val="00A05B7B"/>
    <w:rsid w:val="00A07EE6"/>
    <w:rsid w:val="00A1333F"/>
    <w:rsid w:val="00A1505D"/>
    <w:rsid w:val="00A159C0"/>
    <w:rsid w:val="00A16B4F"/>
    <w:rsid w:val="00A1768B"/>
    <w:rsid w:val="00A21093"/>
    <w:rsid w:val="00A2291E"/>
    <w:rsid w:val="00A23D05"/>
    <w:rsid w:val="00A249F0"/>
    <w:rsid w:val="00A24CE6"/>
    <w:rsid w:val="00A26CE1"/>
    <w:rsid w:val="00A33167"/>
    <w:rsid w:val="00A33311"/>
    <w:rsid w:val="00A3439B"/>
    <w:rsid w:val="00A35556"/>
    <w:rsid w:val="00A40730"/>
    <w:rsid w:val="00A43284"/>
    <w:rsid w:val="00A44CEE"/>
    <w:rsid w:val="00A450B6"/>
    <w:rsid w:val="00A46269"/>
    <w:rsid w:val="00A50E4B"/>
    <w:rsid w:val="00A63590"/>
    <w:rsid w:val="00A64DAF"/>
    <w:rsid w:val="00A64E36"/>
    <w:rsid w:val="00A67FD2"/>
    <w:rsid w:val="00A7173A"/>
    <w:rsid w:val="00A75FCD"/>
    <w:rsid w:val="00A76A37"/>
    <w:rsid w:val="00A81E2B"/>
    <w:rsid w:val="00A83429"/>
    <w:rsid w:val="00A9229E"/>
    <w:rsid w:val="00A9235A"/>
    <w:rsid w:val="00A92A3B"/>
    <w:rsid w:val="00A95C6A"/>
    <w:rsid w:val="00AA0434"/>
    <w:rsid w:val="00AA1120"/>
    <w:rsid w:val="00AA3BE9"/>
    <w:rsid w:val="00AA7962"/>
    <w:rsid w:val="00AB3CA6"/>
    <w:rsid w:val="00AB4441"/>
    <w:rsid w:val="00AB5880"/>
    <w:rsid w:val="00AB5D75"/>
    <w:rsid w:val="00AC112E"/>
    <w:rsid w:val="00AC276A"/>
    <w:rsid w:val="00AC2DC9"/>
    <w:rsid w:val="00AC5CD4"/>
    <w:rsid w:val="00AC7826"/>
    <w:rsid w:val="00AD0D66"/>
    <w:rsid w:val="00AD1F51"/>
    <w:rsid w:val="00AD56FE"/>
    <w:rsid w:val="00AD5FFD"/>
    <w:rsid w:val="00AD65FF"/>
    <w:rsid w:val="00AE7130"/>
    <w:rsid w:val="00AF233C"/>
    <w:rsid w:val="00AF3A21"/>
    <w:rsid w:val="00AF473A"/>
    <w:rsid w:val="00AF4F16"/>
    <w:rsid w:val="00AF64A5"/>
    <w:rsid w:val="00B02D7F"/>
    <w:rsid w:val="00B047DA"/>
    <w:rsid w:val="00B052BE"/>
    <w:rsid w:val="00B05C09"/>
    <w:rsid w:val="00B120D4"/>
    <w:rsid w:val="00B1229C"/>
    <w:rsid w:val="00B127B1"/>
    <w:rsid w:val="00B153BB"/>
    <w:rsid w:val="00B17928"/>
    <w:rsid w:val="00B20EB7"/>
    <w:rsid w:val="00B24161"/>
    <w:rsid w:val="00B27A50"/>
    <w:rsid w:val="00B30385"/>
    <w:rsid w:val="00B3057E"/>
    <w:rsid w:val="00B32C6C"/>
    <w:rsid w:val="00B350D5"/>
    <w:rsid w:val="00B41656"/>
    <w:rsid w:val="00B41C1C"/>
    <w:rsid w:val="00B529DE"/>
    <w:rsid w:val="00B54BBF"/>
    <w:rsid w:val="00B56996"/>
    <w:rsid w:val="00B60334"/>
    <w:rsid w:val="00B60E14"/>
    <w:rsid w:val="00B62767"/>
    <w:rsid w:val="00B64FC6"/>
    <w:rsid w:val="00B67329"/>
    <w:rsid w:val="00B7434C"/>
    <w:rsid w:val="00B74F9B"/>
    <w:rsid w:val="00B802D8"/>
    <w:rsid w:val="00B831C3"/>
    <w:rsid w:val="00B87105"/>
    <w:rsid w:val="00B87182"/>
    <w:rsid w:val="00B91390"/>
    <w:rsid w:val="00B9324B"/>
    <w:rsid w:val="00B933EA"/>
    <w:rsid w:val="00B94C9A"/>
    <w:rsid w:val="00B958CA"/>
    <w:rsid w:val="00BA2F6F"/>
    <w:rsid w:val="00BA620E"/>
    <w:rsid w:val="00BB11BA"/>
    <w:rsid w:val="00BB277C"/>
    <w:rsid w:val="00BB34EE"/>
    <w:rsid w:val="00BB42A6"/>
    <w:rsid w:val="00BB4A68"/>
    <w:rsid w:val="00BC0627"/>
    <w:rsid w:val="00BC272D"/>
    <w:rsid w:val="00BC3490"/>
    <w:rsid w:val="00BC54C0"/>
    <w:rsid w:val="00BC7D12"/>
    <w:rsid w:val="00BD0393"/>
    <w:rsid w:val="00BD0C45"/>
    <w:rsid w:val="00BD3774"/>
    <w:rsid w:val="00BD4D39"/>
    <w:rsid w:val="00BE1AA0"/>
    <w:rsid w:val="00BE1FF6"/>
    <w:rsid w:val="00BE535D"/>
    <w:rsid w:val="00BE5D93"/>
    <w:rsid w:val="00BE7A1C"/>
    <w:rsid w:val="00BE7C62"/>
    <w:rsid w:val="00BF068B"/>
    <w:rsid w:val="00BF469C"/>
    <w:rsid w:val="00BF4B6E"/>
    <w:rsid w:val="00BF4BC5"/>
    <w:rsid w:val="00C01ABC"/>
    <w:rsid w:val="00C03255"/>
    <w:rsid w:val="00C0357A"/>
    <w:rsid w:val="00C050B7"/>
    <w:rsid w:val="00C06A5C"/>
    <w:rsid w:val="00C06FE4"/>
    <w:rsid w:val="00C115D0"/>
    <w:rsid w:val="00C14BC0"/>
    <w:rsid w:val="00C160A2"/>
    <w:rsid w:val="00C22282"/>
    <w:rsid w:val="00C23BF6"/>
    <w:rsid w:val="00C273B1"/>
    <w:rsid w:val="00C32AFC"/>
    <w:rsid w:val="00C41F4D"/>
    <w:rsid w:val="00C420A4"/>
    <w:rsid w:val="00C448D7"/>
    <w:rsid w:val="00C449E1"/>
    <w:rsid w:val="00C53132"/>
    <w:rsid w:val="00C54FA0"/>
    <w:rsid w:val="00C55C9F"/>
    <w:rsid w:val="00C57FEE"/>
    <w:rsid w:val="00C61A07"/>
    <w:rsid w:val="00C63CCA"/>
    <w:rsid w:val="00C668AB"/>
    <w:rsid w:val="00C671AF"/>
    <w:rsid w:val="00C70BD8"/>
    <w:rsid w:val="00C7551D"/>
    <w:rsid w:val="00C7622E"/>
    <w:rsid w:val="00C7699F"/>
    <w:rsid w:val="00C77AE8"/>
    <w:rsid w:val="00C81A41"/>
    <w:rsid w:val="00C83854"/>
    <w:rsid w:val="00C8391A"/>
    <w:rsid w:val="00C91F14"/>
    <w:rsid w:val="00C94224"/>
    <w:rsid w:val="00C94932"/>
    <w:rsid w:val="00C978DC"/>
    <w:rsid w:val="00C97E98"/>
    <w:rsid w:val="00CA11FE"/>
    <w:rsid w:val="00CA12E0"/>
    <w:rsid w:val="00CA48A7"/>
    <w:rsid w:val="00CB08B9"/>
    <w:rsid w:val="00CB0E91"/>
    <w:rsid w:val="00CB2DA4"/>
    <w:rsid w:val="00CB429E"/>
    <w:rsid w:val="00CB6BF5"/>
    <w:rsid w:val="00CC0DEB"/>
    <w:rsid w:val="00CC0ECA"/>
    <w:rsid w:val="00CC1399"/>
    <w:rsid w:val="00CC1672"/>
    <w:rsid w:val="00CC52BD"/>
    <w:rsid w:val="00CC7589"/>
    <w:rsid w:val="00CD3331"/>
    <w:rsid w:val="00CD3CF9"/>
    <w:rsid w:val="00CD4F16"/>
    <w:rsid w:val="00CE0075"/>
    <w:rsid w:val="00CE2A5D"/>
    <w:rsid w:val="00CE334F"/>
    <w:rsid w:val="00CE4273"/>
    <w:rsid w:val="00CE751F"/>
    <w:rsid w:val="00CF07E6"/>
    <w:rsid w:val="00CF5721"/>
    <w:rsid w:val="00D01842"/>
    <w:rsid w:val="00D01CD6"/>
    <w:rsid w:val="00D02330"/>
    <w:rsid w:val="00D02865"/>
    <w:rsid w:val="00D02C29"/>
    <w:rsid w:val="00D06A7E"/>
    <w:rsid w:val="00D156DF"/>
    <w:rsid w:val="00D161EC"/>
    <w:rsid w:val="00D17822"/>
    <w:rsid w:val="00D2064B"/>
    <w:rsid w:val="00D2485E"/>
    <w:rsid w:val="00D24CDD"/>
    <w:rsid w:val="00D24DD7"/>
    <w:rsid w:val="00D27387"/>
    <w:rsid w:val="00D3366D"/>
    <w:rsid w:val="00D356AD"/>
    <w:rsid w:val="00D37577"/>
    <w:rsid w:val="00D47D87"/>
    <w:rsid w:val="00D501D3"/>
    <w:rsid w:val="00D5038F"/>
    <w:rsid w:val="00D52C51"/>
    <w:rsid w:val="00D53034"/>
    <w:rsid w:val="00D534E5"/>
    <w:rsid w:val="00D54934"/>
    <w:rsid w:val="00D56544"/>
    <w:rsid w:val="00D56EC7"/>
    <w:rsid w:val="00D62D45"/>
    <w:rsid w:val="00D63F4D"/>
    <w:rsid w:val="00D65606"/>
    <w:rsid w:val="00D727E9"/>
    <w:rsid w:val="00D7286A"/>
    <w:rsid w:val="00D732C7"/>
    <w:rsid w:val="00D755C6"/>
    <w:rsid w:val="00D76820"/>
    <w:rsid w:val="00D77185"/>
    <w:rsid w:val="00D81A8E"/>
    <w:rsid w:val="00D81CFF"/>
    <w:rsid w:val="00D8238B"/>
    <w:rsid w:val="00D8328E"/>
    <w:rsid w:val="00D869EC"/>
    <w:rsid w:val="00D9018C"/>
    <w:rsid w:val="00D91EF1"/>
    <w:rsid w:val="00D94808"/>
    <w:rsid w:val="00D96DB9"/>
    <w:rsid w:val="00D96F61"/>
    <w:rsid w:val="00DA1772"/>
    <w:rsid w:val="00DA19A0"/>
    <w:rsid w:val="00DA1A4B"/>
    <w:rsid w:val="00DA36C4"/>
    <w:rsid w:val="00DA5D76"/>
    <w:rsid w:val="00DA719C"/>
    <w:rsid w:val="00DA7DD4"/>
    <w:rsid w:val="00DB1AD3"/>
    <w:rsid w:val="00DB2FC0"/>
    <w:rsid w:val="00DB3EC7"/>
    <w:rsid w:val="00DB3F25"/>
    <w:rsid w:val="00DB451C"/>
    <w:rsid w:val="00DC4033"/>
    <w:rsid w:val="00DC44FA"/>
    <w:rsid w:val="00DC464B"/>
    <w:rsid w:val="00DC5927"/>
    <w:rsid w:val="00DC74A4"/>
    <w:rsid w:val="00DC7E9F"/>
    <w:rsid w:val="00DD4352"/>
    <w:rsid w:val="00DD79B9"/>
    <w:rsid w:val="00DD7EE1"/>
    <w:rsid w:val="00DE18FA"/>
    <w:rsid w:val="00DE28C0"/>
    <w:rsid w:val="00DE49DC"/>
    <w:rsid w:val="00DE68A1"/>
    <w:rsid w:val="00DE6D25"/>
    <w:rsid w:val="00DE7751"/>
    <w:rsid w:val="00DF408D"/>
    <w:rsid w:val="00E00572"/>
    <w:rsid w:val="00E00A4B"/>
    <w:rsid w:val="00E03063"/>
    <w:rsid w:val="00E07047"/>
    <w:rsid w:val="00E07296"/>
    <w:rsid w:val="00E10875"/>
    <w:rsid w:val="00E12CB3"/>
    <w:rsid w:val="00E12EEF"/>
    <w:rsid w:val="00E14093"/>
    <w:rsid w:val="00E221F8"/>
    <w:rsid w:val="00E22F78"/>
    <w:rsid w:val="00E23CE7"/>
    <w:rsid w:val="00E244EA"/>
    <w:rsid w:val="00E27575"/>
    <w:rsid w:val="00E305DC"/>
    <w:rsid w:val="00E3081F"/>
    <w:rsid w:val="00E3172C"/>
    <w:rsid w:val="00E31DA0"/>
    <w:rsid w:val="00E31DC8"/>
    <w:rsid w:val="00E31E12"/>
    <w:rsid w:val="00E320EB"/>
    <w:rsid w:val="00E33882"/>
    <w:rsid w:val="00E361DA"/>
    <w:rsid w:val="00E37EE7"/>
    <w:rsid w:val="00E41CC3"/>
    <w:rsid w:val="00E45975"/>
    <w:rsid w:val="00E4660C"/>
    <w:rsid w:val="00E47BD3"/>
    <w:rsid w:val="00E50B2C"/>
    <w:rsid w:val="00E50ECE"/>
    <w:rsid w:val="00E52FAB"/>
    <w:rsid w:val="00E533DF"/>
    <w:rsid w:val="00E5556A"/>
    <w:rsid w:val="00E57F31"/>
    <w:rsid w:val="00E61431"/>
    <w:rsid w:val="00E61853"/>
    <w:rsid w:val="00E65427"/>
    <w:rsid w:val="00E660B2"/>
    <w:rsid w:val="00E735A5"/>
    <w:rsid w:val="00E74FF7"/>
    <w:rsid w:val="00E77220"/>
    <w:rsid w:val="00E83AD5"/>
    <w:rsid w:val="00E849E9"/>
    <w:rsid w:val="00E908C2"/>
    <w:rsid w:val="00E91B14"/>
    <w:rsid w:val="00E92E2F"/>
    <w:rsid w:val="00E9306A"/>
    <w:rsid w:val="00E9308A"/>
    <w:rsid w:val="00E95BDD"/>
    <w:rsid w:val="00EA0CDA"/>
    <w:rsid w:val="00EA40C0"/>
    <w:rsid w:val="00EA4D45"/>
    <w:rsid w:val="00EA6DC1"/>
    <w:rsid w:val="00EA6DF5"/>
    <w:rsid w:val="00EB2319"/>
    <w:rsid w:val="00EB4FF0"/>
    <w:rsid w:val="00EB6A81"/>
    <w:rsid w:val="00EC3876"/>
    <w:rsid w:val="00EC3A5A"/>
    <w:rsid w:val="00EC428F"/>
    <w:rsid w:val="00EC5EBF"/>
    <w:rsid w:val="00EC6E15"/>
    <w:rsid w:val="00ED0120"/>
    <w:rsid w:val="00ED0248"/>
    <w:rsid w:val="00ED48AC"/>
    <w:rsid w:val="00ED5CF0"/>
    <w:rsid w:val="00ED6ADB"/>
    <w:rsid w:val="00EE651C"/>
    <w:rsid w:val="00EF1F83"/>
    <w:rsid w:val="00EF2B6D"/>
    <w:rsid w:val="00EF46C6"/>
    <w:rsid w:val="00EF70CA"/>
    <w:rsid w:val="00F04499"/>
    <w:rsid w:val="00F0744F"/>
    <w:rsid w:val="00F076EE"/>
    <w:rsid w:val="00F1054F"/>
    <w:rsid w:val="00F129C6"/>
    <w:rsid w:val="00F1540E"/>
    <w:rsid w:val="00F16FAF"/>
    <w:rsid w:val="00F17A29"/>
    <w:rsid w:val="00F208DF"/>
    <w:rsid w:val="00F21404"/>
    <w:rsid w:val="00F226AF"/>
    <w:rsid w:val="00F23D34"/>
    <w:rsid w:val="00F251B4"/>
    <w:rsid w:val="00F365D1"/>
    <w:rsid w:val="00F426DC"/>
    <w:rsid w:val="00F43406"/>
    <w:rsid w:val="00F46770"/>
    <w:rsid w:val="00F47920"/>
    <w:rsid w:val="00F5002F"/>
    <w:rsid w:val="00F50D95"/>
    <w:rsid w:val="00F50E62"/>
    <w:rsid w:val="00F51D6E"/>
    <w:rsid w:val="00F53002"/>
    <w:rsid w:val="00F54AFB"/>
    <w:rsid w:val="00F54E7D"/>
    <w:rsid w:val="00F55E66"/>
    <w:rsid w:val="00F567FA"/>
    <w:rsid w:val="00F57456"/>
    <w:rsid w:val="00F60995"/>
    <w:rsid w:val="00F61657"/>
    <w:rsid w:val="00F63AE9"/>
    <w:rsid w:val="00F645CA"/>
    <w:rsid w:val="00F70297"/>
    <w:rsid w:val="00F705F3"/>
    <w:rsid w:val="00F73DF4"/>
    <w:rsid w:val="00F75815"/>
    <w:rsid w:val="00F75966"/>
    <w:rsid w:val="00F75AEC"/>
    <w:rsid w:val="00F76EC6"/>
    <w:rsid w:val="00F813FF"/>
    <w:rsid w:val="00F81528"/>
    <w:rsid w:val="00F847E9"/>
    <w:rsid w:val="00F84E52"/>
    <w:rsid w:val="00F8543A"/>
    <w:rsid w:val="00F864A9"/>
    <w:rsid w:val="00F9011A"/>
    <w:rsid w:val="00F90AD1"/>
    <w:rsid w:val="00F9153D"/>
    <w:rsid w:val="00F94D70"/>
    <w:rsid w:val="00F95142"/>
    <w:rsid w:val="00F952AC"/>
    <w:rsid w:val="00FA2F82"/>
    <w:rsid w:val="00FA7D7D"/>
    <w:rsid w:val="00FB4828"/>
    <w:rsid w:val="00FB4921"/>
    <w:rsid w:val="00FB4C8F"/>
    <w:rsid w:val="00FB5087"/>
    <w:rsid w:val="00FC4497"/>
    <w:rsid w:val="00FC7158"/>
    <w:rsid w:val="00FC7869"/>
    <w:rsid w:val="00FD3170"/>
    <w:rsid w:val="00FD6DEA"/>
    <w:rsid w:val="00FE0D41"/>
    <w:rsid w:val="00FE1DF3"/>
    <w:rsid w:val="00FE637D"/>
    <w:rsid w:val="00FE7C67"/>
    <w:rsid w:val="00FF43C4"/>
    <w:rsid w:val="00FF6690"/>
    <w:rsid w:val="01753B29"/>
    <w:rsid w:val="14EB696F"/>
    <w:rsid w:val="17B7135C"/>
    <w:rsid w:val="17B71427"/>
    <w:rsid w:val="1BF36F5C"/>
    <w:rsid w:val="1DFDEEA7"/>
    <w:rsid w:val="1FEF1C07"/>
    <w:rsid w:val="27BFCE1E"/>
    <w:rsid w:val="27DBB3FB"/>
    <w:rsid w:val="2FFE90C0"/>
    <w:rsid w:val="337F1723"/>
    <w:rsid w:val="35F9B921"/>
    <w:rsid w:val="377F58E1"/>
    <w:rsid w:val="37CB2DD5"/>
    <w:rsid w:val="37CD6F0E"/>
    <w:rsid w:val="3BB376EA"/>
    <w:rsid w:val="3D6C071D"/>
    <w:rsid w:val="3D7AC7E3"/>
    <w:rsid w:val="3D8FFD2B"/>
    <w:rsid w:val="3E6F8A1B"/>
    <w:rsid w:val="3E7F80B6"/>
    <w:rsid w:val="3EDBE75B"/>
    <w:rsid w:val="3F6FCF1C"/>
    <w:rsid w:val="3FD47499"/>
    <w:rsid w:val="3FD70352"/>
    <w:rsid w:val="3FFECD8E"/>
    <w:rsid w:val="46E770CE"/>
    <w:rsid w:val="4F6754E0"/>
    <w:rsid w:val="4FB9E551"/>
    <w:rsid w:val="56CF5F43"/>
    <w:rsid w:val="57AF2A92"/>
    <w:rsid w:val="57D745DF"/>
    <w:rsid w:val="57EF04D0"/>
    <w:rsid w:val="59F34122"/>
    <w:rsid w:val="5B536331"/>
    <w:rsid w:val="5DAA12A2"/>
    <w:rsid w:val="5DCFA375"/>
    <w:rsid w:val="5E3BAD4B"/>
    <w:rsid w:val="5EED8452"/>
    <w:rsid w:val="5EFCD213"/>
    <w:rsid w:val="5F3F28D7"/>
    <w:rsid w:val="5FB3C434"/>
    <w:rsid w:val="5FBDBB20"/>
    <w:rsid w:val="5FFB069C"/>
    <w:rsid w:val="5FFEDABE"/>
    <w:rsid w:val="63F70C7B"/>
    <w:rsid w:val="64FE99B1"/>
    <w:rsid w:val="65FF8A3F"/>
    <w:rsid w:val="6721E995"/>
    <w:rsid w:val="67CB63B6"/>
    <w:rsid w:val="6B5E22A0"/>
    <w:rsid w:val="6BB9FB37"/>
    <w:rsid w:val="6BFAB45D"/>
    <w:rsid w:val="6D75B722"/>
    <w:rsid w:val="6DFF473D"/>
    <w:rsid w:val="6E77F5F6"/>
    <w:rsid w:val="6EBE8D82"/>
    <w:rsid w:val="6FB56F93"/>
    <w:rsid w:val="6FBF0E55"/>
    <w:rsid w:val="6FBFF9BF"/>
    <w:rsid w:val="6FDFF2F3"/>
    <w:rsid w:val="6FDFFEC1"/>
    <w:rsid w:val="71FDE17E"/>
    <w:rsid w:val="73B68A84"/>
    <w:rsid w:val="73DF1359"/>
    <w:rsid w:val="73EAF11F"/>
    <w:rsid w:val="767F3489"/>
    <w:rsid w:val="76C71107"/>
    <w:rsid w:val="76FF0795"/>
    <w:rsid w:val="777696DF"/>
    <w:rsid w:val="77D40444"/>
    <w:rsid w:val="77DC38E1"/>
    <w:rsid w:val="77DFBBAD"/>
    <w:rsid w:val="77F570F1"/>
    <w:rsid w:val="77F732E5"/>
    <w:rsid w:val="7AABCE3E"/>
    <w:rsid w:val="7ADFCA54"/>
    <w:rsid w:val="7AFF784A"/>
    <w:rsid w:val="7BF638BE"/>
    <w:rsid w:val="7BFEBBAC"/>
    <w:rsid w:val="7D7B8FB3"/>
    <w:rsid w:val="7D7F20B9"/>
    <w:rsid w:val="7DBFFC69"/>
    <w:rsid w:val="7DF37797"/>
    <w:rsid w:val="7DFE2925"/>
    <w:rsid w:val="7E4F0CF0"/>
    <w:rsid w:val="7EEFE0F3"/>
    <w:rsid w:val="7F15DCA1"/>
    <w:rsid w:val="7F7F396D"/>
    <w:rsid w:val="7F7F6234"/>
    <w:rsid w:val="7F7F70C7"/>
    <w:rsid w:val="7F97F3D4"/>
    <w:rsid w:val="7FA56739"/>
    <w:rsid w:val="7FB7A253"/>
    <w:rsid w:val="7FBDF5FF"/>
    <w:rsid w:val="7FDF647D"/>
    <w:rsid w:val="7FEE380B"/>
    <w:rsid w:val="7FFAADF8"/>
    <w:rsid w:val="7FFDEC2C"/>
    <w:rsid w:val="7FFFA080"/>
    <w:rsid w:val="89CEFD73"/>
    <w:rsid w:val="9BBBF8ED"/>
    <w:rsid w:val="9C3B1FEF"/>
    <w:rsid w:val="9DDB5B6E"/>
    <w:rsid w:val="9F6F1FF7"/>
    <w:rsid w:val="9FE65319"/>
    <w:rsid w:val="A6EE05B4"/>
    <w:rsid w:val="AD7E2CBB"/>
    <w:rsid w:val="AEEE4848"/>
    <w:rsid w:val="AF7E885D"/>
    <w:rsid w:val="AF7F52D3"/>
    <w:rsid w:val="AFEF0329"/>
    <w:rsid w:val="B2BF7214"/>
    <w:rsid w:val="B6E7B41C"/>
    <w:rsid w:val="B7B27335"/>
    <w:rsid w:val="B7F73D17"/>
    <w:rsid w:val="B7FEB2A1"/>
    <w:rsid w:val="BAFD85CA"/>
    <w:rsid w:val="BC7D43BB"/>
    <w:rsid w:val="BDCDD39C"/>
    <w:rsid w:val="BDDA029D"/>
    <w:rsid w:val="BDFCF860"/>
    <w:rsid w:val="BE3E5E6E"/>
    <w:rsid w:val="BE7F4600"/>
    <w:rsid w:val="BEDEDE1A"/>
    <w:rsid w:val="BEF578D4"/>
    <w:rsid w:val="BEFF1C11"/>
    <w:rsid w:val="BF733A07"/>
    <w:rsid w:val="BF77FBD2"/>
    <w:rsid w:val="BF961AC1"/>
    <w:rsid w:val="BF97120B"/>
    <w:rsid w:val="BFBFB1F2"/>
    <w:rsid w:val="BFBFECA6"/>
    <w:rsid w:val="BFEE9B2C"/>
    <w:rsid w:val="BFFE5170"/>
    <w:rsid w:val="BFFE6FF2"/>
    <w:rsid w:val="C3BE6D02"/>
    <w:rsid w:val="C4DFCF83"/>
    <w:rsid w:val="CDFF7766"/>
    <w:rsid w:val="CF7AE674"/>
    <w:rsid w:val="CFCF99D2"/>
    <w:rsid w:val="CFFF6B27"/>
    <w:rsid w:val="D43CE1BB"/>
    <w:rsid w:val="D4FBD2DC"/>
    <w:rsid w:val="D577183B"/>
    <w:rsid w:val="D6BAE6F3"/>
    <w:rsid w:val="D7FF3407"/>
    <w:rsid w:val="DBA6E8EE"/>
    <w:rsid w:val="DBF79E7E"/>
    <w:rsid w:val="DDEF6C46"/>
    <w:rsid w:val="DE67EDDB"/>
    <w:rsid w:val="DE7EF5D2"/>
    <w:rsid w:val="DEDE9DB1"/>
    <w:rsid w:val="DFAFB62B"/>
    <w:rsid w:val="DFBC1AE4"/>
    <w:rsid w:val="DFBE6642"/>
    <w:rsid w:val="DFBF14CA"/>
    <w:rsid w:val="DFEBAE61"/>
    <w:rsid w:val="DFFEB859"/>
    <w:rsid w:val="E2BB58A1"/>
    <w:rsid w:val="E71EFC9A"/>
    <w:rsid w:val="EAFF19F0"/>
    <w:rsid w:val="ED3C4205"/>
    <w:rsid w:val="ED6F9065"/>
    <w:rsid w:val="EE3E87DD"/>
    <w:rsid w:val="EEFCFDF5"/>
    <w:rsid w:val="EF5C9E55"/>
    <w:rsid w:val="EFA3D565"/>
    <w:rsid w:val="EFBBD260"/>
    <w:rsid w:val="EFBF9B11"/>
    <w:rsid w:val="EFFD5015"/>
    <w:rsid w:val="F19D0C02"/>
    <w:rsid w:val="F2F605FA"/>
    <w:rsid w:val="F3D58EF5"/>
    <w:rsid w:val="F3D7FFF3"/>
    <w:rsid w:val="F4FD5423"/>
    <w:rsid w:val="F5ED3146"/>
    <w:rsid w:val="F62D3A4E"/>
    <w:rsid w:val="F679D46B"/>
    <w:rsid w:val="F6FE1619"/>
    <w:rsid w:val="F77F032E"/>
    <w:rsid w:val="F7BA6FDB"/>
    <w:rsid w:val="F7F33B8E"/>
    <w:rsid w:val="F7F39980"/>
    <w:rsid w:val="F7FB3A5E"/>
    <w:rsid w:val="FA6E3FA2"/>
    <w:rsid w:val="FBBEDE56"/>
    <w:rsid w:val="FBFCAE74"/>
    <w:rsid w:val="FBFD6D64"/>
    <w:rsid w:val="FBFF36CF"/>
    <w:rsid w:val="FCB3CB6D"/>
    <w:rsid w:val="FDBF2BAA"/>
    <w:rsid w:val="FDFF80EE"/>
    <w:rsid w:val="FEB7C165"/>
    <w:rsid w:val="FEBFBFCB"/>
    <w:rsid w:val="FEBFEEEB"/>
    <w:rsid w:val="FEDFB888"/>
    <w:rsid w:val="FEFE27CB"/>
    <w:rsid w:val="FF3481A2"/>
    <w:rsid w:val="FF47FF5B"/>
    <w:rsid w:val="FF938079"/>
    <w:rsid w:val="FFADFBB7"/>
    <w:rsid w:val="FFBCFE64"/>
    <w:rsid w:val="FFDF22DD"/>
    <w:rsid w:val="FFDFC3AA"/>
    <w:rsid w:val="FFF74B1F"/>
    <w:rsid w:val="FFFBB08C"/>
    <w:rsid w:val="FFFE3FBE"/>
    <w:rsid w:val="FFFF30C5"/>
    <w:rsid w:val="FFFFB93F"/>
    <w:rsid w:val="FFFFDB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宋体"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semiHidden="0" w:name="heading 2"/>
    <w:lsdException w:qFormat="1" w:uiPriority="0" w:name="heading 3"/>
    <w:lsdException w:qFormat="1" w:unhideWhenUsed="0"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qFormat="1" w:uiPriority="99" w:semiHidden="0"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iPriority="99"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qFormat="1"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qFormat="1" w:unhideWhenUsed="0" w:uiPriority="99"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qFormat="1" w:unhideWhenUsed="0" w:uiPriority="99"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iPriority="99"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99"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32"/>
    <w:qFormat/>
    <w:uiPriority w:val="99"/>
    <w:pPr>
      <w:keepNext/>
      <w:keepLines/>
      <w:spacing w:before="340" w:after="330" w:line="578" w:lineRule="auto"/>
      <w:outlineLvl w:val="0"/>
    </w:pPr>
    <w:rPr>
      <w:rFonts w:eastAsia="Times New Roman"/>
      <w:b/>
      <w:bCs/>
      <w:kern w:val="44"/>
      <w:sz w:val="28"/>
      <w:szCs w:val="44"/>
    </w:rPr>
  </w:style>
  <w:style w:type="paragraph" w:styleId="3">
    <w:name w:val="heading 2"/>
    <w:basedOn w:val="1"/>
    <w:next w:val="1"/>
    <w:link w:val="33"/>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semiHidden/>
    <w:unhideWhenUsed/>
    <w:qFormat/>
    <w:uiPriority w:val="0"/>
    <w:pPr>
      <w:keepNext/>
      <w:keepLines/>
      <w:spacing w:before="260" w:after="260" w:line="413" w:lineRule="auto"/>
      <w:outlineLvl w:val="2"/>
    </w:pPr>
    <w:rPr>
      <w:b/>
      <w:sz w:val="32"/>
    </w:rPr>
  </w:style>
  <w:style w:type="paragraph" w:styleId="5">
    <w:name w:val="heading 4"/>
    <w:basedOn w:val="1"/>
    <w:next w:val="1"/>
    <w:link w:val="34"/>
    <w:qFormat/>
    <w:uiPriority w:val="99"/>
    <w:pPr>
      <w:keepNext/>
      <w:widowControl/>
      <w:spacing w:before="240" w:after="60"/>
      <w:jc w:val="left"/>
      <w:outlineLvl w:val="3"/>
    </w:pPr>
    <w:rPr>
      <w:rFonts w:ascii="Times New Roman" w:hAnsi="Times New Roman" w:eastAsia="Times New Roman" w:cs="Times New Roman"/>
      <w:b/>
      <w:bCs/>
      <w:kern w:val="0"/>
      <w:sz w:val="28"/>
      <w:szCs w:val="28"/>
      <w:lang w:val="en-GB" w:eastAsia="en-US"/>
    </w:rPr>
  </w:style>
  <w:style w:type="character" w:default="1" w:styleId="26">
    <w:name w:val="Default Paragraph Font"/>
    <w:semiHidden/>
    <w:unhideWhenUsed/>
    <w:uiPriority w:val="1"/>
  </w:style>
  <w:style w:type="table" w:default="1" w:styleId="24">
    <w:name w:val="Normal Table"/>
    <w:semiHidden/>
    <w:unhideWhenUsed/>
    <w:uiPriority w:val="99"/>
    <w:tblPr>
      <w:tblCellMar>
        <w:top w:w="0" w:type="dxa"/>
        <w:left w:w="108" w:type="dxa"/>
        <w:bottom w:w="0" w:type="dxa"/>
        <w:right w:w="108" w:type="dxa"/>
      </w:tblCellMar>
    </w:tblPr>
  </w:style>
  <w:style w:type="paragraph" w:styleId="6">
    <w:name w:val="toc 7"/>
    <w:basedOn w:val="1"/>
    <w:next w:val="1"/>
    <w:qFormat/>
    <w:uiPriority w:val="0"/>
    <w:pPr>
      <w:ind w:left="1260"/>
      <w:jc w:val="left"/>
    </w:pPr>
    <w:rPr>
      <w:sz w:val="20"/>
      <w:szCs w:val="20"/>
    </w:rPr>
  </w:style>
  <w:style w:type="paragraph" w:styleId="7">
    <w:name w:val="annotation text"/>
    <w:basedOn w:val="1"/>
    <w:link w:val="50"/>
    <w:unhideWhenUsed/>
    <w:qFormat/>
    <w:uiPriority w:val="99"/>
    <w:pPr>
      <w:widowControl/>
      <w:jc w:val="left"/>
    </w:pPr>
    <w:rPr>
      <w:rFonts w:ascii="Times New Roman" w:hAnsi="Times New Roman" w:eastAsia="Times New Roman" w:cs="Times New Roman"/>
      <w:kern w:val="0"/>
      <w:sz w:val="20"/>
      <w:szCs w:val="20"/>
      <w:lang w:val="en-GB" w:eastAsia="en-US"/>
    </w:rPr>
  </w:style>
  <w:style w:type="paragraph" w:styleId="8">
    <w:name w:val="toc 5"/>
    <w:basedOn w:val="1"/>
    <w:next w:val="1"/>
    <w:qFormat/>
    <w:uiPriority w:val="0"/>
    <w:pPr>
      <w:ind w:left="840"/>
      <w:jc w:val="left"/>
    </w:pPr>
    <w:rPr>
      <w:sz w:val="20"/>
      <w:szCs w:val="20"/>
    </w:rPr>
  </w:style>
  <w:style w:type="paragraph" w:styleId="9">
    <w:name w:val="toc 3"/>
    <w:basedOn w:val="1"/>
    <w:next w:val="1"/>
    <w:qFormat/>
    <w:uiPriority w:val="0"/>
    <w:pPr>
      <w:ind w:left="420"/>
      <w:jc w:val="left"/>
    </w:pPr>
    <w:rPr>
      <w:sz w:val="20"/>
      <w:szCs w:val="20"/>
    </w:rPr>
  </w:style>
  <w:style w:type="paragraph" w:styleId="10">
    <w:name w:val="toc 8"/>
    <w:basedOn w:val="1"/>
    <w:next w:val="1"/>
    <w:qFormat/>
    <w:uiPriority w:val="0"/>
    <w:pPr>
      <w:ind w:left="1470"/>
      <w:jc w:val="left"/>
    </w:pPr>
    <w:rPr>
      <w:sz w:val="20"/>
      <w:szCs w:val="20"/>
    </w:rPr>
  </w:style>
  <w:style w:type="paragraph" w:styleId="11">
    <w:name w:val="Date"/>
    <w:basedOn w:val="1"/>
    <w:next w:val="1"/>
    <w:link w:val="49"/>
    <w:qFormat/>
    <w:uiPriority w:val="0"/>
    <w:pPr>
      <w:ind w:left="100" w:leftChars="2500"/>
    </w:pPr>
  </w:style>
  <w:style w:type="paragraph" w:styleId="12">
    <w:name w:val="Balloon Text"/>
    <w:basedOn w:val="1"/>
    <w:link w:val="51"/>
    <w:qFormat/>
    <w:uiPriority w:val="99"/>
    <w:pPr>
      <w:widowControl/>
      <w:jc w:val="left"/>
    </w:pPr>
    <w:rPr>
      <w:rFonts w:ascii="Tahoma" w:hAnsi="Tahoma" w:eastAsia="Times New Roman" w:cs="Tahoma"/>
      <w:kern w:val="0"/>
      <w:sz w:val="16"/>
      <w:szCs w:val="16"/>
      <w:lang w:val="en-GB" w:eastAsia="en-US"/>
    </w:rPr>
  </w:style>
  <w:style w:type="paragraph" w:styleId="13">
    <w:name w:val="footer"/>
    <w:basedOn w:val="1"/>
    <w:link w:val="35"/>
    <w:qFormat/>
    <w:uiPriority w:val="99"/>
    <w:pPr>
      <w:tabs>
        <w:tab w:val="center" w:pos="4153"/>
        <w:tab w:val="right" w:pos="8306"/>
      </w:tabs>
      <w:snapToGrid w:val="0"/>
      <w:jc w:val="left"/>
    </w:pPr>
    <w:rPr>
      <w:sz w:val="18"/>
    </w:rPr>
  </w:style>
  <w:style w:type="paragraph" w:styleId="14">
    <w:name w:val="header"/>
    <w:basedOn w:val="1"/>
    <w:link w:val="36"/>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15">
    <w:name w:val="toc 1"/>
    <w:basedOn w:val="1"/>
    <w:next w:val="1"/>
    <w:qFormat/>
    <w:uiPriority w:val="39"/>
    <w:pPr>
      <w:spacing w:before="120"/>
      <w:jc w:val="left"/>
    </w:pPr>
    <w:rPr>
      <w:b/>
      <w:bCs/>
      <w:i/>
      <w:iCs/>
      <w:sz w:val="24"/>
    </w:rPr>
  </w:style>
  <w:style w:type="paragraph" w:styleId="16">
    <w:name w:val="toc 4"/>
    <w:basedOn w:val="1"/>
    <w:next w:val="1"/>
    <w:qFormat/>
    <w:uiPriority w:val="0"/>
    <w:pPr>
      <w:ind w:left="630"/>
      <w:jc w:val="left"/>
    </w:pPr>
    <w:rPr>
      <w:sz w:val="20"/>
      <w:szCs w:val="20"/>
    </w:rPr>
  </w:style>
  <w:style w:type="paragraph" w:styleId="17">
    <w:name w:val="toc 6"/>
    <w:basedOn w:val="1"/>
    <w:next w:val="1"/>
    <w:qFormat/>
    <w:uiPriority w:val="0"/>
    <w:pPr>
      <w:ind w:left="1050"/>
      <w:jc w:val="left"/>
    </w:pPr>
    <w:rPr>
      <w:sz w:val="20"/>
      <w:szCs w:val="20"/>
    </w:rPr>
  </w:style>
  <w:style w:type="paragraph" w:styleId="18">
    <w:name w:val="toc 2"/>
    <w:basedOn w:val="1"/>
    <w:next w:val="1"/>
    <w:qFormat/>
    <w:uiPriority w:val="0"/>
    <w:pPr>
      <w:spacing w:before="120"/>
      <w:ind w:left="210"/>
      <w:jc w:val="left"/>
    </w:pPr>
    <w:rPr>
      <w:b/>
      <w:bCs/>
      <w:sz w:val="22"/>
      <w:szCs w:val="22"/>
    </w:rPr>
  </w:style>
  <w:style w:type="paragraph" w:styleId="19">
    <w:name w:val="toc 9"/>
    <w:basedOn w:val="1"/>
    <w:next w:val="1"/>
    <w:qFormat/>
    <w:uiPriority w:val="0"/>
    <w:pPr>
      <w:ind w:left="1680"/>
      <w:jc w:val="left"/>
    </w:pPr>
    <w:rPr>
      <w:sz w:val="20"/>
      <w:szCs w:val="20"/>
    </w:rPr>
  </w:style>
  <w:style w:type="paragraph" w:styleId="20">
    <w:name w:val="Body Text 2"/>
    <w:basedOn w:val="1"/>
    <w:link w:val="52"/>
    <w:qFormat/>
    <w:uiPriority w:val="99"/>
    <w:pPr>
      <w:widowControl/>
      <w:ind w:left="720" w:hanging="720"/>
      <w:jc w:val="left"/>
    </w:pPr>
    <w:rPr>
      <w:rFonts w:ascii="Times New Roman" w:hAnsi="Times New Roman" w:eastAsia="Times New Roman" w:cs="Times New Roman"/>
      <w:b/>
      <w:bCs/>
      <w:kern w:val="0"/>
      <w:sz w:val="22"/>
      <w:szCs w:val="22"/>
      <w:lang w:val="en-GB" w:eastAsia="en-US"/>
    </w:rPr>
  </w:style>
  <w:style w:type="paragraph" w:styleId="21">
    <w:name w:val="Normal (Web)"/>
    <w:basedOn w:val="1"/>
    <w:qFormat/>
    <w:uiPriority w:val="99"/>
    <w:pPr>
      <w:jc w:val="left"/>
    </w:pPr>
    <w:rPr>
      <w:rFonts w:ascii="Book Antiqua" w:hAnsi="Book Antiqua" w:eastAsia="Times New Roman" w:cs="Times New Roman"/>
      <w:kern w:val="0"/>
      <w:sz w:val="24"/>
    </w:rPr>
  </w:style>
  <w:style w:type="paragraph" w:styleId="22">
    <w:name w:val="Title"/>
    <w:basedOn w:val="4"/>
    <w:next w:val="1"/>
    <w:link w:val="37"/>
    <w:qFormat/>
    <w:uiPriority w:val="0"/>
    <w:pPr>
      <w:spacing w:before="240" w:after="60"/>
      <w:jc w:val="left"/>
      <w:outlineLvl w:val="0"/>
    </w:pPr>
    <w:rPr>
      <w:rFonts w:ascii="Times New Roman" w:hAnsi="Times New Roman" w:eastAsiaTheme="majorEastAsia" w:cstheme="majorBidi"/>
      <w:bCs/>
      <w:sz w:val="21"/>
      <w:szCs w:val="32"/>
    </w:rPr>
  </w:style>
  <w:style w:type="paragraph" w:styleId="23">
    <w:name w:val="annotation subject"/>
    <w:basedOn w:val="7"/>
    <w:next w:val="7"/>
    <w:link w:val="53"/>
    <w:unhideWhenUsed/>
    <w:qFormat/>
    <w:uiPriority w:val="99"/>
    <w:rPr>
      <w:b/>
      <w:bCs/>
    </w:rPr>
  </w:style>
  <w:style w:type="table" w:styleId="25">
    <w:name w:val="Table Grid"/>
    <w:basedOn w:val="24"/>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7">
    <w:name w:val="Strong"/>
    <w:qFormat/>
    <w:uiPriority w:val="22"/>
    <w:rPr>
      <w:b/>
      <w:bCs/>
    </w:rPr>
  </w:style>
  <w:style w:type="character" w:styleId="28">
    <w:name w:val="page number"/>
    <w:basedOn w:val="26"/>
    <w:qFormat/>
    <w:uiPriority w:val="99"/>
  </w:style>
  <w:style w:type="character" w:styleId="29">
    <w:name w:val="FollowedHyperlink"/>
    <w:qFormat/>
    <w:uiPriority w:val="99"/>
    <w:rPr>
      <w:color w:val="800080"/>
      <w:u w:val="single"/>
    </w:rPr>
  </w:style>
  <w:style w:type="character" w:styleId="30">
    <w:name w:val="Hyperlink"/>
    <w:basedOn w:val="26"/>
    <w:unhideWhenUsed/>
    <w:qFormat/>
    <w:uiPriority w:val="99"/>
    <w:rPr>
      <w:color w:val="0563C1" w:themeColor="hyperlink"/>
      <w:u w:val="single"/>
      <w14:textFill>
        <w14:solidFill>
          <w14:schemeClr w14:val="hlink"/>
        </w14:solidFill>
      </w14:textFill>
    </w:rPr>
  </w:style>
  <w:style w:type="character" w:styleId="31">
    <w:name w:val="annotation reference"/>
    <w:unhideWhenUsed/>
    <w:qFormat/>
    <w:uiPriority w:val="99"/>
    <w:rPr>
      <w:sz w:val="16"/>
      <w:szCs w:val="16"/>
    </w:rPr>
  </w:style>
  <w:style w:type="character" w:customStyle="1" w:styleId="32">
    <w:name w:val="标题 1 字符"/>
    <w:basedOn w:val="26"/>
    <w:link w:val="2"/>
    <w:qFormat/>
    <w:uiPriority w:val="99"/>
    <w:rPr>
      <w:rFonts w:eastAsia="Times New Roman" w:asciiTheme="minorHAnsi" w:hAnsiTheme="minorHAnsi" w:cstheme="minorBidi"/>
      <w:b/>
      <w:bCs/>
      <w:kern w:val="44"/>
      <w:sz w:val="28"/>
      <w:szCs w:val="44"/>
    </w:rPr>
  </w:style>
  <w:style w:type="character" w:customStyle="1" w:styleId="33">
    <w:name w:val="标题 2 字符"/>
    <w:basedOn w:val="26"/>
    <w:link w:val="3"/>
    <w:qFormat/>
    <w:uiPriority w:val="0"/>
    <w:rPr>
      <w:rFonts w:asciiTheme="majorHAnsi" w:hAnsiTheme="majorHAnsi" w:eastAsiaTheme="majorEastAsia" w:cstheme="majorBidi"/>
      <w:b/>
      <w:bCs/>
      <w:kern w:val="2"/>
      <w:sz w:val="32"/>
      <w:szCs w:val="32"/>
    </w:rPr>
  </w:style>
  <w:style w:type="character" w:customStyle="1" w:styleId="34">
    <w:name w:val="标题 4 字符"/>
    <w:basedOn w:val="26"/>
    <w:link w:val="5"/>
    <w:qFormat/>
    <w:uiPriority w:val="99"/>
    <w:rPr>
      <w:rFonts w:ascii="Times New Roman" w:hAnsi="Times New Roman" w:eastAsia="Times New Roman" w:cs="Times New Roman"/>
      <w:b/>
      <w:bCs/>
      <w:sz w:val="28"/>
      <w:szCs w:val="28"/>
      <w:lang w:val="en-GB" w:eastAsia="en-US"/>
    </w:rPr>
  </w:style>
  <w:style w:type="character" w:customStyle="1" w:styleId="35">
    <w:name w:val="页脚 字符"/>
    <w:basedOn w:val="26"/>
    <w:link w:val="13"/>
    <w:qFormat/>
    <w:uiPriority w:val="99"/>
    <w:rPr>
      <w:rFonts w:asciiTheme="minorHAnsi" w:hAnsiTheme="minorHAnsi" w:eastAsiaTheme="minorEastAsia" w:cstheme="minorBidi"/>
      <w:kern w:val="2"/>
      <w:sz w:val="18"/>
      <w:szCs w:val="24"/>
    </w:rPr>
  </w:style>
  <w:style w:type="character" w:customStyle="1" w:styleId="36">
    <w:name w:val="页眉 字符"/>
    <w:basedOn w:val="26"/>
    <w:link w:val="14"/>
    <w:qFormat/>
    <w:uiPriority w:val="99"/>
    <w:rPr>
      <w:rFonts w:asciiTheme="minorHAnsi" w:hAnsiTheme="minorHAnsi" w:eastAsiaTheme="minorEastAsia" w:cstheme="minorBidi"/>
      <w:kern w:val="2"/>
      <w:sz w:val="18"/>
      <w:szCs w:val="24"/>
    </w:rPr>
  </w:style>
  <w:style w:type="character" w:customStyle="1" w:styleId="37">
    <w:name w:val="标题 字符"/>
    <w:basedOn w:val="26"/>
    <w:link w:val="22"/>
    <w:qFormat/>
    <w:uiPriority w:val="0"/>
    <w:rPr>
      <w:rFonts w:ascii="Times New Roman" w:hAnsi="Times New Roman" w:eastAsiaTheme="majorEastAsia" w:cstheme="majorBidi"/>
      <w:b/>
      <w:bCs/>
      <w:kern w:val="2"/>
      <w:sz w:val="21"/>
      <w:szCs w:val="32"/>
    </w:rPr>
  </w:style>
  <w:style w:type="paragraph" w:customStyle="1" w:styleId="38">
    <w:name w:val="p1"/>
    <w:basedOn w:val="22"/>
    <w:qFormat/>
    <w:uiPriority w:val="0"/>
    <w:pPr>
      <w:jc w:val="center"/>
    </w:pPr>
    <w:rPr>
      <w:rFonts w:eastAsia="Times New Roman" w:cs="Times New Roman"/>
      <w:kern w:val="0"/>
      <w:sz w:val="28"/>
    </w:rPr>
  </w:style>
  <w:style w:type="paragraph" w:customStyle="1" w:styleId="39">
    <w:name w:val="p2"/>
    <w:basedOn w:val="2"/>
    <w:qFormat/>
    <w:uiPriority w:val="0"/>
    <w:rPr>
      <w:rFonts w:ascii="Times New Roman" w:hAnsi="Times New Roman" w:cs="Times New Roman"/>
      <w:kern w:val="0"/>
      <w:sz w:val="24"/>
      <w:szCs w:val="21"/>
    </w:rPr>
  </w:style>
  <w:style w:type="paragraph" w:customStyle="1" w:styleId="40">
    <w:name w:val="Table Text"/>
    <w:basedOn w:val="1"/>
    <w:hidden/>
    <w:qFormat/>
    <w:uiPriority w:val="0"/>
    <w:pPr>
      <w:kinsoku w:val="0"/>
      <w:autoSpaceDE w:val="0"/>
      <w:autoSpaceDN w:val="0"/>
      <w:adjustRightInd w:val="0"/>
      <w:snapToGrid w:val="0"/>
      <w:jc w:val="left"/>
      <w:textAlignment w:val="baseline"/>
    </w:pPr>
    <w:rPr>
      <w:rFonts w:ascii="Times New Roman" w:hAnsi="Times New Roman" w:cs="Times New Roman"/>
      <w:color w:val="000000"/>
      <w:kern w:val="0"/>
      <w:sz w:val="24"/>
    </w:rPr>
  </w:style>
  <w:style w:type="table" w:customStyle="1" w:styleId="41">
    <w:name w:val="Table Normal1"/>
    <w:basedOn w:val="24"/>
    <w:qFormat/>
    <w:uiPriority w:val="0"/>
    <w:tblPr>
      <w:tblCellMar>
        <w:left w:w="0" w:type="dxa"/>
        <w:right w:w="0" w:type="dxa"/>
      </w:tblCellMar>
    </w:tblPr>
  </w:style>
  <w:style w:type="character" w:customStyle="1" w:styleId="42">
    <w:name w:val="s1"/>
    <w:basedOn w:val="26"/>
    <w:qFormat/>
    <w:uiPriority w:val="0"/>
    <w:rPr>
      <w:spacing w:val="-4"/>
    </w:rPr>
  </w:style>
  <w:style w:type="character" w:customStyle="1" w:styleId="43">
    <w:name w:val="s4"/>
    <w:basedOn w:val="26"/>
    <w:qFormat/>
    <w:uiPriority w:val="0"/>
    <w:rPr>
      <w:spacing w:val="2"/>
    </w:rPr>
  </w:style>
  <w:style w:type="character" w:customStyle="1" w:styleId="44">
    <w:name w:val="s5"/>
    <w:basedOn w:val="26"/>
    <w:qFormat/>
    <w:uiPriority w:val="0"/>
    <w:rPr>
      <w:spacing w:val="-22"/>
    </w:rPr>
  </w:style>
  <w:style w:type="character" w:customStyle="1" w:styleId="45">
    <w:name w:val="s2"/>
    <w:basedOn w:val="26"/>
    <w:qFormat/>
    <w:uiPriority w:val="0"/>
  </w:style>
  <w:style w:type="paragraph" w:customStyle="1" w:styleId="46">
    <w:name w:val="p3"/>
    <w:basedOn w:val="1"/>
    <w:qFormat/>
    <w:uiPriority w:val="0"/>
    <w:pPr>
      <w:ind w:left="22"/>
      <w:jc w:val="left"/>
    </w:pPr>
    <w:rPr>
      <w:rFonts w:ascii="Times New Roman" w:hAnsi="Times New Roman" w:cs="Times New Roman"/>
      <w:kern w:val="0"/>
      <w:sz w:val="24"/>
    </w:rPr>
  </w:style>
  <w:style w:type="character" w:customStyle="1" w:styleId="47">
    <w:name w:val="s3"/>
    <w:basedOn w:val="26"/>
    <w:qFormat/>
    <w:uiPriority w:val="0"/>
    <w:rPr>
      <w:spacing w:val="-22"/>
    </w:rPr>
  </w:style>
  <w:style w:type="paragraph" w:customStyle="1" w:styleId="48">
    <w:name w:val="TOC 标题1"/>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2E75B6" w:themeColor="accent1" w:themeShade="BF"/>
      <w:kern w:val="0"/>
      <w:szCs w:val="28"/>
    </w:rPr>
  </w:style>
  <w:style w:type="character" w:customStyle="1" w:styleId="49">
    <w:name w:val="日期 字符"/>
    <w:basedOn w:val="26"/>
    <w:link w:val="11"/>
    <w:qFormat/>
    <w:uiPriority w:val="0"/>
    <w:rPr>
      <w:rFonts w:asciiTheme="minorHAnsi" w:hAnsiTheme="minorHAnsi" w:eastAsiaTheme="minorEastAsia" w:cstheme="minorBidi"/>
      <w:kern w:val="2"/>
      <w:sz w:val="21"/>
      <w:szCs w:val="24"/>
    </w:rPr>
  </w:style>
  <w:style w:type="character" w:customStyle="1" w:styleId="50">
    <w:name w:val="批注文字 字符"/>
    <w:basedOn w:val="26"/>
    <w:link w:val="7"/>
    <w:qFormat/>
    <w:uiPriority w:val="99"/>
    <w:rPr>
      <w:rFonts w:ascii="Times New Roman" w:hAnsi="Times New Roman" w:eastAsia="Times New Roman" w:cs="Times New Roman"/>
      <w:lang w:val="en-GB" w:eastAsia="en-US"/>
    </w:rPr>
  </w:style>
  <w:style w:type="character" w:customStyle="1" w:styleId="51">
    <w:name w:val="批注框文本 字符"/>
    <w:basedOn w:val="26"/>
    <w:link w:val="12"/>
    <w:qFormat/>
    <w:uiPriority w:val="99"/>
    <w:rPr>
      <w:rFonts w:ascii="Tahoma" w:hAnsi="Tahoma" w:eastAsia="Times New Roman" w:cs="Tahoma"/>
      <w:sz w:val="16"/>
      <w:szCs w:val="16"/>
      <w:lang w:val="en-GB" w:eastAsia="en-US"/>
    </w:rPr>
  </w:style>
  <w:style w:type="character" w:customStyle="1" w:styleId="52">
    <w:name w:val="正文文本 2 字符"/>
    <w:basedOn w:val="26"/>
    <w:link w:val="20"/>
    <w:qFormat/>
    <w:uiPriority w:val="99"/>
    <w:rPr>
      <w:rFonts w:ascii="Times New Roman" w:hAnsi="Times New Roman" w:eastAsia="Times New Roman" w:cs="Times New Roman"/>
      <w:b/>
      <w:bCs/>
      <w:sz w:val="22"/>
      <w:szCs w:val="22"/>
      <w:lang w:val="en-GB" w:eastAsia="en-US"/>
    </w:rPr>
  </w:style>
  <w:style w:type="character" w:customStyle="1" w:styleId="53">
    <w:name w:val="批注主题 字符"/>
    <w:basedOn w:val="50"/>
    <w:link w:val="23"/>
    <w:qFormat/>
    <w:uiPriority w:val="99"/>
    <w:rPr>
      <w:rFonts w:ascii="Times New Roman" w:hAnsi="Times New Roman" w:eastAsia="Times New Roman" w:cs="Times New Roman"/>
      <w:b/>
      <w:bCs/>
      <w:lang w:val="en-GB" w:eastAsia="en-US"/>
    </w:rPr>
  </w:style>
  <w:style w:type="paragraph" w:customStyle="1" w:styleId="54">
    <w:name w:val="deannah1"/>
    <w:basedOn w:val="1"/>
    <w:qFormat/>
    <w:uiPriority w:val="99"/>
    <w:pPr>
      <w:keepNext/>
      <w:widowControl/>
      <w:spacing w:after="240"/>
      <w:jc w:val="left"/>
    </w:pPr>
    <w:rPr>
      <w:rFonts w:ascii="Times New Roman" w:hAnsi="Times New Roman" w:eastAsia="Times New Roman" w:cs="Times New Roman"/>
      <w:b/>
      <w:bCs/>
      <w:kern w:val="0"/>
      <w:sz w:val="24"/>
      <w:lang w:val="en-GB" w:eastAsia="en-US"/>
    </w:rPr>
  </w:style>
  <w:style w:type="character" w:customStyle="1" w:styleId="55">
    <w:name w:val="Hyperlink1"/>
    <w:qFormat/>
    <w:uiPriority w:val="99"/>
    <w:rPr>
      <w:color w:val="535353"/>
      <w:u w:val="single"/>
    </w:rPr>
  </w:style>
  <w:style w:type="paragraph" w:customStyle="1" w:styleId="56">
    <w:name w:val="Normal (Web)1"/>
    <w:basedOn w:val="1"/>
    <w:qFormat/>
    <w:uiPriority w:val="99"/>
    <w:pPr>
      <w:widowControl/>
      <w:spacing w:before="100" w:beforeAutospacing="1" w:after="300"/>
      <w:jc w:val="left"/>
    </w:pPr>
    <w:rPr>
      <w:rFonts w:ascii="Times New Roman" w:hAnsi="Times New Roman" w:eastAsia="Times New Roman" w:cs="Times New Roman"/>
      <w:kern w:val="0"/>
      <w:sz w:val="24"/>
      <w:lang w:val="en-GB" w:eastAsia="en-GB"/>
    </w:rPr>
  </w:style>
  <w:style w:type="paragraph" w:styleId="57">
    <w:name w:val="List Paragraph"/>
    <w:basedOn w:val="1"/>
    <w:qFormat/>
    <w:uiPriority w:val="34"/>
    <w:pPr>
      <w:widowControl/>
      <w:ind w:left="720"/>
      <w:contextualSpacing/>
      <w:jc w:val="left"/>
    </w:pPr>
    <w:rPr>
      <w:rFonts w:ascii="Calibri" w:hAnsi="Calibri" w:eastAsia="Calibri" w:cs="Times New Roman"/>
      <w:kern w:val="0"/>
      <w:sz w:val="22"/>
      <w:szCs w:val="22"/>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64</Pages>
  <Words>22638</Words>
  <Characters>129040</Characters>
  <Lines>1075</Lines>
  <Paragraphs>302</Paragraphs>
  <TotalTime>18</TotalTime>
  <ScaleCrop>false</ScaleCrop>
  <LinksUpToDate>false</LinksUpToDate>
  <CharactersWithSpaces>151376</CharactersWithSpaces>
  <Application>WPS Office_5.4.0.7913_F1E327BC-269C-435d-A152-05C5408002CA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2024-02-14T05:42:00Z</dcterms:created>
  <dc:creator>Luvian</dc:creator>
  <cp:lastModifiedBy>乔利英语Echo</cp:lastModifiedBy>
  <dcterms:modified xsi:type="dcterms:W3CDTF">2024-02-14T14:27:04Z</dcterms:modified>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2052-5.4.0.7913</vt:lpwstr>
  </property>
  <property fmtid="{D5CDD505-2E9C-101B-9397-08002B2CF9AE}" pid="3" name="ICV">
    <vt:lpwstr>526BBEF38BBB495DC116C36523006DFB_43</vt:lpwstr>
  </property>
</Properties>
</file>