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4EE8BDB5" w:rsidR="008356C7" w:rsidRPr="00877A70" w:rsidRDefault="00F6678C" w:rsidP="00BB487E">
      <w:pPr>
        <w:pStyle w:val="Heading1"/>
        <w:rPr>
          <w:b/>
          <w:bCs/>
          <w:color w:val="auto"/>
          <w:sz w:val="28"/>
          <w:szCs w:val="28"/>
        </w:rPr>
      </w:pPr>
      <w:r w:rsidRPr="00877A70">
        <w:rPr>
          <w:b/>
          <w:bCs/>
          <w:color w:val="auto"/>
          <w:sz w:val="28"/>
          <w:szCs w:val="28"/>
        </w:rPr>
        <w:t>Name</w:t>
      </w:r>
      <w:r w:rsidR="00374B80" w:rsidRPr="00877A70">
        <w:rPr>
          <w:b/>
          <w:bCs/>
          <w:color w:val="auto"/>
          <w:sz w:val="28"/>
          <w:szCs w:val="28"/>
        </w:rPr>
        <w:t>:</w:t>
      </w:r>
      <w:r w:rsidR="00CD5D9F" w:rsidRPr="00877A70">
        <w:rPr>
          <w:b/>
          <w:bCs/>
          <w:color w:val="auto"/>
          <w:sz w:val="28"/>
          <w:szCs w:val="28"/>
        </w:rPr>
        <w:t xml:space="preserve"> </w:t>
      </w:r>
      <w:r w:rsidR="008727F2" w:rsidRPr="00877A70">
        <w:rPr>
          <w:b/>
          <w:bCs/>
          <w:color w:val="auto"/>
          <w:sz w:val="28"/>
          <w:szCs w:val="28"/>
        </w:rPr>
        <w:t>Shannon Booth</w:t>
      </w:r>
    </w:p>
    <w:p w14:paraId="4317874E" w14:textId="53C09457" w:rsidR="0047355E" w:rsidRPr="00877A70" w:rsidRDefault="00374B80" w:rsidP="0047355E">
      <w:pPr>
        <w:pStyle w:val="Heading1"/>
        <w:rPr>
          <w:b/>
          <w:bCs/>
          <w:color w:val="auto"/>
          <w:sz w:val="28"/>
          <w:szCs w:val="28"/>
        </w:rPr>
      </w:pPr>
      <w:r w:rsidRPr="00877A70">
        <w:rPr>
          <w:b/>
          <w:bCs/>
          <w:color w:val="auto"/>
          <w:sz w:val="28"/>
          <w:szCs w:val="28"/>
        </w:rPr>
        <w:t>Student number</w:t>
      </w:r>
      <w:r w:rsidR="0047355E" w:rsidRPr="00877A70">
        <w:rPr>
          <w:b/>
          <w:bCs/>
          <w:color w:val="auto"/>
          <w:sz w:val="28"/>
          <w:szCs w:val="28"/>
        </w:rPr>
        <w:t>:</w:t>
      </w:r>
      <w:r w:rsidR="008727F2" w:rsidRPr="00877A70">
        <w:rPr>
          <w:b/>
          <w:bCs/>
          <w:color w:val="auto"/>
          <w:sz w:val="28"/>
          <w:szCs w:val="28"/>
        </w:rPr>
        <w:t xml:space="preserve"> 2012009</w:t>
      </w:r>
    </w:p>
    <w:p w14:paraId="0153E06C" w14:textId="6DF3E751" w:rsidR="00374B80" w:rsidRPr="00877A70" w:rsidRDefault="00374B80" w:rsidP="00034B6F">
      <w:pPr>
        <w:pStyle w:val="Heading1"/>
        <w:rPr>
          <w:b/>
          <w:bCs/>
          <w:color w:val="auto"/>
          <w:sz w:val="28"/>
          <w:szCs w:val="28"/>
        </w:rPr>
      </w:pPr>
      <w:r w:rsidRPr="00877A70">
        <w:rPr>
          <w:b/>
          <w:bCs/>
          <w:color w:val="auto"/>
          <w:sz w:val="28"/>
          <w:szCs w:val="28"/>
        </w:rPr>
        <w:t>Assignment Title</w:t>
      </w:r>
      <w:r w:rsidR="003A356D" w:rsidRPr="00877A70">
        <w:rPr>
          <w:b/>
          <w:bCs/>
          <w:color w:val="auto"/>
          <w:sz w:val="28"/>
          <w:szCs w:val="28"/>
        </w:rPr>
        <w:t>: Critically reflect on your pedagogical progress demonstrated through required elements of the Professional Learning Passport, identifying a specific area for professional development and justifying next steps for improvement</w:t>
      </w:r>
      <w:r w:rsidR="00B77B8F" w:rsidRPr="00877A70">
        <w:rPr>
          <w:b/>
          <w:bCs/>
          <w:color w:val="auto"/>
          <w:sz w:val="28"/>
          <w:szCs w:val="28"/>
        </w:rPr>
        <w: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3968F6D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04CC0EF6" w:rsidR="00E6399C" w:rsidRPr="00A77338" w:rsidRDefault="008727F2" w:rsidP="00A77338">
            <w:pPr>
              <w:rPr>
                <w:rFonts w:ascii="Arial" w:hAnsi="Arial" w:cs="Arial"/>
              </w:rPr>
            </w:pPr>
            <w:r>
              <w:rPr>
                <w:rFonts w:ascii="Arial" w:hAnsi="Arial" w:cs="Arial"/>
              </w:rPr>
              <w:t>Ensure consistent application of Harvard referencing.</w:t>
            </w:r>
          </w:p>
        </w:tc>
        <w:tc>
          <w:tcPr>
            <w:tcW w:w="3543" w:type="dxa"/>
          </w:tcPr>
          <w:p w14:paraId="144D9CAC" w14:textId="7BBF5AEB" w:rsidR="00E6399C" w:rsidRPr="00A77338" w:rsidRDefault="002E63C0" w:rsidP="00A77338">
            <w:pPr>
              <w:rPr>
                <w:rFonts w:ascii="Arial" w:hAnsi="Arial" w:cs="Arial"/>
              </w:rPr>
            </w:pPr>
            <w:r>
              <w:rPr>
                <w:rFonts w:ascii="Arial" w:hAnsi="Arial" w:cs="Arial"/>
              </w:rPr>
              <w:t>When referencing throughout the assignment I had to consider my comma placement, so looked at the university Harvard referencing for guidance.</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5A424608" w:rsidR="00E6399C" w:rsidRPr="00A77338" w:rsidRDefault="008727F2" w:rsidP="00A77338">
            <w:pPr>
              <w:rPr>
                <w:rFonts w:ascii="Arial" w:hAnsi="Arial" w:cs="Arial"/>
              </w:rPr>
            </w:pPr>
            <w:r>
              <w:rPr>
                <w:rFonts w:ascii="Arial" w:hAnsi="Arial" w:cs="Arial"/>
              </w:rPr>
              <w:t>Try to develop and synthesise your own view</w:t>
            </w:r>
            <w:r w:rsidR="001C4E15">
              <w:rPr>
                <w:rFonts w:ascii="Arial" w:hAnsi="Arial" w:cs="Arial"/>
              </w:rPr>
              <w:t xml:space="preserve"> supported by the literature you have reviewed.</w:t>
            </w:r>
          </w:p>
        </w:tc>
        <w:tc>
          <w:tcPr>
            <w:tcW w:w="3543" w:type="dxa"/>
          </w:tcPr>
          <w:p w14:paraId="7C3D0034" w14:textId="131E01FB" w:rsidR="00E6399C" w:rsidRPr="00A77338" w:rsidRDefault="002E63C0" w:rsidP="00A77338">
            <w:pPr>
              <w:rPr>
                <w:rFonts w:ascii="Arial" w:hAnsi="Arial" w:cs="Arial"/>
              </w:rPr>
            </w:pPr>
            <w:r>
              <w:rPr>
                <w:rFonts w:ascii="Arial" w:hAnsi="Arial" w:cs="Arial"/>
              </w:rPr>
              <w:t>When reviewing literature throughout my essay I have included my own rationale in line with current literature.</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77777777" w:rsidR="00E6399C" w:rsidRPr="00A77338" w:rsidRDefault="00E6399C" w:rsidP="00A77338">
            <w:pPr>
              <w:rPr>
                <w:rFonts w:ascii="Arial" w:hAnsi="Arial" w:cs="Arial"/>
              </w:rPr>
            </w:pPr>
          </w:p>
        </w:tc>
        <w:tc>
          <w:tcPr>
            <w:tcW w:w="3543" w:type="dxa"/>
          </w:tcPr>
          <w:p w14:paraId="7728CCB3" w14:textId="77777777" w:rsidR="00E6399C" w:rsidRPr="00A77338" w:rsidRDefault="00E6399C" w:rsidP="00A77338">
            <w:pPr>
              <w:rPr>
                <w:rFonts w:ascii="Arial" w:hAnsi="Arial" w:cs="Arial"/>
              </w:rPr>
            </w:pPr>
          </w:p>
        </w:tc>
      </w:tr>
    </w:tbl>
    <w:p w14:paraId="5E80A54C" w14:textId="0852387E" w:rsidR="00E6399C" w:rsidRDefault="00E6399C" w:rsidP="00374B80"/>
    <w:p w14:paraId="4F1E18A6" w14:textId="6804AAFE" w:rsidR="2B5A2DAC" w:rsidRDefault="2B5A2DAC">
      <w:r>
        <w:br w:type="page"/>
      </w:r>
    </w:p>
    <w:p w14:paraId="31BE4ACF" w14:textId="36BFC58B" w:rsidR="29F5B21D" w:rsidRDefault="00811007" w:rsidP="001A290D">
      <w:pPr>
        <w:pStyle w:val="Heading1"/>
      </w:pPr>
      <w:r>
        <w:lastRenderedPageBreak/>
        <w:t>Part 1:</w:t>
      </w:r>
      <w:r w:rsidR="009E100E">
        <w:t xml:space="preserve"> </w:t>
      </w:r>
      <w:r w:rsidR="001C4119">
        <w:t>Professional Learning Passport</w:t>
      </w:r>
    </w:p>
    <w:p w14:paraId="760A2615" w14:textId="77777777" w:rsidR="001A290D" w:rsidRPr="001A290D" w:rsidRDefault="001A290D" w:rsidP="001A290D"/>
    <w:p w14:paraId="1492360C" w14:textId="6F80FE77" w:rsidR="00446402" w:rsidRPr="00446402" w:rsidRDefault="00446402" w:rsidP="00446402">
      <w:pPr>
        <w:pStyle w:val="Heading2"/>
      </w:pPr>
      <w:r>
        <w:t>Bridging 2 Reflection</w:t>
      </w:r>
    </w:p>
    <w:p w14:paraId="54B2D1F8" w14:textId="7ABD423B" w:rsidR="4F9C5EBB" w:rsidRPr="00894386" w:rsidRDefault="4F9C5EBB" w:rsidP="00894386">
      <w:pPr>
        <w:pStyle w:val="Heading3"/>
        <w:rPr>
          <w:rFonts w:asciiTheme="minorHAnsi" w:hAnsiTheme="minorHAnsi" w:cstheme="minorHAnsi"/>
        </w:rPr>
      </w:pPr>
      <w:r w:rsidRPr="00894386">
        <w:rPr>
          <w:rFonts w:asciiTheme="minorHAnsi" w:hAnsiTheme="minorHAnsi" w:cstheme="minorHAnsi"/>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894386"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894386" w:rsidRDefault="001305F9" w:rsidP="00894386">
            <w:pPr>
              <w:rPr>
                <w:rFonts w:asciiTheme="minorHAnsi" w:hAnsiTheme="minorHAnsi" w:cstheme="minorHAnsi"/>
                <w:b/>
                <w:szCs w:val="24"/>
              </w:rPr>
            </w:pPr>
            <w:r w:rsidRPr="00894386">
              <w:rPr>
                <w:rFonts w:asciiTheme="minorHAnsi" w:hAnsiTheme="minorHAnsi" w:cstheme="minorHAnsi"/>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894386" w:rsidRDefault="001305F9" w:rsidP="00894386">
            <w:pPr>
              <w:rPr>
                <w:rFonts w:asciiTheme="minorHAnsi" w:hAnsiTheme="minorHAnsi" w:cstheme="minorHAnsi"/>
                <w:b/>
                <w:szCs w:val="24"/>
              </w:rPr>
            </w:pPr>
            <w:r w:rsidRPr="00894386">
              <w:rPr>
                <w:rFonts w:asciiTheme="minorHAnsi" w:hAnsiTheme="minorHAnsi" w:cstheme="minorHAnsi"/>
                <w:b/>
                <w:szCs w:val="24"/>
              </w:rPr>
              <w:t>Adfyfyrio / Reflect</w:t>
            </w:r>
          </w:p>
        </w:tc>
      </w:tr>
      <w:tr w:rsidR="00C961EE" w:rsidRPr="00894386" w14:paraId="1E348B32" w14:textId="77777777" w:rsidTr="001939AE">
        <w:trPr>
          <w:trHeight w:val="512"/>
        </w:trPr>
        <w:sdt>
          <w:sdtPr>
            <w:rPr>
              <w:rFonts w:cstheme="minorHAnsi"/>
            </w:r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49931E00" w:rsidR="00C961EE" w:rsidRPr="00894386" w:rsidRDefault="003418B0" w:rsidP="00894386">
                <w:pPr>
                  <w:rPr>
                    <w:rFonts w:asciiTheme="minorHAnsi" w:hAnsiTheme="minorHAnsi" w:cstheme="minorHAnsi"/>
                  </w:rPr>
                </w:pPr>
                <w:r w:rsidRPr="00894386">
                  <w:rPr>
                    <w:rFonts w:asciiTheme="minorHAnsi" w:hAnsiTheme="minorHAnsi" w:cstheme="minorHAnsi"/>
                  </w:rPr>
                  <w:t>During our bridging experience we researched what is meant when thinking about assessment for learning, how it is linked within the teaching standards and the importance of using a variety of strategies throughout our lesson to show understanding. Teachers came to discuss their experience on what strategies worked well for them and what didn't and suggested it's not a 'one shoe fits all' approach. They discussed drawbacks within certain strategies and gave examples on where it didn't work well within their experience.</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59921850" w:rsidR="00C961EE" w:rsidRPr="00894386" w:rsidRDefault="003418B0" w:rsidP="00894386">
            <w:pPr>
              <w:rPr>
                <w:rFonts w:asciiTheme="minorHAnsi" w:hAnsiTheme="minorHAnsi" w:cstheme="minorHAnsi"/>
                <w:sz w:val="22"/>
              </w:rPr>
            </w:pPr>
            <w:r w:rsidRPr="00894386">
              <w:rPr>
                <w:rFonts w:asciiTheme="minorHAnsi" w:hAnsiTheme="minorHAnsi" w:cstheme="minorHAnsi"/>
              </w:rPr>
              <w:t>After understanding different strategies for assessment for learning we visited classrooms (for no longer than 10 minutes because of COVID-19) we applied our newfound knowledge in indicating what AFL strategies were being used within these lessons that we were observing. It allowed more scope, seeing the strategies in action and gave us indication on what we would like to implement within our lessons. I decided to look at TTYP (talk to your partner) and self-assessment in my test phase.</w:t>
            </w:r>
          </w:p>
        </w:tc>
      </w:tr>
    </w:tbl>
    <w:p w14:paraId="04D56BD5" w14:textId="41AE3A5A" w:rsidR="00446402" w:rsidRPr="00894386" w:rsidRDefault="00446402" w:rsidP="00894386">
      <w:pPr>
        <w:pStyle w:val="Heading3"/>
        <w:rPr>
          <w:rFonts w:asciiTheme="minorHAnsi" w:hAnsiTheme="minorHAnsi" w:cstheme="minorHAnsi"/>
        </w:rPr>
      </w:pPr>
      <w:r w:rsidRPr="00894386">
        <w:rPr>
          <w:rFonts w:asciiTheme="minorHAnsi" w:hAnsiTheme="minorHAnsi" w:cstheme="minorHAnsi"/>
        </w:rPr>
        <w:t>Test</w:t>
      </w:r>
    </w:p>
    <w:tbl>
      <w:tblPr>
        <w:tblStyle w:val="TableGrid1"/>
        <w:tblW w:w="9639" w:type="dxa"/>
        <w:tblInd w:w="-5" w:type="dxa"/>
        <w:tblLook w:val="04A0" w:firstRow="1" w:lastRow="0" w:firstColumn="1" w:lastColumn="0" w:noHBand="0" w:noVBand="1"/>
      </w:tblPr>
      <w:tblGrid>
        <w:gridCol w:w="4678"/>
        <w:gridCol w:w="4961"/>
      </w:tblGrid>
      <w:tr w:rsidR="003F005A" w:rsidRPr="00894386"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894386" w:rsidRDefault="00446402" w:rsidP="00894386">
            <w:pPr>
              <w:rPr>
                <w:rFonts w:asciiTheme="minorHAnsi" w:hAnsiTheme="minorHAnsi" w:cstheme="minorHAnsi"/>
                <w:b/>
                <w:szCs w:val="24"/>
              </w:rPr>
            </w:pPr>
            <w:r w:rsidRPr="00894386">
              <w:rPr>
                <w:rFonts w:asciiTheme="minorHAnsi" w:hAnsiTheme="minorHAnsi" w:cstheme="minorHAnsi"/>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894386" w:rsidRDefault="00446402" w:rsidP="00894386">
            <w:pPr>
              <w:rPr>
                <w:rFonts w:asciiTheme="minorHAnsi" w:hAnsiTheme="minorHAnsi" w:cstheme="minorHAnsi"/>
                <w:b/>
                <w:szCs w:val="24"/>
              </w:rPr>
            </w:pPr>
            <w:r w:rsidRPr="00894386">
              <w:rPr>
                <w:rFonts w:asciiTheme="minorHAnsi" w:hAnsiTheme="minorHAnsi" w:cstheme="minorHAnsi"/>
                <w:b/>
                <w:szCs w:val="24"/>
              </w:rPr>
              <w:t>Adfyfyrio / Reflect</w:t>
            </w:r>
          </w:p>
          <w:p w14:paraId="1E2E16F8" w14:textId="77777777" w:rsidR="00446402" w:rsidRPr="00894386" w:rsidRDefault="00446402" w:rsidP="00894386">
            <w:pPr>
              <w:rPr>
                <w:rFonts w:asciiTheme="minorHAnsi" w:hAnsiTheme="minorHAnsi" w:cstheme="minorHAnsi"/>
                <w:b/>
                <w:szCs w:val="24"/>
              </w:rPr>
            </w:pPr>
          </w:p>
        </w:tc>
      </w:tr>
      <w:tr w:rsidR="00446402" w:rsidRPr="00894386"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DB826CB" w14:textId="2967CBBF" w:rsidR="003418B0" w:rsidRPr="00894386" w:rsidRDefault="003418B0" w:rsidP="004E6024">
            <w:pPr>
              <w:pStyle w:val="NormalWeb"/>
              <w:spacing w:line="360" w:lineRule="auto"/>
              <w:rPr>
                <w:rFonts w:asciiTheme="minorHAnsi" w:hAnsiTheme="minorHAnsi" w:cstheme="minorHAnsi"/>
                <w:lang w:eastAsia="en-GB"/>
              </w:rPr>
            </w:pPr>
            <w:r w:rsidRPr="00894386">
              <w:rPr>
                <w:rFonts w:asciiTheme="minorHAnsi" w:hAnsiTheme="minorHAnsi" w:cstheme="minorHAnsi"/>
                <w:lang w:eastAsia="en-GB"/>
              </w:rPr>
              <w:t xml:space="preserve">During my test phase I used two strategies within two separate lessons. My first strategy was TTYP and I used this during a maths lesson, whilst the children were sat together on the carpet. I had three equations set up on the board on individual slides used as a pre-task after input. When presenting the </w:t>
            </w:r>
            <w:r w:rsidRPr="00894386">
              <w:rPr>
                <w:rFonts w:asciiTheme="minorHAnsi" w:hAnsiTheme="minorHAnsi" w:cstheme="minorHAnsi"/>
                <w:lang w:eastAsia="en-GB"/>
              </w:rPr>
              <w:lastRenderedPageBreak/>
              <w:t>sum I ensured that children knew what was expected of them, already I had children bursting to tell me the answer. I asked the children to pause for a moment, I gave them a quick 15 second window to digest the sum in their heads, before offering TTYP. When giving the children time to discuss their answers to consolidate learning enabled myself to briefly listen in on conversations and gage what level everyone seemed to be at.</w:t>
            </w:r>
          </w:p>
          <w:p w14:paraId="2CB526FE" w14:textId="77777777" w:rsidR="003418B0" w:rsidRPr="00894386" w:rsidRDefault="003418B0" w:rsidP="00894386">
            <w:pPr>
              <w:spacing w:before="100" w:beforeAutospacing="1" w:after="100" w:afterAutospacing="1"/>
              <w:rPr>
                <w:rFonts w:asciiTheme="minorHAnsi" w:eastAsia="Times New Roman" w:hAnsiTheme="minorHAnsi" w:cstheme="minorHAnsi"/>
                <w:szCs w:val="24"/>
                <w:lang w:eastAsia="en-GB"/>
              </w:rPr>
            </w:pPr>
            <w:r w:rsidRPr="00894386">
              <w:rPr>
                <w:rFonts w:asciiTheme="minorHAnsi" w:eastAsia="Times New Roman" w:hAnsiTheme="minorHAnsi" w:cstheme="minorHAnsi"/>
                <w:szCs w:val="24"/>
                <w:lang w:eastAsia="en-GB"/>
              </w:rPr>
              <w:t xml:space="preserve">My second strategy was self-assessment. This allows the learner to understand what was expected of them graded against the success criteria and their attitude towards the task. The context of where this was used is during a PE lesson in the sports hall. I used this strategy by grading themselves on effort using their fingers, 1 - being low attainment/no engagement, whilst 5 was - being engaged and on task. I didn't discuss this strategy beforehand, so they wouldn't know they would be grading themselves at the end of the lesson and their behaviour and effort would not be affected due to them knowing beforehand. I clearly outlined the options of fingers 1 to 5, gave them time to reflect on their own engagement before showing me their fingers and asked everyone </w:t>
            </w:r>
            <w:r w:rsidRPr="00894386">
              <w:rPr>
                <w:rFonts w:asciiTheme="minorHAnsi" w:eastAsia="Times New Roman" w:hAnsiTheme="minorHAnsi" w:cstheme="minorHAnsi"/>
                <w:szCs w:val="24"/>
                <w:lang w:eastAsia="en-GB"/>
              </w:rPr>
              <w:lastRenderedPageBreak/>
              <w:t>to reveal their answers at the same time. This fuelled the discussion to follow, indicating children who worked well but may have graded themselves low, and asking children why they would give themselves that number - if they didn't mind sharing and how they could improve upon that next time.</w:t>
            </w:r>
          </w:p>
          <w:p w14:paraId="4AE1B14F" w14:textId="5B464110" w:rsidR="00446402" w:rsidRPr="00894386" w:rsidRDefault="00446402" w:rsidP="00894386">
            <w:pPr>
              <w:rPr>
                <w:rFonts w:asciiTheme="minorHAnsi" w:hAnsiTheme="minorHAnsi" w:cstheme="minorHAnsi"/>
              </w:rPr>
            </w:pPr>
          </w:p>
        </w:tc>
        <w:tc>
          <w:tcPr>
            <w:tcW w:w="4961" w:type="dxa"/>
            <w:tcBorders>
              <w:top w:val="single" w:sz="4" w:space="0" w:color="auto"/>
              <w:left w:val="single" w:sz="4" w:space="0" w:color="auto"/>
              <w:bottom w:val="single" w:sz="4" w:space="0" w:color="auto"/>
              <w:right w:val="single" w:sz="4" w:space="0" w:color="auto"/>
            </w:tcBorders>
          </w:tcPr>
          <w:p w14:paraId="7A354A32" w14:textId="77777777" w:rsidR="00894386" w:rsidRDefault="003418B0" w:rsidP="00894386">
            <w:pPr>
              <w:rPr>
                <w:rFonts w:asciiTheme="minorHAnsi" w:hAnsiTheme="minorHAnsi" w:cstheme="minorHAnsi"/>
                <w:szCs w:val="24"/>
                <w:lang w:eastAsia="en-GB"/>
              </w:rPr>
            </w:pPr>
            <w:r w:rsidRPr="00894386">
              <w:rPr>
                <w:rFonts w:asciiTheme="minorHAnsi" w:eastAsia="Times New Roman" w:hAnsiTheme="minorHAnsi" w:cstheme="minorHAnsi"/>
                <w:szCs w:val="24"/>
                <w:lang w:eastAsia="en-GB"/>
              </w:rPr>
              <w:lastRenderedPageBreak/>
              <w:t>TTYP is a good strategy to use as it promotes scaffolding/more knowledgeable other, however, this could mask potential students who still struggle to stick with the pace of learning and doesn't give the individual a true reflection of their capability.</w:t>
            </w:r>
          </w:p>
          <w:p w14:paraId="43B0E9F6" w14:textId="47C8B785" w:rsidR="003418B0" w:rsidRPr="00894386" w:rsidRDefault="003418B0" w:rsidP="00894386">
            <w:pPr>
              <w:rPr>
                <w:rFonts w:asciiTheme="minorHAnsi" w:hAnsiTheme="minorHAnsi" w:cstheme="minorHAnsi"/>
                <w:sz w:val="22"/>
              </w:rPr>
            </w:pPr>
            <w:r w:rsidRPr="00894386">
              <w:rPr>
                <w:rFonts w:asciiTheme="minorHAnsi" w:eastAsia="Times New Roman" w:hAnsiTheme="minorHAnsi" w:cstheme="minorHAnsi"/>
                <w:szCs w:val="24"/>
                <w:lang w:eastAsia="en-GB"/>
              </w:rPr>
              <w:lastRenderedPageBreak/>
              <w:t>It creates quality discussion and avoids technical jargon, however, when listening in on some conversations it became apparent that not everyone was on task.</w:t>
            </w:r>
          </w:p>
          <w:p w14:paraId="444EDBFE" w14:textId="41E2807B" w:rsidR="00894386" w:rsidRPr="00894386" w:rsidRDefault="003418B0" w:rsidP="00894386">
            <w:pPr>
              <w:spacing w:before="100" w:beforeAutospacing="1" w:after="100" w:afterAutospacing="1"/>
              <w:rPr>
                <w:rFonts w:asciiTheme="minorHAnsi" w:eastAsia="Times New Roman" w:hAnsiTheme="minorHAnsi" w:cstheme="minorHAnsi"/>
                <w:szCs w:val="24"/>
                <w:lang w:eastAsia="en-GB"/>
              </w:rPr>
            </w:pPr>
            <w:r w:rsidRPr="00894386">
              <w:rPr>
                <w:rFonts w:asciiTheme="minorHAnsi" w:eastAsia="Times New Roman" w:hAnsiTheme="minorHAnsi" w:cstheme="minorHAnsi"/>
                <w:szCs w:val="24"/>
                <w:lang w:eastAsia="en-GB"/>
              </w:rPr>
              <w:t>It does allow the learner to talk to peers to consolidate learning and gives them confidence before feeding back to the teacher.</w:t>
            </w:r>
          </w:p>
          <w:p w14:paraId="0DF221A3" w14:textId="77777777" w:rsidR="003418B0" w:rsidRPr="00894386" w:rsidRDefault="003418B0" w:rsidP="00894386">
            <w:pPr>
              <w:spacing w:before="100" w:beforeAutospacing="1" w:after="100" w:afterAutospacing="1"/>
              <w:rPr>
                <w:rFonts w:asciiTheme="minorHAnsi" w:eastAsia="Times New Roman" w:hAnsiTheme="minorHAnsi" w:cstheme="minorHAnsi"/>
                <w:szCs w:val="24"/>
                <w:lang w:eastAsia="en-GB"/>
              </w:rPr>
            </w:pPr>
            <w:r w:rsidRPr="00894386">
              <w:rPr>
                <w:rFonts w:asciiTheme="minorHAnsi" w:eastAsia="Times New Roman" w:hAnsiTheme="minorHAnsi" w:cstheme="minorHAnsi"/>
                <w:szCs w:val="24"/>
                <w:lang w:eastAsia="en-GB"/>
              </w:rPr>
              <w:t>Self-assessment is instant reflection, it allows the learner to think about their actions/engagement and creates fuel for discussion when feedbacking. It allowed learners to recognise their own behaviour and how to offer suggestions to overcome incidents where the learner was graded lower than expected. As lead practioner it was important to recognise and praise those who worked well and understand when using this strategy, the learner may not always give an accurate representation on how they engaged/performed. However, this strategy was time consuming, so when planning lessons I need to ensure to factor in discussion time. I don't think I would use this strategy again within a PE context due to the limited time after transition and collection after last lesson.</w:t>
            </w:r>
          </w:p>
          <w:p w14:paraId="4F5C0807" w14:textId="1DD1740B" w:rsidR="008632A8" w:rsidRPr="00894386" w:rsidRDefault="008632A8" w:rsidP="00894386">
            <w:pPr>
              <w:rPr>
                <w:rFonts w:asciiTheme="minorHAnsi" w:hAnsiTheme="minorHAnsi" w:cstheme="minorHAnsi"/>
                <w:sz w:val="22"/>
              </w:rPr>
            </w:pPr>
          </w:p>
        </w:tc>
      </w:tr>
    </w:tbl>
    <w:p w14:paraId="566D11EC" w14:textId="31CCA029" w:rsidR="00446402" w:rsidRPr="00894386" w:rsidRDefault="00446402" w:rsidP="00894386">
      <w:pPr>
        <w:pStyle w:val="Heading3"/>
        <w:rPr>
          <w:rFonts w:asciiTheme="minorHAnsi" w:hAnsiTheme="minorHAnsi" w:cstheme="minorHAnsi"/>
        </w:rPr>
      </w:pPr>
      <w:r w:rsidRPr="00894386">
        <w:rPr>
          <w:rFonts w:asciiTheme="minorHAnsi" w:hAnsiTheme="minorHAnsi" w:cstheme="minorHAnsi"/>
        </w:rPr>
        <w:lastRenderedPageBreak/>
        <w:t>Share</w:t>
      </w:r>
    </w:p>
    <w:tbl>
      <w:tblPr>
        <w:tblW w:w="9639" w:type="dxa"/>
        <w:tblInd w:w="-5" w:type="dxa"/>
        <w:tblLook w:val="04A0" w:firstRow="1" w:lastRow="0" w:firstColumn="1" w:lastColumn="0" w:noHBand="0" w:noVBand="1"/>
      </w:tblPr>
      <w:tblGrid>
        <w:gridCol w:w="4678"/>
        <w:gridCol w:w="4961"/>
      </w:tblGrid>
      <w:tr w:rsidR="003F005A" w:rsidRPr="00894386"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894386" w:rsidRDefault="00446402" w:rsidP="00894386">
            <w:pPr>
              <w:rPr>
                <w:rFonts w:eastAsia="Calibri" w:cstheme="minorHAnsi"/>
                <w:b/>
                <w:szCs w:val="24"/>
                <w:lang w:val="en-GB"/>
              </w:rPr>
            </w:pPr>
            <w:r w:rsidRPr="00894386">
              <w:rPr>
                <w:rFonts w:eastAsia="Calibri" w:cstheme="minorHAnsi"/>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894386" w:rsidRDefault="00446402" w:rsidP="00894386">
            <w:pPr>
              <w:rPr>
                <w:rFonts w:eastAsia="Calibri" w:cstheme="minorHAnsi"/>
                <w:b/>
                <w:szCs w:val="24"/>
                <w:lang w:val="en-GB"/>
              </w:rPr>
            </w:pPr>
            <w:r w:rsidRPr="00894386">
              <w:rPr>
                <w:rFonts w:eastAsia="Calibri" w:cstheme="minorHAnsi"/>
                <w:b/>
                <w:szCs w:val="24"/>
                <w:lang w:val="en-GB"/>
              </w:rPr>
              <w:t>Adfyfyrio / Reflect</w:t>
            </w:r>
          </w:p>
          <w:p w14:paraId="315C8DED" w14:textId="77777777" w:rsidR="00446402" w:rsidRPr="00894386" w:rsidRDefault="00446402" w:rsidP="00894386">
            <w:pPr>
              <w:rPr>
                <w:rFonts w:eastAsia="Calibri" w:cstheme="minorHAnsi"/>
                <w:b/>
                <w:szCs w:val="24"/>
                <w:lang w:val="en-GB"/>
              </w:rPr>
            </w:pPr>
          </w:p>
        </w:tc>
      </w:tr>
      <w:tr w:rsidR="00446402" w:rsidRPr="00894386"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6EAC80AC" w14:textId="77777777" w:rsidR="00446402" w:rsidRDefault="003418B0" w:rsidP="00894386">
            <w:pPr>
              <w:rPr>
                <w:rFonts w:cstheme="minorHAnsi"/>
              </w:rPr>
            </w:pPr>
            <w:r w:rsidRPr="00894386">
              <w:rPr>
                <w:rFonts w:cstheme="minorHAnsi"/>
              </w:rPr>
              <w:t>After reflecting on the implementation of my chosen strategies I composed a PowerPoint in preparation to discuss with peers on my course of my research. We presented the PowerPoint to one another over teams and asked questions around the experiences.</w:t>
            </w:r>
          </w:p>
          <w:p w14:paraId="74D1B650" w14:textId="77777777" w:rsidR="002073FB" w:rsidRDefault="002073FB" w:rsidP="00894386">
            <w:pPr>
              <w:rPr>
                <w:rFonts w:eastAsia="Calibri" w:cstheme="minorHAnsi"/>
                <w:lang w:val="en-GB"/>
              </w:rPr>
            </w:pPr>
          </w:p>
          <w:p w14:paraId="4E49FF68" w14:textId="40FFDDFE" w:rsidR="002073FB" w:rsidRPr="00894386" w:rsidRDefault="002073FB" w:rsidP="00894386">
            <w:pPr>
              <w:rPr>
                <w:rFonts w:eastAsia="Calibri" w:cstheme="minorHAnsi"/>
                <w:sz w:val="22"/>
                <w:lang w:val="en-GB"/>
              </w:rPr>
            </w:pPr>
            <w:r>
              <w:rPr>
                <w:rFonts w:eastAsia="Calibri" w:cstheme="minorHAnsi"/>
                <w:lang w:val="en-GB"/>
              </w:rPr>
              <w:t>*see asset bridging*</w:t>
            </w:r>
          </w:p>
        </w:tc>
        <w:tc>
          <w:tcPr>
            <w:tcW w:w="4961" w:type="dxa"/>
            <w:tcBorders>
              <w:top w:val="single" w:sz="4" w:space="0" w:color="auto"/>
              <w:left w:val="single" w:sz="4" w:space="0" w:color="auto"/>
              <w:bottom w:val="single" w:sz="4" w:space="0" w:color="auto"/>
              <w:right w:val="single" w:sz="4" w:space="0" w:color="auto"/>
            </w:tcBorders>
          </w:tcPr>
          <w:p w14:paraId="07D8103A" w14:textId="687FA6C2" w:rsidR="008632A8" w:rsidRPr="00894386" w:rsidRDefault="003418B0" w:rsidP="00894386">
            <w:pPr>
              <w:rPr>
                <w:rFonts w:eastAsia="Calibri" w:cstheme="minorHAnsi"/>
                <w:sz w:val="22"/>
                <w:lang w:val="en-GB"/>
              </w:rPr>
            </w:pPr>
            <w:r w:rsidRPr="00894386">
              <w:rPr>
                <w:rFonts w:cstheme="minorHAnsi"/>
              </w:rPr>
              <w:t>During this share period it was evident throughout that strategies that may have worked well within certain year groups, for example, mine were year 6, didn't work as well for another student-teacher who was in nursery. A recurring theme within foundation phase was that thumbs to show me how your feeling was used frequently and worked well within that year group, whereas, yes that would work within year 6, but within both groups can always lead to - are they telling you what they think you want to hear/see. There were many strategies that I can implement within future practice, one being feedback as I believe that this is a crucial factor within teaching.</w:t>
            </w:r>
          </w:p>
        </w:tc>
      </w:tr>
    </w:tbl>
    <w:p w14:paraId="6EF7FD1B" w14:textId="77777777" w:rsidR="00446402" w:rsidRPr="00894386" w:rsidRDefault="00446402" w:rsidP="00894386">
      <w:pPr>
        <w:spacing w:after="160"/>
        <w:rPr>
          <w:rFonts w:eastAsia="Calibri" w:cstheme="minorHAnsi"/>
          <w:sz w:val="22"/>
          <w:lang w:val="en-GB"/>
        </w:rPr>
      </w:pPr>
    </w:p>
    <w:p w14:paraId="349E26A3" w14:textId="78FACCB4" w:rsidR="2B5A2DAC" w:rsidRPr="00894386" w:rsidRDefault="2B5A2DAC" w:rsidP="00894386">
      <w:pPr>
        <w:rPr>
          <w:rFonts w:cstheme="minorHAnsi"/>
        </w:rPr>
      </w:pPr>
      <w:r w:rsidRPr="00894386">
        <w:rPr>
          <w:rFonts w:cstheme="minorHAnsi"/>
        </w:rPr>
        <w:br w:type="page"/>
      </w:r>
    </w:p>
    <w:p w14:paraId="24D39CBB" w14:textId="10127499" w:rsidR="00103F5C" w:rsidRPr="00976B20" w:rsidRDefault="002473E3" w:rsidP="00976B20">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r>
        <w:t>Llythrennedd / Literacy</w:t>
      </w:r>
    </w:p>
    <w:p w14:paraId="0E9332AD" w14:textId="433A6750"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C247BE">
            <w:sym w:font="Webdings" w:char="F061"/>
          </w:r>
        </w:sdtContent>
      </w:sdt>
    </w:p>
    <w:p w14:paraId="056A9E00" w14:textId="2F7ED8F1" w:rsidR="00EE37F6" w:rsidRDefault="00C247BE" w:rsidP="000E5D60">
      <w:pPr>
        <w:rPr>
          <w:shd w:val="clear" w:color="auto" w:fill="FFFFFF"/>
        </w:rPr>
      </w:pPr>
      <w:r>
        <w:rPr>
          <w:shd w:val="clear" w:color="auto" w:fill="FFFFFF"/>
        </w:rPr>
        <w:t xml:space="preserve">Following assets outline CPD training that took place after school during PTE1. This is where we focused on the fundamentals of Phonics and the importance of consistently teaching Phonics while following a scheme of work. The scheme that the school adopted was letters and sounds, *See notes for details*. I further enhanced my practice by familiarising myself with this scheme by following a </w:t>
      </w:r>
      <w:r w:rsidR="0008332B">
        <w:rPr>
          <w:shd w:val="clear" w:color="auto" w:fill="FFFFFF"/>
        </w:rPr>
        <w:t>three-week</w:t>
      </w:r>
      <w:r>
        <w:rPr>
          <w:shd w:val="clear" w:color="auto" w:fill="FFFFFF"/>
        </w:rPr>
        <w:t xml:space="preserve"> plan derived from the scheme and taught both phase 2 and phase 3 phonics during my last placement *See evidenced asset*.</w:t>
      </w:r>
    </w:p>
    <w:p w14:paraId="30556906" w14:textId="77777777" w:rsidR="00B77B8F" w:rsidRPr="00C247BE" w:rsidRDefault="00B77B8F" w:rsidP="000E5D60"/>
    <w:p w14:paraId="083CB8D4" w14:textId="0DCF46D4" w:rsidR="00667EB2" w:rsidRDefault="00667EB2" w:rsidP="00B70105">
      <w:pPr>
        <w:pStyle w:val="Heading3"/>
      </w:pPr>
      <w:r>
        <w:t xml:space="preserve">Rhifedd / </w:t>
      </w:r>
      <w:r w:rsidRPr="00667EB2">
        <w:t>Numeracy</w:t>
      </w:r>
    </w:p>
    <w:p w14:paraId="66327DEC" w14:textId="06D8E2F7"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C067B3">
            <w:sym w:font="Webdings" w:char="F061"/>
          </w:r>
        </w:sdtContent>
      </w:sdt>
    </w:p>
    <w:p w14:paraId="1D26A330" w14:textId="40AB3797" w:rsidR="00CC0CA8" w:rsidRPr="00CC0CA8" w:rsidRDefault="00C067B3" w:rsidP="00CC0CA8">
      <w:r>
        <w:t>Following CPD training provided by the school on their little, big maths scheme that they follow, I then developed my practice further by using innovative teaching methods to implement the scheme and teach during previous weeks of placement.</w:t>
      </w:r>
    </w:p>
    <w:p w14:paraId="404BAAFA" w14:textId="1B326409" w:rsidR="00667EB2" w:rsidRDefault="00667EB2" w:rsidP="00667EB2"/>
    <w:p w14:paraId="5315715F" w14:textId="4E2047D6" w:rsidR="00A51F96" w:rsidRDefault="002A49CE" w:rsidP="00A51F96">
      <w:pPr>
        <w:pStyle w:val="Heading3"/>
      </w:pPr>
      <w:r>
        <w:t xml:space="preserve">Datblygu’r Gymraeg / </w:t>
      </w:r>
      <w:r w:rsidR="00A51F96">
        <w:t>Welsh Language Development</w:t>
      </w:r>
    </w:p>
    <w:p w14:paraId="32F475EA" w14:textId="0C53658F" w:rsidR="00241E14" w:rsidRPr="000324EF" w:rsidRDefault="00241E14" w:rsidP="00241E14">
      <w:r>
        <w:t xml:space="preserve">Evidenced by an asset? </w:t>
      </w:r>
      <w:sdt>
        <w:sdtPr>
          <w:id w:val="-546458439"/>
          <w14:checkbox>
            <w14:checked w14:val="1"/>
            <w14:checkedState w14:val="0061" w14:font="Webdings"/>
            <w14:uncheckedState w14:val="2610" w14:font="MS Gothic"/>
          </w14:checkbox>
        </w:sdtPr>
        <w:sdtEndPr/>
        <w:sdtContent>
          <w:r w:rsidR="000324EF">
            <w:sym w:font="Webdings" w:char="F061"/>
          </w:r>
        </w:sdtContent>
      </w:sdt>
    </w:p>
    <w:p w14:paraId="60A29AA3" w14:textId="03806789" w:rsidR="000324EF" w:rsidRDefault="000324EF">
      <w:r>
        <w:t>This lesson was delivered online as a microteach to our peers. This was to develop our welsh language whilst practising ways to deliver online. This would link to teaching standard innovation where I am familiarising myself with new ways to teach online, whilst keeping engagement high and developing the welsh language.</w:t>
      </w:r>
    </w:p>
    <w:p w14:paraId="2E0161C1" w14:textId="77777777" w:rsidR="00092BC4" w:rsidRDefault="00092BC4"/>
    <w:p w14:paraId="515B4170" w14:textId="77777777" w:rsidR="000324EF" w:rsidRDefault="000324EF"/>
    <w:p w14:paraId="3ED0067C" w14:textId="6A1B2C49" w:rsidR="00552BF1" w:rsidRPr="00B77B8F" w:rsidRDefault="00A10EAD" w:rsidP="00B77B8F">
      <w:pPr>
        <w:pStyle w:val="Heading2"/>
        <w:jc w:val="both"/>
        <w:rPr>
          <w:rFonts w:asciiTheme="minorHAnsi" w:hAnsiTheme="minorHAnsi" w:cstheme="minorHAnsi"/>
          <w:sz w:val="32"/>
          <w:szCs w:val="32"/>
        </w:rPr>
      </w:pPr>
      <w:r w:rsidRPr="00B77B8F">
        <w:rPr>
          <w:rFonts w:asciiTheme="minorHAnsi" w:hAnsiTheme="minorHAnsi" w:cstheme="minorHAnsi"/>
          <w:sz w:val="32"/>
          <w:szCs w:val="32"/>
        </w:rPr>
        <w:lastRenderedPageBreak/>
        <w:t>Safonau/ Standards</w:t>
      </w:r>
    </w:p>
    <w:p w14:paraId="59426E11" w14:textId="6EF365D6" w:rsidR="000D213D" w:rsidRPr="002E63C0" w:rsidRDefault="000D213D" w:rsidP="002E63C0">
      <w:pPr>
        <w:pStyle w:val="Heading2"/>
        <w:jc w:val="both"/>
        <w:rPr>
          <w:rFonts w:asciiTheme="minorHAnsi" w:hAnsiTheme="minorHAnsi" w:cstheme="minorHAnsi"/>
          <w:sz w:val="24"/>
          <w:szCs w:val="24"/>
        </w:rPr>
      </w:pPr>
      <w:r w:rsidRPr="002E63C0">
        <w:rPr>
          <w:rFonts w:asciiTheme="minorHAnsi" w:hAnsiTheme="minorHAnsi" w:cstheme="minorHAnsi"/>
          <w:sz w:val="24"/>
          <w:szCs w:val="24"/>
        </w:rPr>
        <w:t>Professional Experience Template</w:t>
      </w:r>
      <w:r w:rsidR="007C32AA" w:rsidRPr="002E63C0">
        <w:rPr>
          <w:rFonts w:asciiTheme="minorHAnsi" w:hAnsiTheme="minorHAnsi" w:cstheme="minorHAnsi"/>
          <w:sz w:val="24"/>
          <w:szCs w:val="24"/>
        </w:rPr>
        <w:t xml:space="preserve"> 1</w:t>
      </w:r>
      <w:r w:rsidR="00E02C5E" w:rsidRPr="002E63C0">
        <w:rPr>
          <w:rFonts w:asciiTheme="minorHAnsi" w:hAnsiTheme="minorHAnsi" w:cstheme="minorHAnsi"/>
          <w:sz w:val="24"/>
          <w:szCs w:val="24"/>
        </w:rPr>
        <w:t xml:space="preserve">: </w:t>
      </w:r>
      <w:r w:rsidR="001A290D" w:rsidRPr="002E63C0">
        <w:rPr>
          <w:rFonts w:asciiTheme="minorHAnsi" w:hAnsiTheme="minorHAnsi" w:cstheme="minorHAnsi"/>
          <w:sz w:val="24"/>
          <w:szCs w:val="24"/>
        </w:rPr>
        <w:t>Maths - Doubling</w:t>
      </w:r>
    </w:p>
    <w:p w14:paraId="7A167012" w14:textId="2821D484" w:rsidR="00F5076F" w:rsidRPr="002E63C0" w:rsidRDefault="00B76136" w:rsidP="002E63C0">
      <w:pPr>
        <w:pStyle w:val="Heading3"/>
        <w:jc w:val="both"/>
        <w:rPr>
          <w:rFonts w:asciiTheme="minorHAnsi" w:hAnsiTheme="minorHAnsi" w:cstheme="minorHAnsi"/>
        </w:rPr>
      </w:pPr>
      <w:r w:rsidRPr="002E63C0">
        <w:rPr>
          <w:rFonts w:asciiTheme="minorHAnsi" w:hAnsiTheme="minorHAnsi" w:cstheme="minorHAnsi"/>
        </w:rPr>
        <w:t>Pe</w:t>
      </w:r>
      <w:r w:rsidR="003D093A" w:rsidRPr="002E63C0">
        <w:rPr>
          <w:rFonts w:asciiTheme="minorHAnsi" w:hAnsiTheme="minorHAnsi" w:cstheme="minorHAnsi"/>
        </w:rPr>
        <w:t xml:space="preserve">dagogy Standard: </w:t>
      </w:r>
      <w:sdt>
        <w:sdtPr>
          <w:rPr>
            <w:rFonts w:asciiTheme="minorHAnsi" w:hAnsiTheme="minorHAnsi" w:cstheme="minorHAnsi"/>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A76A6C" w:rsidRPr="002E63C0">
            <w:rPr>
              <w:rFonts w:asciiTheme="minorHAnsi" w:hAnsiTheme="minorHAnsi" w:cstheme="minorHAnsi"/>
            </w:rPr>
            <w:t>Refining: Differentiation</w:t>
          </w:r>
        </w:sdtContent>
      </w:sdt>
    </w:p>
    <w:p w14:paraId="02E30A83" w14:textId="5477FAAD" w:rsidR="007C32AA" w:rsidRPr="002E63C0" w:rsidRDefault="007C32AA" w:rsidP="002E63C0">
      <w:pPr>
        <w:pStyle w:val="Heading3"/>
        <w:jc w:val="both"/>
        <w:rPr>
          <w:rFonts w:asciiTheme="minorHAnsi" w:hAnsiTheme="minorHAnsi" w:cstheme="minorHAnsi"/>
        </w:rPr>
      </w:pPr>
      <w:r w:rsidRPr="002E63C0">
        <w:rPr>
          <w:rFonts w:asciiTheme="minorHAnsi" w:hAnsiTheme="minorHAnsi" w:cstheme="minorHAnsi"/>
        </w:rPr>
        <w:t>What did you do and why?</w:t>
      </w:r>
    </w:p>
    <w:p w14:paraId="3C339A88" w14:textId="77777777" w:rsidR="00016B87" w:rsidRPr="002E63C0" w:rsidRDefault="00016B87" w:rsidP="002E63C0">
      <w:pPr>
        <w:spacing w:before="100" w:beforeAutospacing="1" w:after="100" w:afterAutospacing="1"/>
        <w:jc w:val="both"/>
        <w:rPr>
          <w:rFonts w:eastAsia="Times New Roman" w:cstheme="minorHAnsi"/>
          <w:szCs w:val="24"/>
          <w:lang w:val="en-GB" w:eastAsia="en-GB"/>
        </w:rPr>
      </w:pPr>
      <w:r w:rsidRPr="002E63C0">
        <w:rPr>
          <w:rFonts w:eastAsia="Times New Roman" w:cstheme="minorHAnsi"/>
          <w:b/>
          <w:bCs/>
          <w:szCs w:val="24"/>
          <w:u w:val="single"/>
          <w:lang w:val="en-GB" w:eastAsia="en-GB"/>
        </w:rPr>
        <w:t>Overview</w:t>
      </w:r>
    </w:p>
    <w:p w14:paraId="22BC2574" w14:textId="3A1FC346" w:rsidR="00016B87" w:rsidRDefault="00016B87" w:rsidP="002E63C0">
      <w:pPr>
        <w:spacing w:before="100" w:beforeAutospacing="1" w:after="100" w:afterAutospacing="1"/>
        <w:jc w:val="both"/>
        <w:rPr>
          <w:rFonts w:eastAsia="Times New Roman" w:cstheme="minorHAnsi"/>
          <w:szCs w:val="24"/>
          <w:lang w:val="en-GB" w:eastAsia="en-GB"/>
        </w:rPr>
      </w:pPr>
      <w:r w:rsidRPr="002E63C0">
        <w:rPr>
          <w:rFonts w:eastAsia="Times New Roman" w:cstheme="minorHAnsi"/>
          <w:szCs w:val="24"/>
          <w:lang w:val="en-GB" w:eastAsia="en-GB"/>
        </w:rPr>
        <w:t xml:space="preserve">Following the little, big maths scheme that is adopted by the school I created lesson plans according to the scheme of work. Throughout the scheme there is no time scale on how long to spend within each step and moving forward is down to the </w:t>
      </w:r>
      <w:r w:rsidR="00092BC4" w:rsidRPr="002E63C0">
        <w:rPr>
          <w:rFonts w:eastAsia="Times New Roman" w:cstheme="minorHAnsi"/>
          <w:szCs w:val="24"/>
          <w:lang w:val="en-GB" w:eastAsia="en-GB"/>
        </w:rPr>
        <w:t>teacher’s</w:t>
      </w:r>
      <w:r w:rsidRPr="002E63C0">
        <w:rPr>
          <w:rFonts w:eastAsia="Times New Roman" w:cstheme="minorHAnsi"/>
          <w:szCs w:val="24"/>
          <w:lang w:val="en-GB" w:eastAsia="en-GB"/>
        </w:rPr>
        <w:t xml:space="preserve"> professional judgement. It is broken down into three sections, but after discussing with my mentor we </w:t>
      </w:r>
      <w:r w:rsidR="00092BC4" w:rsidRPr="002E63C0">
        <w:rPr>
          <w:rFonts w:eastAsia="Times New Roman" w:cstheme="minorHAnsi"/>
          <w:szCs w:val="24"/>
          <w:lang w:val="en-GB" w:eastAsia="en-GB"/>
        </w:rPr>
        <w:t>conclude</w:t>
      </w:r>
      <w:r w:rsidRPr="002E63C0">
        <w:rPr>
          <w:rFonts w:eastAsia="Times New Roman" w:cstheme="minorHAnsi"/>
          <w:szCs w:val="24"/>
          <w:lang w:val="en-GB" w:eastAsia="en-GB"/>
        </w:rPr>
        <w:t xml:space="preserve"> that I would focus on the 'count it' and 'learn it' steps, rather than coming full circle due to COVID-19 impacting the children's knowledge and understanding. The environment these lessons took place was within the Hub provision, where it was delivered to children from nursery, </w:t>
      </w:r>
      <w:r w:rsidR="00092BC4" w:rsidRPr="002E63C0">
        <w:rPr>
          <w:rFonts w:eastAsia="Times New Roman" w:cstheme="minorHAnsi"/>
          <w:szCs w:val="24"/>
          <w:lang w:val="en-GB" w:eastAsia="en-GB"/>
        </w:rPr>
        <w:t>reception,</w:t>
      </w:r>
      <w:r w:rsidRPr="002E63C0">
        <w:rPr>
          <w:rFonts w:eastAsia="Times New Roman" w:cstheme="minorHAnsi"/>
          <w:szCs w:val="24"/>
          <w:lang w:val="en-GB" w:eastAsia="en-GB"/>
        </w:rPr>
        <w:t xml:space="preserve"> and Year 1. At the beginning of the </w:t>
      </w:r>
      <w:r w:rsidR="00092BC4" w:rsidRPr="002E63C0">
        <w:rPr>
          <w:rFonts w:eastAsia="Times New Roman" w:cstheme="minorHAnsi"/>
          <w:szCs w:val="24"/>
          <w:lang w:val="en-GB" w:eastAsia="en-GB"/>
        </w:rPr>
        <w:t>week,</w:t>
      </w:r>
      <w:r w:rsidRPr="002E63C0">
        <w:rPr>
          <w:rFonts w:eastAsia="Times New Roman" w:cstheme="minorHAnsi"/>
          <w:szCs w:val="24"/>
          <w:lang w:val="en-GB" w:eastAsia="en-GB"/>
        </w:rPr>
        <w:t xml:space="preserve"> I was teaching all groups together, however, recognised quickly that by splitting the groups into sub-groups would encourage focus and engagement, therefore, created enhanced provision including DCF with interactive maths games planned on the ipads (individually) and collaborated with my LSA, who was always aware of the flow of the day and supervised the alternating groups. I originally planned for doubling to be split and taught over two days, however, during teacher input day 1 we had a smaller group, they became familiar with the concept of doubling, but I decided rather than moving forward, we would re-visit day 1 on the second day due to increase of numbers and it being a new topic. Following on to day 3, children were understanding doubling as the number + itself, but when moving onto the written task there was confusion with the word equation. Day 4 I decided to not move on to halving, and continue doubling by using tangible objects to formulate an answer. All children completed this successfully and could verbally communicate their doubles to 10 (MAT could communicate numbers up to 20 -i.e 11, 12, 14 and challenged with 24, 44). I used secret squirrel as a form of AFL to confirm their level of understanding to prepare them for their final written task and </w:t>
      </w:r>
      <w:r w:rsidR="00092BC4" w:rsidRPr="002E63C0">
        <w:rPr>
          <w:rFonts w:eastAsia="Times New Roman" w:cstheme="minorHAnsi"/>
          <w:szCs w:val="24"/>
          <w:lang w:val="en-GB" w:eastAsia="en-GB"/>
        </w:rPr>
        <w:t>real-life</w:t>
      </w:r>
      <w:r w:rsidRPr="002E63C0">
        <w:rPr>
          <w:rFonts w:eastAsia="Times New Roman" w:cstheme="minorHAnsi"/>
          <w:szCs w:val="24"/>
          <w:lang w:val="en-GB" w:eastAsia="en-GB"/>
        </w:rPr>
        <w:t xml:space="preserve"> context application.</w:t>
      </w:r>
    </w:p>
    <w:p w14:paraId="2F343D7A" w14:textId="77777777" w:rsidR="00092BC4" w:rsidRPr="002E63C0" w:rsidRDefault="00092BC4" w:rsidP="002E63C0">
      <w:pPr>
        <w:spacing w:before="100" w:beforeAutospacing="1" w:after="100" w:afterAutospacing="1"/>
        <w:jc w:val="both"/>
        <w:rPr>
          <w:rFonts w:eastAsia="Times New Roman" w:cstheme="minorHAnsi"/>
          <w:szCs w:val="24"/>
          <w:lang w:val="en-GB" w:eastAsia="en-GB"/>
        </w:rPr>
      </w:pPr>
    </w:p>
    <w:p w14:paraId="18E9B3B6" w14:textId="77777777" w:rsidR="00016B87" w:rsidRPr="002E63C0" w:rsidRDefault="00016B87" w:rsidP="002E63C0">
      <w:pPr>
        <w:jc w:val="both"/>
        <w:rPr>
          <w:rFonts w:cstheme="minorHAnsi"/>
          <w:b/>
          <w:bCs/>
          <w:szCs w:val="24"/>
        </w:rPr>
      </w:pPr>
      <w:r w:rsidRPr="002E63C0">
        <w:rPr>
          <w:rFonts w:cstheme="minorHAnsi"/>
          <w:b/>
          <w:bCs/>
          <w:szCs w:val="24"/>
        </w:rPr>
        <w:lastRenderedPageBreak/>
        <w:t>Differentiation</w:t>
      </w:r>
    </w:p>
    <w:p w14:paraId="19D89CBC" w14:textId="48B9B00D" w:rsidR="008F713A" w:rsidRPr="002E63C0" w:rsidRDefault="006C2FFF" w:rsidP="002E63C0">
      <w:pPr>
        <w:jc w:val="both"/>
        <w:rPr>
          <w:rFonts w:cstheme="minorHAnsi"/>
          <w:szCs w:val="24"/>
        </w:rPr>
      </w:pPr>
      <w:r w:rsidRPr="002E63C0">
        <w:rPr>
          <w:rFonts w:cstheme="minorHAnsi"/>
          <w:szCs w:val="24"/>
        </w:rPr>
        <w:t>When planning it is vital that you recognise learning needs to be achievable for all (See professional discussion – PTE 1 to support this). When teaching under the hub provision I had to consider the age group I would be teaching varied, alongside ALN and ability. With that being at the forefront of my mind, my teacher input varied depending on the size of the group on the day. If I had a large group I would try to split them on ability, rather than year group. Due to the maximum group size being 16, I would have 8 on teacher input, whilst the others were on enhanced provision. Deciding to split the group on ability, rather than year group, allowed the pace and value of the content being delivered to be digested better. Either way, the content being delivered was the same, but by being split through ability allowed higher quality questioning because children surrounding one another understood or were on the same level for the challenge (scaffolding one another) and wouldn't be discouraged or switch off, offering each other expertise and avoided shouting over one another to answer. My ALN and lower ability learners were still challenged in the same way but had the opportunity to have more support and have a chance to try out sums with verbal communication or tangible objects, whilst not being overwhelmed. I adapt plans if the flow of learning is interrupted by misconception an example of this is highlighted by my mentor 'during a maths session, Shannon's initial plan was to teach doubling and halving throughout the week, however, after recognising they weren't ready to move forward and she didn't want to force the learning, she altered plans to meet the needs of the learners'.</w:t>
      </w:r>
    </w:p>
    <w:p w14:paraId="16A3AE54" w14:textId="77777777" w:rsidR="004C643D" w:rsidRPr="002E63C0" w:rsidRDefault="004C643D" w:rsidP="002E63C0">
      <w:pPr>
        <w:jc w:val="both"/>
        <w:rPr>
          <w:rFonts w:cstheme="minorHAnsi"/>
          <w:szCs w:val="24"/>
        </w:rPr>
      </w:pPr>
    </w:p>
    <w:p w14:paraId="1AD79B70" w14:textId="2F7E7BD1" w:rsidR="007C32AA" w:rsidRPr="002E63C0" w:rsidRDefault="007C32AA" w:rsidP="002E63C0">
      <w:pPr>
        <w:pStyle w:val="Heading3"/>
        <w:jc w:val="both"/>
        <w:rPr>
          <w:rFonts w:asciiTheme="minorHAnsi" w:hAnsiTheme="minorHAnsi" w:cstheme="minorHAnsi"/>
        </w:rPr>
      </w:pPr>
      <w:r w:rsidRPr="002E63C0">
        <w:rPr>
          <w:rFonts w:asciiTheme="minorHAnsi" w:hAnsiTheme="minorHAnsi" w:cstheme="minorHAnsi"/>
        </w:rPr>
        <w:t>What have you learned?</w:t>
      </w:r>
    </w:p>
    <w:p w14:paraId="6F4BBA4B" w14:textId="2B9B9EC5" w:rsidR="004C643D" w:rsidRPr="002E63C0" w:rsidRDefault="004C643D" w:rsidP="002E63C0">
      <w:pPr>
        <w:pStyle w:val="NormalWeb"/>
        <w:spacing w:line="360" w:lineRule="auto"/>
        <w:jc w:val="both"/>
        <w:rPr>
          <w:rFonts w:asciiTheme="minorHAnsi" w:hAnsiTheme="minorHAnsi" w:cstheme="minorHAnsi"/>
          <w:lang w:eastAsia="en-GB"/>
        </w:rPr>
      </w:pPr>
      <w:r w:rsidRPr="002E63C0">
        <w:rPr>
          <w:rFonts w:asciiTheme="minorHAnsi" w:hAnsiTheme="minorHAnsi" w:cstheme="minorHAnsi"/>
          <w:lang w:eastAsia="en-GB"/>
        </w:rPr>
        <w:t>By the end of the week all learners were able to understand and answer questions in regards to doubling, in line with their capability. By adapting the direction of the lesson, using professional judgement (for the pace of learning) and assessment, gave myself and the learners chance to consolidate learning and engrain the types of language surrounding doubling and it's sums.</w:t>
      </w:r>
    </w:p>
    <w:p w14:paraId="0C26BA18" w14:textId="364F7A58" w:rsidR="001A12F0" w:rsidRPr="002E63C0" w:rsidRDefault="001A12F0" w:rsidP="002E63C0">
      <w:pPr>
        <w:pStyle w:val="NormalWeb"/>
        <w:spacing w:line="360" w:lineRule="auto"/>
        <w:jc w:val="both"/>
        <w:rPr>
          <w:rFonts w:asciiTheme="minorHAnsi" w:hAnsiTheme="minorHAnsi" w:cstheme="minorHAnsi"/>
          <w:lang w:eastAsia="en-GB"/>
        </w:rPr>
      </w:pPr>
      <w:r w:rsidRPr="002E63C0">
        <w:rPr>
          <w:rFonts w:asciiTheme="minorHAnsi" w:hAnsiTheme="minorHAnsi" w:cstheme="minorHAnsi"/>
          <w:lang w:eastAsia="en-GB"/>
        </w:rPr>
        <w:t xml:space="preserve">Activies created were appropriate to suit the ability for all learners, however, I did not want to give children different sheets to one another because I wouldn’t want them feeling excluded. I </w:t>
      </w:r>
      <w:r w:rsidRPr="002E63C0">
        <w:rPr>
          <w:rFonts w:asciiTheme="minorHAnsi" w:hAnsiTheme="minorHAnsi" w:cstheme="minorHAnsi"/>
          <w:lang w:eastAsia="en-GB"/>
        </w:rPr>
        <w:lastRenderedPageBreak/>
        <w:t>put my challenge questions on the same page, however, this became overwhelming for my less able students.</w:t>
      </w:r>
    </w:p>
    <w:p w14:paraId="2260BE72" w14:textId="2D075E14" w:rsidR="00505886" w:rsidRDefault="004C643D" w:rsidP="00092BC4">
      <w:pPr>
        <w:spacing w:before="100" w:beforeAutospacing="1" w:after="100" w:afterAutospacing="1"/>
        <w:jc w:val="both"/>
        <w:rPr>
          <w:rFonts w:eastAsia="Times New Roman" w:cstheme="minorHAnsi"/>
          <w:szCs w:val="24"/>
          <w:lang w:val="en-GB" w:eastAsia="en-GB"/>
        </w:rPr>
      </w:pPr>
      <w:r w:rsidRPr="002E63C0">
        <w:rPr>
          <w:rFonts w:eastAsia="Times New Roman" w:cstheme="minorHAnsi"/>
          <w:szCs w:val="24"/>
          <w:lang w:val="en-GB" w:eastAsia="en-GB"/>
        </w:rPr>
        <w:t>After reflecting upon my first doubling session and adapting the rest of the plans for the week to follow suit, I sought after feedback from my LSA, her insight on ways in which doubling can be taught helped mould future</w:t>
      </w:r>
      <w:r w:rsidR="00092BC4">
        <w:rPr>
          <w:rFonts w:eastAsia="Times New Roman" w:cstheme="minorHAnsi"/>
          <w:szCs w:val="24"/>
          <w:lang w:val="en-GB" w:eastAsia="en-GB"/>
        </w:rPr>
        <w:t xml:space="preserve"> </w:t>
      </w:r>
      <w:r w:rsidRPr="002E63C0">
        <w:rPr>
          <w:rFonts w:eastAsia="Times New Roman" w:cstheme="minorHAnsi"/>
          <w:szCs w:val="24"/>
          <w:lang w:val="en-GB" w:eastAsia="en-GB"/>
        </w:rPr>
        <w:t>plans and introduced fun games that I was unaware of. Her suggestion for building blocks during explanation helped promote effective understanding with the learners, making that number to number of objects connection and will be implemented moving forward.</w:t>
      </w:r>
    </w:p>
    <w:p w14:paraId="0837DB92" w14:textId="77777777" w:rsidR="00092BC4" w:rsidRPr="00092BC4" w:rsidRDefault="00092BC4" w:rsidP="00092BC4">
      <w:pPr>
        <w:spacing w:before="100" w:beforeAutospacing="1" w:after="100" w:afterAutospacing="1"/>
        <w:jc w:val="both"/>
        <w:rPr>
          <w:rFonts w:eastAsia="Times New Roman" w:cstheme="minorHAnsi"/>
          <w:szCs w:val="24"/>
          <w:lang w:val="en-GB" w:eastAsia="en-GB"/>
        </w:rPr>
      </w:pPr>
    </w:p>
    <w:p w14:paraId="7142A8EC" w14:textId="3CD8B06A" w:rsidR="007C32AA" w:rsidRPr="002E63C0" w:rsidRDefault="007C32AA" w:rsidP="002E63C0">
      <w:pPr>
        <w:pStyle w:val="Heading3"/>
        <w:jc w:val="both"/>
        <w:rPr>
          <w:rFonts w:asciiTheme="minorHAnsi" w:hAnsiTheme="minorHAnsi" w:cstheme="minorHAnsi"/>
        </w:rPr>
      </w:pPr>
      <w:r w:rsidRPr="002E63C0">
        <w:rPr>
          <w:rFonts w:asciiTheme="minorHAnsi" w:hAnsiTheme="minorHAnsi" w:cstheme="minorHAnsi"/>
        </w:rPr>
        <w:t>What next?</w:t>
      </w:r>
    </w:p>
    <w:p w14:paraId="64A0A91C" w14:textId="221554C4" w:rsidR="004C643D" w:rsidRPr="002E63C0" w:rsidRDefault="004C643D" w:rsidP="002E63C0">
      <w:pPr>
        <w:spacing w:before="100" w:beforeAutospacing="1" w:after="100" w:afterAutospacing="1"/>
        <w:jc w:val="both"/>
        <w:rPr>
          <w:rFonts w:eastAsia="Times New Roman" w:cstheme="minorHAnsi"/>
          <w:szCs w:val="24"/>
          <w:lang w:val="en-GB" w:eastAsia="en-GB"/>
        </w:rPr>
      </w:pPr>
      <w:r w:rsidRPr="002E63C0">
        <w:rPr>
          <w:rFonts w:eastAsia="Times New Roman" w:cstheme="minorHAnsi"/>
          <w:szCs w:val="24"/>
          <w:lang w:val="en-GB" w:eastAsia="en-GB"/>
        </w:rPr>
        <w:t>Moving forward, I will continue to sought after feedback from colleagues upon reflection of lessons as it is valuable insight and allows different perspective when discussing what worked well and what areas needed to develop (Brookefield model of reflective practice 1995). For future practice, it is important to research different ways of feedback as an AFL strategy for the learner, which will allow the reflective model to complete full circle. When teaching students, especially younger learners, visual aids really add value to the lesson and benefit the learner, so will continue to adapt this within my lessons.</w:t>
      </w:r>
    </w:p>
    <w:p w14:paraId="2761B208" w14:textId="16E9B8EE" w:rsidR="001A12F0" w:rsidRPr="002E63C0" w:rsidRDefault="001A12F0" w:rsidP="002E63C0">
      <w:pPr>
        <w:spacing w:before="100" w:beforeAutospacing="1" w:after="100" w:afterAutospacing="1"/>
        <w:jc w:val="both"/>
        <w:rPr>
          <w:rFonts w:eastAsia="Times New Roman" w:cstheme="minorHAnsi"/>
          <w:szCs w:val="24"/>
          <w:lang w:val="en-GB" w:eastAsia="en-GB"/>
        </w:rPr>
      </w:pPr>
      <w:r w:rsidRPr="002E63C0">
        <w:rPr>
          <w:rFonts w:eastAsia="Times New Roman" w:cstheme="minorHAnsi"/>
          <w:szCs w:val="24"/>
          <w:lang w:val="en-GB" w:eastAsia="en-GB"/>
        </w:rPr>
        <w:t>Activities created will have the same questions, however, the challenge questions will be a separate activity that I can direct my MAT students towards to keep the flow of learning and avoid disengement.</w:t>
      </w:r>
    </w:p>
    <w:p w14:paraId="028478CF" w14:textId="77777777" w:rsidR="004C643D" w:rsidRPr="002E63C0" w:rsidRDefault="004C643D" w:rsidP="002E63C0">
      <w:pPr>
        <w:spacing w:before="100" w:beforeAutospacing="1" w:after="100" w:afterAutospacing="1"/>
        <w:jc w:val="both"/>
        <w:rPr>
          <w:rFonts w:eastAsia="Times New Roman" w:cstheme="minorHAnsi"/>
          <w:szCs w:val="24"/>
          <w:lang w:val="en-GB" w:eastAsia="en-GB"/>
        </w:rPr>
      </w:pPr>
      <w:r w:rsidRPr="002E63C0">
        <w:rPr>
          <w:rFonts w:eastAsia="Times New Roman" w:cstheme="minorHAnsi"/>
          <w:szCs w:val="24"/>
          <w:lang w:val="en-GB" w:eastAsia="en-GB"/>
        </w:rPr>
        <w:t>In regards to differentiation, I will continue to develop plans with differentiation as the back bone. Splitting learners into sub-groups for maths and literacy based on ability seemed to benefit the different type of individual learning needs. Also, taking into consideration group size, enhanced engagement and quality of input/feedback, therefore, moving forward, teacher input on a carousel type flow may work better and I will trail this moving forward in my next placement.</w:t>
      </w:r>
    </w:p>
    <w:p w14:paraId="1A6E7164" w14:textId="4D95ABCC" w:rsidR="00811007" w:rsidRPr="002E63C0" w:rsidRDefault="00811007" w:rsidP="002E63C0">
      <w:pPr>
        <w:jc w:val="both"/>
        <w:rPr>
          <w:rFonts w:cstheme="minorHAnsi"/>
          <w:szCs w:val="24"/>
        </w:rPr>
      </w:pPr>
    </w:p>
    <w:p w14:paraId="01EC8868" w14:textId="77777777" w:rsidR="00552BF1" w:rsidRPr="002E63C0" w:rsidRDefault="00552BF1" w:rsidP="002E63C0">
      <w:pPr>
        <w:jc w:val="both"/>
        <w:rPr>
          <w:rFonts w:cstheme="minorHAnsi"/>
          <w:szCs w:val="24"/>
        </w:rPr>
      </w:pPr>
    </w:p>
    <w:p w14:paraId="11F56628" w14:textId="518757A6" w:rsidR="00B9167E" w:rsidRPr="002E63C0" w:rsidRDefault="00B357D8" w:rsidP="002E63C0">
      <w:pPr>
        <w:pStyle w:val="Heading2"/>
        <w:jc w:val="both"/>
        <w:rPr>
          <w:rFonts w:asciiTheme="minorHAnsi" w:hAnsiTheme="minorHAnsi" w:cstheme="minorHAnsi"/>
          <w:sz w:val="24"/>
          <w:szCs w:val="24"/>
        </w:rPr>
      </w:pPr>
      <w:r w:rsidRPr="002E63C0">
        <w:rPr>
          <w:rFonts w:asciiTheme="minorHAnsi" w:hAnsiTheme="minorHAnsi" w:cstheme="minorHAnsi"/>
          <w:sz w:val="24"/>
          <w:szCs w:val="24"/>
        </w:rPr>
        <w:t>Professional Experience Template 2</w:t>
      </w:r>
      <w:r w:rsidR="00B9167E" w:rsidRPr="002E63C0">
        <w:rPr>
          <w:rFonts w:asciiTheme="minorHAnsi" w:hAnsiTheme="minorHAnsi" w:cstheme="minorHAnsi"/>
          <w:sz w:val="24"/>
          <w:szCs w:val="24"/>
        </w:rPr>
        <w:t xml:space="preserve">: </w:t>
      </w:r>
      <w:r w:rsidR="001A290D" w:rsidRPr="002E63C0">
        <w:rPr>
          <w:rFonts w:asciiTheme="minorHAnsi" w:hAnsiTheme="minorHAnsi" w:cstheme="minorHAnsi"/>
          <w:sz w:val="24"/>
          <w:szCs w:val="24"/>
        </w:rPr>
        <w:t>Inquiry – Healthy Eating</w:t>
      </w:r>
    </w:p>
    <w:p w14:paraId="1D41B13B" w14:textId="05CC4F7E" w:rsidR="00927DC7" w:rsidRPr="002E63C0" w:rsidRDefault="00927DC7" w:rsidP="002E63C0">
      <w:pPr>
        <w:pStyle w:val="Heading3"/>
        <w:jc w:val="both"/>
        <w:rPr>
          <w:rFonts w:asciiTheme="minorHAnsi" w:hAnsiTheme="minorHAnsi" w:cstheme="minorHAnsi"/>
        </w:rPr>
      </w:pPr>
      <w:r w:rsidRPr="002E63C0">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E56D19" w:rsidRPr="002E63C0">
            <w:rPr>
              <w:rFonts w:asciiTheme="minorHAnsi" w:hAnsiTheme="minorHAnsi" w:cstheme="minorHAnsi"/>
            </w:rPr>
            <w:t>Advancing: Four purposes</w:t>
          </w:r>
        </w:sdtContent>
      </w:sdt>
    </w:p>
    <w:p w14:paraId="2C2A77DF" w14:textId="77777777" w:rsidR="00846548" w:rsidRPr="002E63C0" w:rsidRDefault="00846548" w:rsidP="002E63C0">
      <w:pPr>
        <w:pStyle w:val="Heading3"/>
        <w:jc w:val="both"/>
        <w:rPr>
          <w:rFonts w:asciiTheme="minorHAnsi" w:hAnsiTheme="minorHAnsi" w:cstheme="minorHAnsi"/>
        </w:rPr>
      </w:pPr>
      <w:r w:rsidRPr="002E63C0">
        <w:rPr>
          <w:rFonts w:asciiTheme="minorHAnsi" w:hAnsiTheme="minorHAnsi" w:cstheme="minorHAnsi"/>
        </w:rPr>
        <w:t>What did you do and why?</w:t>
      </w:r>
    </w:p>
    <w:p w14:paraId="0AF6287F" w14:textId="58E77EF7" w:rsidR="007D1519" w:rsidRPr="002E63C0" w:rsidRDefault="007D1519" w:rsidP="002E63C0">
      <w:pPr>
        <w:jc w:val="both"/>
        <w:rPr>
          <w:rFonts w:cstheme="minorHAnsi"/>
          <w:b/>
          <w:bCs/>
          <w:szCs w:val="24"/>
        </w:rPr>
      </w:pPr>
      <w:r w:rsidRPr="002E63C0">
        <w:rPr>
          <w:rFonts w:cstheme="minorHAnsi"/>
          <w:b/>
          <w:bCs/>
          <w:szCs w:val="24"/>
        </w:rPr>
        <w:t>Overview</w:t>
      </w:r>
    </w:p>
    <w:p w14:paraId="6A0752C6" w14:textId="18F0DCB5" w:rsidR="007D1519" w:rsidRDefault="007D1519" w:rsidP="002E63C0">
      <w:pPr>
        <w:jc w:val="both"/>
        <w:rPr>
          <w:rFonts w:cstheme="minorHAnsi"/>
          <w:szCs w:val="24"/>
        </w:rPr>
      </w:pPr>
      <w:r w:rsidRPr="002E63C0">
        <w:rPr>
          <w:rFonts w:cstheme="minorHAnsi"/>
          <w:szCs w:val="24"/>
        </w:rPr>
        <w:t xml:space="preserve">The inquiry lesson was planned around the storybook Goldilocks and the Three bears. When planning learning I use the four purposes as the main driver, during this lesson I focussed on the AoLE health and well-being, with the purpose of developing a healthy, confident individual. I introduced the eat well plate, discussed what was meant by healthy/unhealthy, read the story the hungry caterpillar, watched a short youtube clip  and played an interactive game of sorting the foods into healthy and unhealthy plates. When sorting foods, I would ask individuals to decide what they thought was healthy/unhealthy (pupil voice) and then asking the other learners for 'thumbs up' to agree or disagree to fuel discussion. Using the hook (letter from baby bear) children were aware that they would need to make healthy sandwiches for the picnic. We had open discussion on how to make a sandwich, then working with each other, the children had to organise the sequence of making a sandwich. Whilst I was working on this task with the children I asked my LSA to set up the resources needed for us to make the sandwich. Prior to this lesson taking place on the Friday, I also had to liaise with the family engagement officer (pastoral role)  to source the produce to make the sandwiches, I discussed what options I would need for the children to make their picnic and she arranged with the fair trade supplier the foods needed. I arranged this with her on the Monday to be efficient. After sequencing our sandwich making and discussing the importance of health and safety i.e handling of butter knife, washing hands; we moved onto our sandwich making activity. I would demonstrate how to butter the bread for example - using probing questions for example how much butter would I need? Why do you think that? After completing our </w:t>
      </w:r>
      <w:r w:rsidR="006C7509" w:rsidRPr="002E63C0">
        <w:rPr>
          <w:rFonts w:cstheme="minorHAnsi"/>
          <w:szCs w:val="24"/>
        </w:rPr>
        <w:t>sandwiches,</w:t>
      </w:r>
      <w:r w:rsidRPr="002E63C0">
        <w:rPr>
          <w:rFonts w:cstheme="minorHAnsi"/>
          <w:szCs w:val="24"/>
        </w:rPr>
        <w:t xml:space="preserve"> it was time for </w:t>
      </w:r>
      <w:r w:rsidR="006C7509" w:rsidRPr="002E63C0">
        <w:rPr>
          <w:rFonts w:cstheme="minorHAnsi"/>
          <w:szCs w:val="24"/>
        </w:rPr>
        <w:t>lunch,</w:t>
      </w:r>
      <w:r w:rsidRPr="002E63C0">
        <w:rPr>
          <w:rFonts w:cstheme="minorHAnsi"/>
          <w:szCs w:val="24"/>
        </w:rPr>
        <w:t xml:space="preserve"> and we enjoyed eating our food together.</w:t>
      </w:r>
    </w:p>
    <w:p w14:paraId="6B4FD75B" w14:textId="0EB0DEE4" w:rsidR="00146BBB" w:rsidRDefault="00146BBB" w:rsidP="002E63C0">
      <w:pPr>
        <w:jc w:val="both"/>
        <w:rPr>
          <w:rFonts w:cstheme="minorHAnsi"/>
          <w:szCs w:val="24"/>
        </w:rPr>
      </w:pPr>
    </w:p>
    <w:p w14:paraId="32637817" w14:textId="2D02EB17" w:rsidR="00092BC4" w:rsidRDefault="00092BC4" w:rsidP="002E63C0">
      <w:pPr>
        <w:jc w:val="both"/>
        <w:rPr>
          <w:rFonts w:cstheme="minorHAnsi"/>
          <w:szCs w:val="24"/>
        </w:rPr>
      </w:pPr>
    </w:p>
    <w:p w14:paraId="640197F0" w14:textId="77777777" w:rsidR="00092BC4" w:rsidRDefault="00092BC4" w:rsidP="002E63C0">
      <w:pPr>
        <w:jc w:val="both"/>
        <w:rPr>
          <w:rFonts w:cstheme="minorHAnsi"/>
          <w:szCs w:val="24"/>
        </w:rPr>
      </w:pPr>
    </w:p>
    <w:p w14:paraId="003671FF" w14:textId="77777777" w:rsidR="00146BBB" w:rsidRPr="002E63C0" w:rsidRDefault="00146BBB" w:rsidP="002E63C0">
      <w:pPr>
        <w:jc w:val="both"/>
        <w:rPr>
          <w:rFonts w:cstheme="minorHAnsi"/>
          <w:szCs w:val="24"/>
        </w:rPr>
      </w:pPr>
    </w:p>
    <w:p w14:paraId="428999EE" w14:textId="77777777" w:rsidR="007D1519" w:rsidRPr="002E63C0" w:rsidRDefault="007D1519" w:rsidP="002E63C0">
      <w:pPr>
        <w:jc w:val="both"/>
        <w:rPr>
          <w:rFonts w:cstheme="minorHAnsi"/>
          <w:b/>
          <w:bCs/>
          <w:szCs w:val="24"/>
        </w:rPr>
      </w:pPr>
      <w:r w:rsidRPr="002E63C0">
        <w:rPr>
          <w:rFonts w:cstheme="minorHAnsi"/>
          <w:b/>
          <w:bCs/>
          <w:szCs w:val="24"/>
        </w:rPr>
        <w:lastRenderedPageBreak/>
        <w:t>Four purposes</w:t>
      </w:r>
    </w:p>
    <w:p w14:paraId="744564A6" w14:textId="28A65343" w:rsidR="00846548" w:rsidRPr="002E63C0" w:rsidRDefault="007D1519" w:rsidP="002E63C0">
      <w:pPr>
        <w:jc w:val="both"/>
        <w:rPr>
          <w:rFonts w:cstheme="minorHAnsi"/>
          <w:szCs w:val="24"/>
        </w:rPr>
      </w:pPr>
      <w:r w:rsidRPr="002E63C0">
        <w:rPr>
          <w:rFonts w:cstheme="minorHAnsi"/>
          <w:szCs w:val="24"/>
        </w:rPr>
        <w:t xml:space="preserve">See attached lesson plan for evidence. </w:t>
      </w:r>
      <w:r w:rsidR="006C7509" w:rsidRPr="002E63C0">
        <w:rPr>
          <w:rFonts w:cstheme="minorHAnsi"/>
          <w:szCs w:val="24"/>
        </w:rPr>
        <w:t>To</w:t>
      </w:r>
      <w:r w:rsidR="007F4E67" w:rsidRPr="002E63C0">
        <w:rPr>
          <w:rFonts w:cstheme="minorHAnsi"/>
          <w:szCs w:val="24"/>
        </w:rPr>
        <w:t xml:space="preserve"> drive the four purposes, further reading was completed regarding </w:t>
      </w:r>
      <w:r w:rsidR="006C7509" w:rsidRPr="002E63C0">
        <w:rPr>
          <w:rFonts w:cstheme="minorHAnsi"/>
          <w:szCs w:val="24"/>
        </w:rPr>
        <w:t>Professor</w:t>
      </w:r>
      <w:r w:rsidR="007F4E67" w:rsidRPr="002E63C0">
        <w:rPr>
          <w:rFonts w:cstheme="minorHAnsi"/>
          <w:szCs w:val="24"/>
        </w:rPr>
        <w:t xml:space="preserve"> Donaldson (2018) the successful futures report. </w:t>
      </w:r>
      <w:r w:rsidRPr="002E63C0">
        <w:rPr>
          <w:rFonts w:cstheme="minorHAnsi"/>
          <w:szCs w:val="24"/>
        </w:rPr>
        <w:t xml:space="preserve">When planning </w:t>
      </w:r>
      <w:r w:rsidR="006C7509" w:rsidRPr="002E63C0">
        <w:rPr>
          <w:rFonts w:cstheme="minorHAnsi"/>
          <w:szCs w:val="24"/>
        </w:rPr>
        <w:t>lessons,</w:t>
      </w:r>
      <w:r w:rsidRPr="002E63C0">
        <w:rPr>
          <w:rFonts w:cstheme="minorHAnsi"/>
          <w:szCs w:val="24"/>
        </w:rPr>
        <w:t xml:space="preserve"> I carefully consider the purpose of the lesson, making clear links and demonstrating in-depth knowledge regarding the AoLE and what matters statements in order to create a holistic learning experience with new curriculum guidance and the 2008 framework for additional support to provide clear outcomes. To understand the purpose of the lesson, I chose to develop healthy, confident individuals as my aim, linking to the AoLE health and wellbeing. My statement of what matters was clearly thought through and offered progression by comparing progression step 1 and 2. The lesson was formed to co-inside with this what matters statement to fulfil the purpose.</w:t>
      </w:r>
    </w:p>
    <w:p w14:paraId="69BD0A12" w14:textId="77777777" w:rsidR="004F2013" w:rsidRPr="002E63C0" w:rsidRDefault="004F2013" w:rsidP="002E63C0">
      <w:pPr>
        <w:jc w:val="both"/>
        <w:rPr>
          <w:rFonts w:cstheme="minorHAnsi"/>
          <w:szCs w:val="24"/>
        </w:rPr>
      </w:pPr>
    </w:p>
    <w:p w14:paraId="25332ED0" w14:textId="77777777" w:rsidR="00846548" w:rsidRPr="002E63C0" w:rsidRDefault="00846548" w:rsidP="002E63C0">
      <w:pPr>
        <w:pStyle w:val="Heading3"/>
        <w:jc w:val="both"/>
        <w:rPr>
          <w:rFonts w:asciiTheme="minorHAnsi" w:hAnsiTheme="minorHAnsi" w:cstheme="minorHAnsi"/>
        </w:rPr>
      </w:pPr>
      <w:r w:rsidRPr="002E63C0">
        <w:rPr>
          <w:rFonts w:asciiTheme="minorHAnsi" w:hAnsiTheme="minorHAnsi" w:cstheme="minorHAnsi"/>
        </w:rPr>
        <w:t>What have you learned?</w:t>
      </w:r>
    </w:p>
    <w:p w14:paraId="3797BACE" w14:textId="36EAEA14" w:rsidR="00846548" w:rsidRPr="002E63C0" w:rsidRDefault="004F2013" w:rsidP="002E63C0">
      <w:pPr>
        <w:jc w:val="both"/>
        <w:rPr>
          <w:rFonts w:cstheme="minorHAnsi"/>
          <w:szCs w:val="24"/>
        </w:rPr>
      </w:pPr>
      <w:r w:rsidRPr="002E63C0">
        <w:rPr>
          <w:rFonts w:cstheme="minorHAnsi"/>
          <w:szCs w:val="24"/>
        </w:rPr>
        <w:t>Familiarising myself with the new curriculum is crucial when undergoing my role as practioner. It is my duty to have direct influence on the learners, using the the four purposes as a driver to encourage and develop holistic teaching approach. The shift in curriculum is to inspire younger learners and move away from the 'out-dated' curriculum. Undergoing my teacher training within a pilot school for the new curriculum has given me great opportunity to explore the new curriculum and become passionate about sharing my experience with other schools. Following the new curriculum is a personalised road map of education for the individual learner, encouraging progression and support.</w:t>
      </w:r>
    </w:p>
    <w:p w14:paraId="6D22C30D" w14:textId="77777777" w:rsidR="004F2013" w:rsidRPr="002E63C0" w:rsidRDefault="004F2013" w:rsidP="002E63C0">
      <w:pPr>
        <w:jc w:val="both"/>
        <w:rPr>
          <w:rFonts w:cstheme="minorHAnsi"/>
          <w:szCs w:val="24"/>
        </w:rPr>
      </w:pPr>
    </w:p>
    <w:p w14:paraId="52E63120" w14:textId="77777777" w:rsidR="00846548" w:rsidRPr="002E63C0" w:rsidRDefault="00846548" w:rsidP="002E63C0">
      <w:pPr>
        <w:pStyle w:val="Heading3"/>
        <w:jc w:val="both"/>
        <w:rPr>
          <w:rFonts w:asciiTheme="minorHAnsi" w:hAnsiTheme="minorHAnsi" w:cstheme="minorHAnsi"/>
        </w:rPr>
      </w:pPr>
      <w:r w:rsidRPr="002E63C0">
        <w:rPr>
          <w:rFonts w:asciiTheme="minorHAnsi" w:hAnsiTheme="minorHAnsi" w:cstheme="minorHAnsi"/>
        </w:rPr>
        <w:t>What next?</w:t>
      </w:r>
    </w:p>
    <w:p w14:paraId="63F76C9E" w14:textId="09EC04AD" w:rsidR="00846548" w:rsidRPr="002E63C0" w:rsidRDefault="00C50ECB" w:rsidP="002E63C0">
      <w:pPr>
        <w:jc w:val="both"/>
        <w:rPr>
          <w:rFonts w:cstheme="minorHAnsi"/>
          <w:szCs w:val="24"/>
        </w:rPr>
      </w:pPr>
      <w:r w:rsidRPr="002E63C0">
        <w:rPr>
          <w:rFonts w:cstheme="minorHAnsi"/>
          <w:szCs w:val="24"/>
        </w:rPr>
        <w:t>Moving forward from this experience, I will continue to explore the new curriculu</w:t>
      </w:r>
      <w:r w:rsidR="00F50BFB">
        <w:rPr>
          <w:rFonts w:cstheme="minorHAnsi"/>
          <w:szCs w:val="24"/>
        </w:rPr>
        <w:t>m with further research and application</w:t>
      </w:r>
      <w:r w:rsidRPr="002E63C0">
        <w:rPr>
          <w:rFonts w:cstheme="minorHAnsi"/>
          <w:szCs w:val="24"/>
        </w:rPr>
        <w:t xml:space="preserve">, deepening my understanding around different AoLEs with </w:t>
      </w:r>
      <w:r w:rsidR="006C7509">
        <w:rPr>
          <w:rFonts w:cstheme="minorHAnsi"/>
          <w:szCs w:val="24"/>
        </w:rPr>
        <w:t>additional</w:t>
      </w:r>
      <w:r w:rsidRPr="002E63C0">
        <w:rPr>
          <w:rFonts w:cstheme="minorHAnsi"/>
          <w:szCs w:val="24"/>
        </w:rPr>
        <w:t xml:space="preserve"> focus </w:t>
      </w:r>
      <w:r w:rsidR="006C7509" w:rsidRPr="002E63C0">
        <w:rPr>
          <w:rFonts w:cstheme="minorHAnsi"/>
          <w:szCs w:val="24"/>
        </w:rPr>
        <w:t>on becoming</w:t>
      </w:r>
      <w:r w:rsidRPr="002E63C0">
        <w:rPr>
          <w:rFonts w:cstheme="minorHAnsi"/>
          <w:szCs w:val="24"/>
        </w:rPr>
        <w:t xml:space="preserve"> an advocate for the new curriculum when transmitting my knowledge within my next placement. I need to consider that my final school placement may not be a pioneer school for the new curriculum, therefore, familiarising myself with the 2008 framework, specifically STEM will be beneficial. Continue planning using the four purposes and deliver AoLEs that I have not yet taught.</w:t>
      </w:r>
    </w:p>
    <w:p w14:paraId="4A79E83B" w14:textId="2C2EB013" w:rsidR="00552BF1" w:rsidRPr="002E63C0" w:rsidRDefault="00552BF1" w:rsidP="002E63C0">
      <w:pPr>
        <w:jc w:val="both"/>
        <w:rPr>
          <w:rFonts w:eastAsiaTheme="majorEastAsia" w:cstheme="minorHAnsi"/>
          <w:b/>
          <w:color w:val="1F4E79" w:themeColor="accent1" w:themeShade="80"/>
          <w:szCs w:val="24"/>
        </w:rPr>
      </w:pPr>
    </w:p>
    <w:p w14:paraId="4D213446" w14:textId="7F02DAC3" w:rsidR="00B9167E" w:rsidRPr="002E63C0" w:rsidRDefault="00B357D8" w:rsidP="002E63C0">
      <w:pPr>
        <w:pStyle w:val="Heading2"/>
        <w:jc w:val="both"/>
        <w:rPr>
          <w:rFonts w:asciiTheme="minorHAnsi" w:hAnsiTheme="minorHAnsi" w:cstheme="minorHAnsi"/>
          <w:sz w:val="24"/>
          <w:szCs w:val="24"/>
        </w:rPr>
      </w:pPr>
      <w:r w:rsidRPr="002E63C0">
        <w:rPr>
          <w:rFonts w:asciiTheme="minorHAnsi" w:hAnsiTheme="minorHAnsi" w:cstheme="minorHAnsi"/>
          <w:sz w:val="24"/>
          <w:szCs w:val="24"/>
        </w:rPr>
        <w:lastRenderedPageBreak/>
        <w:t>Professional Experience Template 3</w:t>
      </w:r>
      <w:r w:rsidR="00B9167E" w:rsidRPr="002E63C0">
        <w:rPr>
          <w:rFonts w:asciiTheme="minorHAnsi" w:hAnsiTheme="minorHAnsi" w:cstheme="minorHAnsi"/>
          <w:sz w:val="24"/>
          <w:szCs w:val="24"/>
        </w:rPr>
        <w:t xml:space="preserve">: </w:t>
      </w:r>
      <w:r w:rsidR="001A290D" w:rsidRPr="002E63C0">
        <w:rPr>
          <w:rFonts w:asciiTheme="minorHAnsi" w:hAnsiTheme="minorHAnsi" w:cstheme="minorHAnsi"/>
          <w:sz w:val="24"/>
          <w:szCs w:val="24"/>
        </w:rPr>
        <w:t>Feedback and Collaboration</w:t>
      </w:r>
    </w:p>
    <w:p w14:paraId="38BDCED8" w14:textId="52192C64" w:rsidR="00927DC7" w:rsidRPr="002E63C0" w:rsidRDefault="00927DC7" w:rsidP="002E63C0">
      <w:pPr>
        <w:pStyle w:val="Heading3"/>
        <w:jc w:val="both"/>
        <w:rPr>
          <w:rFonts w:asciiTheme="minorHAnsi" w:hAnsiTheme="minorHAnsi" w:cstheme="minorHAnsi"/>
        </w:rPr>
      </w:pPr>
      <w:r w:rsidRPr="002E63C0">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C50ECB" w:rsidRPr="002E63C0">
            <w:rPr>
              <w:rFonts w:asciiTheme="minorHAnsi" w:hAnsiTheme="minorHAnsi" w:cstheme="minorHAnsi"/>
            </w:rPr>
            <w:t>Influencing: Reflection in Learning</w:t>
          </w:r>
        </w:sdtContent>
      </w:sdt>
    </w:p>
    <w:p w14:paraId="62EC1BD5" w14:textId="77777777" w:rsidR="00846548" w:rsidRPr="002E63C0" w:rsidRDefault="00846548" w:rsidP="002E63C0">
      <w:pPr>
        <w:pStyle w:val="Heading3"/>
        <w:jc w:val="both"/>
        <w:rPr>
          <w:rFonts w:asciiTheme="minorHAnsi" w:hAnsiTheme="minorHAnsi" w:cstheme="minorHAnsi"/>
        </w:rPr>
      </w:pPr>
      <w:r w:rsidRPr="002E63C0">
        <w:rPr>
          <w:rFonts w:asciiTheme="minorHAnsi" w:hAnsiTheme="minorHAnsi" w:cstheme="minorHAnsi"/>
        </w:rPr>
        <w:t>What did you do and why?</w:t>
      </w:r>
    </w:p>
    <w:p w14:paraId="030DC67B" w14:textId="77777777" w:rsidR="002E63C0" w:rsidRPr="002E63C0" w:rsidRDefault="002E63C0" w:rsidP="002E63C0">
      <w:pPr>
        <w:spacing w:before="100" w:beforeAutospacing="1" w:after="100" w:afterAutospacing="1"/>
        <w:jc w:val="both"/>
        <w:rPr>
          <w:rFonts w:eastAsia="Times New Roman" w:cstheme="minorHAnsi"/>
          <w:szCs w:val="24"/>
          <w:lang w:val="en-GB" w:eastAsia="en-GB"/>
        </w:rPr>
      </w:pPr>
      <w:r w:rsidRPr="002E63C0">
        <w:rPr>
          <w:rFonts w:eastAsia="Times New Roman" w:cstheme="minorHAnsi"/>
          <w:szCs w:val="24"/>
          <w:lang w:val="en-GB" w:eastAsia="en-GB"/>
        </w:rPr>
        <w:t>During my first placement I lacked communication with my mentor due to miscommunication in planning and the fear, to avoid criticism. As I have developed through my teacher training I understand this is a vital part of professional development, to encourage effective practice. My lesson planning have become more effective due to the feedback and advice I seek from my mentor and I now have the ability to constructively develop my plans/practice by feeding forward. Previously, I was worried and planning became a bit disjointed from theory and principle. Since starting placement in January, I already witness through my planning that my attitude has changed dramatically, I am consistently looking for new ways to improve and always seeking feedback from my mentor with planning, as well as my LSA, Jess, upon reflection for feedback of the lesson. I create plans in advance, which allows my mentor to feedback any changes, allowing myself to gain her perspective and knowledge. Whilst delivering the new curriculum I have ensured after each lesson I have a conversation with Jess, identifying what worked well, where needs improving and how learners coped with the task whilst she was supervising enhanced provision.  During PPA time the plans I had created were given to my LSA, who I informed and reassured what was the intended outcomes for the work set.</w:t>
      </w:r>
    </w:p>
    <w:p w14:paraId="428415DB" w14:textId="77777777" w:rsidR="002E63C0" w:rsidRPr="002E63C0" w:rsidRDefault="002E63C0" w:rsidP="002E63C0">
      <w:pPr>
        <w:spacing w:before="100" w:beforeAutospacing="1" w:after="100" w:afterAutospacing="1"/>
        <w:jc w:val="both"/>
        <w:rPr>
          <w:rFonts w:eastAsia="Times New Roman" w:cstheme="minorHAnsi"/>
          <w:szCs w:val="24"/>
          <w:lang w:val="en-GB" w:eastAsia="en-GB"/>
        </w:rPr>
      </w:pPr>
      <w:r w:rsidRPr="002E63C0">
        <w:rPr>
          <w:rFonts w:eastAsia="Times New Roman" w:cstheme="minorHAnsi"/>
          <w:szCs w:val="24"/>
          <w:lang w:val="en-GB" w:eastAsia="en-GB"/>
        </w:rPr>
        <w:t>*see PTE file link onedrive to view planning and PTE 1 Professional discussion - Year 1which supports the element of collaboration*</w:t>
      </w:r>
    </w:p>
    <w:p w14:paraId="16F4A621" w14:textId="53198D88" w:rsidR="00846548" w:rsidRPr="002E63C0" w:rsidRDefault="00846548" w:rsidP="002E63C0">
      <w:pPr>
        <w:jc w:val="both"/>
        <w:rPr>
          <w:rFonts w:cstheme="minorHAnsi"/>
          <w:szCs w:val="24"/>
        </w:rPr>
      </w:pPr>
    </w:p>
    <w:p w14:paraId="4295FB1B" w14:textId="77777777" w:rsidR="00846548" w:rsidRPr="002E63C0" w:rsidRDefault="00846548" w:rsidP="002E63C0">
      <w:pPr>
        <w:pStyle w:val="Heading3"/>
        <w:jc w:val="both"/>
        <w:rPr>
          <w:rFonts w:asciiTheme="minorHAnsi" w:hAnsiTheme="minorHAnsi" w:cstheme="minorHAnsi"/>
        </w:rPr>
      </w:pPr>
      <w:r w:rsidRPr="002E63C0">
        <w:rPr>
          <w:rFonts w:asciiTheme="minorHAnsi" w:hAnsiTheme="minorHAnsi" w:cstheme="minorHAnsi"/>
        </w:rPr>
        <w:t>What have you learned?</w:t>
      </w:r>
    </w:p>
    <w:p w14:paraId="0ECF20B7" w14:textId="2F55BC03" w:rsidR="00846548" w:rsidRPr="002E63C0" w:rsidRDefault="002E63C0" w:rsidP="002E63C0">
      <w:pPr>
        <w:jc w:val="both"/>
        <w:rPr>
          <w:rFonts w:cstheme="minorHAnsi"/>
          <w:szCs w:val="24"/>
        </w:rPr>
      </w:pPr>
      <w:r w:rsidRPr="002E63C0">
        <w:rPr>
          <w:rFonts w:cstheme="minorHAnsi"/>
          <w:szCs w:val="24"/>
        </w:rPr>
        <w:t>In order to move forward and develop your professional practice, collaboration and feedback are essential. Lesson plans were reviewed before being conducted and would then have a positive outcome on the intended goals and enables improvement. Weekly targets set allow discussion points when discussing feedback which will feed forward and will continue your professional learning development.</w:t>
      </w:r>
    </w:p>
    <w:p w14:paraId="58CCE99B" w14:textId="36373527" w:rsidR="00846548" w:rsidRPr="002E63C0" w:rsidRDefault="00846548" w:rsidP="002E63C0">
      <w:pPr>
        <w:pStyle w:val="Heading3"/>
        <w:jc w:val="both"/>
        <w:rPr>
          <w:rFonts w:asciiTheme="minorHAnsi" w:hAnsiTheme="minorHAnsi" w:cstheme="minorHAnsi"/>
        </w:rPr>
      </w:pPr>
      <w:r w:rsidRPr="002E63C0">
        <w:rPr>
          <w:rFonts w:asciiTheme="minorHAnsi" w:hAnsiTheme="minorHAnsi" w:cstheme="minorHAnsi"/>
        </w:rPr>
        <w:lastRenderedPageBreak/>
        <w:t>What next?</w:t>
      </w:r>
    </w:p>
    <w:p w14:paraId="37787D9F" w14:textId="43998350" w:rsidR="00B357D8" w:rsidRPr="002E63C0" w:rsidRDefault="002E63C0" w:rsidP="002E63C0">
      <w:pPr>
        <w:jc w:val="both"/>
        <w:rPr>
          <w:rFonts w:eastAsiaTheme="majorEastAsia" w:cstheme="minorHAnsi"/>
          <w:color w:val="1F4E79" w:themeColor="accent1" w:themeShade="80"/>
          <w:szCs w:val="24"/>
        </w:rPr>
      </w:pPr>
      <w:r w:rsidRPr="002E63C0">
        <w:rPr>
          <w:rFonts w:cstheme="minorHAnsi"/>
          <w:szCs w:val="24"/>
        </w:rPr>
        <w:t>When continuing into my final placement the consistency in communication, planning and feedback needs to remain the pinnacle of my practice. With further growing independence I need to focus on having professional discussions with colleagues where I make notes of what is discussed and evidence on my PLP with signatures, to promote better standards of practice. An area of feedback that I would like to develop would be with the children, I will research new ways to receive feedback from the learners through, further promoting Brookefield model of reflective practice.</w:t>
      </w:r>
      <w:r w:rsidR="00B357D8" w:rsidRPr="002E63C0">
        <w:rPr>
          <w:rFonts w:cstheme="minorHAnsi"/>
          <w:szCs w:val="24"/>
        </w:rPr>
        <w:br w:type="page"/>
      </w:r>
    </w:p>
    <w:p w14:paraId="2AA56D82" w14:textId="43BFF11E" w:rsidR="00811007" w:rsidRPr="00146BBB" w:rsidRDefault="00811007" w:rsidP="00146BBB">
      <w:pPr>
        <w:pStyle w:val="Heading1"/>
        <w:jc w:val="both"/>
        <w:rPr>
          <w:rFonts w:asciiTheme="minorHAnsi" w:hAnsiTheme="minorHAnsi" w:cstheme="minorHAnsi"/>
          <w:b/>
          <w:bCs/>
          <w:color w:val="FF0000"/>
          <w:sz w:val="24"/>
          <w:szCs w:val="24"/>
          <w:u w:val="single"/>
        </w:rPr>
      </w:pPr>
      <w:r w:rsidRPr="00131AB7">
        <w:rPr>
          <w:rFonts w:asciiTheme="minorHAnsi" w:hAnsiTheme="minorHAnsi" w:cstheme="minorHAnsi"/>
          <w:b/>
          <w:bCs/>
          <w:color w:val="FF0000"/>
          <w:sz w:val="24"/>
          <w:szCs w:val="24"/>
          <w:u w:val="single"/>
        </w:rPr>
        <w:lastRenderedPageBreak/>
        <w:t>Part 2: Critical Reflection</w:t>
      </w:r>
    </w:p>
    <w:p w14:paraId="6DFA1D78" w14:textId="65DFDB07" w:rsidR="002E626B" w:rsidRPr="00922E6C" w:rsidRDefault="00811007" w:rsidP="00922E6C">
      <w:pPr>
        <w:pStyle w:val="Heading2"/>
        <w:jc w:val="both"/>
        <w:rPr>
          <w:rFonts w:asciiTheme="minorHAnsi" w:hAnsiTheme="minorHAnsi" w:cstheme="minorHAnsi"/>
          <w:color w:val="auto"/>
          <w:sz w:val="24"/>
          <w:szCs w:val="24"/>
        </w:rPr>
      </w:pPr>
      <w:r w:rsidRPr="00922E6C">
        <w:rPr>
          <w:rFonts w:asciiTheme="minorHAnsi" w:hAnsiTheme="minorHAnsi" w:cstheme="minorHAnsi"/>
          <w:color w:val="auto"/>
          <w:sz w:val="24"/>
          <w:szCs w:val="24"/>
        </w:rPr>
        <w:t>Introduction</w:t>
      </w:r>
    </w:p>
    <w:p w14:paraId="6B0C58DC" w14:textId="4F92E481" w:rsidR="00811007" w:rsidRPr="00922E6C" w:rsidRDefault="00927BAF" w:rsidP="00922E6C">
      <w:pPr>
        <w:jc w:val="both"/>
        <w:rPr>
          <w:rFonts w:cstheme="minorHAnsi"/>
          <w:szCs w:val="24"/>
        </w:rPr>
      </w:pPr>
      <w:r w:rsidRPr="00922E6C">
        <w:rPr>
          <w:rFonts w:cstheme="minorHAnsi"/>
          <w:szCs w:val="24"/>
        </w:rPr>
        <w:t>Following extensive reflection regarding the researche</w:t>
      </w:r>
      <w:r w:rsidR="00D2457B" w:rsidRPr="00922E6C">
        <w:rPr>
          <w:rFonts w:cstheme="minorHAnsi"/>
          <w:szCs w:val="24"/>
        </w:rPr>
        <w:t>r</w:t>
      </w:r>
      <w:r w:rsidRPr="00922E6C">
        <w:rPr>
          <w:rFonts w:cstheme="minorHAnsi"/>
          <w:szCs w:val="24"/>
        </w:rPr>
        <w:t>s professional experience templars it is evident that further exploration around the pedagogical standard ‘</w:t>
      </w:r>
      <w:r w:rsidR="00D2457B" w:rsidRPr="00922E6C">
        <w:rPr>
          <w:rFonts w:cstheme="minorHAnsi"/>
          <w:szCs w:val="24"/>
        </w:rPr>
        <w:t xml:space="preserve">Advancing the learning – </w:t>
      </w:r>
      <w:r w:rsidRPr="00922E6C">
        <w:rPr>
          <w:rFonts w:cstheme="minorHAnsi"/>
          <w:szCs w:val="24"/>
        </w:rPr>
        <w:t>The</w:t>
      </w:r>
      <w:r w:rsidR="00D2457B" w:rsidRPr="00922E6C">
        <w:rPr>
          <w:rFonts w:cstheme="minorHAnsi"/>
          <w:szCs w:val="24"/>
        </w:rPr>
        <w:t xml:space="preserve"> four purposes’ will be undertaken. When creating lesson plans it is </w:t>
      </w:r>
      <w:r w:rsidR="00127159" w:rsidRPr="00922E6C">
        <w:rPr>
          <w:rFonts w:cstheme="minorHAnsi"/>
          <w:szCs w:val="24"/>
        </w:rPr>
        <w:t>empirical</w:t>
      </w:r>
      <w:r w:rsidR="00D2457B" w:rsidRPr="00922E6C">
        <w:rPr>
          <w:rFonts w:cstheme="minorHAnsi"/>
          <w:szCs w:val="24"/>
        </w:rPr>
        <w:t xml:space="preserve"> that the educator follows the framework in place in regiment with</w:t>
      </w:r>
      <w:r w:rsidR="00724BD6" w:rsidRPr="00922E6C">
        <w:rPr>
          <w:rFonts w:cstheme="minorHAnsi"/>
          <w:szCs w:val="24"/>
        </w:rPr>
        <w:t xml:space="preserve"> the</w:t>
      </w:r>
      <w:r w:rsidR="00D2457B" w:rsidRPr="00922E6C">
        <w:rPr>
          <w:rFonts w:cstheme="minorHAnsi"/>
          <w:szCs w:val="24"/>
        </w:rPr>
        <w:t xml:space="preserve"> new curriculu</w:t>
      </w:r>
      <w:r w:rsidR="002A10A2" w:rsidRPr="00922E6C">
        <w:rPr>
          <w:rFonts w:cstheme="minorHAnsi"/>
          <w:szCs w:val="24"/>
        </w:rPr>
        <w:t>m, however, unlike the National Curriculum, the new guidance allows teachers to be autonomous</w:t>
      </w:r>
      <w:r w:rsidR="00D2457B" w:rsidRPr="00922E6C">
        <w:rPr>
          <w:rFonts w:cstheme="minorHAnsi"/>
          <w:szCs w:val="24"/>
        </w:rPr>
        <w:t>.</w:t>
      </w:r>
      <w:r w:rsidR="00C9201E" w:rsidRPr="00922E6C">
        <w:rPr>
          <w:rFonts w:cstheme="minorHAnsi"/>
          <w:szCs w:val="24"/>
        </w:rPr>
        <w:t xml:space="preserve"> The curriculum design </w:t>
      </w:r>
      <w:r w:rsidR="000F1282" w:rsidRPr="00922E6C">
        <w:rPr>
          <w:rFonts w:cstheme="minorHAnsi"/>
          <w:szCs w:val="24"/>
        </w:rPr>
        <w:t xml:space="preserve">in Wales </w:t>
      </w:r>
      <w:r w:rsidR="00C9201E" w:rsidRPr="00922E6C">
        <w:rPr>
          <w:rFonts w:cstheme="minorHAnsi"/>
          <w:szCs w:val="24"/>
        </w:rPr>
        <w:t xml:space="preserve">underpins 12 pedagogical principles which identify ‘good learning and teaching’ (Hwb, 2021). </w:t>
      </w:r>
      <w:r w:rsidR="009E739A" w:rsidRPr="00922E6C">
        <w:rPr>
          <w:rFonts w:cstheme="minorHAnsi"/>
          <w:szCs w:val="24"/>
        </w:rPr>
        <w:t>Pedagogical principle one states that ‘good teaching and learning maintains a consistent focus on the overall purposes of the curriculum’ (Donaldson, 2015, pp.64-71).</w:t>
      </w:r>
      <w:r w:rsidR="00C9201E" w:rsidRPr="00922E6C">
        <w:rPr>
          <w:rFonts w:cstheme="minorHAnsi"/>
          <w:szCs w:val="24"/>
        </w:rPr>
        <w:t xml:space="preserve"> The four purposes uphold the curriculum reform providing a</w:t>
      </w:r>
      <w:r w:rsidR="00765C58" w:rsidRPr="00922E6C">
        <w:rPr>
          <w:rFonts w:cstheme="minorHAnsi"/>
          <w:szCs w:val="24"/>
        </w:rPr>
        <w:t xml:space="preserve"> clear aim and</w:t>
      </w:r>
      <w:r w:rsidR="00C9201E" w:rsidRPr="00922E6C">
        <w:rPr>
          <w:rFonts w:cstheme="minorHAnsi"/>
          <w:szCs w:val="24"/>
        </w:rPr>
        <w:t xml:space="preserve"> ‘aspiration’ </w:t>
      </w:r>
      <w:r w:rsidR="00765C58" w:rsidRPr="00922E6C">
        <w:rPr>
          <w:rFonts w:cstheme="minorHAnsi"/>
          <w:szCs w:val="24"/>
        </w:rPr>
        <w:t xml:space="preserve">to holistically develop the learner, whilst giving the teacher opportunity to have more control on the application of pedagogy (Hwb, 2021). </w:t>
      </w:r>
      <w:r w:rsidR="00810427" w:rsidRPr="00922E6C">
        <w:rPr>
          <w:rFonts w:cstheme="minorHAnsi"/>
          <w:szCs w:val="24"/>
        </w:rPr>
        <w:t xml:space="preserve">The four purposes should be the driver for curriculum design, however, </w:t>
      </w:r>
      <w:r w:rsidR="00127159" w:rsidRPr="00922E6C">
        <w:rPr>
          <w:rFonts w:cstheme="minorHAnsi"/>
          <w:szCs w:val="24"/>
        </w:rPr>
        <w:t>it is</w:t>
      </w:r>
      <w:r w:rsidR="00810427" w:rsidRPr="00922E6C">
        <w:rPr>
          <w:rFonts w:cstheme="minorHAnsi"/>
          <w:szCs w:val="24"/>
        </w:rPr>
        <w:t xml:space="preserve"> not yet clear when planning within the AoLE’s</w:t>
      </w:r>
      <w:r w:rsidR="00127159" w:rsidRPr="00922E6C">
        <w:rPr>
          <w:rFonts w:cstheme="minorHAnsi"/>
          <w:szCs w:val="24"/>
        </w:rPr>
        <w:t xml:space="preserve"> whether</w:t>
      </w:r>
      <w:r w:rsidR="00810427" w:rsidRPr="00922E6C">
        <w:rPr>
          <w:rFonts w:cstheme="minorHAnsi"/>
          <w:szCs w:val="24"/>
        </w:rPr>
        <w:t xml:space="preserve"> the four purposes should be identified as one purpose according to that </w:t>
      </w:r>
      <w:r w:rsidR="000F1282" w:rsidRPr="00922E6C">
        <w:rPr>
          <w:rFonts w:cstheme="minorHAnsi"/>
          <w:szCs w:val="24"/>
        </w:rPr>
        <w:t>area of learning that will</w:t>
      </w:r>
      <w:r w:rsidR="00810427" w:rsidRPr="00922E6C">
        <w:rPr>
          <w:rFonts w:cstheme="minorHAnsi"/>
          <w:szCs w:val="24"/>
        </w:rPr>
        <w:t xml:space="preserve"> be met, or whether all four should be present and achievable within the lesson. Further research will elucidate a conclusion </w:t>
      </w:r>
      <w:r w:rsidR="000F1282" w:rsidRPr="00922E6C">
        <w:rPr>
          <w:rFonts w:cstheme="minorHAnsi"/>
          <w:szCs w:val="24"/>
        </w:rPr>
        <w:t>after the review of literature</w:t>
      </w:r>
      <w:r w:rsidR="00127159" w:rsidRPr="00922E6C">
        <w:rPr>
          <w:rFonts w:cstheme="minorHAnsi"/>
          <w:szCs w:val="24"/>
        </w:rPr>
        <w:t xml:space="preserve"> and </w:t>
      </w:r>
      <w:r w:rsidR="000F1282" w:rsidRPr="00922E6C">
        <w:rPr>
          <w:rFonts w:cstheme="minorHAnsi"/>
          <w:szCs w:val="24"/>
        </w:rPr>
        <w:t>will inform</w:t>
      </w:r>
      <w:r w:rsidR="00127159" w:rsidRPr="00922E6C">
        <w:rPr>
          <w:rFonts w:cstheme="minorHAnsi"/>
          <w:szCs w:val="24"/>
        </w:rPr>
        <w:t xml:space="preserve"> future practice</w:t>
      </w:r>
      <w:r w:rsidR="00810427" w:rsidRPr="00922E6C">
        <w:rPr>
          <w:rFonts w:cstheme="minorHAnsi"/>
          <w:szCs w:val="24"/>
        </w:rPr>
        <w:t>.</w:t>
      </w:r>
    </w:p>
    <w:p w14:paraId="0BDAF5E3" w14:textId="77777777" w:rsidR="001471B5" w:rsidRPr="00922E6C" w:rsidRDefault="001471B5" w:rsidP="00922E6C">
      <w:pPr>
        <w:jc w:val="both"/>
        <w:rPr>
          <w:rFonts w:cstheme="minorHAnsi"/>
          <w:szCs w:val="24"/>
        </w:rPr>
      </w:pPr>
    </w:p>
    <w:p w14:paraId="63F1CB67" w14:textId="2EC40601" w:rsidR="00922E6C" w:rsidRPr="00922E6C" w:rsidRDefault="31F7FF0E" w:rsidP="00922E6C">
      <w:pPr>
        <w:pStyle w:val="Heading2"/>
        <w:jc w:val="both"/>
        <w:rPr>
          <w:rFonts w:asciiTheme="minorHAnsi" w:hAnsiTheme="minorHAnsi" w:cstheme="minorHAnsi"/>
          <w:color w:val="auto"/>
          <w:sz w:val="24"/>
          <w:szCs w:val="24"/>
        </w:rPr>
      </w:pPr>
      <w:r w:rsidRPr="00922E6C">
        <w:rPr>
          <w:rFonts w:asciiTheme="minorHAnsi" w:hAnsiTheme="minorHAnsi" w:cstheme="minorHAnsi"/>
          <w:color w:val="auto"/>
          <w:sz w:val="24"/>
          <w:szCs w:val="24"/>
        </w:rPr>
        <w:t>Critical Discussion</w:t>
      </w:r>
    </w:p>
    <w:p w14:paraId="2ADC3069" w14:textId="464B735A" w:rsidR="00CC5969" w:rsidRPr="00922E6C" w:rsidRDefault="00C86D62" w:rsidP="00922E6C">
      <w:pPr>
        <w:jc w:val="both"/>
        <w:rPr>
          <w:rFonts w:cstheme="minorHAnsi"/>
          <w:b/>
          <w:bCs/>
          <w:szCs w:val="24"/>
        </w:rPr>
      </w:pPr>
      <w:r w:rsidRPr="00922E6C">
        <w:rPr>
          <w:rFonts w:cstheme="minorHAnsi"/>
          <w:b/>
          <w:bCs/>
          <w:szCs w:val="24"/>
        </w:rPr>
        <w:t>Education Reform</w:t>
      </w:r>
    </w:p>
    <w:p w14:paraId="389C3808" w14:textId="0A7E45E6" w:rsidR="00356E84" w:rsidRPr="00922E6C" w:rsidRDefault="006C790F" w:rsidP="00922E6C">
      <w:pPr>
        <w:jc w:val="both"/>
        <w:rPr>
          <w:rFonts w:cstheme="minorHAnsi"/>
          <w:szCs w:val="24"/>
        </w:rPr>
      </w:pPr>
      <w:r w:rsidRPr="00922E6C">
        <w:rPr>
          <w:rFonts w:cstheme="minorHAnsi"/>
          <w:szCs w:val="24"/>
        </w:rPr>
        <w:t>In 1998 the Education Reform Act influenced the ‘marketisation’ of British schools,</w:t>
      </w:r>
      <w:r w:rsidR="00833084" w:rsidRPr="00922E6C">
        <w:rPr>
          <w:rFonts w:cstheme="minorHAnsi"/>
          <w:szCs w:val="24"/>
        </w:rPr>
        <w:t xml:space="preserve"> the national curriculum was created with subject specific lessons</w:t>
      </w:r>
      <w:r w:rsidR="00056041" w:rsidRPr="00922E6C">
        <w:rPr>
          <w:rFonts w:cstheme="minorHAnsi"/>
          <w:szCs w:val="24"/>
        </w:rPr>
        <w:t>, with less influence on creative development</w:t>
      </w:r>
      <w:r w:rsidR="00833084" w:rsidRPr="00922E6C">
        <w:rPr>
          <w:rFonts w:cstheme="minorHAnsi"/>
          <w:szCs w:val="24"/>
        </w:rPr>
        <w:t xml:space="preserve"> and</w:t>
      </w:r>
      <w:r w:rsidRPr="00922E6C">
        <w:rPr>
          <w:rFonts w:cstheme="minorHAnsi"/>
          <w:szCs w:val="24"/>
        </w:rPr>
        <w:t xml:space="preserve"> </w:t>
      </w:r>
      <w:r w:rsidR="00833084" w:rsidRPr="00922E6C">
        <w:rPr>
          <w:rFonts w:cstheme="minorHAnsi"/>
          <w:szCs w:val="24"/>
        </w:rPr>
        <w:t>with the</w:t>
      </w:r>
      <w:r w:rsidR="00056041" w:rsidRPr="00922E6C">
        <w:rPr>
          <w:rFonts w:cstheme="minorHAnsi"/>
          <w:szCs w:val="24"/>
        </w:rPr>
        <w:t xml:space="preserve"> focus</w:t>
      </w:r>
      <w:r w:rsidRPr="00922E6C">
        <w:rPr>
          <w:rFonts w:cstheme="minorHAnsi"/>
          <w:szCs w:val="24"/>
        </w:rPr>
        <w:t xml:space="preserve"> on academic achievement</w:t>
      </w:r>
      <w:r w:rsidR="00056041" w:rsidRPr="00922E6C">
        <w:rPr>
          <w:rFonts w:cstheme="minorHAnsi"/>
          <w:szCs w:val="24"/>
        </w:rPr>
        <w:t xml:space="preserve">. </w:t>
      </w:r>
      <w:r w:rsidR="007C7EE3" w:rsidRPr="00922E6C">
        <w:rPr>
          <w:rFonts w:cstheme="minorHAnsi"/>
          <w:szCs w:val="24"/>
        </w:rPr>
        <w:t>Education has shifted, with beliefs that policy is solely focused on the ‘market, managerialism and performativity’ treating education as a conveyor belt, with the grades as a</w:t>
      </w:r>
      <w:r w:rsidR="00356E84" w:rsidRPr="00922E6C">
        <w:rPr>
          <w:rFonts w:cstheme="minorHAnsi"/>
          <w:szCs w:val="24"/>
        </w:rPr>
        <w:t xml:space="preserve"> desired</w:t>
      </w:r>
      <w:r w:rsidR="007C7EE3" w:rsidRPr="00922E6C">
        <w:rPr>
          <w:rFonts w:cstheme="minorHAnsi"/>
          <w:szCs w:val="24"/>
        </w:rPr>
        <w:t xml:space="preserve"> end product</w:t>
      </w:r>
      <w:r w:rsidR="00356E84" w:rsidRPr="00922E6C">
        <w:rPr>
          <w:rFonts w:cstheme="minorHAnsi"/>
          <w:szCs w:val="24"/>
        </w:rPr>
        <w:t>, while purposeful teaching and learning is the biproduct</w:t>
      </w:r>
      <w:r w:rsidR="007C7EE3" w:rsidRPr="00922E6C">
        <w:rPr>
          <w:rFonts w:cstheme="minorHAnsi"/>
          <w:szCs w:val="24"/>
        </w:rPr>
        <w:t xml:space="preserve"> (Ball, 2003). </w:t>
      </w:r>
      <w:r w:rsidR="0038569F" w:rsidRPr="00922E6C">
        <w:rPr>
          <w:rFonts w:cstheme="minorHAnsi"/>
          <w:szCs w:val="24"/>
        </w:rPr>
        <w:t xml:space="preserve">Research from Biesta (2015) corroborates </w:t>
      </w:r>
      <w:r w:rsidR="00BE7AB1" w:rsidRPr="00922E6C">
        <w:rPr>
          <w:rFonts w:cstheme="minorHAnsi"/>
          <w:szCs w:val="24"/>
        </w:rPr>
        <w:t xml:space="preserve">learners as ‘customers’ and educators as ‘shop keepers’ with a tick standard level of where the learner should be. </w:t>
      </w:r>
      <w:r w:rsidR="007C7EE3" w:rsidRPr="00922E6C">
        <w:rPr>
          <w:rFonts w:cstheme="minorHAnsi"/>
          <w:szCs w:val="24"/>
        </w:rPr>
        <w:t>A case study</w:t>
      </w:r>
      <w:r w:rsidR="00356E84" w:rsidRPr="00922E6C">
        <w:rPr>
          <w:rFonts w:cstheme="minorHAnsi"/>
          <w:szCs w:val="24"/>
        </w:rPr>
        <w:t xml:space="preserve"> from Jeffrey and Woods (1998 pg. 131) interviews an English Primary school teacher that states ‘I don’t feel that I’m working with the children, I’m working at the children and it’s not a very pleasant experience’ further solidifying the business style approach to education.</w:t>
      </w:r>
      <w:r w:rsidR="0038569F" w:rsidRPr="00922E6C">
        <w:rPr>
          <w:rFonts w:cstheme="minorHAnsi"/>
          <w:szCs w:val="24"/>
        </w:rPr>
        <w:t xml:space="preserve"> </w:t>
      </w:r>
      <w:r w:rsidR="0038569F" w:rsidRPr="00922E6C">
        <w:rPr>
          <w:rFonts w:cstheme="minorHAnsi"/>
          <w:szCs w:val="24"/>
        </w:rPr>
        <w:lastRenderedPageBreak/>
        <w:t>Expectation on academic outcome outweighs creative and social development, guided by the teach to test approach with consistent pressures on ‘improving outputs and performances’ (</w:t>
      </w:r>
      <w:r w:rsidR="00BE7AB1" w:rsidRPr="00922E6C">
        <w:rPr>
          <w:rFonts w:cstheme="minorHAnsi"/>
          <w:szCs w:val="24"/>
        </w:rPr>
        <w:t xml:space="preserve">PISA, 2021; </w:t>
      </w:r>
      <w:r w:rsidR="0038569F" w:rsidRPr="00922E6C">
        <w:rPr>
          <w:rFonts w:cstheme="minorHAnsi"/>
          <w:szCs w:val="24"/>
        </w:rPr>
        <w:t>Biesta, 2015; Ball, 2003).</w:t>
      </w:r>
      <w:r w:rsidR="00CE5C12" w:rsidRPr="00922E6C">
        <w:rPr>
          <w:rFonts w:cstheme="minorHAnsi"/>
          <w:szCs w:val="24"/>
        </w:rPr>
        <w:t xml:space="preserve"> </w:t>
      </w:r>
      <w:r w:rsidR="00CE5C12" w:rsidRPr="00922E6C">
        <w:rPr>
          <w:rFonts w:cstheme="minorHAnsi"/>
          <w:szCs w:val="24"/>
          <w:shd w:val="clear" w:color="auto" w:fill="FFFFFF"/>
        </w:rPr>
        <w:t xml:space="preserve">It is apparent from previous literature that teachers no longer teach to learn but teach to test, Virgin (2014) indicated that the regurgitation of content from key questions being instilled throughout the year </w:t>
      </w:r>
      <w:r w:rsidR="006C7979">
        <w:rPr>
          <w:rFonts w:cstheme="minorHAnsi"/>
          <w:szCs w:val="24"/>
          <w:shd w:val="clear" w:color="auto" w:fill="FFFFFF"/>
        </w:rPr>
        <w:t>‘</w:t>
      </w:r>
      <w:r w:rsidR="00CE5C12" w:rsidRPr="00922E6C">
        <w:rPr>
          <w:rFonts w:cstheme="minorHAnsi"/>
          <w:szCs w:val="24"/>
          <w:shd w:val="clear" w:color="auto" w:fill="FFFFFF"/>
        </w:rPr>
        <w:t xml:space="preserve">increased the </w:t>
      </w:r>
      <w:r w:rsidR="00146BBB" w:rsidRPr="00922E6C">
        <w:rPr>
          <w:rFonts w:cstheme="minorHAnsi"/>
          <w:szCs w:val="24"/>
          <w:shd w:val="clear" w:color="auto" w:fill="FFFFFF"/>
        </w:rPr>
        <w:t>learner’s</w:t>
      </w:r>
      <w:r w:rsidR="00CE5C12" w:rsidRPr="00922E6C">
        <w:rPr>
          <w:rFonts w:cstheme="minorHAnsi"/>
          <w:szCs w:val="24"/>
          <w:shd w:val="clear" w:color="auto" w:fill="FFFFFF"/>
        </w:rPr>
        <w:t xml:space="preserve"> ability slightly to connect </w:t>
      </w:r>
      <w:r w:rsidR="006C7979" w:rsidRPr="00922E6C">
        <w:rPr>
          <w:rFonts w:cstheme="minorHAnsi"/>
          <w:szCs w:val="24"/>
          <w:shd w:val="clear" w:color="auto" w:fill="FFFFFF"/>
        </w:rPr>
        <w:t>units’</w:t>
      </w:r>
      <w:r w:rsidR="006C7979">
        <w:rPr>
          <w:rFonts w:cstheme="minorHAnsi"/>
          <w:szCs w:val="24"/>
          <w:shd w:val="clear" w:color="auto" w:fill="FFFFFF"/>
        </w:rPr>
        <w:t xml:space="preserve"> but</w:t>
      </w:r>
      <w:r w:rsidR="00CE5C12" w:rsidRPr="00922E6C">
        <w:rPr>
          <w:rFonts w:cstheme="minorHAnsi"/>
          <w:szCs w:val="24"/>
          <w:shd w:val="clear" w:color="auto" w:fill="FFFFFF"/>
        </w:rPr>
        <w:t xml:space="preserve"> lacked application to wider settings.</w:t>
      </w:r>
    </w:p>
    <w:p w14:paraId="5AB15940" w14:textId="25B3A7E6" w:rsidR="00146BBB" w:rsidRDefault="00925EA2" w:rsidP="00922E6C">
      <w:pPr>
        <w:jc w:val="both"/>
        <w:rPr>
          <w:rFonts w:cstheme="minorHAnsi"/>
          <w:szCs w:val="24"/>
        </w:rPr>
      </w:pPr>
      <w:r w:rsidRPr="00922E6C">
        <w:rPr>
          <w:rFonts w:cstheme="minorHAnsi"/>
          <w:szCs w:val="24"/>
        </w:rPr>
        <w:t>The c</w:t>
      </w:r>
      <w:r w:rsidR="006C7509" w:rsidRPr="00922E6C">
        <w:rPr>
          <w:rFonts w:cstheme="minorHAnsi"/>
          <w:szCs w:val="24"/>
        </w:rPr>
        <w:t xml:space="preserve">urrent national curriculum </w:t>
      </w:r>
      <w:r w:rsidRPr="00922E6C">
        <w:rPr>
          <w:rFonts w:cstheme="minorHAnsi"/>
          <w:szCs w:val="24"/>
        </w:rPr>
        <w:t>h</w:t>
      </w:r>
      <w:r w:rsidR="006C7509" w:rsidRPr="00922E6C">
        <w:rPr>
          <w:rFonts w:cstheme="minorHAnsi"/>
          <w:szCs w:val="24"/>
        </w:rPr>
        <w:t>as</w:t>
      </w:r>
      <w:r w:rsidRPr="00922E6C">
        <w:rPr>
          <w:rFonts w:cstheme="minorHAnsi"/>
          <w:szCs w:val="24"/>
        </w:rPr>
        <w:t xml:space="preserve"> been branded</w:t>
      </w:r>
      <w:r w:rsidR="006C7509" w:rsidRPr="00922E6C">
        <w:rPr>
          <w:rFonts w:cstheme="minorHAnsi"/>
          <w:szCs w:val="24"/>
        </w:rPr>
        <w:t xml:space="preserve"> generic and ‘</w:t>
      </w:r>
      <w:r w:rsidR="00146BBB" w:rsidRPr="00922E6C">
        <w:rPr>
          <w:rFonts w:cstheme="minorHAnsi"/>
          <w:szCs w:val="24"/>
        </w:rPr>
        <w:t>outdated</w:t>
      </w:r>
      <w:r w:rsidR="006C7509" w:rsidRPr="00922E6C">
        <w:rPr>
          <w:rFonts w:cstheme="minorHAnsi"/>
          <w:szCs w:val="24"/>
        </w:rPr>
        <w:t>’</w:t>
      </w:r>
      <w:r w:rsidRPr="00922E6C">
        <w:rPr>
          <w:rFonts w:cstheme="minorHAnsi"/>
          <w:szCs w:val="24"/>
        </w:rPr>
        <w:t xml:space="preserve"> which calls out for modernisation and reform of the current framework (Biesta, 2015; Young, 2008</w:t>
      </w:r>
      <w:r w:rsidR="000576D0" w:rsidRPr="00922E6C">
        <w:rPr>
          <w:rFonts w:cstheme="minorHAnsi"/>
          <w:szCs w:val="24"/>
        </w:rPr>
        <w:t xml:space="preserve">). In light of this claim, many researchers argue that curriculum reform will epitomise extreme difficulties upon implementation, furthermore, will be identified as a demotion of knowledge and discredit </w:t>
      </w:r>
      <w:r w:rsidR="006C7979">
        <w:rPr>
          <w:rFonts w:cstheme="minorHAnsi"/>
          <w:szCs w:val="24"/>
        </w:rPr>
        <w:t xml:space="preserve">subject </w:t>
      </w:r>
      <w:r w:rsidR="00833084" w:rsidRPr="00922E6C">
        <w:rPr>
          <w:rFonts w:cstheme="minorHAnsi"/>
          <w:szCs w:val="24"/>
        </w:rPr>
        <w:t>disciplinary knowledge</w:t>
      </w:r>
      <w:r w:rsidR="000576D0" w:rsidRPr="00922E6C">
        <w:rPr>
          <w:rFonts w:cstheme="minorHAnsi"/>
          <w:szCs w:val="24"/>
        </w:rPr>
        <w:t xml:space="preserve"> (Priestley and Sinnema, 2014; Rata, 2012; Young and Muller, 2010).</w:t>
      </w:r>
      <w:r w:rsidR="005568E0" w:rsidRPr="00922E6C">
        <w:rPr>
          <w:rFonts w:cstheme="minorHAnsi"/>
          <w:szCs w:val="24"/>
        </w:rPr>
        <w:t xml:space="preserve"> Following the report of Successful Futures, learners contributed towards discussion stating that they want the ‘</w:t>
      </w:r>
      <w:r w:rsidR="005568E0" w:rsidRPr="00922E6C">
        <w:t>lessons to be fun, interesting and not something that were there just to pass assessments’ (Donaldson, 2015).</w:t>
      </w:r>
      <w:r w:rsidR="005568E0" w:rsidRPr="00922E6C">
        <w:rPr>
          <w:rFonts w:cstheme="minorHAnsi"/>
          <w:szCs w:val="24"/>
        </w:rPr>
        <w:t xml:space="preserve"> </w:t>
      </w:r>
      <w:r w:rsidR="00D71977" w:rsidRPr="00922E6C">
        <w:rPr>
          <w:rFonts w:cstheme="minorHAnsi"/>
          <w:szCs w:val="24"/>
        </w:rPr>
        <w:t>A step</w:t>
      </w:r>
      <w:r w:rsidR="005568E0" w:rsidRPr="00922E6C">
        <w:rPr>
          <w:rFonts w:cstheme="minorHAnsi"/>
          <w:szCs w:val="24"/>
        </w:rPr>
        <w:t xml:space="preserve"> was taken</w:t>
      </w:r>
      <w:r w:rsidR="00D71977" w:rsidRPr="00922E6C">
        <w:rPr>
          <w:rFonts w:cstheme="minorHAnsi"/>
          <w:szCs w:val="24"/>
        </w:rPr>
        <w:t xml:space="preserve"> towards child-centered learning</w:t>
      </w:r>
      <w:r w:rsidR="005568E0" w:rsidRPr="00922E6C">
        <w:rPr>
          <w:rFonts w:cstheme="minorHAnsi"/>
          <w:szCs w:val="24"/>
        </w:rPr>
        <w:t xml:space="preserve"> which</w:t>
      </w:r>
      <w:r w:rsidR="00D71977" w:rsidRPr="00922E6C">
        <w:rPr>
          <w:rFonts w:cstheme="minorHAnsi"/>
          <w:szCs w:val="24"/>
        </w:rPr>
        <w:t xml:space="preserve"> is crucial within the constructivist school, outlining that the educator needs to teach for understanding placing huge emphasis </w:t>
      </w:r>
      <w:r w:rsidR="00146BBB" w:rsidRPr="00922E6C">
        <w:rPr>
          <w:rFonts w:cstheme="minorHAnsi"/>
          <w:szCs w:val="24"/>
        </w:rPr>
        <w:t>on ‘</w:t>
      </w:r>
      <w:r w:rsidR="00D71977" w:rsidRPr="00922E6C">
        <w:rPr>
          <w:rFonts w:cstheme="minorHAnsi"/>
          <w:szCs w:val="24"/>
        </w:rPr>
        <w:t xml:space="preserve">how’ we facilitate the link between making sense and relation within the classroom (Priestley &amp; Sinnema, 2014; Rata, 2012; Young, 2008; </w:t>
      </w:r>
      <w:r w:rsidR="00C547C9" w:rsidRPr="00922E6C">
        <w:rPr>
          <w:rFonts w:cstheme="minorHAnsi"/>
          <w:szCs w:val="24"/>
        </w:rPr>
        <w:t>Biesta, 2007)</w:t>
      </w:r>
      <w:r w:rsidR="00D71977" w:rsidRPr="00922E6C">
        <w:rPr>
          <w:rFonts w:cstheme="minorHAnsi"/>
          <w:szCs w:val="24"/>
        </w:rPr>
        <w:t>.</w:t>
      </w:r>
      <w:r w:rsidR="006E7598" w:rsidRPr="00922E6C">
        <w:rPr>
          <w:rFonts w:cstheme="minorHAnsi"/>
          <w:szCs w:val="24"/>
        </w:rPr>
        <w:t xml:space="preserve"> Further supported by Hwb (2021) suggesting schools across Wales should develop ‘a strong vision of learning and teaching which consider the “why” and “how”, as well as the “what”’.</w:t>
      </w:r>
      <w:r w:rsidR="00D71977" w:rsidRPr="00922E6C">
        <w:rPr>
          <w:rFonts w:cstheme="minorHAnsi"/>
          <w:szCs w:val="24"/>
        </w:rPr>
        <w:t xml:space="preserve"> According to psychologist Piaget (19</w:t>
      </w:r>
      <w:r w:rsidR="00305064" w:rsidRPr="00922E6C">
        <w:rPr>
          <w:rFonts w:cstheme="minorHAnsi"/>
          <w:szCs w:val="24"/>
        </w:rPr>
        <w:t>54</w:t>
      </w:r>
      <w:r w:rsidR="00D71977" w:rsidRPr="00922E6C">
        <w:rPr>
          <w:rFonts w:cstheme="minorHAnsi"/>
          <w:szCs w:val="24"/>
        </w:rPr>
        <w:t>) the three A’s ‘adaptation, assimilation and accommodation’ inhibit the learning environment</w:t>
      </w:r>
      <w:r w:rsidR="00816EEB" w:rsidRPr="00922E6C">
        <w:rPr>
          <w:rFonts w:cstheme="minorHAnsi"/>
          <w:szCs w:val="24"/>
        </w:rPr>
        <w:t xml:space="preserve"> which conveys importance on play-based learning</w:t>
      </w:r>
      <w:r w:rsidR="00D71977" w:rsidRPr="00922E6C">
        <w:rPr>
          <w:rFonts w:cstheme="minorHAnsi"/>
          <w:szCs w:val="24"/>
        </w:rPr>
        <w:t xml:space="preserve">, </w:t>
      </w:r>
      <w:r w:rsidR="00816EEB" w:rsidRPr="00922E6C">
        <w:rPr>
          <w:rFonts w:cstheme="minorHAnsi"/>
          <w:szCs w:val="24"/>
        </w:rPr>
        <w:t>for example, changing the way we accommodate inquiry</w:t>
      </w:r>
      <w:r w:rsidR="00305064" w:rsidRPr="00922E6C">
        <w:rPr>
          <w:rFonts w:cstheme="minorHAnsi"/>
          <w:szCs w:val="24"/>
        </w:rPr>
        <w:t xml:space="preserve"> and problem-based learning</w:t>
      </w:r>
      <w:r w:rsidR="00816EEB" w:rsidRPr="00922E6C">
        <w:rPr>
          <w:rFonts w:cstheme="minorHAnsi"/>
          <w:szCs w:val="24"/>
        </w:rPr>
        <w:t xml:space="preserve"> within the classroom, </w:t>
      </w:r>
      <w:r w:rsidR="00305064" w:rsidRPr="00922E6C">
        <w:rPr>
          <w:rFonts w:cstheme="minorHAnsi"/>
          <w:szCs w:val="24"/>
        </w:rPr>
        <w:t>allowing the opportunity</w:t>
      </w:r>
      <w:r w:rsidR="00816EEB" w:rsidRPr="00922E6C">
        <w:rPr>
          <w:rFonts w:cstheme="minorHAnsi"/>
          <w:szCs w:val="24"/>
        </w:rPr>
        <w:t xml:space="preserve"> to address failure and to learn from it, which places accountability and value for the learner </w:t>
      </w:r>
      <w:r w:rsidR="00816EEB" w:rsidRPr="00922E6C">
        <w:t xml:space="preserve">(Iversen et al, 2015; </w:t>
      </w:r>
      <w:r w:rsidR="00305064" w:rsidRPr="00922E6C">
        <w:t xml:space="preserve">Vygotsky, 1978; </w:t>
      </w:r>
      <w:r w:rsidR="00816EEB" w:rsidRPr="00922E6C">
        <w:t>Piaget, 1954).</w:t>
      </w:r>
      <w:r w:rsidR="00305064" w:rsidRPr="00922E6C">
        <w:rPr>
          <w:rFonts w:cstheme="minorHAnsi"/>
          <w:szCs w:val="24"/>
        </w:rPr>
        <w:t xml:space="preserve"> </w:t>
      </w:r>
      <w:r w:rsidR="00160B20" w:rsidRPr="00922E6C">
        <w:rPr>
          <w:rFonts w:cstheme="minorHAnsi"/>
          <w:szCs w:val="24"/>
        </w:rPr>
        <w:t>There has to be a ‘</w:t>
      </w:r>
      <w:r w:rsidR="00160B20" w:rsidRPr="00922E6C">
        <w:rPr>
          <w:rFonts w:cstheme="minorHAnsi"/>
          <w:i/>
          <w:iCs/>
          <w:szCs w:val="24"/>
        </w:rPr>
        <w:t>telos</w:t>
      </w:r>
      <w:r w:rsidR="00160B20" w:rsidRPr="00922E6C">
        <w:rPr>
          <w:rFonts w:cstheme="minorHAnsi"/>
          <w:szCs w:val="24"/>
        </w:rPr>
        <w:t xml:space="preserve">’ which is the Greek word for point, specifying the demand for </w:t>
      </w:r>
      <w:r w:rsidR="00160B20" w:rsidRPr="00922E6C">
        <w:rPr>
          <w:rFonts w:cstheme="minorHAnsi"/>
          <w:i/>
          <w:iCs/>
          <w:szCs w:val="24"/>
        </w:rPr>
        <w:t>purpose</w:t>
      </w:r>
      <w:r w:rsidR="00146BBB" w:rsidRPr="00922E6C">
        <w:rPr>
          <w:rFonts w:cstheme="minorHAnsi"/>
          <w:szCs w:val="24"/>
        </w:rPr>
        <w:t xml:space="preserve"> for learning</w:t>
      </w:r>
      <w:r w:rsidR="00160B20" w:rsidRPr="00922E6C">
        <w:rPr>
          <w:rFonts w:cstheme="minorHAnsi"/>
          <w:szCs w:val="24"/>
        </w:rPr>
        <w:t xml:space="preserve"> (Carr, 2003, p. 10)</w:t>
      </w:r>
      <w:r w:rsidR="00146BBB" w:rsidRPr="00922E6C">
        <w:rPr>
          <w:rFonts w:cstheme="minorHAnsi"/>
          <w:szCs w:val="24"/>
        </w:rPr>
        <w:t>.</w:t>
      </w:r>
    </w:p>
    <w:p w14:paraId="3A8E1F77" w14:textId="77777777" w:rsidR="00092BC4" w:rsidRPr="00922E6C" w:rsidRDefault="00092BC4" w:rsidP="00922E6C">
      <w:pPr>
        <w:jc w:val="both"/>
        <w:rPr>
          <w:rFonts w:cstheme="minorHAnsi"/>
          <w:szCs w:val="24"/>
        </w:rPr>
      </w:pPr>
    </w:p>
    <w:p w14:paraId="2A6455A1" w14:textId="62E1B9D8" w:rsidR="00634EF9" w:rsidRPr="00922E6C" w:rsidRDefault="00634EF9" w:rsidP="00922E6C">
      <w:pPr>
        <w:jc w:val="both"/>
        <w:rPr>
          <w:rFonts w:cstheme="minorHAnsi"/>
          <w:b/>
          <w:bCs/>
          <w:szCs w:val="24"/>
        </w:rPr>
      </w:pPr>
      <w:r w:rsidRPr="00922E6C">
        <w:rPr>
          <w:rFonts w:cstheme="minorHAnsi"/>
          <w:b/>
          <w:bCs/>
          <w:szCs w:val="24"/>
        </w:rPr>
        <w:t xml:space="preserve">The Four </w:t>
      </w:r>
      <w:r w:rsidR="00131AB7" w:rsidRPr="00922E6C">
        <w:rPr>
          <w:rFonts w:cstheme="minorHAnsi"/>
          <w:b/>
          <w:bCs/>
          <w:szCs w:val="24"/>
        </w:rPr>
        <w:t>P</w:t>
      </w:r>
      <w:r w:rsidRPr="00922E6C">
        <w:rPr>
          <w:rFonts w:cstheme="minorHAnsi"/>
          <w:b/>
          <w:bCs/>
          <w:szCs w:val="24"/>
        </w:rPr>
        <w:t>urposes</w:t>
      </w:r>
    </w:p>
    <w:p w14:paraId="06C9E81B" w14:textId="233888F3" w:rsidR="007D6568" w:rsidRPr="00922E6C" w:rsidRDefault="005A1571" w:rsidP="00922E6C">
      <w:pPr>
        <w:jc w:val="both"/>
        <w:rPr>
          <w:rFonts w:cstheme="minorHAnsi"/>
          <w:szCs w:val="24"/>
          <w:shd w:val="clear" w:color="auto" w:fill="FFFFFF"/>
        </w:rPr>
      </w:pPr>
      <w:r w:rsidRPr="00922E6C">
        <w:rPr>
          <w:rFonts w:cstheme="minorHAnsi"/>
          <w:szCs w:val="24"/>
          <w:shd w:val="clear" w:color="auto" w:fill="FFFFFF"/>
        </w:rPr>
        <w:t xml:space="preserve">The Four Purposes are designed to </w:t>
      </w:r>
      <w:r w:rsidR="00864708" w:rsidRPr="00922E6C">
        <w:rPr>
          <w:rFonts w:cstheme="minorHAnsi"/>
          <w:szCs w:val="24"/>
          <w:shd w:val="clear" w:color="auto" w:fill="FFFFFF"/>
        </w:rPr>
        <w:t xml:space="preserve">drive the </w:t>
      </w:r>
      <w:r w:rsidR="00240D9D" w:rsidRPr="00922E6C">
        <w:rPr>
          <w:rFonts w:cstheme="minorHAnsi"/>
          <w:szCs w:val="24"/>
          <w:shd w:val="clear" w:color="auto" w:fill="FFFFFF"/>
        </w:rPr>
        <w:t xml:space="preserve">new </w:t>
      </w:r>
      <w:r w:rsidRPr="00922E6C">
        <w:rPr>
          <w:rFonts w:cstheme="minorHAnsi"/>
          <w:szCs w:val="24"/>
          <w:shd w:val="clear" w:color="auto" w:fill="FFFFFF"/>
        </w:rPr>
        <w:t>curriculum</w:t>
      </w:r>
      <w:r w:rsidR="00864708" w:rsidRPr="00922E6C">
        <w:rPr>
          <w:rFonts w:cstheme="minorHAnsi"/>
          <w:szCs w:val="24"/>
          <w:shd w:val="clear" w:color="auto" w:fill="FFFFFF"/>
        </w:rPr>
        <w:t xml:space="preserve"> which introduce underpinning elements</w:t>
      </w:r>
      <w:r w:rsidR="00240D9D" w:rsidRPr="00922E6C">
        <w:rPr>
          <w:rFonts w:cstheme="minorHAnsi"/>
          <w:szCs w:val="24"/>
          <w:shd w:val="clear" w:color="auto" w:fill="FFFFFF"/>
        </w:rPr>
        <w:t xml:space="preserve"> categorised as </w:t>
      </w:r>
      <w:r w:rsidR="00864708" w:rsidRPr="00922E6C">
        <w:rPr>
          <w:rFonts w:cstheme="minorHAnsi"/>
          <w:szCs w:val="24"/>
          <w:shd w:val="clear" w:color="auto" w:fill="FFFFFF"/>
        </w:rPr>
        <w:t>Areas of Learning experience</w:t>
      </w:r>
      <w:r w:rsidR="00240D9D" w:rsidRPr="00922E6C">
        <w:rPr>
          <w:rFonts w:cstheme="minorHAnsi"/>
          <w:szCs w:val="24"/>
          <w:shd w:val="clear" w:color="auto" w:fill="FFFFFF"/>
        </w:rPr>
        <w:t xml:space="preserve">, which will replace the subject specialisms </w:t>
      </w:r>
      <w:r w:rsidR="00240D9D" w:rsidRPr="00922E6C">
        <w:rPr>
          <w:rFonts w:cstheme="minorHAnsi"/>
          <w:szCs w:val="24"/>
          <w:shd w:val="clear" w:color="auto" w:fill="FFFFFF"/>
        </w:rPr>
        <w:lastRenderedPageBreak/>
        <w:t xml:space="preserve">as outlined in the National Curriculum. </w:t>
      </w:r>
      <w:r w:rsidR="00770504" w:rsidRPr="00922E6C">
        <w:rPr>
          <w:rFonts w:cstheme="minorHAnsi"/>
          <w:szCs w:val="24"/>
          <w:shd w:val="clear" w:color="auto" w:fill="FFFFFF"/>
        </w:rPr>
        <w:t xml:space="preserve">The Welsh Government (2019) are devoted to transforming our learners to ‘lead fulfilling personal, civic and professional lives’ which will be guided by the four purposes. </w:t>
      </w:r>
      <w:r w:rsidR="00864708" w:rsidRPr="00922E6C">
        <w:rPr>
          <w:rFonts w:cstheme="minorHAnsi"/>
          <w:szCs w:val="24"/>
          <w:shd w:val="clear" w:color="auto" w:fill="FFFFFF"/>
        </w:rPr>
        <w:t xml:space="preserve">Professor Donaldson </w:t>
      </w:r>
      <w:r w:rsidR="00240D9D" w:rsidRPr="00922E6C">
        <w:rPr>
          <w:rFonts w:cstheme="minorHAnsi"/>
          <w:szCs w:val="24"/>
          <w:shd w:val="clear" w:color="auto" w:fill="FFFFFF"/>
        </w:rPr>
        <w:t>illustrates</w:t>
      </w:r>
      <w:r w:rsidR="00864708" w:rsidRPr="00922E6C">
        <w:rPr>
          <w:rFonts w:cstheme="minorHAnsi"/>
          <w:szCs w:val="24"/>
          <w:shd w:val="clear" w:color="auto" w:fill="FFFFFF"/>
        </w:rPr>
        <w:t xml:space="preserve"> that</w:t>
      </w:r>
      <w:r w:rsidR="00240D9D" w:rsidRPr="00922E6C">
        <w:rPr>
          <w:rFonts w:cstheme="minorHAnsi"/>
          <w:szCs w:val="24"/>
          <w:shd w:val="clear" w:color="auto" w:fill="FFFFFF"/>
        </w:rPr>
        <w:t xml:space="preserve"> education should foster a range of ‘wider skills’ which will be necessary for modern life and work, adopting a holistic approach to develop the learner (Successful Futures, 2021). </w:t>
      </w:r>
      <w:r w:rsidR="00F8291D" w:rsidRPr="00922E6C">
        <w:rPr>
          <w:rFonts w:cstheme="minorHAnsi"/>
          <w:szCs w:val="24"/>
          <w:shd w:val="clear" w:color="auto" w:fill="FFFFFF"/>
        </w:rPr>
        <w:t xml:space="preserve">The Welsh curriculum will offer its design to suit the surrounding areas, taking it’s learning beyond the school and preparing for family engagement at the core. </w:t>
      </w:r>
      <w:r w:rsidR="00240D9D" w:rsidRPr="00922E6C">
        <w:rPr>
          <w:rFonts w:cstheme="minorHAnsi"/>
          <w:szCs w:val="24"/>
          <w:shd w:val="clear" w:color="auto" w:fill="FFFFFF"/>
        </w:rPr>
        <w:t>The Four Purposes state that ‘all our children and young people will be: 1. Ambitious, capable learners who are ready to learn throughout their lives; 2. Healthy, confident individuals who are ready to lead fulfilling lives as valued members of society; 3. Enterprising, creative contributors who are ready to play a full part in life and work</w:t>
      </w:r>
      <w:r w:rsidR="007D6568" w:rsidRPr="00922E6C">
        <w:rPr>
          <w:rFonts w:cstheme="minorHAnsi"/>
          <w:szCs w:val="24"/>
          <w:shd w:val="clear" w:color="auto" w:fill="FFFFFF"/>
        </w:rPr>
        <w:t xml:space="preserve">; </w:t>
      </w:r>
      <w:r w:rsidR="00240D9D" w:rsidRPr="00922E6C">
        <w:rPr>
          <w:rFonts w:cstheme="minorHAnsi"/>
          <w:szCs w:val="24"/>
          <w:shd w:val="clear" w:color="auto" w:fill="FFFFFF"/>
        </w:rPr>
        <w:t>and 4. Ethically informed citizens who are ready to be citizens of Wales and the world’ (Donaldson, </w:t>
      </w:r>
      <w:hyperlink r:id="rId10" w:anchor="curj26-bib-0003" w:history="1">
        <w:r w:rsidR="00240D9D" w:rsidRPr="00922E6C">
          <w:rPr>
            <w:rStyle w:val="Hyperlink"/>
            <w:rFonts w:cstheme="minorHAnsi"/>
            <w:color w:val="auto"/>
            <w:szCs w:val="24"/>
            <w:u w:val="none"/>
          </w:rPr>
          <w:t>2015</w:t>
        </w:r>
      </w:hyperlink>
      <w:r w:rsidR="00240D9D" w:rsidRPr="00922E6C">
        <w:rPr>
          <w:rFonts w:cstheme="minorHAnsi"/>
          <w:szCs w:val="24"/>
          <w:shd w:val="clear" w:color="auto" w:fill="FFFFFF"/>
        </w:rPr>
        <w:t>, p. 31). With these four purposes at the heart of our curriculum</w:t>
      </w:r>
      <w:r w:rsidR="009C0BEA" w:rsidRPr="00922E6C">
        <w:rPr>
          <w:rFonts w:cstheme="minorHAnsi"/>
          <w:szCs w:val="24"/>
          <w:shd w:val="clear" w:color="auto" w:fill="FFFFFF"/>
        </w:rPr>
        <w:t xml:space="preserve"> it is important to consider t</w:t>
      </w:r>
      <w:r w:rsidR="006E7598" w:rsidRPr="00922E6C">
        <w:rPr>
          <w:rFonts w:cstheme="minorHAnsi"/>
          <w:szCs w:val="24"/>
          <w:shd w:val="clear" w:color="auto" w:fill="FFFFFF"/>
        </w:rPr>
        <w:t xml:space="preserve">o what </w:t>
      </w:r>
      <w:r w:rsidR="009C0BEA" w:rsidRPr="00922E6C">
        <w:rPr>
          <w:rFonts w:cstheme="minorHAnsi"/>
          <w:szCs w:val="24"/>
          <w:shd w:val="clear" w:color="auto" w:fill="FFFFFF"/>
        </w:rPr>
        <w:t>extent</w:t>
      </w:r>
      <w:r w:rsidR="006E7598" w:rsidRPr="00922E6C">
        <w:rPr>
          <w:rFonts w:cstheme="minorHAnsi"/>
          <w:szCs w:val="24"/>
          <w:shd w:val="clear" w:color="auto" w:fill="FFFFFF"/>
        </w:rPr>
        <w:t xml:space="preserve"> do we deem these achievable within certain AoLEs. </w:t>
      </w:r>
      <w:r w:rsidR="007D6568" w:rsidRPr="00922E6C">
        <w:rPr>
          <w:rFonts w:cstheme="minorHAnsi"/>
          <w:szCs w:val="24"/>
          <w:shd w:val="clear" w:color="auto" w:fill="FFFFFF"/>
        </w:rPr>
        <w:t>In comparison</w:t>
      </w:r>
      <w:r w:rsidR="0039069C" w:rsidRPr="00922E6C">
        <w:rPr>
          <w:rFonts w:cstheme="minorHAnsi"/>
          <w:szCs w:val="24"/>
          <w:shd w:val="clear" w:color="auto" w:fill="FFFFFF"/>
        </w:rPr>
        <w:t xml:space="preserve">, </w:t>
      </w:r>
      <w:r w:rsidR="007D6568" w:rsidRPr="00922E6C">
        <w:rPr>
          <w:rFonts w:cstheme="minorHAnsi"/>
          <w:szCs w:val="24"/>
          <w:shd w:val="clear" w:color="auto" w:fill="FFFFFF"/>
        </w:rPr>
        <w:t xml:space="preserve">the National Curriculum for England </w:t>
      </w:r>
      <w:r w:rsidR="003A734D" w:rsidRPr="00922E6C">
        <w:rPr>
          <w:rFonts w:cstheme="minorHAnsi"/>
          <w:szCs w:val="24"/>
          <w:shd w:val="clear" w:color="auto" w:fill="FFFFFF"/>
        </w:rPr>
        <w:t xml:space="preserve">follows a three-step purpose which </w:t>
      </w:r>
      <w:r w:rsidR="007D6568" w:rsidRPr="00922E6C">
        <w:rPr>
          <w:rFonts w:cstheme="minorHAnsi"/>
          <w:szCs w:val="24"/>
          <w:shd w:val="clear" w:color="auto" w:fill="FFFFFF"/>
        </w:rPr>
        <w:t>is heavily focused on the learners being taught ‘essential knowledge within their subject discipline’, leaving autonomy of teaching rigorous (DfE, 2013).</w:t>
      </w:r>
      <w:r w:rsidR="003A734D" w:rsidRPr="00922E6C">
        <w:rPr>
          <w:rFonts w:cstheme="minorHAnsi"/>
          <w:szCs w:val="24"/>
          <w:shd w:val="clear" w:color="auto" w:fill="FFFFFF"/>
        </w:rPr>
        <w:t xml:space="preserve"> Australia’s aims co-insides with our own, outlining that all learners are to become ‘successful, confident and creative individuals and active and informed citizens’ (Ministerial Council, 2008, p</w:t>
      </w:r>
      <w:r w:rsidR="00C247BE" w:rsidRPr="00922E6C">
        <w:rPr>
          <w:rFonts w:cstheme="minorHAnsi"/>
          <w:szCs w:val="24"/>
          <w:shd w:val="clear" w:color="auto" w:fill="FFFFFF"/>
        </w:rPr>
        <w:t>g.</w:t>
      </w:r>
      <w:r w:rsidR="003A734D" w:rsidRPr="00922E6C">
        <w:rPr>
          <w:rFonts w:cstheme="minorHAnsi"/>
          <w:szCs w:val="24"/>
          <w:shd w:val="clear" w:color="auto" w:fill="FFFFFF"/>
        </w:rPr>
        <w:t xml:space="preserve">7). Curriculum endorsed by the British Columbia also entails elements of learners being ‘personally and socially competent in all areas of their lives’ (British Columbia Ministry of Education, 2015). Lastly, New Zealand </w:t>
      </w:r>
      <w:r w:rsidR="00C247BE" w:rsidRPr="00922E6C">
        <w:rPr>
          <w:rFonts w:cstheme="minorHAnsi"/>
          <w:szCs w:val="24"/>
          <w:shd w:val="clear" w:color="auto" w:fill="FFFFFF"/>
        </w:rPr>
        <w:t>follow</w:t>
      </w:r>
      <w:r w:rsidR="003A734D" w:rsidRPr="00922E6C">
        <w:rPr>
          <w:rFonts w:cstheme="minorHAnsi"/>
          <w:szCs w:val="24"/>
          <w:shd w:val="clear" w:color="auto" w:fill="FFFFFF"/>
        </w:rPr>
        <w:t xml:space="preserve"> similar </w:t>
      </w:r>
      <w:r w:rsidR="005568E0" w:rsidRPr="00922E6C">
        <w:rPr>
          <w:rFonts w:cstheme="minorHAnsi"/>
          <w:szCs w:val="24"/>
          <w:shd w:val="clear" w:color="auto" w:fill="FFFFFF"/>
        </w:rPr>
        <w:t>infrastructure with focus on</w:t>
      </w:r>
      <w:r w:rsidR="003A734D" w:rsidRPr="00922E6C">
        <w:rPr>
          <w:rFonts w:cstheme="minorHAnsi"/>
          <w:szCs w:val="24"/>
          <w:shd w:val="clear" w:color="auto" w:fill="FFFFFF"/>
        </w:rPr>
        <w:t xml:space="preserve"> developing ‘young people who will be confident, connected, actively involved, lifelong learners’ (Ministry of Education, 2007). </w:t>
      </w:r>
      <w:r w:rsidR="00770504" w:rsidRPr="00922E6C">
        <w:rPr>
          <w:rFonts w:cstheme="minorHAnsi"/>
          <w:szCs w:val="24"/>
          <w:shd w:val="clear" w:color="auto" w:fill="FFFFFF"/>
        </w:rPr>
        <w:t xml:space="preserve"> </w:t>
      </w:r>
      <w:r w:rsidR="003A734D" w:rsidRPr="00922E6C">
        <w:rPr>
          <w:rFonts w:cstheme="minorHAnsi"/>
          <w:szCs w:val="24"/>
          <w:shd w:val="clear" w:color="auto" w:fill="FFFFFF"/>
        </w:rPr>
        <w:t xml:space="preserve">This illustrates the </w:t>
      </w:r>
      <w:r w:rsidR="00770504" w:rsidRPr="00922E6C">
        <w:rPr>
          <w:rFonts w:cstheme="minorHAnsi"/>
          <w:szCs w:val="24"/>
          <w:shd w:val="clear" w:color="auto" w:fill="FFFFFF"/>
        </w:rPr>
        <w:t>breadth of pedagog</w:t>
      </w:r>
      <w:r w:rsidR="005568E0" w:rsidRPr="00922E6C">
        <w:rPr>
          <w:rFonts w:cstheme="minorHAnsi"/>
          <w:szCs w:val="24"/>
          <w:shd w:val="clear" w:color="auto" w:fill="FFFFFF"/>
        </w:rPr>
        <w:t>ical approach</w:t>
      </w:r>
      <w:r w:rsidR="00770504" w:rsidRPr="00922E6C">
        <w:rPr>
          <w:rFonts w:cstheme="minorHAnsi"/>
          <w:szCs w:val="24"/>
          <w:shd w:val="clear" w:color="auto" w:fill="FFFFFF"/>
        </w:rPr>
        <w:t xml:space="preserve"> </w:t>
      </w:r>
      <w:r w:rsidR="005568E0" w:rsidRPr="00922E6C">
        <w:rPr>
          <w:rFonts w:cstheme="minorHAnsi"/>
          <w:szCs w:val="24"/>
          <w:shd w:val="clear" w:color="auto" w:fill="FFFFFF"/>
        </w:rPr>
        <w:t xml:space="preserve">embedding core </w:t>
      </w:r>
      <w:r w:rsidR="00770504" w:rsidRPr="00922E6C">
        <w:rPr>
          <w:rFonts w:cstheme="minorHAnsi"/>
          <w:szCs w:val="24"/>
          <w:shd w:val="clear" w:color="auto" w:fill="FFFFFF"/>
        </w:rPr>
        <w:t>values of health, creativity and contributing citizens</w:t>
      </w:r>
      <w:r w:rsidR="0039069C" w:rsidRPr="00922E6C">
        <w:rPr>
          <w:rFonts w:cstheme="minorHAnsi"/>
          <w:szCs w:val="24"/>
          <w:shd w:val="clear" w:color="auto" w:fill="FFFFFF"/>
        </w:rPr>
        <w:t>,</w:t>
      </w:r>
      <w:r w:rsidR="00770504" w:rsidRPr="00922E6C">
        <w:rPr>
          <w:rFonts w:cstheme="minorHAnsi"/>
          <w:szCs w:val="24"/>
          <w:shd w:val="clear" w:color="auto" w:fill="FFFFFF"/>
        </w:rPr>
        <w:t xml:space="preserve"> </w:t>
      </w:r>
      <w:r w:rsidR="005568E0" w:rsidRPr="00922E6C">
        <w:rPr>
          <w:rFonts w:cstheme="minorHAnsi"/>
          <w:szCs w:val="24"/>
          <w:shd w:val="clear" w:color="auto" w:fill="FFFFFF"/>
        </w:rPr>
        <w:t>which shape</w:t>
      </w:r>
      <w:r w:rsidR="00770504" w:rsidRPr="00922E6C">
        <w:rPr>
          <w:rFonts w:cstheme="minorHAnsi"/>
          <w:szCs w:val="24"/>
          <w:shd w:val="clear" w:color="auto" w:fill="FFFFFF"/>
        </w:rPr>
        <w:t xml:space="preserve"> the backbone of the</w:t>
      </w:r>
      <w:r w:rsidR="003829F7" w:rsidRPr="00922E6C">
        <w:rPr>
          <w:rFonts w:cstheme="minorHAnsi"/>
          <w:szCs w:val="24"/>
          <w:shd w:val="clear" w:color="auto" w:fill="FFFFFF"/>
        </w:rPr>
        <w:t>se established</w:t>
      </w:r>
      <w:r w:rsidR="00770504" w:rsidRPr="00922E6C">
        <w:rPr>
          <w:rFonts w:cstheme="minorHAnsi"/>
          <w:szCs w:val="24"/>
          <w:shd w:val="clear" w:color="auto" w:fill="FFFFFF"/>
        </w:rPr>
        <w:t xml:space="preserve"> curriculu</w:t>
      </w:r>
      <w:r w:rsidR="003829F7" w:rsidRPr="00922E6C">
        <w:rPr>
          <w:rFonts w:cstheme="minorHAnsi"/>
          <w:szCs w:val="24"/>
          <w:shd w:val="clear" w:color="auto" w:fill="FFFFFF"/>
        </w:rPr>
        <w:t>ms</w:t>
      </w:r>
      <w:r w:rsidR="0039069C" w:rsidRPr="00922E6C">
        <w:rPr>
          <w:rFonts w:cstheme="minorHAnsi"/>
          <w:szCs w:val="24"/>
          <w:shd w:val="clear" w:color="auto" w:fill="FFFFFF"/>
        </w:rPr>
        <w:t>.</w:t>
      </w:r>
      <w:r w:rsidR="00770504" w:rsidRPr="00922E6C">
        <w:rPr>
          <w:rFonts w:cstheme="minorHAnsi"/>
          <w:szCs w:val="24"/>
          <w:shd w:val="clear" w:color="auto" w:fill="FFFFFF"/>
        </w:rPr>
        <w:t xml:space="preserve"> </w:t>
      </w:r>
      <w:r w:rsidR="003829F7" w:rsidRPr="00922E6C">
        <w:rPr>
          <w:rFonts w:cstheme="minorHAnsi"/>
          <w:szCs w:val="24"/>
          <w:shd w:val="clear" w:color="auto" w:fill="FFFFFF"/>
        </w:rPr>
        <w:t xml:space="preserve">Whereas the National curriculum </w:t>
      </w:r>
      <w:r w:rsidR="0039069C" w:rsidRPr="00922E6C">
        <w:rPr>
          <w:rFonts w:cstheme="minorHAnsi"/>
          <w:szCs w:val="24"/>
          <w:shd w:val="clear" w:color="auto" w:fill="FFFFFF"/>
        </w:rPr>
        <w:t xml:space="preserve">for England </w:t>
      </w:r>
      <w:r w:rsidR="003829F7" w:rsidRPr="00922E6C">
        <w:rPr>
          <w:rFonts w:cstheme="minorHAnsi"/>
          <w:szCs w:val="24"/>
          <w:shd w:val="clear" w:color="auto" w:fill="FFFFFF"/>
        </w:rPr>
        <w:t>have seemed</w:t>
      </w:r>
      <w:r w:rsidR="005568E0" w:rsidRPr="00922E6C">
        <w:rPr>
          <w:rFonts w:cstheme="minorHAnsi"/>
          <w:szCs w:val="24"/>
          <w:shd w:val="clear" w:color="auto" w:fill="FFFFFF"/>
        </w:rPr>
        <w:t xml:space="preserve"> </w:t>
      </w:r>
      <w:r w:rsidR="0039069C" w:rsidRPr="00922E6C">
        <w:rPr>
          <w:rFonts w:cstheme="minorHAnsi"/>
          <w:szCs w:val="24"/>
          <w:shd w:val="clear" w:color="auto" w:fill="FFFFFF"/>
        </w:rPr>
        <w:t xml:space="preserve">to </w:t>
      </w:r>
      <w:r w:rsidR="00770504" w:rsidRPr="00922E6C">
        <w:rPr>
          <w:rFonts w:cstheme="minorHAnsi"/>
          <w:szCs w:val="24"/>
          <w:shd w:val="clear" w:color="auto" w:fill="FFFFFF"/>
        </w:rPr>
        <w:t>misplace</w:t>
      </w:r>
      <w:r w:rsidR="003829F7" w:rsidRPr="00922E6C">
        <w:rPr>
          <w:rFonts w:cstheme="minorHAnsi"/>
          <w:szCs w:val="24"/>
          <w:shd w:val="clear" w:color="auto" w:fill="FFFFFF"/>
        </w:rPr>
        <w:t xml:space="preserve"> these values</w:t>
      </w:r>
      <w:r w:rsidR="00770504" w:rsidRPr="00922E6C">
        <w:rPr>
          <w:rFonts w:cstheme="minorHAnsi"/>
          <w:szCs w:val="24"/>
          <w:shd w:val="clear" w:color="auto" w:fill="FFFFFF"/>
        </w:rPr>
        <w:t>.</w:t>
      </w:r>
      <w:r w:rsidR="00FB5FBF" w:rsidRPr="00922E6C">
        <w:rPr>
          <w:rFonts w:cstheme="minorHAnsi"/>
          <w:szCs w:val="24"/>
          <w:shd w:val="clear" w:color="auto" w:fill="FFFFFF"/>
        </w:rPr>
        <w:t xml:space="preserve"> Within the four purposes there </w:t>
      </w:r>
      <w:r w:rsidR="003829F7" w:rsidRPr="00922E6C">
        <w:rPr>
          <w:rFonts w:cstheme="minorHAnsi"/>
          <w:szCs w:val="24"/>
          <w:shd w:val="clear" w:color="auto" w:fill="FFFFFF"/>
        </w:rPr>
        <w:t>are</w:t>
      </w:r>
      <w:r w:rsidR="00FB5FBF" w:rsidRPr="00922E6C">
        <w:rPr>
          <w:rFonts w:cstheme="minorHAnsi"/>
          <w:szCs w:val="24"/>
          <w:shd w:val="clear" w:color="auto" w:fill="FFFFFF"/>
        </w:rPr>
        <w:t xml:space="preserve"> a tick box mantra of identifying statements to help shape planning around the purpose, however, as discussed previous, it is not clearly highlighted if each purpose </w:t>
      </w:r>
      <w:r w:rsidR="00536179" w:rsidRPr="00922E6C">
        <w:rPr>
          <w:rFonts w:cstheme="minorHAnsi"/>
          <w:szCs w:val="24"/>
          <w:shd w:val="clear" w:color="auto" w:fill="FFFFFF"/>
        </w:rPr>
        <w:t>must</w:t>
      </w:r>
      <w:r w:rsidR="00FB5FBF" w:rsidRPr="00922E6C">
        <w:rPr>
          <w:rFonts w:cstheme="minorHAnsi"/>
          <w:szCs w:val="24"/>
          <w:shd w:val="clear" w:color="auto" w:fill="FFFFFF"/>
        </w:rPr>
        <w:t xml:space="preserve"> be present when shaping your curriculum around the AoLE (Welsh Government, 2019). For example</w:t>
      </w:r>
      <w:r w:rsidR="00536179" w:rsidRPr="00922E6C">
        <w:rPr>
          <w:rFonts w:cstheme="minorHAnsi"/>
          <w:szCs w:val="24"/>
          <w:shd w:val="clear" w:color="auto" w:fill="FFFFFF"/>
        </w:rPr>
        <w:t>,</w:t>
      </w:r>
      <w:r w:rsidR="00FB5FBF" w:rsidRPr="00922E6C">
        <w:rPr>
          <w:rFonts w:cstheme="minorHAnsi"/>
          <w:szCs w:val="24"/>
          <w:shd w:val="clear" w:color="auto" w:fill="FFFFFF"/>
        </w:rPr>
        <w:t xml:space="preserve"> when fulfilling the purpose of healthy, confident individuals, the lesson developed will reside in the AoLE health and wellbeing</w:t>
      </w:r>
      <w:r w:rsidR="00536179" w:rsidRPr="00922E6C">
        <w:rPr>
          <w:rFonts w:cstheme="minorHAnsi"/>
          <w:szCs w:val="24"/>
          <w:shd w:val="clear" w:color="auto" w:fill="FFFFFF"/>
        </w:rPr>
        <w:t xml:space="preserve">, </w:t>
      </w:r>
      <w:r w:rsidR="00C37D50" w:rsidRPr="00922E6C">
        <w:rPr>
          <w:rFonts w:cstheme="minorHAnsi"/>
          <w:szCs w:val="24"/>
          <w:shd w:val="clear" w:color="auto" w:fill="FFFFFF"/>
        </w:rPr>
        <w:t>with a lesson focus on the</w:t>
      </w:r>
      <w:r w:rsidR="00536179" w:rsidRPr="00922E6C">
        <w:rPr>
          <w:rFonts w:cstheme="minorHAnsi"/>
          <w:szCs w:val="24"/>
          <w:shd w:val="clear" w:color="auto" w:fill="FFFFFF"/>
        </w:rPr>
        <w:t xml:space="preserve"> importance of eating a healthy diet</w:t>
      </w:r>
      <w:r w:rsidR="00C37D50" w:rsidRPr="00922E6C">
        <w:rPr>
          <w:rFonts w:cstheme="minorHAnsi"/>
          <w:szCs w:val="24"/>
          <w:shd w:val="clear" w:color="auto" w:fill="FFFFFF"/>
        </w:rPr>
        <w:t xml:space="preserve">. Cross-curricula links that could be introduced within </w:t>
      </w:r>
      <w:r w:rsidR="00C37D50" w:rsidRPr="00922E6C">
        <w:rPr>
          <w:rFonts w:cstheme="minorHAnsi"/>
          <w:szCs w:val="24"/>
          <w:shd w:val="clear" w:color="auto" w:fill="FFFFFF"/>
        </w:rPr>
        <w:lastRenderedPageBreak/>
        <w:t>this lesson could be maths with portion control and science with food induced illnesses, however, relating back to the four purposes</w:t>
      </w:r>
      <w:r w:rsidR="003829F7" w:rsidRPr="00922E6C">
        <w:rPr>
          <w:rFonts w:cstheme="minorHAnsi"/>
          <w:szCs w:val="24"/>
          <w:shd w:val="clear" w:color="auto" w:fill="FFFFFF"/>
        </w:rPr>
        <w:t xml:space="preserve"> you</w:t>
      </w:r>
      <w:r w:rsidR="00C37D50" w:rsidRPr="00922E6C">
        <w:rPr>
          <w:rFonts w:cstheme="minorHAnsi"/>
          <w:szCs w:val="24"/>
          <w:shd w:val="clear" w:color="auto" w:fill="FFFFFF"/>
        </w:rPr>
        <w:t xml:space="preserve"> would struggle to link criteria to ethically informed citizens and enterprising contributors, therefore, will the lesson still be deemed effective down to discretion of the teacher</w:t>
      </w:r>
      <w:r w:rsidR="0039069C" w:rsidRPr="00922E6C">
        <w:rPr>
          <w:rFonts w:cstheme="minorHAnsi"/>
          <w:szCs w:val="24"/>
          <w:shd w:val="clear" w:color="auto" w:fill="FFFFFF"/>
        </w:rPr>
        <w:t xml:space="preserve"> with all four purposes being the driver</w:t>
      </w:r>
      <w:r w:rsidR="00C37D50" w:rsidRPr="00922E6C">
        <w:rPr>
          <w:rFonts w:cstheme="minorHAnsi"/>
          <w:szCs w:val="24"/>
          <w:shd w:val="clear" w:color="auto" w:fill="FFFFFF"/>
        </w:rPr>
        <w:t>.</w:t>
      </w:r>
    </w:p>
    <w:p w14:paraId="55AABE91" w14:textId="3B64C7E4" w:rsidR="00BA4A2E" w:rsidRPr="00922E6C" w:rsidRDefault="00770504" w:rsidP="00922E6C">
      <w:pPr>
        <w:jc w:val="both"/>
        <w:rPr>
          <w:rFonts w:cstheme="minorHAnsi"/>
          <w:szCs w:val="24"/>
        </w:rPr>
      </w:pPr>
      <w:r w:rsidRPr="00922E6C">
        <w:rPr>
          <w:rFonts w:cstheme="minorHAnsi"/>
          <w:szCs w:val="24"/>
          <w:shd w:val="clear" w:color="auto" w:fill="FFFFFF"/>
        </w:rPr>
        <w:t>Application of learning</w:t>
      </w:r>
      <w:r w:rsidR="00CD7D10" w:rsidRPr="00922E6C">
        <w:rPr>
          <w:rFonts w:cstheme="minorHAnsi"/>
          <w:szCs w:val="24"/>
          <w:shd w:val="clear" w:color="auto" w:fill="FFFFFF"/>
        </w:rPr>
        <w:t xml:space="preserve"> is detrimental when trying to unlock the </w:t>
      </w:r>
      <w:r w:rsidR="000F0E15" w:rsidRPr="00922E6C">
        <w:rPr>
          <w:rFonts w:cstheme="minorHAnsi"/>
          <w:szCs w:val="24"/>
          <w:shd w:val="clear" w:color="auto" w:fill="FFFFFF"/>
        </w:rPr>
        <w:t>learner’s</w:t>
      </w:r>
      <w:r w:rsidR="00CD7D10" w:rsidRPr="00922E6C">
        <w:rPr>
          <w:rFonts w:cstheme="minorHAnsi"/>
          <w:szCs w:val="24"/>
          <w:shd w:val="clear" w:color="auto" w:fill="FFFFFF"/>
        </w:rPr>
        <w:t xml:space="preserve"> optimal potential, Donaldson encourages creativity, rather than productivity, developing a holistic approach towards the child’s learning journey </w:t>
      </w:r>
      <w:r w:rsidR="00F53854" w:rsidRPr="00922E6C">
        <w:rPr>
          <w:rFonts w:cstheme="minorHAnsi"/>
          <w:szCs w:val="24"/>
          <w:shd w:val="clear" w:color="auto" w:fill="FFFFFF"/>
        </w:rPr>
        <w:t xml:space="preserve">whilst </w:t>
      </w:r>
      <w:r w:rsidR="00CD7D10" w:rsidRPr="00922E6C">
        <w:rPr>
          <w:rFonts w:cstheme="minorHAnsi"/>
          <w:szCs w:val="24"/>
          <w:shd w:val="clear" w:color="auto" w:fill="FFFFFF"/>
        </w:rPr>
        <w:t>focusing on ‘real life’ contexts with knowledge consistently being applied to the wider world</w:t>
      </w:r>
      <w:r w:rsidR="000F0E15" w:rsidRPr="00922E6C">
        <w:rPr>
          <w:rFonts w:cstheme="minorHAnsi"/>
          <w:szCs w:val="24"/>
          <w:shd w:val="clear" w:color="auto" w:fill="FFFFFF"/>
        </w:rPr>
        <w:t xml:space="preserve"> </w:t>
      </w:r>
      <w:r w:rsidR="00CD7D10" w:rsidRPr="00922E6C">
        <w:rPr>
          <w:rFonts w:cstheme="minorHAnsi"/>
          <w:szCs w:val="24"/>
          <w:shd w:val="clear" w:color="auto" w:fill="FFFFFF"/>
        </w:rPr>
        <w:t xml:space="preserve">(Donaldson, 2015). Subject disciplines will be cross-curricular </w:t>
      </w:r>
      <w:r w:rsidR="00F53854" w:rsidRPr="00922E6C">
        <w:rPr>
          <w:rFonts w:cstheme="minorHAnsi"/>
          <w:szCs w:val="24"/>
          <w:shd w:val="clear" w:color="auto" w:fill="FFFFFF"/>
        </w:rPr>
        <w:t>giving the</w:t>
      </w:r>
      <w:r w:rsidR="00CD7D10" w:rsidRPr="00922E6C">
        <w:rPr>
          <w:rFonts w:cstheme="minorHAnsi"/>
          <w:szCs w:val="24"/>
          <w:shd w:val="clear" w:color="auto" w:fill="FFFFFF"/>
        </w:rPr>
        <w:t xml:space="preserve"> teacher </w:t>
      </w:r>
      <w:r w:rsidR="000F0E15" w:rsidRPr="00922E6C">
        <w:rPr>
          <w:rFonts w:cstheme="minorHAnsi"/>
          <w:szCs w:val="24"/>
          <w:shd w:val="clear" w:color="auto" w:fill="FFFFFF"/>
        </w:rPr>
        <w:t>every</w:t>
      </w:r>
      <w:r w:rsidR="00CD7D10" w:rsidRPr="00922E6C">
        <w:rPr>
          <w:rFonts w:cstheme="minorHAnsi"/>
          <w:szCs w:val="24"/>
          <w:shd w:val="clear" w:color="auto" w:fill="FFFFFF"/>
        </w:rPr>
        <w:t xml:space="preserve"> opportunity to interlink</w:t>
      </w:r>
      <w:r w:rsidR="000F0E15" w:rsidRPr="00922E6C">
        <w:rPr>
          <w:rFonts w:cstheme="minorHAnsi"/>
          <w:szCs w:val="24"/>
          <w:shd w:val="clear" w:color="auto" w:fill="FFFFFF"/>
        </w:rPr>
        <w:t xml:space="preserve"> common themes across lessons and make ‘school-level decisions’ within their </w:t>
      </w:r>
      <w:r w:rsidR="00F53854" w:rsidRPr="00922E6C">
        <w:rPr>
          <w:rFonts w:cstheme="minorHAnsi"/>
          <w:szCs w:val="24"/>
          <w:shd w:val="clear" w:color="auto" w:fill="FFFFFF"/>
        </w:rPr>
        <w:t>interpretation</w:t>
      </w:r>
      <w:r w:rsidR="000F0E15" w:rsidRPr="00922E6C">
        <w:rPr>
          <w:rFonts w:cstheme="minorHAnsi"/>
          <w:szCs w:val="24"/>
          <w:shd w:val="clear" w:color="auto" w:fill="FFFFFF"/>
        </w:rPr>
        <w:t xml:space="preserve"> of the framework (Welsh Government, 2019).</w:t>
      </w:r>
      <w:r w:rsidR="00F53854" w:rsidRPr="00922E6C">
        <w:rPr>
          <w:rFonts w:cstheme="minorHAnsi"/>
          <w:szCs w:val="24"/>
          <w:shd w:val="clear" w:color="auto" w:fill="FFFFFF"/>
        </w:rPr>
        <w:t xml:space="preserve"> White (1973) disputes that without establishing a clear ground of subject specific disciplines, then teaching will be deemed pointless with no commitment to boundaries. In line with this argument Adler and Mayer (1958) that subject-based curricula distinguish professional aims and with a definitive outcome.</w:t>
      </w:r>
      <w:r w:rsidR="00F8291D" w:rsidRPr="00922E6C">
        <w:rPr>
          <w:rFonts w:cstheme="minorHAnsi"/>
          <w:szCs w:val="24"/>
          <w:shd w:val="clear" w:color="auto" w:fill="FFFFFF"/>
        </w:rPr>
        <w:t xml:space="preserve"> England have the opportunity within each key stage to introduce content at earlier stages if the learners are capable in forms of assessment (DfE, 2013).</w:t>
      </w:r>
      <w:r w:rsidR="003829F7" w:rsidRPr="00922E6C">
        <w:rPr>
          <w:rFonts w:cstheme="minorHAnsi"/>
          <w:szCs w:val="24"/>
          <w:shd w:val="clear" w:color="auto" w:fill="FFFFFF"/>
        </w:rPr>
        <w:t xml:space="preserve"> Form of assessment will be present throughout the new curriculum, although, progression of learning is measured through what matters statements in progression steps of learning, demonstrating cross over between the progressions.</w:t>
      </w:r>
      <w:r w:rsidR="00F8291D" w:rsidRPr="00922E6C">
        <w:rPr>
          <w:rFonts w:cstheme="minorHAnsi"/>
          <w:szCs w:val="24"/>
          <w:shd w:val="clear" w:color="auto" w:fill="FFFFFF"/>
        </w:rPr>
        <w:t xml:space="preserve"> There are concerns that the six areas of learning may dissolve core content as the curriculum will become disjointed and lack coherence (Preistley &amp; Minty, 2013)</w:t>
      </w:r>
      <w:r w:rsidR="00CE5C12" w:rsidRPr="00922E6C">
        <w:rPr>
          <w:rFonts w:cstheme="minorHAnsi"/>
          <w:szCs w:val="24"/>
          <w:shd w:val="clear" w:color="auto" w:fill="FFFFFF"/>
        </w:rPr>
        <w:t xml:space="preserve">.  Due to the new curriculum for Wales not </w:t>
      </w:r>
      <w:r w:rsidR="00FB5FBF" w:rsidRPr="00922E6C">
        <w:rPr>
          <w:rFonts w:cstheme="minorHAnsi"/>
          <w:szCs w:val="24"/>
          <w:shd w:val="clear" w:color="auto" w:fill="FFFFFF"/>
        </w:rPr>
        <w:t xml:space="preserve">yet taking place, there are few case studies implementing the theory into practice, therefore, further advocation of the new curriculum needs to be pursued to enhance </w:t>
      </w:r>
      <w:r w:rsidR="00146BBB" w:rsidRPr="00922E6C">
        <w:rPr>
          <w:rFonts w:cstheme="minorHAnsi"/>
          <w:szCs w:val="24"/>
          <w:shd w:val="clear" w:color="auto" w:fill="FFFFFF"/>
        </w:rPr>
        <w:t xml:space="preserve">experience and </w:t>
      </w:r>
      <w:r w:rsidR="00FB5FBF" w:rsidRPr="00922E6C">
        <w:rPr>
          <w:rFonts w:cstheme="minorHAnsi"/>
          <w:szCs w:val="24"/>
          <w:shd w:val="clear" w:color="auto" w:fill="FFFFFF"/>
        </w:rPr>
        <w:t xml:space="preserve">development within </w:t>
      </w:r>
      <w:r w:rsidR="00146BBB" w:rsidRPr="00922E6C">
        <w:rPr>
          <w:rFonts w:cstheme="minorHAnsi"/>
          <w:szCs w:val="24"/>
          <w:shd w:val="clear" w:color="auto" w:fill="FFFFFF"/>
        </w:rPr>
        <w:t>the four purposes</w:t>
      </w:r>
      <w:r w:rsidR="00FB5FBF" w:rsidRPr="00922E6C">
        <w:rPr>
          <w:rFonts w:cstheme="minorHAnsi"/>
          <w:szCs w:val="24"/>
          <w:shd w:val="clear" w:color="auto" w:fill="FFFFFF"/>
        </w:rPr>
        <w:t>.</w:t>
      </w:r>
      <w:r w:rsidR="00A64F27">
        <w:rPr>
          <w:rFonts w:cstheme="minorHAnsi"/>
          <w:szCs w:val="24"/>
          <w:shd w:val="clear" w:color="auto" w:fill="FFFFFF"/>
        </w:rPr>
        <w:t xml:space="preserve"> The teachers role needs to remove any preconceived perceptions in relation to internal beliefs, preventing distortion of teaching content.</w:t>
      </w:r>
    </w:p>
    <w:p w14:paraId="308928D9" w14:textId="77777777" w:rsidR="00146BBB" w:rsidRPr="00922E6C" w:rsidRDefault="00146BBB" w:rsidP="00922E6C">
      <w:pPr>
        <w:jc w:val="both"/>
        <w:rPr>
          <w:rFonts w:cstheme="minorHAnsi"/>
          <w:szCs w:val="24"/>
        </w:rPr>
      </w:pPr>
    </w:p>
    <w:p w14:paraId="37C809AE" w14:textId="0B45EF4F" w:rsidR="00720FC2" w:rsidRPr="00922E6C" w:rsidRDefault="00720FC2" w:rsidP="00922E6C">
      <w:pPr>
        <w:jc w:val="both"/>
        <w:rPr>
          <w:rFonts w:cstheme="minorHAnsi"/>
          <w:b/>
          <w:bCs/>
          <w:szCs w:val="24"/>
        </w:rPr>
      </w:pPr>
      <w:r w:rsidRPr="00922E6C">
        <w:rPr>
          <w:rFonts w:cstheme="minorHAnsi"/>
          <w:b/>
          <w:bCs/>
          <w:szCs w:val="24"/>
        </w:rPr>
        <w:t>T</w:t>
      </w:r>
      <w:r w:rsidR="003829F7" w:rsidRPr="00922E6C">
        <w:rPr>
          <w:rFonts w:cstheme="minorHAnsi"/>
          <w:b/>
          <w:bCs/>
          <w:szCs w:val="24"/>
        </w:rPr>
        <w:t>he Teachers’</w:t>
      </w:r>
      <w:r w:rsidRPr="00922E6C">
        <w:rPr>
          <w:rFonts w:cstheme="minorHAnsi"/>
          <w:b/>
          <w:bCs/>
          <w:szCs w:val="24"/>
        </w:rPr>
        <w:t xml:space="preserve"> role</w:t>
      </w:r>
    </w:p>
    <w:p w14:paraId="34A73AA1" w14:textId="4E257A55" w:rsidR="009334A1" w:rsidRPr="00922E6C" w:rsidRDefault="00F0274B" w:rsidP="00922E6C">
      <w:pPr>
        <w:jc w:val="both"/>
        <w:rPr>
          <w:rFonts w:cstheme="minorHAnsi"/>
          <w:szCs w:val="24"/>
          <w:shd w:val="clear" w:color="auto" w:fill="FFFFFF"/>
        </w:rPr>
      </w:pPr>
      <w:r w:rsidRPr="00922E6C">
        <w:rPr>
          <w:rFonts w:cstheme="minorHAnsi"/>
          <w:szCs w:val="24"/>
        </w:rPr>
        <w:t>As an educator it is our responsibility to continue our professional development by reflecting on our practice and follow the teaching standards put in place that provide guidance and support to uphold our professional duty</w:t>
      </w:r>
      <w:r w:rsidR="00AF5A9D" w:rsidRPr="00922E6C">
        <w:rPr>
          <w:rFonts w:cstheme="minorHAnsi"/>
          <w:szCs w:val="24"/>
        </w:rPr>
        <w:t xml:space="preserve"> (Welsh Government, 2019)</w:t>
      </w:r>
      <w:r w:rsidRPr="00922E6C">
        <w:rPr>
          <w:rFonts w:cstheme="minorHAnsi"/>
          <w:szCs w:val="24"/>
        </w:rPr>
        <w:t>.</w:t>
      </w:r>
      <w:r w:rsidR="00501633" w:rsidRPr="00922E6C">
        <w:rPr>
          <w:rFonts w:cstheme="minorHAnsi"/>
          <w:szCs w:val="24"/>
        </w:rPr>
        <w:t xml:space="preserve"> </w:t>
      </w:r>
      <w:r w:rsidR="00B31841" w:rsidRPr="00922E6C">
        <w:rPr>
          <w:rFonts w:cstheme="minorHAnsi"/>
          <w:szCs w:val="24"/>
        </w:rPr>
        <w:t>Teacher</w:t>
      </w:r>
      <w:r w:rsidR="00B31841">
        <w:rPr>
          <w:rFonts w:cstheme="minorHAnsi"/>
          <w:szCs w:val="24"/>
        </w:rPr>
        <w:t>s</w:t>
      </w:r>
      <w:r w:rsidR="00501633" w:rsidRPr="00922E6C">
        <w:rPr>
          <w:rFonts w:cstheme="minorHAnsi"/>
          <w:szCs w:val="24"/>
        </w:rPr>
        <w:t xml:space="preserve"> impart knowledge through innovative and creative methods, the new curriculum driven by the four purposes will depend </w:t>
      </w:r>
      <w:r w:rsidR="00501633" w:rsidRPr="00922E6C">
        <w:rPr>
          <w:rFonts w:cstheme="minorHAnsi"/>
          <w:szCs w:val="24"/>
        </w:rPr>
        <w:lastRenderedPageBreak/>
        <w:t xml:space="preserve">solely on the </w:t>
      </w:r>
      <w:r w:rsidR="00B31841" w:rsidRPr="00922E6C">
        <w:rPr>
          <w:rFonts w:cstheme="minorHAnsi"/>
          <w:szCs w:val="24"/>
        </w:rPr>
        <w:t>teacher’s</w:t>
      </w:r>
      <w:r w:rsidR="00501633" w:rsidRPr="00922E6C">
        <w:rPr>
          <w:rFonts w:cstheme="minorHAnsi"/>
          <w:szCs w:val="24"/>
        </w:rPr>
        <w:t xml:space="preserve"> autonomy.</w:t>
      </w:r>
      <w:r w:rsidRPr="00922E6C">
        <w:rPr>
          <w:rFonts w:cstheme="minorHAnsi"/>
          <w:szCs w:val="24"/>
        </w:rPr>
        <w:t xml:space="preserve"> It is believed that teachers are the pinnacle of education, suggesting that if we remove the teacher from the puzzle, then we will be missing our most valid piece (Hay McBer, 2000; OECD, 2005; Sammons &amp; Bakkum, 2012; Stéger,2014). </w:t>
      </w:r>
      <w:r w:rsidRPr="00922E6C">
        <w:rPr>
          <w:rFonts w:cstheme="minorHAnsi"/>
        </w:rPr>
        <w:t>Marland (2002)</w:t>
      </w:r>
      <w:r w:rsidR="00053E73" w:rsidRPr="00922E6C">
        <w:rPr>
          <w:rFonts w:cstheme="minorHAnsi"/>
        </w:rPr>
        <w:t xml:space="preserve"> eludes that practitioners possess a ‘gift that we have for pupils’ bestowing our knowledge upon the learner.</w:t>
      </w:r>
      <w:r w:rsidRPr="00922E6C">
        <w:rPr>
          <w:rFonts w:cstheme="minorHAnsi"/>
        </w:rPr>
        <w:t xml:space="preserve"> </w:t>
      </w:r>
      <w:r w:rsidR="00053E73" w:rsidRPr="00922E6C">
        <w:rPr>
          <w:rFonts w:cstheme="minorHAnsi"/>
        </w:rPr>
        <w:t>The new curriculum presents teachers with the opportunity and support to ‘enjoy the autonomy and make school-level decisions within the framework’ enabling autonomy which could lead to higher job satisfaction (Welsh Government, 2019 pg.6).</w:t>
      </w:r>
      <w:r w:rsidR="005E142C" w:rsidRPr="00922E6C">
        <w:rPr>
          <w:rFonts w:cstheme="minorHAnsi"/>
        </w:rPr>
        <w:t xml:space="preserve"> In line with this argument, research indicates with increased curriculum autonomy, comes decreased stress (</w:t>
      </w:r>
      <w:r w:rsidR="005E142C" w:rsidRPr="00922E6C">
        <w:rPr>
          <w:rFonts w:cstheme="minorHAnsi"/>
          <w:szCs w:val="24"/>
        </w:rPr>
        <w:t xml:space="preserve">Skaalvik, 2014; </w:t>
      </w:r>
      <w:r w:rsidR="005E142C" w:rsidRPr="00922E6C">
        <w:rPr>
          <w:rFonts w:cstheme="minorHAnsi"/>
        </w:rPr>
        <w:t>Pearson and Moomaw 2005)</w:t>
      </w:r>
      <w:r w:rsidR="008A05E9" w:rsidRPr="00922E6C">
        <w:rPr>
          <w:rFonts w:cstheme="minorHAnsi"/>
          <w:szCs w:val="24"/>
        </w:rPr>
        <w:t xml:space="preserve">. The teacher has the ability to eradicate ‘the one style fits all’ for learners and will have the flexibility to personalise learning once more with </w:t>
      </w:r>
      <w:r w:rsidR="005503B6" w:rsidRPr="00922E6C">
        <w:rPr>
          <w:rFonts w:cstheme="minorHAnsi"/>
          <w:szCs w:val="24"/>
        </w:rPr>
        <w:t>little</w:t>
      </w:r>
      <w:r w:rsidR="008A05E9" w:rsidRPr="00922E6C">
        <w:rPr>
          <w:rFonts w:cstheme="minorHAnsi"/>
          <w:szCs w:val="24"/>
        </w:rPr>
        <w:t xml:space="preserve"> pressures surrounding results </w:t>
      </w:r>
      <w:r w:rsidR="005E142C" w:rsidRPr="00922E6C">
        <w:rPr>
          <w:rFonts w:cstheme="minorHAnsi"/>
          <w:szCs w:val="24"/>
        </w:rPr>
        <w:t>(Kuiper &amp; Berkvens, 2013; Law et al., 2010)</w:t>
      </w:r>
      <w:r w:rsidR="008A05E9" w:rsidRPr="00922E6C">
        <w:rPr>
          <w:rFonts w:cstheme="minorHAnsi"/>
          <w:szCs w:val="24"/>
        </w:rPr>
        <w:t>. The shift in curriculum will restore professional judgement and discretion within the classroom, allowing humanistic factors take presidency when preparing the children for learning, rather than the regimental, outdated, business-like curriculum (</w:t>
      </w:r>
      <w:r w:rsidR="001261C6" w:rsidRPr="00922E6C">
        <w:rPr>
          <w:rFonts w:cstheme="minorHAnsi"/>
          <w:szCs w:val="24"/>
        </w:rPr>
        <w:t>Priestley et al.,2012; Wilkins, 2011;</w:t>
      </w:r>
      <w:r w:rsidR="001261C6" w:rsidRPr="00922E6C">
        <w:rPr>
          <w:rFonts w:cstheme="minorHAnsi"/>
          <w:szCs w:val="24"/>
          <w:shd w:val="clear" w:color="auto" w:fill="FFFFFF"/>
        </w:rPr>
        <w:t xml:space="preserve"> </w:t>
      </w:r>
      <w:r w:rsidR="001261C6" w:rsidRPr="00922E6C">
        <w:rPr>
          <w:rFonts w:cstheme="minorHAnsi"/>
          <w:szCs w:val="24"/>
        </w:rPr>
        <w:t xml:space="preserve">Keddie, Mills, &amp; Pendergast, 2011; </w:t>
      </w:r>
      <w:r w:rsidR="008A05E9" w:rsidRPr="00922E6C">
        <w:rPr>
          <w:rFonts w:cstheme="minorHAnsi"/>
          <w:szCs w:val="24"/>
        </w:rPr>
        <w:t xml:space="preserve">Cowie, Taylor &amp;Croxford, 2007; </w:t>
      </w:r>
      <w:r w:rsidR="001261C6" w:rsidRPr="00922E6C">
        <w:rPr>
          <w:rFonts w:cstheme="minorHAnsi"/>
          <w:szCs w:val="24"/>
        </w:rPr>
        <w:t>Ball, 2003).</w:t>
      </w:r>
      <w:r w:rsidR="001261C6" w:rsidRPr="00922E6C">
        <w:rPr>
          <w:rFonts w:cstheme="minorHAnsi"/>
          <w:szCs w:val="24"/>
          <w:shd w:val="clear" w:color="auto" w:fill="FFFFFF"/>
        </w:rPr>
        <w:t xml:space="preserve"> Opposing theorists suggest beliefs are engrained throughout all levels of life, influencing your actions from preconceived dispositions could further implicate the delivery of the four purposes (Barnes, 2018; Booth, 2005).</w:t>
      </w:r>
      <w:r w:rsidR="001261C6" w:rsidRPr="00922E6C">
        <w:rPr>
          <w:rFonts w:cstheme="minorHAnsi"/>
          <w:szCs w:val="24"/>
        </w:rPr>
        <w:t xml:space="preserve"> Programme for International Student Assessment (PISA) corroborates ‘both autonomy and accountability’ are affiliated with surpassing student performance (OECD, 2016)</w:t>
      </w:r>
      <w:r w:rsidR="005503B6" w:rsidRPr="00922E6C">
        <w:rPr>
          <w:rFonts w:cstheme="minorHAnsi"/>
          <w:szCs w:val="24"/>
        </w:rPr>
        <w:t xml:space="preserve">, however, performance may not be achieved </w:t>
      </w:r>
      <w:r w:rsidR="00A64F27">
        <w:rPr>
          <w:rFonts w:cstheme="minorHAnsi"/>
          <w:szCs w:val="24"/>
        </w:rPr>
        <w:t xml:space="preserve">as it is </w:t>
      </w:r>
      <w:r w:rsidR="005503B6" w:rsidRPr="00922E6C">
        <w:rPr>
          <w:rFonts w:cstheme="minorHAnsi"/>
          <w:szCs w:val="24"/>
        </w:rPr>
        <w:t xml:space="preserve">fully reliant on the </w:t>
      </w:r>
      <w:r w:rsidR="00A64F27" w:rsidRPr="00922E6C">
        <w:rPr>
          <w:rFonts w:cstheme="minorHAnsi"/>
          <w:szCs w:val="24"/>
        </w:rPr>
        <w:t>educator’s</w:t>
      </w:r>
      <w:r w:rsidR="005503B6" w:rsidRPr="00922E6C">
        <w:rPr>
          <w:rFonts w:cstheme="minorHAnsi"/>
          <w:szCs w:val="24"/>
        </w:rPr>
        <w:t xml:space="preserve"> course of action</w:t>
      </w:r>
      <w:r w:rsidR="001261C6" w:rsidRPr="00922E6C">
        <w:rPr>
          <w:rFonts w:cstheme="minorHAnsi"/>
          <w:szCs w:val="24"/>
        </w:rPr>
        <w:t>.</w:t>
      </w:r>
      <w:r w:rsidR="005503B6" w:rsidRPr="00922E6C">
        <w:rPr>
          <w:rFonts w:cstheme="minorHAnsi"/>
          <w:szCs w:val="24"/>
        </w:rPr>
        <w:t xml:space="preserve"> Teachers have potential to disjoint framework due to self-efficacy and organisation (</w:t>
      </w:r>
      <w:r w:rsidR="005503B6" w:rsidRPr="00922E6C">
        <w:rPr>
          <w:rFonts w:cstheme="minorHAnsi"/>
          <w:szCs w:val="24"/>
          <w:shd w:val="clear" w:color="auto" w:fill="FFFFFF"/>
        </w:rPr>
        <w:t>Pyhältö et al 2018; Bandura, 1977). As a trainee teacher familiaring myself with the new curriculu</w:t>
      </w:r>
      <w:r w:rsidR="008F36D8" w:rsidRPr="00922E6C">
        <w:rPr>
          <w:rFonts w:cstheme="minorHAnsi"/>
          <w:szCs w:val="24"/>
          <w:shd w:val="clear" w:color="auto" w:fill="FFFFFF"/>
        </w:rPr>
        <w:t xml:space="preserve">m, </w:t>
      </w:r>
      <w:r w:rsidR="00D339C6" w:rsidRPr="00922E6C">
        <w:rPr>
          <w:rFonts w:cstheme="minorHAnsi"/>
          <w:szCs w:val="24"/>
          <w:shd w:val="clear" w:color="auto" w:fill="FFFFFF"/>
        </w:rPr>
        <w:t>it is</w:t>
      </w:r>
      <w:r w:rsidR="008F36D8" w:rsidRPr="00922E6C">
        <w:rPr>
          <w:rFonts w:cstheme="minorHAnsi"/>
          <w:szCs w:val="24"/>
          <w:shd w:val="clear" w:color="auto" w:fill="FFFFFF"/>
        </w:rPr>
        <w:t xml:space="preserve"> proving difficult to </w:t>
      </w:r>
      <w:r w:rsidR="00922E6C">
        <w:rPr>
          <w:rFonts w:cstheme="minorHAnsi"/>
          <w:szCs w:val="24"/>
          <w:shd w:val="clear" w:color="auto" w:fill="FFFFFF"/>
        </w:rPr>
        <w:t>comprehend</w:t>
      </w:r>
      <w:r w:rsidR="008F36D8" w:rsidRPr="00922E6C">
        <w:rPr>
          <w:rFonts w:cstheme="minorHAnsi"/>
          <w:szCs w:val="24"/>
          <w:shd w:val="clear" w:color="auto" w:fill="FFFFFF"/>
        </w:rPr>
        <w:t xml:space="preserve"> the variety of elements within the strands of learning and comparing them against the what matters statements, in line with the progression step. Framework is engrained within the more experienced teacher, which enables them to have at hand topics that have been taught throughout the years. Autonomy is highly sought after which becomes more beneficial with experience, however, as a trainee I find that I am relating back to the 2008 framework to ensure criteria is being met whilst attempting to fulfill the four purposes. Highlighting experience as a key tool, idiosyncratic choices can still be made in relation to taught content </w:t>
      </w:r>
      <w:r w:rsidR="008F36D8" w:rsidRPr="00922E6C">
        <w:rPr>
          <w:rFonts w:cstheme="minorHAnsi"/>
          <w:szCs w:val="24"/>
        </w:rPr>
        <w:t>(Sinnema &amp; Aitken, 2013).</w:t>
      </w:r>
      <w:r w:rsidR="009334A1" w:rsidRPr="00922E6C">
        <w:rPr>
          <w:rFonts w:cstheme="minorHAnsi"/>
          <w:szCs w:val="24"/>
        </w:rPr>
        <w:t xml:space="preserve"> Supporting literature implies that issues with </w:t>
      </w:r>
      <w:r w:rsidR="00A64F27">
        <w:rPr>
          <w:rFonts w:cstheme="minorHAnsi"/>
          <w:szCs w:val="24"/>
        </w:rPr>
        <w:t xml:space="preserve">involvement and </w:t>
      </w:r>
      <w:r w:rsidR="009334A1" w:rsidRPr="00922E6C">
        <w:rPr>
          <w:rFonts w:cstheme="minorHAnsi"/>
          <w:szCs w:val="24"/>
        </w:rPr>
        <w:t xml:space="preserve">access regarding the </w:t>
      </w:r>
      <w:r w:rsidR="009334A1" w:rsidRPr="00922E6C">
        <w:rPr>
          <w:rFonts w:cstheme="minorHAnsi"/>
          <w:szCs w:val="24"/>
        </w:rPr>
        <w:lastRenderedPageBreak/>
        <w:t>framework specification, posing the important question</w:t>
      </w:r>
      <w:r w:rsidR="00A64F27">
        <w:rPr>
          <w:rFonts w:cstheme="minorHAnsi"/>
          <w:szCs w:val="24"/>
        </w:rPr>
        <w:t xml:space="preserve"> that</w:t>
      </w:r>
      <w:r w:rsidR="009334A1" w:rsidRPr="00922E6C">
        <w:rPr>
          <w:rFonts w:cstheme="minorHAnsi"/>
          <w:szCs w:val="24"/>
        </w:rPr>
        <w:t xml:space="preserve"> if the</w:t>
      </w:r>
      <w:r w:rsidR="00E64FC4">
        <w:rPr>
          <w:rFonts w:cstheme="minorHAnsi"/>
          <w:szCs w:val="24"/>
        </w:rPr>
        <w:t xml:space="preserve"> teacher</w:t>
      </w:r>
      <w:r w:rsidR="009334A1" w:rsidRPr="00922E6C">
        <w:rPr>
          <w:rFonts w:cstheme="minorHAnsi"/>
          <w:szCs w:val="24"/>
        </w:rPr>
        <w:t xml:space="preserve"> </w:t>
      </w:r>
      <w:r w:rsidR="00E64FC4">
        <w:rPr>
          <w:rFonts w:cstheme="minorHAnsi"/>
          <w:szCs w:val="24"/>
        </w:rPr>
        <w:t xml:space="preserve">was </w:t>
      </w:r>
      <w:r w:rsidR="009334A1" w:rsidRPr="00922E6C">
        <w:rPr>
          <w:rFonts w:cstheme="minorHAnsi"/>
          <w:szCs w:val="24"/>
        </w:rPr>
        <w:t>to implement the new curriculum, is there no right or wrong answer in the</w:t>
      </w:r>
      <w:r w:rsidR="00A64F27">
        <w:rPr>
          <w:rFonts w:cstheme="minorHAnsi"/>
          <w:szCs w:val="24"/>
        </w:rPr>
        <w:t>ir</w:t>
      </w:r>
      <w:r w:rsidR="009334A1" w:rsidRPr="00922E6C">
        <w:rPr>
          <w:rFonts w:cstheme="minorHAnsi"/>
          <w:szCs w:val="24"/>
        </w:rPr>
        <w:t xml:space="preserve"> design? </w:t>
      </w:r>
      <w:r w:rsidR="009334A1" w:rsidRPr="00922E6C">
        <w:rPr>
          <w:rFonts w:cstheme="minorHAnsi"/>
          <w:szCs w:val="24"/>
          <w:shd w:val="clear" w:color="auto" w:fill="FFFFFF"/>
        </w:rPr>
        <w:t>(Nieveen &amp; Kuiper, 2012).</w:t>
      </w:r>
    </w:p>
    <w:p w14:paraId="389DB9AB" w14:textId="77777777" w:rsidR="00303F21" w:rsidRPr="00922E6C" w:rsidRDefault="00303F21" w:rsidP="00922E6C">
      <w:pPr>
        <w:jc w:val="both"/>
        <w:rPr>
          <w:rFonts w:cstheme="minorHAnsi"/>
          <w:szCs w:val="24"/>
        </w:rPr>
      </w:pPr>
    </w:p>
    <w:p w14:paraId="6AF2B289" w14:textId="373C9991" w:rsidR="00811007" w:rsidRPr="00922E6C" w:rsidRDefault="00811007" w:rsidP="00922E6C">
      <w:pPr>
        <w:pStyle w:val="Heading2"/>
        <w:jc w:val="both"/>
        <w:rPr>
          <w:rFonts w:asciiTheme="minorHAnsi" w:hAnsiTheme="minorHAnsi" w:cstheme="minorHAnsi"/>
          <w:color w:val="auto"/>
          <w:sz w:val="24"/>
          <w:szCs w:val="24"/>
        </w:rPr>
      </w:pPr>
      <w:r w:rsidRPr="00922E6C">
        <w:rPr>
          <w:rFonts w:asciiTheme="minorHAnsi" w:hAnsiTheme="minorHAnsi" w:cstheme="minorHAnsi"/>
          <w:color w:val="auto"/>
          <w:sz w:val="24"/>
          <w:szCs w:val="24"/>
        </w:rPr>
        <w:t>Conclusion</w:t>
      </w:r>
    </w:p>
    <w:p w14:paraId="72FAA5E9" w14:textId="26E9B014" w:rsidR="00811007" w:rsidRDefault="006C7979" w:rsidP="00B31841">
      <w:pPr>
        <w:tabs>
          <w:tab w:val="left" w:pos="7020"/>
        </w:tabs>
        <w:jc w:val="both"/>
        <w:rPr>
          <w:rFonts w:cstheme="minorHAnsi"/>
          <w:szCs w:val="24"/>
        </w:rPr>
      </w:pPr>
      <w:r>
        <w:rPr>
          <w:rFonts w:cstheme="minorHAnsi"/>
          <w:szCs w:val="24"/>
        </w:rPr>
        <w:t>Following an extensive literature review current points have been established regarding the curriculum refor</w:t>
      </w:r>
      <w:r w:rsidR="000921F6">
        <w:rPr>
          <w:rFonts w:cstheme="minorHAnsi"/>
          <w:szCs w:val="24"/>
        </w:rPr>
        <w:t>m, studies corroborate the desire of teacher autonomy in relation to the four purpose</w:t>
      </w:r>
      <w:r w:rsidR="003A6AE4">
        <w:rPr>
          <w:rFonts w:cstheme="minorHAnsi"/>
          <w:szCs w:val="24"/>
        </w:rPr>
        <w:t>s</w:t>
      </w:r>
      <w:r w:rsidR="000921F6">
        <w:rPr>
          <w:rFonts w:cstheme="minorHAnsi"/>
          <w:szCs w:val="24"/>
        </w:rPr>
        <w:t>, however, it is evident that this will lack coherence due to no definitive boundaries or expectations outlined for the teacher</w:t>
      </w:r>
      <w:r w:rsidR="00DE3A21">
        <w:rPr>
          <w:rFonts w:cstheme="minorHAnsi"/>
          <w:szCs w:val="24"/>
        </w:rPr>
        <w:t xml:space="preserve"> regarding criteria</w:t>
      </w:r>
      <w:r w:rsidR="003A6AE4">
        <w:rPr>
          <w:rFonts w:cstheme="minorHAnsi"/>
          <w:szCs w:val="24"/>
        </w:rPr>
        <w:t xml:space="preserve"> (</w:t>
      </w:r>
      <w:r w:rsidR="003A6AE4">
        <w:rPr>
          <w:rFonts w:cstheme="minorHAnsi"/>
          <w:szCs w:val="24"/>
          <w:shd w:val="clear" w:color="auto" w:fill="FFFFFF"/>
        </w:rPr>
        <w:t>White, 1973</w:t>
      </w:r>
      <w:r w:rsidR="003A6AE4">
        <w:rPr>
          <w:rFonts w:cstheme="minorHAnsi"/>
          <w:szCs w:val="24"/>
          <w:shd w:val="clear" w:color="auto" w:fill="FFFFFF"/>
        </w:rPr>
        <w:t xml:space="preserve">; </w:t>
      </w:r>
      <w:r w:rsidR="003A6AE4" w:rsidRPr="00922E6C">
        <w:rPr>
          <w:rFonts w:cstheme="minorHAnsi"/>
          <w:szCs w:val="24"/>
          <w:shd w:val="clear" w:color="auto" w:fill="FFFFFF"/>
        </w:rPr>
        <w:t>Adler and Mayer 1958</w:t>
      </w:r>
      <w:r w:rsidR="003A6AE4">
        <w:rPr>
          <w:rFonts w:cstheme="minorHAnsi"/>
          <w:szCs w:val="24"/>
          <w:shd w:val="clear" w:color="auto" w:fill="FFFFFF"/>
        </w:rPr>
        <w:t>)</w:t>
      </w:r>
      <w:r w:rsidR="00067EFB">
        <w:rPr>
          <w:rFonts w:cstheme="minorHAnsi"/>
          <w:szCs w:val="24"/>
          <w:shd w:val="clear" w:color="auto" w:fill="FFFFFF"/>
        </w:rPr>
        <w:t>.</w:t>
      </w:r>
      <w:r w:rsidR="003A6AE4" w:rsidRPr="00922E6C">
        <w:rPr>
          <w:rFonts w:cstheme="minorHAnsi"/>
          <w:szCs w:val="24"/>
          <w:shd w:val="clear" w:color="auto" w:fill="FFFFFF"/>
        </w:rPr>
        <w:t xml:space="preserve"> </w:t>
      </w:r>
      <w:r w:rsidR="000921F6">
        <w:rPr>
          <w:rFonts w:cstheme="minorHAnsi"/>
          <w:szCs w:val="24"/>
        </w:rPr>
        <w:t xml:space="preserve"> In conclusion, there would need to be more clarity in publication of future documents, stating the requirements if one purpose is to be met in comparison to the four throughout the planning, as the four purposes are seen to develop the learner holistically with these aims being embedded throughout the curriculum, rather than</w:t>
      </w:r>
      <w:r w:rsidR="003A6AE4">
        <w:rPr>
          <w:rFonts w:cstheme="minorHAnsi"/>
          <w:szCs w:val="24"/>
        </w:rPr>
        <w:t xml:space="preserve"> viewed</w:t>
      </w:r>
      <w:r w:rsidR="000921F6">
        <w:rPr>
          <w:rFonts w:cstheme="minorHAnsi"/>
          <w:szCs w:val="24"/>
        </w:rPr>
        <w:t xml:space="preserve"> </w:t>
      </w:r>
      <w:r w:rsidR="0002168D">
        <w:rPr>
          <w:rFonts w:cstheme="minorHAnsi"/>
          <w:szCs w:val="24"/>
        </w:rPr>
        <w:t xml:space="preserve">as </w:t>
      </w:r>
      <w:r w:rsidR="000921F6">
        <w:rPr>
          <w:rFonts w:cstheme="minorHAnsi"/>
          <w:szCs w:val="24"/>
        </w:rPr>
        <w:t xml:space="preserve">an end goal. </w:t>
      </w:r>
      <w:r w:rsidR="003A6AE4">
        <w:rPr>
          <w:rFonts w:cstheme="minorHAnsi"/>
          <w:szCs w:val="24"/>
        </w:rPr>
        <w:t>Further research could d</w:t>
      </w:r>
      <w:r w:rsidR="005D5A25">
        <w:rPr>
          <w:rFonts w:cstheme="minorHAnsi"/>
          <w:szCs w:val="24"/>
        </w:rPr>
        <w:t xml:space="preserve">ivulge </w:t>
      </w:r>
      <w:r w:rsidR="003A6AE4">
        <w:rPr>
          <w:rFonts w:cstheme="minorHAnsi"/>
          <w:szCs w:val="24"/>
        </w:rPr>
        <w:t xml:space="preserve">the placement of the four purposes structured within the curriculum. </w:t>
      </w:r>
      <w:r w:rsidR="000921F6">
        <w:rPr>
          <w:rFonts w:cstheme="minorHAnsi"/>
          <w:szCs w:val="24"/>
        </w:rPr>
        <w:t xml:space="preserve">Curriculum for Wales is set to take place in surrounding areas by 2022, whilst continuing my teacher training the knowledge that I have acquired regarding the new curriculum will inform future planning and practice. Although my final placement school is yet to integrate the new curriculum, I will </w:t>
      </w:r>
      <w:r w:rsidR="003A6AE4">
        <w:rPr>
          <w:rFonts w:cstheme="minorHAnsi"/>
          <w:szCs w:val="24"/>
        </w:rPr>
        <w:t>encompass the values of the four purposes throughout my plans during discrete teaching opportunities for all learners. It is evident that the four purposes focus on application of knowledge, rather than solely taught knowledge, pursuing creative and innovative techniques to engage the learner in an inclusive environment</w:t>
      </w:r>
      <w:r w:rsidR="006E2545">
        <w:rPr>
          <w:rFonts w:cstheme="minorHAnsi"/>
          <w:szCs w:val="24"/>
        </w:rPr>
        <w:t xml:space="preserve"> takes precedence</w:t>
      </w:r>
      <w:r w:rsidR="003A6AE4">
        <w:rPr>
          <w:rFonts w:cstheme="minorHAnsi"/>
          <w:szCs w:val="24"/>
        </w:rPr>
        <w:t>.</w:t>
      </w:r>
    </w:p>
    <w:p w14:paraId="59F3E6EB" w14:textId="7CEEA7D3" w:rsidR="003A6AE4" w:rsidRDefault="003A6AE4" w:rsidP="00B31841">
      <w:pPr>
        <w:tabs>
          <w:tab w:val="left" w:pos="7020"/>
        </w:tabs>
        <w:jc w:val="both"/>
        <w:rPr>
          <w:rFonts w:cstheme="minorHAnsi"/>
          <w:szCs w:val="24"/>
        </w:rPr>
      </w:pPr>
    </w:p>
    <w:p w14:paraId="6AA93D6A" w14:textId="79A5FDC5" w:rsidR="003A6AE4" w:rsidRDefault="003A6AE4" w:rsidP="00B31841">
      <w:pPr>
        <w:tabs>
          <w:tab w:val="left" w:pos="7020"/>
        </w:tabs>
        <w:jc w:val="both"/>
        <w:rPr>
          <w:rFonts w:cstheme="minorHAnsi"/>
          <w:szCs w:val="24"/>
        </w:rPr>
      </w:pPr>
    </w:p>
    <w:p w14:paraId="70056ED7" w14:textId="1B7A2D1D" w:rsidR="003A6AE4" w:rsidRDefault="003A6AE4" w:rsidP="00B31841">
      <w:pPr>
        <w:tabs>
          <w:tab w:val="left" w:pos="7020"/>
        </w:tabs>
        <w:jc w:val="both"/>
        <w:rPr>
          <w:rFonts w:cstheme="minorHAnsi"/>
          <w:szCs w:val="24"/>
        </w:rPr>
      </w:pPr>
    </w:p>
    <w:p w14:paraId="39216084" w14:textId="50807D85" w:rsidR="003A6AE4" w:rsidRDefault="003A6AE4" w:rsidP="00B31841">
      <w:pPr>
        <w:tabs>
          <w:tab w:val="left" w:pos="7020"/>
        </w:tabs>
        <w:jc w:val="both"/>
        <w:rPr>
          <w:rFonts w:cstheme="minorHAnsi"/>
          <w:szCs w:val="24"/>
        </w:rPr>
      </w:pPr>
    </w:p>
    <w:p w14:paraId="6C5C41CA" w14:textId="2A54C07F" w:rsidR="003A6AE4" w:rsidRDefault="003A6AE4" w:rsidP="00B31841">
      <w:pPr>
        <w:tabs>
          <w:tab w:val="left" w:pos="7020"/>
        </w:tabs>
        <w:jc w:val="both"/>
        <w:rPr>
          <w:rFonts w:cstheme="minorHAnsi"/>
          <w:szCs w:val="24"/>
        </w:rPr>
      </w:pPr>
    </w:p>
    <w:p w14:paraId="10698103" w14:textId="3A86FE65" w:rsidR="003A6AE4" w:rsidRDefault="003A6AE4" w:rsidP="00B31841">
      <w:pPr>
        <w:tabs>
          <w:tab w:val="left" w:pos="7020"/>
        </w:tabs>
        <w:jc w:val="both"/>
        <w:rPr>
          <w:rFonts w:cstheme="minorHAnsi"/>
          <w:szCs w:val="24"/>
        </w:rPr>
      </w:pPr>
    </w:p>
    <w:p w14:paraId="67DA4C45" w14:textId="3CACDC44" w:rsidR="003A6AE4" w:rsidRDefault="003A6AE4" w:rsidP="00B31841">
      <w:pPr>
        <w:tabs>
          <w:tab w:val="left" w:pos="7020"/>
        </w:tabs>
        <w:jc w:val="both"/>
        <w:rPr>
          <w:rFonts w:cstheme="minorHAnsi"/>
          <w:szCs w:val="24"/>
        </w:rPr>
      </w:pPr>
    </w:p>
    <w:p w14:paraId="4E8AF771" w14:textId="4443829E" w:rsidR="003A6AE4" w:rsidRDefault="003A6AE4" w:rsidP="00B31841">
      <w:pPr>
        <w:tabs>
          <w:tab w:val="left" w:pos="7020"/>
        </w:tabs>
        <w:jc w:val="both"/>
        <w:rPr>
          <w:rFonts w:cstheme="minorHAnsi"/>
          <w:szCs w:val="24"/>
        </w:rPr>
      </w:pPr>
    </w:p>
    <w:p w14:paraId="6CF6B5B2" w14:textId="77777777" w:rsidR="003A6AE4" w:rsidRPr="00922E6C" w:rsidRDefault="003A6AE4" w:rsidP="00B31841">
      <w:pPr>
        <w:tabs>
          <w:tab w:val="left" w:pos="7020"/>
        </w:tabs>
        <w:jc w:val="both"/>
        <w:rPr>
          <w:rFonts w:cstheme="minorHAnsi"/>
          <w:szCs w:val="24"/>
        </w:rPr>
      </w:pPr>
    </w:p>
    <w:p w14:paraId="17639B9C" w14:textId="77777777" w:rsidR="003A6AE4" w:rsidRPr="00922E6C" w:rsidRDefault="003A6AE4" w:rsidP="00922E6C">
      <w:pPr>
        <w:jc w:val="both"/>
        <w:rPr>
          <w:rFonts w:eastAsiaTheme="majorEastAsia" w:cstheme="minorHAnsi"/>
          <w:szCs w:val="24"/>
        </w:rPr>
      </w:pPr>
    </w:p>
    <w:p w14:paraId="0469D6F8" w14:textId="39DD1C06" w:rsidR="00811007" w:rsidRPr="00044508" w:rsidRDefault="00811007" w:rsidP="00131AB7">
      <w:pPr>
        <w:pStyle w:val="Heading1"/>
        <w:jc w:val="both"/>
        <w:rPr>
          <w:rFonts w:asciiTheme="minorHAnsi" w:hAnsiTheme="minorHAnsi" w:cstheme="minorHAnsi"/>
          <w:sz w:val="28"/>
          <w:szCs w:val="28"/>
        </w:rPr>
      </w:pPr>
      <w:r w:rsidRPr="00044508">
        <w:rPr>
          <w:rFonts w:asciiTheme="minorHAnsi" w:hAnsiTheme="minorHAnsi" w:cstheme="minorHAnsi"/>
          <w:sz w:val="28"/>
          <w:szCs w:val="28"/>
        </w:rPr>
        <w:lastRenderedPageBreak/>
        <w:t>Reference List</w:t>
      </w:r>
    </w:p>
    <w:p w14:paraId="7288EDBD" w14:textId="77777777" w:rsidR="00131AB7" w:rsidRPr="00131AB7" w:rsidRDefault="00131AB7" w:rsidP="00131AB7"/>
    <w:p w14:paraId="75F87A6B" w14:textId="14FA6D10" w:rsidR="00AB4128" w:rsidRPr="00CE0B2B" w:rsidRDefault="00AB4128" w:rsidP="002073FB">
      <w:pPr>
        <w:spacing w:line="240" w:lineRule="auto"/>
        <w:ind w:left="360"/>
        <w:jc w:val="both"/>
        <w:rPr>
          <w:rFonts w:cstheme="minorHAnsi"/>
          <w:szCs w:val="24"/>
        </w:rPr>
      </w:pPr>
      <w:r w:rsidRPr="00CE0B2B">
        <w:rPr>
          <w:rFonts w:cstheme="minorHAnsi"/>
          <w:szCs w:val="24"/>
        </w:rPr>
        <w:t xml:space="preserve">Adler, M. &amp; Mayer, M. (1958) </w:t>
      </w:r>
      <w:r w:rsidRPr="00CE0B2B">
        <w:rPr>
          <w:rFonts w:cstheme="minorHAnsi"/>
          <w:i/>
          <w:iCs/>
          <w:szCs w:val="24"/>
        </w:rPr>
        <w:t>The revolution in educati</w:t>
      </w:r>
      <w:r w:rsidRPr="00CE0B2B">
        <w:rPr>
          <w:rFonts w:cstheme="minorHAnsi"/>
          <w:szCs w:val="24"/>
        </w:rPr>
        <w:t>o</w:t>
      </w:r>
      <w:r w:rsidRPr="00CE0B2B">
        <w:rPr>
          <w:rFonts w:cstheme="minorHAnsi"/>
          <w:i/>
          <w:iCs/>
          <w:szCs w:val="24"/>
        </w:rPr>
        <w:t>n</w:t>
      </w:r>
      <w:r w:rsidRPr="00CE0B2B">
        <w:rPr>
          <w:rFonts w:cstheme="minorHAnsi"/>
          <w:szCs w:val="24"/>
        </w:rPr>
        <w:t xml:space="preserve"> (Chicago, University of Chicago Press).</w:t>
      </w:r>
    </w:p>
    <w:p w14:paraId="208DCB9D" w14:textId="285474B0" w:rsidR="00AB4128" w:rsidRPr="00CE0B2B" w:rsidRDefault="00AB4128" w:rsidP="002073FB">
      <w:pPr>
        <w:spacing w:line="240" w:lineRule="auto"/>
        <w:jc w:val="both"/>
        <w:rPr>
          <w:rFonts w:cstheme="minorHAnsi"/>
          <w:szCs w:val="24"/>
        </w:rPr>
      </w:pPr>
    </w:p>
    <w:p w14:paraId="4B0D3FA8" w14:textId="59E0CBD9" w:rsidR="00131AB7" w:rsidRPr="00CE0B2B" w:rsidRDefault="00131AB7" w:rsidP="002073FB">
      <w:pPr>
        <w:spacing w:line="240" w:lineRule="auto"/>
        <w:ind w:left="360"/>
        <w:jc w:val="both"/>
        <w:rPr>
          <w:rFonts w:cstheme="minorHAnsi"/>
          <w:i/>
          <w:iCs/>
          <w:szCs w:val="24"/>
        </w:rPr>
      </w:pPr>
      <w:r w:rsidRPr="00CE0B2B">
        <w:rPr>
          <w:rFonts w:cstheme="minorHAnsi"/>
          <w:szCs w:val="24"/>
        </w:rPr>
        <w:t xml:space="preserve">Australian Curriculum, Assessment and Reporting Authority (ACARA). (2010) </w:t>
      </w:r>
      <w:r w:rsidRPr="00CE0B2B">
        <w:rPr>
          <w:rFonts w:cstheme="minorHAnsi"/>
          <w:i/>
          <w:iCs/>
          <w:szCs w:val="24"/>
        </w:rPr>
        <w:t>The shape of the Australian Curriculum.</w:t>
      </w:r>
    </w:p>
    <w:p w14:paraId="3AECC528" w14:textId="77777777" w:rsidR="00131AB7" w:rsidRPr="00CE0B2B" w:rsidRDefault="00131AB7" w:rsidP="002073FB">
      <w:pPr>
        <w:spacing w:line="240" w:lineRule="auto"/>
        <w:jc w:val="both"/>
        <w:rPr>
          <w:rFonts w:cstheme="minorHAnsi"/>
          <w:szCs w:val="24"/>
        </w:rPr>
      </w:pPr>
    </w:p>
    <w:p w14:paraId="68EFA417" w14:textId="5B0550C5" w:rsidR="001F0CD6" w:rsidRPr="00CE0B2B" w:rsidRDefault="00C86D62" w:rsidP="002073FB">
      <w:pPr>
        <w:spacing w:line="240" w:lineRule="auto"/>
        <w:ind w:left="360"/>
        <w:jc w:val="both"/>
        <w:rPr>
          <w:rFonts w:cstheme="minorHAnsi"/>
          <w:szCs w:val="24"/>
        </w:rPr>
      </w:pPr>
      <w:r w:rsidRPr="00CE0B2B">
        <w:rPr>
          <w:rFonts w:cstheme="minorHAnsi"/>
          <w:szCs w:val="24"/>
        </w:rPr>
        <w:t xml:space="preserve">Ball, S. (2003) </w:t>
      </w:r>
      <w:r w:rsidRPr="00CE0B2B">
        <w:rPr>
          <w:rFonts w:cstheme="minorHAnsi"/>
          <w:i/>
          <w:iCs/>
          <w:szCs w:val="24"/>
        </w:rPr>
        <w:t>The teacher's soul and the terrors of performativity</w:t>
      </w:r>
      <w:r w:rsidRPr="00CE0B2B">
        <w:rPr>
          <w:rFonts w:cstheme="minorHAnsi"/>
          <w:szCs w:val="24"/>
        </w:rPr>
        <w:t>, Journal of Education Policy, 18:2, 215-228</w:t>
      </w:r>
    </w:p>
    <w:p w14:paraId="5CE26A9C" w14:textId="77777777" w:rsidR="00C86D62" w:rsidRPr="00CE0B2B" w:rsidRDefault="00C86D62" w:rsidP="002073FB">
      <w:pPr>
        <w:spacing w:line="240" w:lineRule="auto"/>
        <w:jc w:val="both"/>
        <w:rPr>
          <w:rFonts w:cstheme="minorHAnsi"/>
          <w:szCs w:val="24"/>
        </w:rPr>
      </w:pPr>
    </w:p>
    <w:p w14:paraId="71145872" w14:textId="34920334" w:rsidR="001F0CD6" w:rsidRPr="00CE0B2B" w:rsidRDefault="001F0CD6" w:rsidP="002073FB">
      <w:pPr>
        <w:spacing w:line="240" w:lineRule="auto"/>
        <w:ind w:left="360"/>
        <w:jc w:val="both"/>
        <w:rPr>
          <w:rFonts w:cstheme="minorHAnsi"/>
          <w:szCs w:val="24"/>
        </w:rPr>
      </w:pPr>
      <w:r w:rsidRPr="00CE0B2B">
        <w:rPr>
          <w:rFonts w:cstheme="minorHAnsi"/>
          <w:szCs w:val="24"/>
        </w:rPr>
        <w:t xml:space="preserve">Barnes, J. (2015) </w:t>
      </w:r>
      <w:r w:rsidRPr="00CE0B2B">
        <w:rPr>
          <w:rFonts w:cstheme="minorHAnsi"/>
          <w:i/>
          <w:iCs/>
          <w:szCs w:val="24"/>
        </w:rPr>
        <w:t xml:space="preserve">Cross-curricular learning </w:t>
      </w:r>
      <w:r w:rsidRPr="00CE0B2B">
        <w:rPr>
          <w:rFonts w:cstheme="minorHAnsi"/>
          <w:szCs w:val="24"/>
        </w:rPr>
        <w:t xml:space="preserve">3-14 (3rd edition) London: SAGE </w:t>
      </w:r>
    </w:p>
    <w:p w14:paraId="6091AA0B" w14:textId="77777777" w:rsidR="001F0CD6" w:rsidRPr="00CE0B2B" w:rsidRDefault="001F0CD6" w:rsidP="002073FB">
      <w:pPr>
        <w:spacing w:line="240" w:lineRule="auto"/>
        <w:jc w:val="both"/>
        <w:rPr>
          <w:rFonts w:cstheme="minorHAnsi"/>
          <w:szCs w:val="24"/>
        </w:rPr>
      </w:pPr>
    </w:p>
    <w:p w14:paraId="79F2441E" w14:textId="0270569D" w:rsidR="001F0CD6" w:rsidRPr="00CE0B2B" w:rsidRDefault="001F0CD6" w:rsidP="002073FB">
      <w:pPr>
        <w:spacing w:line="240" w:lineRule="auto"/>
        <w:ind w:left="360"/>
        <w:jc w:val="both"/>
        <w:rPr>
          <w:rFonts w:cstheme="minorHAnsi"/>
          <w:szCs w:val="24"/>
        </w:rPr>
      </w:pPr>
      <w:r w:rsidRPr="00CE0B2B">
        <w:rPr>
          <w:rFonts w:cstheme="minorHAnsi"/>
          <w:szCs w:val="24"/>
        </w:rPr>
        <w:t xml:space="preserve">Barnes, J. (2018) </w:t>
      </w:r>
      <w:r w:rsidRPr="00CE0B2B">
        <w:rPr>
          <w:rFonts w:cstheme="minorHAnsi"/>
          <w:i/>
          <w:iCs/>
          <w:szCs w:val="24"/>
        </w:rPr>
        <w:t>Applying cross-curricular approaches creatively : the connecting curriculum</w:t>
      </w:r>
      <w:r w:rsidRPr="00CE0B2B">
        <w:rPr>
          <w:rFonts w:cstheme="minorHAnsi"/>
          <w:szCs w:val="24"/>
        </w:rPr>
        <w:t xml:space="preserve"> (Learning to teach in the primary school series)</w:t>
      </w:r>
      <w:r w:rsidR="00217CC3" w:rsidRPr="00CE0B2B">
        <w:rPr>
          <w:rFonts w:cstheme="minorHAnsi"/>
          <w:szCs w:val="24"/>
        </w:rPr>
        <w:t xml:space="preserve"> Routledge</w:t>
      </w:r>
    </w:p>
    <w:p w14:paraId="2A0C9349" w14:textId="3F7B2359" w:rsidR="00720FC2" w:rsidRPr="00CE0B2B" w:rsidRDefault="00720FC2" w:rsidP="002073FB">
      <w:pPr>
        <w:spacing w:line="240" w:lineRule="auto"/>
        <w:jc w:val="both"/>
        <w:rPr>
          <w:rFonts w:cstheme="minorHAnsi"/>
          <w:szCs w:val="24"/>
        </w:rPr>
      </w:pPr>
    </w:p>
    <w:p w14:paraId="7207E046" w14:textId="5E1718E7" w:rsidR="00720FC2" w:rsidRPr="00CE0B2B" w:rsidRDefault="00720FC2" w:rsidP="002073FB">
      <w:pPr>
        <w:spacing w:line="240" w:lineRule="auto"/>
        <w:ind w:left="360"/>
        <w:jc w:val="both"/>
        <w:rPr>
          <w:rFonts w:cstheme="minorHAnsi"/>
          <w:szCs w:val="24"/>
        </w:rPr>
      </w:pPr>
      <w:r w:rsidRPr="00CE0B2B">
        <w:rPr>
          <w:rStyle w:val="hlfld-contribauthor"/>
          <w:rFonts w:cstheme="minorHAnsi"/>
          <w:szCs w:val="24"/>
        </w:rPr>
        <w:t>Biesta, </w:t>
      </w:r>
      <w:r w:rsidRPr="00CE0B2B">
        <w:rPr>
          <w:rStyle w:val="nlmgiven-names"/>
          <w:rFonts w:cstheme="minorHAnsi"/>
          <w:szCs w:val="24"/>
        </w:rPr>
        <w:t>G.</w:t>
      </w:r>
      <w:r w:rsidRPr="00CE0B2B">
        <w:rPr>
          <w:rFonts w:cstheme="minorHAnsi"/>
          <w:szCs w:val="24"/>
        </w:rPr>
        <w:t> (</w:t>
      </w:r>
      <w:r w:rsidRPr="00CE0B2B">
        <w:rPr>
          <w:rStyle w:val="nlmyear"/>
          <w:rFonts w:cstheme="minorHAnsi"/>
          <w:szCs w:val="24"/>
        </w:rPr>
        <w:t>2015</w:t>
      </w:r>
      <w:r w:rsidRPr="00CE0B2B">
        <w:rPr>
          <w:rFonts w:cstheme="minorHAnsi"/>
          <w:szCs w:val="24"/>
        </w:rPr>
        <w:t>). </w:t>
      </w:r>
      <w:r w:rsidRPr="00CE0B2B">
        <w:rPr>
          <w:rStyle w:val="nlmarticle-title"/>
          <w:rFonts w:cstheme="minorHAnsi"/>
          <w:i/>
          <w:iCs/>
          <w:szCs w:val="24"/>
        </w:rPr>
        <w:t>What is education for? On good education, teacher judgement, and educational professionalism</w:t>
      </w:r>
      <w:r w:rsidRPr="00CE0B2B">
        <w:rPr>
          <w:rFonts w:cstheme="minorHAnsi"/>
          <w:szCs w:val="24"/>
        </w:rPr>
        <w:t>. European Journal of Education, 50(1), </w:t>
      </w:r>
      <w:r w:rsidRPr="00CE0B2B">
        <w:rPr>
          <w:rStyle w:val="nlmfpage"/>
          <w:rFonts w:cstheme="minorHAnsi"/>
          <w:szCs w:val="24"/>
        </w:rPr>
        <w:t>75</w:t>
      </w:r>
      <w:r w:rsidRPr="00CE0B2B">
        <w:rPr>
          <w:rFonts w:cstheme="minorHAnsi"/>
          <w:szCs w:val="24"/>
        </w:rPr>
        <w:t>–</w:t>
      </w:r>
      <w:r w:rsidRPr="00CE0B2B">
        <w:rPr>
          <w:rStyle w:val="nlmlpage"/>
          <w:rFonts w:cstheme="minorHAnsi"/>
          <w:szCs w:val="24"/>
        </w:rPr>
        <w:t>87</w:t>
      </w:r>
      <w:r w:rsidRPr="00CE0B2B">
        <w:rPr>
          <w:rFonts w:cstheme="minorHAnsi"/>
          <w:szCs w:val="24"/>
        </w:rPr>
        <w:t>. </w:t>
      </w:r>
    </w:p>
    <w:p w14:paraId="710DD758" w14:textId="578D2826" w:rsidR="001F0CD6" w:rsidRPr="00CE0B2B" w:rsidRDefault="00634EF9" w:rsidP="002073FB">
      <w:pPr>
        <w:spacing w:line="240" w:lineRule="auto"/>
        <w:ind w:left="360"/>
        <w:jc w:val="both"/>
        <w:rPr>
          <w:rFonts w:cstheme="minorHAnsi"/>
          <w:szCs w:val="24"/>
        </w:rPr>
      </w:pPr>
      <w:r w:rsidRPr="00CE0B2B">
        <w:rPr>
          <w:rFonts w:cstheme="minorHAnsi"/>
          <w:szCs w:val="24"/>
        </w:rPr>
        <w:t>BIESTA, G. J. J. (2010) Good Education in an Age of Measurement (Boulder, Para-digm Publishers)</w:t>
      </w:r>
    </w:p>
    <w:p w14:paraId="5D4A1AC3" w14:textId="7EF18653" w:rsidR="00217CC3" w:rsidRPr="00CE0B2B" w:rsidRDefault="00217CC3" w:rsidP="002073FB">
      <w:pPr>
        <w:spacing w:line="240" w:lineRule="auto"/>
        <w:ind w:left="360"/>
        <w:jc w:val="both"/>
        <w:rPr>
          <w:rFonts w:cstheme="minorHAnsi"/>
          <w:szCs w:val="24"/>
        </w:rPr>
      </w:pPr>
    </w:p>
    <w:p w14:paraId="12BB160A" w14:textId="3C672FB5" w:rsidR="00217CC3" w:rsidRPr="00CE0B2B" w:rsidRDefault="00217CC3" w:rsidP="002073FB">
      <w:pPr>
        <w:spacing w:line="240" w:lineRule="auto"/>
        <w:ind w:left="360"/>
        <w:jc w:val="both"/>
        <w:rPr>
          <w:rFonts w:cstheme="minorHAnsi"/>
          <w:szCs w:val="24"/>
        </w:rPr>
      </w:pPr>
      <w:r w:rsidRPr="00CE0B2B">
        <w:rPr>
          <w:rFonts w:cstheme="minorHAnsi"/>
          <w:szCs w:val="24"/>
        </w:rPr>
        <w:t xml:space="preserve">Booth, T. (2005) </w:t>
      </w:r>
      <w:r w:rsidRPr="00CE0B2B">
        <w:rPr>
          <w:rFonts w:cstheme="minorHAnsi"/>
          <w:i/>
          <w:iCs/>
          <w:szCs w:val="24"/>
        </w:rPr>
        <w:t>Keeping the future alive: Putting inclusive values into action</w:t>
      </w:r>
      <w:r w:rsidRPr="00CE0B2B">
        <w:rPr>
          <w:rFonts w:cstheme="minorHAnsi"/>
          <w:szCs w:val="24"/>
        </w:rPr>
        <w:t>. Forum, Vol. 47 Nos. 2&amp;3, pgs. 151-157.</w:t>
      </w:r>
    </w:p>
    <w:p w14:paraId="206898E2" w14:textId="67BDC933" w:rsidR="000C4E8F" w:rsidRPr="00CE0B2B" w:rsidRDefault="000C4E8F" w:rsidP="002073FB">
      <w:pPr>
        <w:spacing w:line="240" w:lineRule="auto"/>
        <w:jc w:val="both"/>
        <w:rPr>
          <w:rFonts w:cstheme="minorHAnsi"/>
          <w:szCs w:val="24"/>
        </w:rPr>
      </w:pPr>
    </w:p>
    <w:p w14:paraId="76DCA515" w14:textId="497F7002" w:rsidR="000C4E8F" w:rsidRPr="00CE0B2B" w:rsidRDefault="000C4E8F" w:rsidP="002073FB">
      <w:pPr>
        <w:spacing w:line="240" w:lineRule="auto"/>
        <w:ind w:left="360"/>
        <w:jc w:val="both"/>
        <w:rPr>
          <w:rFonts w:cstheme="minorHAnsi"/>
          <w:szCs w:val="24"/>
        </w:rPr>
      </w:pPr>
      <w:r w:rsidRPr="00CE0B2B">
        <w:rPr>
          <w:rFonts w:cstheme="minorHAnsi"/>
          <w:szCs w:val="24"/>
        </w:rPr>
        <w:t xml:space="preserve">Carr, D. (2003) </w:t>
      </w:r>
      <w:r w:rsidRPr="00CE0B2B">
        <w:rPr>
          <w:rFonts w:cstheme="minorHAnsi"/>
          <w:i/>
          <w:iCs/>
          <w:szCs w:val="24"/>
        </w:rPr>
        <w:t>Making Sense of Education. An Introduction to the Philosophy andTheory of Education and Teaching</w:t>
      </w:r>
      <w:r w:rsidRPr="00CE0B2B">
        <w:rPr>
          <w:rFonts w:cstheme="minorHAnsi"/>
          <w:szCs w:val="24"/>
        </w:rPr>
        <w:t xml:space="preserve"> (London/New York, RoutledgeFalmer).</w:t>
      </w:r>
    </w:p>
    <w:p w14:paraId="370F7C21" w14:textId="77777777" w:rsidR="00634EF9" w:rsidRPr="00CE0B2B" w:rsidRDefault="00634EF9" w:rsidP="002073FB">
      <w:pPr>
        <w:spacing w:line="240" w:lineRule="auto"/>
        <w:jc w:val="both"/>
        <w:rPr>
          <w:rFonts w:cstheme="minorHAnsi"/>
          <w:szCs w:val="24"/>
        </w:rPr>
      </w:pPr>
    </w:p>
    <w:p w14:paraId="5260C805" w14:textId="77777777" w:rsidR="001F0CD6" w:rsidRPr="00CE0B2B" w:rsidRDefault="001F0CD6" w:rsidP="002073FB">
      <w:pPr>
        <w:spacing w:line="240" w:lineRule="auto"/>
        <w:ind w:left="360"/>
        <w:jc w:val="both"/>
        <w:rPr>
          <w:rFonts w:cstheme="minorHAnsi"/>
          <w:i/>
          <w:iCs/>
          <w:szCs w:val="24"/>
        </w:rPr>
      </w:pPr>
      <w:r w:rsidRPr="00CE0B2B">
        <w:rPr>
          <w:rFonts w:cstheme="minorHAnsi"/>
          <w:szCs w:val="24"/>
        </w:rPr>
        <w:t xml:space="preserve">Coe R, Aloisi C, Higgins S, Elliot Major L. (2014) </w:t>
      </w:r>
      <w:r w:rsidRPr="00CE0B2B">
        <w:rPr>
          <w:rFonts w:cstheme="minorHAnsi"/>
          <w:i/>
          <w:iCs/>
          <w:szCs w:val="24"/>
        </w:rPr>
        <w:t xml:space="preserve">What Makes Great Teaching? Review </w:t>
      </w:r>
    </w:p>
    <w:p w14:paraId="65E648D9" w14:textId="77777777" w:rsidR="001F0CD6" w:rsidRPr="00CE0B2B" w:rsidRDefault="001F0CD6" w:rsidP="002073FB">
      <w:pPr>
        <w:spacing w:line="240" w:lineRule="auto"/>
        <w:ind w:left="360"/>
        <w:jc w:val="both"/>
        <w:rPr>
          <w:rFonts w:cstheme="minorHAnsi"/>
          <w:i/>
          <w:iCs/>
          <w:szCs w:val="24"/>
        </w:rPr>
      </w:pPr>
      <w:r w:rsidRPr="00CE0B2B">
        <w:rPr>
          <w:rFonts w:cstheme="minorHAnsi"/>
          <w:i/>
          <w:iCs/>
          <w:szCs w:val="24"/>
        </w:rPr>
        <w:t xml:space="preserve">of the Underpinning Research. Durham: Centre for Evaluation and Monitoring/The </w:t>
      </w:r>
    </w:p>
    <w:p w14:paraId="4E858F4A" w14:textId="193870D0" w:rsidR="001F0CD6" w:rsidRPr="00CE0B2B" w:rsidRDefault="001F0CD6" w:rsidP="002073FB">
      <w:pPr>
        <w:spacing w:line="240" w:lineRule="auto"/>
        <w:ind w:left="360"/>
        <w:jc w:val="both"/>
        <w:rPr>
          <w:rFonts w:cstheme="minorHAnsi"/>
          <w:i/>
          <w:iCs/>
          <w:szCs w:val="24"/>
        </w:rPr>
      </w:pPr>
      <w:r w:rsidRPr="00CE0B2B">
        <w:rPr>
          <w:rFonts w:cstheme="minorHAnsi"/>
          <w:i/>
          <w:iCs/>
          <w:szCs w:val="24"/>
        </w:rPr>
        <w:t>Sutton Trust.</w:t>
      </w:r>
    </w:p>
    <w:p w14:paraId="254CAB70" w14:textId="0959BECC" w:rsidR="007D6568" w:rsidRPr="00CE0B2B" w:rsidRDefault="007D6568" w:rsidP="002073FB">
      <w:pPr>
        <w:spacing w:line="240" w:lineRule="auto"/>
        <w:ind w:left="360"/>
        <w:jc w:val="both"/>
        <w:rPr>
          <w:rFonts w:cstheme="minorHAnsi"/>
          <w:szCs w:val="24"/>
        </w:rPr>
      </w:pPr>
    </w:p>
    <w:p w14:paraId="52F93E6F" w14:textId="7BB8BD4F" w:rsidR="007D6568" w:rsidRPr="00CE0B2B" w:rsidRDefault="007D6568" w:rsidP="002073FB">
      <w:pPr>
        <w:spacing w:line="240" w:lineRule="auto"/>
        <w:ind w:left="360"/>
        <w:jc w:val="both"/>
        <w:rPr>
          <w:rFonts w:cstheme="minorHAnsi"/>
          <w:szCs w:val="24"/>
        </w:rPr>
      </w:pPr>
      <w:r w:rsidRPr="00CE0B2B">
        <w:rPr>
          <w:rFonts w:cstheme="minorHAnsi"/>
          <w:szCs w:val="24"/>
        </w:rPr>
        <w:t xml:space="preserve">DfE (2013) </w:t>
      </w:r>
      <w:r w:rsidRPr="00CE0B2B">
        <w:rPr>
          <w:rFonts w:cstheme="minorHAnsi"/>
          <w:i/>
          <w:iCs/>
          <w:szCs w:val="24"/>
        </w:rPr>
        <w:t>Reform of the National Curriculum in England: Government response to the consultation</w:t>
      </w:r>
      <w:r w:rsidRPr="00CE0B2B">
        <w:rPr>
          <w:rFonts w:cstheme="minorHAnsi"/>
          <w:szCs w:val="24"/>
        </w:rPr>
        <w:t>, conducted February – April 2013. London: DfE, © Crown Copyright 2013.</w:t>
      </w:r>
    </w:p>
    <w:p w14:paraId="6F31FC36" w14:textId="6525B69D" w:rsidR="009E739A" w:rsidRPr="00CE0B2B" w:rsidRDefault="009E739A" w:rsidP="002073FB">
      <w:pPr>
        <w:spacing w:line="240" w:lineRule="auto"/>
        <w:jc w:val="both"/>
        <w:rPr>
          <w:rFonts w:cstheme="minorHAnsi"/>
          <w:szCs w:val="24"/>
        </w:rPr>
      </w:pPr>
    </w:p>
    <w:p w14:paraId="5BE949EF" w14:textId="5DCC3AEF" w:rsidR="009E739A" w:rsidRPr="00CE0B2B" w:rsidRDefault="009E739A" w:rsidP="002073FB">
      <w:pPr>
        <w:spacing w:line="240" w:lineRule="auto"/>
        <w:ind w:left="360"/>
        <w:jc w:val="both"/>
        <w:rPr>
          <w:rFonts w:cstheme="minorHAnsi"/>
          <w:szCs w:val="24"/>
        </w:rPr>
      </w:pPr>
      <w:r w:rsidRPr="00CE0B2B">
        <w:rPr>
          <w:rFonts w:cstheme="minorHAnsi"/>
          <w:szCs w:val="24"/>
        </w:rPr>
        <w:t xml:space="preserve">Donaldson, G (2015) </w:t>
      </w:r>
      <w:r w:rsidRPr="00CE0B2B">
        <w:rPr>
          <w:rFonts w:cstheme="minorHAnsi"/>
          <w:i/>
          <w:iCs/>
          <w:szCs w:val="24"/>
        </w:rPr>
        <w:t>Successful Futures: Independent Review of Curriculum and Assessment Arrangements in Wales: Welsh Government</w:t>
      </w:r>
    </w:p>
    <w:p w14:paraId="47527B8E" w14:textId="644B2907" w:rsidR="009E739A" w:rsidRPr="00CE0B2B" w:rsidRDefault="009E739A" w:rsidP="002073FB">
      <w:pPr>
        <w:spacing w:line="240" w:lineRule="auto"/>
        <w:jc w:val="both"/>
        <w:rPr>
          <w:rFonts w:cstheme="minorHAnsi"/>
          <w:szCs w:val="24"/>
        </w:rPr>
      </w:pPr>
    </w:p>
    <w:p w14:paraId="0461FE61" w14:textId="77777777" w:rsidR="00CE0B2B" w:rsidRPr="00CE0B2B" w:rsidRDefault="00CE0B2B" w:rsidP="00CE0B2B">
      <w:pPr>
        <w:spacing w:line="240" w:lineRule="auto"/>
        <w:ind w:left="360"/>
        <w:jc w:val="both"/>
        <w:rPr>
          <w:rFonts w:cstheme="minorHAnsi"/>
          <w:i/>
          <w:iCs/>
          <w:szCs w:val="24"/>
        </w:rPr>
      </w:pPr>
      <w:r w:rsidRPr="00CE0B2B">
        <w:rPr>
          <w:rFonts w:cstheme="minorHAnsi"/>
          <w:szCs w:val="24"/>
        </w:rPr>
        <w:t>Further Ko, J., Sammons, P. (2013)</w:t>
      </w:r>
      <w:r w:rsidRPr="00CE0B2B">
        <w:rPr>
          <w:rFonts w:cstheme="minorHAnsi"/>
          <w:i/>
          <w:iCs/>
          <w:szCs w:val="24"/>
        </w:rPr>
        <w:t xml:space="preserve"> Effective Teaching: A Review of Research and </w:t>
      </w:r>
    </w:p>
    <w:p w14:paraId="3E68850A" w14:textId="4AC49425" w:rsidR="00CE0B2B" w:rsidRPr="00CE0B2B" w:rsidRDefault="00CE0B2B" w:rsidP="00CE0B2B">
      <w:pPr>
        <w:spacing w:line="240" w:lineRule="auto"/>
        <w:ind w:left="360"/>
        <w:jc w:val="both"/>
        <w:rPr>
          <w:rFonts w:cstheme="minorHAnsi"/>
          <w:szCs w:val="24"/>
        </w:rPr>
      </w:pPr>
      <w:r w:rsidRPr="00CE0B2B">
        <w:rPr>
          <w:rFonts w:cstheme="minorHAnsi"/>
          <w:i/>
          <w:iCs/>
          <w:szCs w:val="24"/>
        </w:rPr>
        <w:t>Evidence. Reading</w:t>
      </w:r>
      <w:r w:rsidRPr="00CE0B2B">
        <w:rPr>
          <w:rFonts w:cstheme="minorHAnsi"/>
          <w:szCs w:val="24"/>
        </w:rPr>
        <w:t>: CfBT Education Trust.</w:t>
      </w:r>
    </w:p>
    <w:p w14:paraId="72741C2A" w14:textId="77777777" w:rsidR="00CE0B2B" w:rsidRPr="00CE0B2B" w:rsidRDefault="00CE0B2B" w:rsidP="00CE0B2B">
      <w:pPr>
        <w:spacing w:line="240" w:lineRule="auto"/>
        <w:ind w:left="360"/>
        <w:jc w:val="both"/>
        <w:rPr>
          <w:rFonts w:cstheme="minorHAnsi"/>
          <w:szCs w:val="24"/>
        </w:rPr>
      </w:pPr>
    </w:p>
    <w:p w14:paraId="6A7CE3AF" w14:textId="73190702" w:rsidR="000C4E8F" w:rsidRPr="00CE0B2B" w:rsidRDefault="000C4E8F" w:rsidP="002073FB">
      <w:pPr>
        <w:spacing w:line="240" w:lineRule="auto"/>
        <w:ind w:left="360"/>
        <w:jc w:val="both"/>
        <w:rPr>
          <w:rFonts w:cstheme="minorHAnsi"/>
          <w:szCs w:val="24"/>
        </w:rPr>
      </w:pPr>
      <w:r w:rsidRPr="00CE0B2B">
        <w:rPr>
          <w:rFonts w:cstheme="minorHAnsi"/>
          <w:szCs w:val="24"/>
        </w:rPr>
        <w:t>Gatley, J</w:t>
      </w:r>
      <w:r w:rsidR="005A1571" w:rsidRPr="00CE0B2B">
        <w:rPr>
          <w:rFonts w:cstheme="minorHAnsi"/>
          <w:szCs w:val="24"/>
        </w:rPr>
        <w:t xml:space="preserve"> (2020) </w:t>
      </w:r>
      <w:r w:rsidR="005A1571" w:rsidRPr="00CE0B2B">
        <w:rPr>
          <w:rFonts w:cstheme="minorHAnsi"/>
          <w:i/>
          <w:iCs/>
          <w:szCs w:val="24"/>
        </w:rPr>
        <w:t>Can the New Welsh Curriculum achieve its purposes?</w:t>
      </w:r>
      <w:r w:rsidR="005A1571" w:rsidRPr="00CE0B2B">
        <w:rPr>
          <w:rFonts w:cstheme="minorHAnsi"/>
          <w:szCs w:val="24"/>
        </w:rPr>
        <w:t xml:space="preserve"> Curriculum journal (London, England), 2020-06, Vol.31 (2), p.202-214</w:t>
      </w:r>
    </w:p>
    <w:p w14:paraId="3BB9DC74" w14:textId="77777777" w:rsidR="000C4E8F" w:rsidRPr="00CE0B2B" w:rsidRDefault="000C4E8F" w:rsidP="002073FB">
      <w:pPr>
        <w:spacing w:line="240" w:lineRule="auto"/>
        <w:jc w:val="both"/>
        <w:rPr>
          <w:rFonts w:cstheme="minorHAnsi"/>
          <w:szCs w:val="24"/>
        </w:rPr>
      </w:pPr>
    </w:p>
    <w:p w14:paraId="0FD28BA7" w14:textId="37E755CD" w:rsidR="00CE0B2B" w:rsidRDefault="00CE0B2B" w:rsidP="00CE0B2B">
      <w:pPr>
        <w:spacing w:line="240" w:lineRule="auto"/>
        <w:ind w:left="360"/>
        <w:jc w:val="both"/>
        <w:rPr>
          <w:rFonts w:cstheme="minorHAnsi"/>
          <w:szCs w:val="24"/>
        </w:rPr>
      </w:pPr>
      <w:r w:rsidRPr="00CE0B2B">
        <w:rPr>
          <w:rFonts w:cstheme="minorHAnsi"/>
          <w:szCs w:val="24"/>
        </w:rPr>
        <w:lastRenderedPageBreak/>
        <w:t>Gov.wales. 2021. [online] Available at: &lt;https://gov.wales/sites/default/files/publications/2018-03/succesful-futures-a-summary-of-professor-graham-donaldsons-report.pdf&gt; [Accessed 18 March 2021].</w:t>
      </w:r>
    </w:p>
    <w:p w14:paraId="40D37509" w14:textId="77777777" w:rsidR="00CE0B2B" w:rsidRPr="00CE0B2B" w:rsidRDefault="00CE0B2B" w:rsidP="00CE0B2B">
      <w:pPr>
        <w:spacing w:line="240" w:lineRule="auto"/>
        <w:ind w:left="360"/>
        <w:jc w:val="both"/>
        <w:rPr>
          <w:rFonts w:cstheme="minorHAnsi"/>
          <w:szCs w:val="24"/>
        </w:rPr>
      </w:pPr>
    </w:p>
    <w:p w14:paraId="31C35B54" w14:textId="2E93788A" w:rsidR="00CE0B2B" w:rsidRPr="00CE0B2B" w:rsidRDefault="00CE0B2B" w:rsidP="00CE0B2B">
      <w:pPr>
        <w:spacing w:line="240" w:lineRule="auto"/>
        <w:ind w:left="360"/>
        <w:jc w:val="both"/>
        <w:rPr>
          <w:rFonts w:cstheme="minorHAnsi"/>
          <w:szCs w:val="24"/>
        </w:rPr>
      </w:pPr>
      <w:r w:rsidRPr="00CE0B2B">
        <w:rPr>
          <w:rFonts w:cstheme="minorHAnsi"/>
          <w:szCs w:val="24"/>
        </w:rPr>
        <w:t xml:space="preserve">Jeffrey, B. and Woods, P. (1998) </w:t>
      </w:r>
      <w:r w:rsidRPr="00CE0B2B">
        <w:rPr>
          <w:rFonts w:cstheme="minorHAnsi"/>
          <w:i/>
          <w:iCs/>
          <w:szCs w:val="24"/>
        </w:rPr>
        <w:t xml:space="preserve">Testing Teachers: the effect of school inspections on primary teachers </w:t>
      </w:r>
      <w:r w:rsidRPr="00CE0B2B">
        <w:rPr>
          <w:rFonts w:cstheme="minorHAnsi"/>
          <w:szCs w:val="24"/>
        </w:rPr>
        <w:t>(London: Falmer Press).</w:t>
      </w:r>
    </w:p>
    <w:p w14:paraId="6A84037F" w14:textId="77777777" w:rsidR="00CE0B2B" w:rsidRPr="00CE0B2B" w:rsidRDefault="00CE0B2B" w:rsidP="00CE0B2B">
      <w:pPr>
        <w:spacing w:line="240" w:lineRule="auto"/>
        <w:ind w:left="360"/>
        <w:jc w:val="both"/>
        <w:rPr>
          <w:rFonts w:cstheme="minorHAnsi"/>
          <w:szCs w:val="24"/>
        </w:rPr>
      </w:pPr>
    </w:p>
    <w:p w14:paraId="55E2C00C" w14:textId="49E62623" w:rsidR="009E739A" w:rsidRPr="00CE0B2B" w:rsidRDefault="009E739A" w:rsidP="002073FB">
      <w:pPr>
        <w:spacing w:line="240" w:lineRule="auto"/>
        <w:ind w:left="360"/>
        <w:jc w:val="both"/>
        <w:rPr>
          <w:rFonts w:cstheme="minorHAnsi"/>
          <w:szCs w:val="24"/>
        </w:rPr>
      </w:pPr>
      <w:r w:rsidRPr="00CE0B2B">
        <w:rPr>
          <w:rFonts w:cstheme="minorHAnsi"/>
          <w:szCs w:val="24"/>
        </w:rPr>
        <w:t xml:space="preserve">Hattie, J. (2012) </w:t>
      </w:r>
      <w:r w:rsidRPr="00CE0B2B">
        <w:rPr>
          <w:rFonts w:cstheme="minorHAnsi"/>
          <w:i/>
          <w:iCs/>
          <w:szCs w:val="24"/>
        </w:rPr>
        <w:t>Visible learning for teachers : Maximizing impact on learning.</w:t>
      </w:r>
      <w:r w:rsidRPr="00CE0B2B">
        <w:rPr>
          <w:rFonts w:cstheme="minorHAnsi"/>
          <w:szCs w:val="24"/>
        </w:rPr>
        <w:t xml:space="preserve"> London ; New York: Routledge</w:t>
      </w:r>
    </w:p>
    <w:p w14:paraId="1D51EA14" w14:textId="77777777" w:rsidR="00CE0B2B" w:rsidRPr="00CE0B2B" w:rsidRDefault="00CE0B2B" w:rsidP="002073FB">
      <w:pPr>
        <w:spacing w:line="240" w:lineRule="auto"/>
        <w:ind w:left="360"/>
        <w:jc w:val="both"/>
        <w:rPr>
          <w:rFonts w:cstheme="minorHAnsi"/>
          <w:szCs w:val="24"/>
        </w:rPr>
      </w:pPr>
    </w:p>
    <w:p w14:paraId="52F4A5D1" w14:textId="77777777" w:rsidR="00CE0B2B" w:rsidRPr="00CE0B2B" w:rsidRDefault="00CE0B2B" w:rsidP="00CE0B2B">
      <w:pPr>
        <w:spacing w:line="240" w:lineRule="auto"/>
        <w:ind w:left="360"/>
        <w:jc w:val="both"/>
        <w:rPr>
          <w:rFonts w:cstheme="minorHAnsi"/>
          <w:i/>
          <w:iCs/>
          <w:szCs w:val="24"/>
        </w:rPr>
      </w:pPr>
      <w:r w:rsidRPr="00CE0B2B">
        <w:rPr>
          <w:rFonts w:cstheme="minorHAnsi"/>
          <w:szCs w:val="24"/>
        </w:rPr>
        <w:t xml:space="preserve">Hattie J. (2008) </w:t>
      </w:r>
      <w:r w:rsidRPr="00CE0B2B">
        <w:rPr>
          <w:rFonts w:cstheme="minorHAnsi"/>
          <w:i/>
          <w:iCs/>
          <w:szCs w:val="24"/>
        </w:rPr>
        <w:t xml:space="preserve">Visible Learning: A Synthesis of over 800 Meta-analyses Relating to </w:t>
      </w:r>
    </w:p>
    <w:p w14:paraId="0E8A25D6" w14:textId="77777777" w:rsidR="00CE0B2B" w:rsidRPr="00CE0B2B" w:rsidRDefault="00CE0B2B" w:rsidP="00CE0B2B">
      <w:pPr>
        <w:spacing w:line="240" w:lineRule="auto"/>
        <w:ind w:left="360"/>
        <w:jc w:val="both"/>
        <w:rPr>
          <w:rFonts w:cstheme="minorHAnsi"/>
          <w:szCs w:val="24"/>
        </w:rPr>
      </w:pPr>
      <w:r w:rsidRPr="00CE0B2B">
        <w:rPr>
          <w:rFonts w:cstheme="minorHAnsi"/>
          <w:i/>
          <w:iCs/>
          <w:szCs w:val="24"/>
        </w:rPr>
        <w:t>Achievement</w:t>
      </w:r>
      <w:r w:rsidRPr="00CE0B2B">
        <w:rPr>
          <w:rFonts w:cstheme="minorHAnsi"/>
          <w:szCs w:val="24"/>
        </w:rPr>
        <w:t>. New York: Routledge.</w:t>
      </w:r>
    </w:p>
    <w:p w14:paraId="64DA2D3A" w14:textId="77777777" w:rsidR="00CE0B2B" w:rsidRPr="00CE0B2B" w:rsidRDefault="00CE0B2B" w:rsidP="00CE0B2B">
      <w:pPr>
        <w:spacing w:line="240" w:lineRule="auto"/>
        <w:ind w:left="60"/>
        <w:jc w:val="both"/>
        <w:rPr>
          <w:rFonts w:cstheme="minorHAnsi"/>
          <w:szCs w:val="24"/>
        </w:rPr>
      </w:pPr>
    </w:p>
    <w:p w14:paraId="2105E389" w14:textId="77777777" w:rsidR="00CE0B2B" w:rsidRPr="00CE0B2B" w:rsidRDefault="00CE0B2B" w:rsidP="00CE0B2B">
      <w:pPr>
        <w:spacing w:line="240" w:lineRule="auto"/>
        <w:ind w:left="360"/>
        <w:jc w:val="both"/>
        <w:rPr>
          <w:rFonts w:cstheme="minorHAnsi"/>
          <w:szCs w:val="24"/>
        </w:rPr>
      </w:pPr>
      <w:r w:rsidRPr="00CE0B2B">
        <w:rPr>
          <w:rFonts w:cstheme="minorHAnsi"/>
          <w:szCs w:val="24"/>
        </w:rPr>
        <w:t xml:space="preserve">Hayes, D. (2010) </w:t>
      </w:r>
      <w:r w:rsidRPr="00CE0B2B">
        <w:rPr>
          <w:rFonts w:cstheme="minorHAnsi"/>
          <w:i/>
          <w:iCs/>
          <w:szCs w:val="24"/>
        </w:rPr>
        <w:t>The seductive charms of a cross-curricular approach</w:t>
      </w:r>
      <w:r w:rsidRPr="00CE0B2B">
        <w:rPr>
          <w:rFonts w:cstheme="minorHAnsi"/>
          <w:szCs w:val="24"/>
        </w:rPr>
        <w:t>, Education 3-13, 38:4, 381-387</w:t>
      </w:r>
    </w:p>
    <w:p w14:paraId="79F6D3F6" w14:textId="77777777" w:rsidR="00CE0B2B" w:rsidRPr="00CE0B2B" w:rsidRDefault="00CE0B2B" w:rsidP="00CE0B2B">
      <w:pPr>
        <w:spacing w:line="240" w:lineRule="auto"/>
        <w:ind w:left="360"/>
        <w:jc w:val="both"/>
        <w:rPr>
          <w:rFonts w:cstheme="minorHAnsi"/>
          <w:szCs w:val="24"/>
        </w:rPr>
      </w:pPr>
    </w:p>
    <w:p w14:paraId="0D2E725E" w14:textId="77777777" w:rsidR="00CE0B2B" w:rsidRPr="00CE0B2B" w:rsidRDefault="00CE0B2B" w:rsidP="00CE0B2B">
      <w:pPr>
        <w:spacing w:line="240" w:lineRule="auto"/>
        <w:ind w:left="360"/>
        <w:jc w:val="both"/>
        <w:rPr>
          <w:rFonts w:cstheme="minorHAnsi"/>
          <w:szCs w:val="24"/>
        </w:rPr>
      </w:pPr>
      <w:r w:rsidRPr="00CE0B2B">
        <w:rPr>
          <w:rFonts w:cstheme="minorHAnsi"/>
          <w:szCs w:val="24"/>
          <w:shd w:val="clear" w:color="auto" w:fill="FFFFFF"/>
        </w:rPr>
        <w:t>Hwb.gov.wales. (2021). </w:t>
      </w:r>
      <w:r w:rsidRPr="00CE0B2B">
        <w:rPr>
          <w:rFonts w:cstheme="minorHAnsi"/>
          <w:i/>
          <w:iCs/>
          <w:szCs w:val="24"/>
          <w:shd w:val="clear" w:color="auto" w:fill="FFFFFF"/>
        </w:rPr>
        <w:t>Implementation and practical considerations - Hwb</w:t>
      </w:r>
      <w:r w:rsidRPr="00CE0B2B">
        <w:rPr>
          <w:rFonts w:cstheme="minorHAnsi"/>
          <w:szCs w:val="24"/>
          <w:shd w:val="clear" w:color="auto" w:fill="FFFFFF"/>
        </w:rPr>
        <w:t>. [online] Available at: &lt;https://hwb.gov.wales/curriculum-for-wales/designing-your-curriculum/implementation-and-practical-considerations/&gt; [Accessed 18 March 2021].</w:t>
      </w:r>
    </w:p>
    <w:p w14:paraId="137B43A8" w14:textId="7ADF42E5" w:rsidR="00305064" w:rsidRPr="00CE0B2B" w:rsidRDefault="00305064" w:rsidP="002073FB">
      <w:pPr>
        <w:spacing w:line="240" w:lineRule="auto"/>
        <w:ind w:left="360"/>
        <w:jc w:val="both"/>
        <w:rPr>
          <w:rFonts w:cstheme="minorHAnsi"/>
          <w:szCs w:val="24"/>
        </w:rPr>
      </w:pPr>
    </w:p>
    <w:p w14:paraId="6216343D" w14:textId="6EB8ABF6" w:rsidR="00305064" w:rsidRPr="00CE0B2B" w:rsidRDefault="00305064" w:rsidP="002073FB">
      <w:pPr>
        <w:spacing w:line="240" w:lineRule="auto"/>
        <w:ind w:left="360"/>
        <w:jc w:val="both"/>
        <w:rPr>
          <w:rFonts w:cstheme="minorHAnsi"/>
          <w:szCs w:val="24"/>
        </w:rPr>
      </w:pPr>
      <w:r w:rsidRPr="00CE0B2B">
        <w:rPr>
          <w:rFonts w:cstheme="minorHAnsi"/>
          <w:szCs w:val="24"/>
        </w:rPr>
        <w:t>Iversen et al</w:t>
      </w:r>
      <w:r w:rsidR="00CE0B2B">
        <w:rPr>
          <w:rFonts w:cstheme="minorHAnsi"/>
          <w:szCs w:val="24"/>
        </w:rPr>
        <w:t>.</w:t>
      </w:r>
      <w:r w:rsidRPr="00CE0B2B">
        <w:rPr>
          <w:rFonts w:cstheme="minorHAnsi"/>
          <w:szCs w:val="24"/>
        </w:rPr>
        <w:t xml:space="preserve"> </w:t>
      </w:r>
      <w:r w:rsidR="00CE0B2B">
        <w:rPr>
          <w:rFonts w:cstheme="minorHAnsi"/>
          <w:szCs w:val="24"/>
        </w:rPr>
        <w:t>(</w:t>
      </w:r>
      <w:r w:rsidRPr="00CE0B2B">
        <w:rPr>
          <w:rFonts w:cstheme="minorHAnsi"/>
          <w:szCs w:val="24"/>
        </w:rPr>
        <w:t>2015</w:t>
      </w:r>
      <w:r w:rsidR="00CE0B2B">
        <w:rPr>
          <w:rFonts w:cstheme="minorHAnsi"/>
          <w:szCs w:val="24"/>
        </w:rPr>
        <w:t>)</w:t>
      </w:r>
      <w:r w:rsidRPr="00CE0B2B">
        <w:rPr>
          <w:rFonts w:cstheme="minorHAnsi"/>
          <w:szCs w:val="24"/>
        </w:rPr>
        <w:t xml:space="preserve"> </w:t>
      </w:r>
      <w:r w:rsidRPr="00CE0B2B">
        <w:rPr>
          <w:rFonts w:cstheme="minorHAnsi"/>
          <w:i/>
          <w:iCs/>
          <w:szCs w:val="24"/>
        </w:rPr>
        <w:t>Learning, Leading, and Letting Go of Control</w:t>
      </w:r>
      <w:r w:rsidRPr="00CE0B2B">
        <w:rPr>
          <w:rFonts w:cstheme="minorHAnsi"/>
          <w:szCs w:val="24"/>
        </w:rPr>
        <w:t>. SAGE open, 5(4), p.215824401560842. Available at: https://journals.sagepub.com/doi/full/10.1177/2158244015608423  (Accessed: 2nd March 2021)</w:t>
      </w:r>
    </w:p>
    <w:p w14:paraId="461A5BDA" w14:textId="068410C0" w:rsidR="00AD7CDB" w:rsidRPr="00CE0B2B" w:rsidRDefault="00AD7CDB" w:rsidP="002073FB">
      <w:pPr>
        <w:spacing w:line="240" w:lineRule="auto"/>
        <w:jc w:val="both"/>
        <w:rPr>
          <w:rFonts w:cstheme="minorHAnsi"/>
          <w:szCs w:val="24"/>
        </w:rPr>
      </w:pPr>
    </w:p>
    <w:p w14:paraId="13833D2A" w14:textId="28C313D2" w:rsidR="00917A4B" w:rsidRPr="00CE0B2B" w:rsidRDefault="00917A4B" w:rsidP="002073FB">
      <w:pPr>
        <w:spacing w:line="240" w:lineRule="auto"/>
        <w:ind w:left="360"/>
        <w:jc w:val="both"/>
        <w:rPr>
          <w:rFonts w:cstheme="minorHAnsi"/>
          <w:szCs w:val="24"/>
        </w:rPr>
      </w:pPr>
      <w:r w:rsidRPr="00CE0B2B">
        <w:rPr>
          <w:rFonts w:cstheme="minorHAnsi"/>
          <w:szCs w:val="24"/>
        </w:rPr>
        <w:t xml:space="preserve">Keddie, A., Mills, M. &amp; Pendergast, D. (2011) </w:t>
      </w:r>
      <w:r w:rsidRPr="00CE0B2B">
        <w:rPr>
          <w:rFonts w:cstheme="minorHAnsi"/>
          <w:i/>
          <w:iCs/>
          <w:szCs w:val="24"/>
        </w:rPr>
        <w:t>Fabricating an identity in neo-liberal times: Performing schooling as ‘number one’</w:t>
      </w:r>
      <w:r w:rsidRPr="00CE0B2B">
        <w:rPr>
          <w:rFonts w:cstheme="minorHAnsi"/>
          <w:szCs w:val="24"/>
        </w:rPr>
        <w:t>, Oxford Review of Education, 37(1), 75– 92.</w:t>
      </w:r>
    </w:p>
    <w:p w14:paraId="18E0E37E" w14:textId="77777777" w:rsidR="00917A4B" w:rsidRPr="00CE0B2B" w:rsidRDefault="00917A4B" w:rsidP="002073FB">
      <w:pPr>
        <w:spacing w:line="240" w:lineRule="auto"/>
        <w:jc w:val="both"/>
        <w:rPr>
          <w:rFonts w:cstheme="minorHAnsi"/>
          <w:szCs w:val="24"/>
        </w:rPr>
      </w:pPr>
    </w:p>
    <w:p w14:paraId="20C5D3FD" w14:textId="1B3C7B74" w:rsidR="00AD7CDB" w:rsidRPr="00CE0B2B" w:rsidRDefault="00AD7CDB" w:rsidP="002073FB">
      <w:pPr>
        <w:spacing w:line="240" w:lineRule="auto"/>
        <w:ind w:left="360"/>
        <w:jc w:val="both"/>
        <w:rPr>
          <w:rFonts w:cstheme="minorHAnsi"/>
          <w:szCs w:val="24"/>
        </w:rPr>
      </w:pPr>
      <w:r w:rsidRPr="00CE0B2B">
        <w:rPr>
          <w:rFonts w:cstheme="minorHAnsi"/>
          <w:szCs w:val="24"/>
        </w:rPr>
        <w:t>Kuiper, W. &amp; Berkvens, J. (2013</w:t>
      </w:r>
      <w:r w:rsidRPr="00CE0B2B">
        <w:rPr>
          <w:rFonts w:cstheme="minorHAnsi"/>
          <w:i/>
          <w:iCs/>
          <w:szCs w:val="24"/>
        </w:rPr>
        <w:t>) Balancing curriculum regulation and freedom across</w:t>
      </w:r>
      <w:r w:rsidRPr="00CE0B2B">
        <w:rPr>
          <w:rFonts w:cstheme="minorHAnsi"/>
          <w:szCs w:val="24"/>
        </w:rPr>
        <w:t xml:space="preserve"> </w:t>
      </w:r>
      <w:r w:rsidRPr="00CE0B2B">
        <w:rPr>
          <w:rFonts w:cstheme="minorHAnsi"/>
          <w:i/>
          <w:iCs/>
          <w:szCs w:val="24"/>
        </w:rPr>
        <w:t>Europe</w:t>
      </w:r>
      <w:r w:rsidRPr="00CE0B2B">
        <w:rPr>
          <w:rFonts w:cstheme="minorHAnsi"/>
          <w:szCs w:val="24"/>
        </w:rPr>
        <w:t>: CIDREE ( Enschede, The Netherlands: SLO).</w:t>
      </w:r>
    </w:p>
    <w:p w14:paraId="01CE52C8" w14:textId="455B5F94" w:rsidR="00AD7CDB" w:rsidRPr="00CE0B2B" w:rsidRDefault="00AD7CDB" w:rsidP="002073FB">
      <w:pPr>
        <w:spacing w:line="240" w:lineRule="auto"/>
        <w:jc w:val="both"/>
        <w:rPr>
          <w:rFonts w:cstheme="minorHAnsi"/>
          <w:szCs w:val="24"/>
        </w:rPr>
      </w:pPr>
    </w:p>
    <w:p w14:paraId="5D6E7985" w14:textId="63DC81C1" w:rsidR="00917A4B" w:rsidRPr="00CE0B2B" w:rsidRDefault="00917A4B" w:rsidP="002073FB">
      <w:pPr>
        <w:spacing w:line="240" w:lineRule="auto"/>
        <w:ind w:left="360"/>
        <w:jc w:val="both"/>
        <w:rPr>
          <w:rFonts w:cstheme="minorHAnsi"/>
          <w:szCs w:val="24"/>
        </w:rPr>
      </w:pPr>
      <w:r w:rsidRPr="00CE0B2B">
        <w:rPr>
          <w:rFonts w:cstheme="minorHAnsi"/>
          <w:szCs w:val="24"/>
        </w:rPr>
        <w:t xml:space="preserve">Law, E. H., Law, H. E. &amp; Nieveen, N. (2010) </w:t>
      </w:r>
      <w:r w:rsidRPr="00CE0B2B">
        <w:rPr>
          <w:rFonts w:cstheme="minorHAnsi"/>
          <w:i/>
          <w:iCs/>
          <w:szCs w:val="24"/>
        </w:rPr>
        <w:t>Schools as curriculum agencies: Asian and European perspectives on school‐based curriculum development</w:t>
      </w:r>
      <w:r w:rsidRPr="00CE0B2B">
        <w:rPr>
          <w:rFonts w:cstheme="minorHAnsi"/>
          <w:szCs w:val="24"/>
        </w:rPr>
        <w:t xml:space="preserve"> ( Rotterdam: Sense Publishers).</w:t>
      </w:r>
    </w:p>
    <w:p w14:paraId="403827CB" w14:textId="77777777" w:rsidR="00917A4B" w:rsidRPr="00CE0B2B" w:rsidRDefault="00917A4B" w:rsidP="002073FB">
      <w:pPr>
        <w:spacing w:line="240" w:lineRule="auto"/>
        <w:jc w:val="both"/>
        <w:rPr>
          <w:rFonts w:cstheme="minorHAnsi"/>
          <w:szCs w:val="24"/>
        </w:rPr>
      </w:pPr>
    </w:p>
    <w:p w14:paraId="6814D3AE" w14:textId="2AD82CFD" w:rsidR="000C4E8F" w:rsidRPr="00CE0B2B" w:rsidRDefault="000C4E8F" w:rsidP="002073FB">
      <w:pPr>
        <w:spacing w:line="240" w:lineRule="auto"/>
        <w:ind w:left="360"/>
        <w:jc w:val="both"/>
        <w:rPr>
          <w:rFonts w:cstheme="minorHAnsi"/>
          <w:szCs w:val="24"/>
        </w:rPr>
      </w:pPr>
      <w:r w:rsidRPr="00CE0B2B">
        <w:rPr>
          <w:rFonts w:cstheme="minorHAnsi"/>
          <w:szCs w:val="24"/>
        </w:rPr>
        <w:t>M</w:t>
      </w:r>
      <w:r w:rsidR="00AD7CDB" w:rsidRPr="00CE0B2B">
        <w:rPr>
          <w:rFonts w:cstheme="minorHAnsi"/>
          <w:szCs w:val="24"/>
        </w:rPr>
        <w:t>cber, H.</w:t>
      </w:r>
      <w:r w:rsidRPr="00CE0B2B">
        <w:rPr>
          <w:rFonts w:cstheme="minorHAnsi"/>
          <w:szCs w:val="24"/>
        </w:rPr>
        <w:t xml:space="preserve"> (2000) </w:t>
      </w:r>
      <w:r w:rsidRPr="00CE0B2B">
        <w:rPr>
          <w:rFonts w:cstheme="minorHAnsi"/>
          <w:i/>
          <w:iCs/>
          <w:szCs w:val="24"/>
        </w:rPr>
        <w:t>Research intoTeacher Effectiveness: a model of teacher effectiveness.</w:t>
      </w:r>
      <w:r w:rsidR="00CD7D10">
        <w:rPr>
          <w:rFonts w:cstheme="minorHAnsi"/>
          <w:i/>
          <w:iCs/>
          <w:szCs w:val="24"/>
        </w:rPr>
        <w:t xml:space="preserve"> </w:t>
      </w:r>
      <w:r w:rsidRPr="00CD7D10">
        <w:rPr>
          <w:rFonts w:cstheme="minorHAnsi"/>
          <w:szCs w:val="24"/>
        </w:rPr>
        <w:t xml:space="preserve">Report </w:t>
      </w:r>
      <w:r w:rsidR="00CD7D10">
        <w:rPr>
          <w:rFonts w:cstheme="minorHAnsi"/>
          <w:szCs w:val="24"/>
        </w:rPr>
        <w:t xml:space="preserve"> for </w:t>
      </w:r>
      <w:r w:rsidRPr="00CE0B2B">
        <w:rPr>
          <w:rFonts w:cstheme="minorHAnsi"/>
          <w:szCs w:val="24"/>
        </w:rPr>
        <w:t>the Department for Education &amp; Employment June 2000</w:t>
      </w:r>
      <w:r w:rsidR="00CD7D10">
        <w:rPr>
          <w:rFonts w:cstheme="minorHAnsi"/>
          <w:szCs w:val="24"/>
        </w:rPr>
        <w:t xml:space="preserve"> </w:t>
      </w:r>
      <w:r w:rsidRPr="00CE0B2B">
        <w:rPr>
          <w:rFonts w:cstheme="minorHAnsi"/>
          <w:szCs w:val="24"/>
        </w:rPr>
        <w:t>(London, DfEE).</w:t>
      </w:r>
    </w:p>
    <w:p w14:paraId="22589584" w14:textId="3B6CB9A7" w:rsidR="00917A4B" w:rsidRPr="00CE0B2B" w:rsidRDefault="00917A4B" w:rsidP="002073FB">
      <w:pPr>
        <w:spacing w:line="240" w:lineRule="auto"/>
        <w:jc w:val="both"/>
        <w:rPr>
          <w:rFonts w:cstheme="minorHAnsi"/>
          <w:szCs w:val="24"/>
        </w:rPr>
      </w:pPr>
    </w:p>
    <w:p w14:paraId="551B0732" w14:textId="3A726DDE" w:rsidR="00917A4B" w:rsidRPr="00CE0B2B" w:rsidRDefault="00917A4B" w:rsidP="002073FB">
      <w:pPr>
        <w:spacing w:line="240" w:lineRule="auto"/>
        <w:ind w:left="360"/>
        <w:jc w:val="both"/>
        <w:rPr>
          <w:rFonts w:cstheme="minorHAnsi"/>
          <w:szCs w:val="24"/>
        </w:rPr>
      </w:pPr>
      <w:r w:rsidRPr="00CE0B2B">
        <w:rPr>
          <w:rFonts w:cstheme="minorHAnsi"/>
          <w:szCs w:val="24"/>
        </w:rPr>
        <w:t xml:space="preserve">Nieveen, N. &amp; Kuiper, W. (2012) </w:t>
      </w:r>
      <w:r w:rsidRPr="00CD7D10">
        <w:rPr>
          <w:rFonts w:cstheme="minorHAnsi"/>
          <w:i/>
          <w:iCs/>
          <w:szCs w:val="24"/>
        </w:rPr>
        <w:t>Balancing curriculum freedom and regulation</w:t>
      </w:r>
      <w:r w:rsidRPr="00CE0B2B">
        <w:rPr>
          <w:rFonts w:cstheme="minorHAnsi"/>
          <w:szCs w:val="24"/>
        </w:rPr>
        <w:t xml:space="preserve"> in the Netherlands, European Educational Research Journal, 11(3), 357– 368.</w:t>
      </w:r>
    </w:p>
    <w:p w14:paraId="76EE7B7A" w14:textId="7D44C862" w:rsidR="009E739A" w:rsidRPr="00CE0B2B" w:rsidRDefault="009E739A" w:rsidP="002073FB">
      <w:pPr>
        <w:spacing w:line="240" w:lineRule="auto"/>
        <w:jc w:val="both"/>
        <w:rPr>
          <w:rFonts w:cstheme="minorHAnsi"/>
          <w:szCs w:val="24"/>
        </w:rPr>
      </w:pPr>
    </w:p>
    <w:p w14:paraId="088F1029" w14:textId="77777777" w:rsidR="00CE0B2B" w:rsidRPr="00CE0B2B" w:rsidRDefault="00CE0B2B" w:rsidP="00CE0B2B">
      <w:pPr>
        <w:spacing w:line="240" w:lineRule="auto"/>
        <w:ind w:left="360"/>
        <w:jc w:val="both"/>
        <w:rPr>
          <w:rFonts w:cstheme="minorHAnsi"/>
          <w:szCs w:val="24"/>
          <w:shd w:val="clear" w:color="auto" w:fill="FFFFFF"/>
        </w:rPr>
      </w:pPr>
      <w:r w:rsidRPr="00CE0B2B">
        <w:rPr>
          <w:rFonts w:cstheme="minorHAnsi"/>
          <w:szCs w:val="24"/>
        </w:rPr>
        <w:t xml:space="preserve">OECD (2005) </w:t>
      </w:r>
      <w:r w:rsidRPr="00CD7D10">
        <w:rPr>
          <w:rFonts w:cstheme="minorHAnsi"/>
          <w:i/>
          <w:iCs/>
          <w:szCs w:val="24"/>
        </w:rPr>
        <w:t>Teachers Matter: attracting, developing and retaining effective teachers</w:t>
      </w:r>
      <w:r w:rsidRPr="00CE0B2B">
        <w:rPr>
          <w:rFonts w:cstheme="minorHAnsi"/>
          <w:szCs w:val="24"/>
        </w:rPr>
        <w:t xml:space="preserve"> (Paris, OECD).</w:t>
      </w:r>
      <w:r w:rsidRPr="00CE0B2B">
        <w:rPr>
          <w:rFonts w:cstheme="minorHAnsi"/>
          <w:szCs w:val="24"/>
          <w:shd w:val="clear" w:color="auto" w:fill="FFFFFF"/>
        </w:rPr>
        <w:t xml:space="preserve"> </w:t>
      </w:r>
    </w:p>
    <w:p w14:paraId="736BA4EC" w14:textId="77777777" w:rsidR="00CE0B2B" w:rsidRPr="00CE0B2B" w:rsidRDefault="00CE0B2B" w:rsidP="00CE0B2B">
      <w:pPr>
        <w:spacing w:line="240" w:lineRule="auto"/>
        <w:ind w:left="360"/>
        <w:jc w:val="both"/>
        <w:rPr>
          <w:rFonts w:cstheme="minorHAnsi"/>
          <w:szCs w:val="24"/>
          <w:shd w:val="clear" w:color="auto" w:fill="FFFFFF"/>
        </w:rPr>
      </w:pPr>
    </w:p>
    <w:p w14:paraId="03A2DC23" w14:textId="77777777" w:rsidR="00CE0B2B" w:rsidRPr="00CE0B2B" w:rsidRDefault="00CE0B2B" w:rsidP="00CE0B2B">
      <w:pPr>
        <w:spacing w:line="240" w:lineRule="auto"/>
        <w:ind w:left="360"/>
        <w:jc w:val="both"/>
        <w:rPr>
          <w:rFonts w:cstheme="minorHAnsi"/>
          <w:szCs w:val="24"/>
        </w:rPr>
      </w:pPr>
      <w:r w:rsidRPr="00CE0B2B">
        <w:rPr>
          <w:rFonts w:cstheme="minorHAnsi"/>
          <w:szCs w:val="24"/>
          <w:shd w:val="clear" w:color="auto" w:fill="FFFFFF"/>
        </w:rPr>
        <w:t>Oecd.org. 2021. </w:t>
      </w:r>
      <w:r w:rsidRPr="00CE0B2B">
        <w:rPr>
          <w:rFonts w:cstheme="minorHAnsi"/>
          <w:i/>
          <w:iCs/>
          <w:szCs w:val="24"/>
          <w:shd w:val="clear" w:color="auto" w:fill="FFFFFF"/>
        </w:rPr>
        <w:t>About - PISA</w:t>
      </w:r>
      <w:r w:rsidRPr="00CE0B2B">
        <w:rPr>
          <w:rFonts w:cstheme="minorHAnsi"/>
          <w:szCs w:val="24"/>
          <w:shd w:val="clear" w:color="auto" w:fill="FFFFFF"/>
        </w:rPr>
        <w:t xml:space="preserve">. [online] Available at: &lt;http://www.oecd.org/PISA/aboutPISA/&gt; [Accessed 18 March 2021]. </w:t>
      </w:r>
    </w:p>
    <w:p w14:paraId="4CD2E00E" w14:textId="2AEE4D22" w:rsidR="009E739A" w:rsidRPr="00CE0B2B" w:rsidRDefault="009E739A" w:rsidP="002073FB">
      <w:pPr>
        <w:spacing w:line="240" w:lineRule="auto"/>
        <w:jc w:val="both"/>
        <w:rPr>
          <w:rFonts w:cstheme="minorHAnsi"/>
          <w:szCs w:val="24"/>
        </w:rPr>
      </w:pPr>
    </w:p>
    <w:p w14:paraId="50EA4DD5" w14:textId="142F0BF3" w:rsidR="009E739A" w:rsidRPr="00CE0B2B" w:rsidRDefault="009E739A" w:rsidP="002073FB">
      <w:pPr>
        <w:spacing w:line="240" w:lineRule="auto"/>
        <w:ind w:left="360"/>
        <w:jc w:val="both"/>
        <w:rPr>
          <w:rFonts w:cstheme="minorHAnsi"/>
          <w:szCs w:val="24"/>
        </w:rPr>
      </w:pPr>
    </w:p>
    <w:p w14:paraId="6BEA1688" w14:textId="23F29F0A" w:rsidR="00305064" w:rsidRPr="00CE0B2B" w:rsidRDefault="00305064" w:rsidP="002073FB">
      <w:pPr>
        <w:spacing w:line="240" w:lineRule="auto"/>
        <w:ind w:left="360"/>
        <w:jc w:val="both"/>
        <w:rPr>
          <w:rFonts w:cstheme="minorHAnsi"/>
          <w:szCs w:val="24"/>
        </w:rPr>
      </w:pPr>
      <w:r w:rsidRPr="00CE0B2B">
        <w:rPr>
          <w:rFonts w:cstheme="minorHAnsi"/>
          <w:szCs w:val="24"/>
        </w:rPr>
        <w:t xml:space="preserve">Piaget, J. (1954). </w:t>
      </w:r>
      <w:r w:rsidRPr="00CD7D10">
        <w:rPr>
          <w:rFonts w:cstheme="minorHAnsi"/>
          <w:i/>
          <w:iCs/>
          <w:szCs w:val="24"/>
        </w:rPr>
        <w:t xml:space="preserve">The construction of reality in the child. </w:t>
      </w:r>
      <w:r w:rsidRPr="00CE0B2B">
        <w:rPr>
          <w:rFonts w:cstheme="minorHAnsi"/>
          <w:szCs w:val="24"/>
        </w:rPr>
        <w:t>New York, NY: Basic Books.</w:t>
      </w:r>
    </w:p>
    <w:p w14:paraId="4F0CB0E0" w14:textId="01668664" w:rsidR="009E739A" w:rsidRPr="00CE0B2B" w:rsidRDefault="009E739A" w:rsidP="002073FB">
      <w:pPr>
        <w:spacing w:line="240" w:lineRule="auto"/>
        <w:jc w:val="both"/>
        <w:rPr>
          <w:rFonts w:cstheme="minorHAnsi"/>
          <w:szCs w:val="24"/>
        </w:rPr>
      </w:pPr>
    </w:p>
    <w:p w14:paraId="34EA5658" w14:textId="6474BE02" w:rsidR="009E739A" w:rsidRPr="00CD7D10" w:rsidRDefault="009E739A" w:rsidP="002073FB">
      <w:pPr>
        <w:spacing w:line="240" w:lineRule="auto"/>
        <w:ind w:left="360"/>
        <w:jc w:val="both"/>
        <w:rPr>
          <w:rFonts w:cstheme="minorHAnsi"/>
          <w:i/>
          <w:iCs/>
          <w:szCs w:val="24"/>
        </w:rPr>
      </w:pPr>
      <w:r w:rsidRPr="00CE0B2B">
        <w:rPr>
          <w:rFonts w:cstheme="minorHAnsi"/>
          <w:szCs w:val="24"/>
        </w:rPr>
        <w:t xml:space="preserve">Painter A., Bamfield M. (2015) </w:t>
      </w:r>
      <w:r w:rsidRPr="00CD7D10">
        <w:rPr>
          <w:rFonts w:cstheme="minorHAnsi"/>
          <w:i/>
          <w:iCs/>
          <w:szCs w:val="24"/>
        </w:rPr>
        <w:t xml:space="preserve">The New Digital Learning Age: How we can enable </w:t>
      </w:r>
    </w:p>
    <w:p w14:paraId="1CFF4710" w14:textId="77777777" w:rsidR="009E739A" w:rsidRPr="00CE0B2B" w:rsidRDefault="009E739A" w:rsidP="002073FB">
      <w:pPr>
        <w:spacing w:line="240" w:lineRule="auto"/>
        <w:ind w:left="360"/>
        <w:jc w:val="both"/>
        <w:rPr>
          <w:rFonts w:cstheme="minorHAnsi"/>
          <w:szCs w:val="24"/>
        </w:rPr>
      </w:pPr>
      <w:r w:rsidRPr="00CD7D10">
        <w:rPr>
          <w:rFonts w:cstheme="minorHAnsi"/>
          <w:i/>
          <w:iCs/>
          <w:szCs w:val="24"/>
        </w:rPr>
        <w:t>social mobility through technology</w:t>
      </w:r>
      <w:r w:rsidRPr="00CE0B2B">
        <w:rPr>
          <w:rFonts w:cstheme="minorHAnsi"/>
          <w:szCs w:val="24"/>
        </w:rPr>
        <w:t>. RSA:London.</w:t>
      </w:r>
    </w:p>
    <w:p w14:paraId="21ED3128" w14:textId="1E12C21D" w:rsidR="009E739A" w:rsidRPr="00CE0B2B" w:rsidRDefault="009E739A" w:rsidP="002073FB">
      <w:pPr>
        <w:spacing w:line="240" w:lineRule="auto"/>
        <w:jc w:val="both"/>
        <w:rPr>
          <w:rFonts w:cstheme="minorHAnsi"/>
          <w:szCs w:val="24"/>
        </w:rPr>
      </w:pPr>
    </w:p>
    <w:p w14:paraId="50AD8F3A" w14:textId="3CEBFD72" w:rsidR="00AD7CDB" w:rsidRPr="00CE0B2B" w:rsidRDefault="00AD7CDB" w:rsidP="002073FB">
      <w:pPr>
        <w:spacing w:line="240" w:lineRule="auto"/>
        <w:ind w:left="360"/>
        <w:jc w:val="both"/>
        <w:rPr>
          <w:rFonts w:cstheme="minorHAnsi"/>
          <w:szCs w:val="24"/>
        </w:rPr>
      </w:pPr>
      <w:r w:rsidRPr="00CE0B2B">
        <w:rPr>
          <w:rFonts w:cstheme="minorHAnsi"/>
          <w:szCs w:val="24"/>
        </w:rPr>
        <w:t xml:space="preserve">Pearson, L. C. &amp; Moomaw, W. (2005) </w:t>
      </w:r>
      <w:r w:rsidRPr="00CD7D10">
        <w:rPr>
          <w:rFonts w:cstheme="minorHAnsi"/>
          <w:i/>
          <w:iCs/>
          <w:szCs w:val="24"/>
        </w:rPr>
        <w:t xml:space="preserve">The Relationship between teacher autonomy and stress, work satisfaction, empowerment, and professionalism, </w:t>
      </w:r>
      <w:r w:rsidRPr="00CD7D10">
        <w:rPr>
          <w:rFonts w:cstheme="minorHAnsi"/>
          <w:szCs w:val="24"/>
        </w:rPr>
        <w:t>Educational Research Quarterly</w:t>
      </w:r>
      <w:r w:rsidRPr="00CE0B2B">
        <w:rPr>
          <w:rFonts w:cstheme="minorHAnsi"/>
          <w:szCs w:val="24"/>
        </w:rPr>
        <w:t>, 29(1), 37– 53.</w:t>
      </w:r>
    </w:p>
    <w:p w14:paraId="5FD2339C" w14:textId="77777777" w:rsidR="00AD7CDB" w:rsidRPr="00CE0B2B" w:rsidRDefault="00AD7CDB" w:rsidP="002073FB">
      <w:pPr>
        <w:spacing w:line="240" w:lineRule="auto"/>
        <w:jc w:val="both"/>
        <w:rPr>
          <w:rFonts w:cstheme="minorHAnsi"/>
          <w:szCs w:val="24"/>
        </w:rPr>
      </w:pPr>
    </w:p>
    <w:p w14:paraId="7E50C6D2" w14:textId="6FC14FDE" w:rsidR="00C547C9" w:rsidRPr="00CD7D10" w:rsidRDefault="00C547C9" w:rsidP="002073FB">
      <w:pPr>
        <w:spacing w:line="240" w:lineRule="auto"/>
        <w:ind w:left="360"/>
        <w:jc w:val="both"/>
        <w:rPr>
          <w:rFonts w:cstheme="minorHAnsi"/>
          <w:i/>
          <w:iCs/>
          <w:szCs w:val="24"/>
        </w:rPr>
      </w:pPr>
      <w:r w:rsidRPr="00CE0B2B">
        <w:rPr>
          <w:rFonts w:cstheme="minorHAnsi"/>
          <w:szCs w:val="24"/>
        </w:rPr>
        <w:t xml:space="preserve">Priestley, M. et al (2020) </w:t>
      </w:r>
      <w:r w:rsidRPr="00CD7D10">
        <w:rPr>
          <w:rFonts w:cstheme="minorHAnsi"/>
          <w:i/>
          <w:iCs/>
          <w:szCs w:val="24"/>
        </w:rPr>
        <w:t>Successful futures, successful curriculum: What can Wales learn from international curriculum reforms?</w:t>
      </w:r>
    </w:p>
    <w:p w14:paraId="6621E6EA" w14:textId="3DA4952C" w:rsidR="00917A4B" w:rsidRPr="00CE0B2B" w:rsidRDefault="00917A4B" w:rsidP="002073FB">
      <w:pPr>
        <w:spacing w:line="240" w:lineRule="auto"/>
        <w:jc w:val="both"/>
        <w:rPr>
          <w:rFonts w:cstheme="minorHAnsi"/>
          <w:szCs w:val="24"/>
        </w:rPr>
      </w:pPr>
    </w:p>
    <w:p w14:paraId="4D406BF7" w14:textId="77777777" w:rsidR="006C7509" w:rsidRPr="00CD7D10" w:rsidRDefault="00917A4B" w:rsidP="002073FB">
      <w:pPr>
        <w:spacing w:line="240" w:lineRule="auto"/>
        <w:ind w:left="360"/>
        <w:jc w:val="both"/>
        <w:rPr>
          <w:rFonts w:cstheme="minorHAnsi"/>
          <w:i/>
          <w:iCs/>
          <w:szCs w:val="24"/>
        </w:rPr>
      </w:pPr>
      <w:r w:rsidRPr="00CE0B2B">
        <w:rPr>
          <w:rFonts w:cstheme="minorHAnsi"/>
          <w:szCs w:val="24"/>
        </w:rPr>
        <w:t xml:space="preserve">Pyhältö, K., Pietarinen, J., &amp; Soini, T. (2018) </w:t>
      </w:r>
      <w:r w:rsidRPr="00CD7D10">
        <w:rPr>
          <w:rFonts w:cstheme="minorHAnsi"/>
          <w:i/>
          <w:iCs/>
          <w:szCs w:val="24"/>
        </w:rPr>
        <w:t xml:space="preserve">Dynamic and shared sense-making in large-scale </w:t>
      </w:r>
    </w:p>
    <w:p w14:paraId="6DACA9B3" w14:textId="1B442FA1" w:rsidR="006C7509" w:rsidRPr="00CE0B2B" w:rsidRDefault="00917A4B" w:rsidP="00CE0B2B">
      <w:pPr>
        <w:spacing w:line="240" w:lineRule="auto"/>
        <w:ind w:left="360"/>
        <w:jc w:val="both"/>
        <w:rPr>
          <w:rFonts w:cstheme="minorHAnsi"/>
          <w:szCs w:val="24"/>
        </w:rPr>
      </w:pPr>
      <w:r w:rsidRPr="00CD7D10">
        <w:rPr>
          <w:rFonts w:cstheme="minorHAnsi"/>
          <w:i/>
          <w:iCs/>
          <w:szCs w:val="24"/>
        </w:rPr>
        <w:t>curriculum reform in school districts</w:t>
      </w:r>
      <w:r w:rsidRPr="00CE0B2B">
        <w:rPr>
          <w:rFonts w:cstheme="minorHAnsi"/>
          <w:szCs w:val="24"/>
        </w:rPr>
        <w:t>, Curriculum Journal, 29(2), 181.</w:t>
      </w:r>
    </w:p>
    <w:p w14:paraId="29143125" w14:textId="77777777" w:rsidR="00AD7CDB" w:rsidRPr="00CE0B2B" w:rsidRDefault="00AD7CDB" w:rsidP="002073FB">
      <w:pPr>
        <w:spacing w:line="240" w:lineRule="auto"/>
        <w:jc w:val="both"/>
        <w:rPr>
          <w:rFonts w:cstheme="minorHAnsi"/>
          <w:szCs w:val="24"/>
        </w:rPr>
      </w:pPr>
    </w:p>
    <w:p w14:paraId="612349B3" w14:textId="77777777" w:rsidR="00AD7CDB" w:rsidRPr="00CE0B2B" w:rsidRDefault="00AD7CDB" w:rsidP="002073FB">
      <w:pPr>
        <w:spacing w:line="240" w:lineRule="auto"/>
        <w:ind w:left="360"/>
        <w:jc w:val="both"/>
        <w:rPr>
          <w:rFonts w:cstheme="minorHAnsi"/>
          <w:szCs w:val="24"/>
        </w:rPr>
      </w:pPr>
      <w:r w:rsidRPr="00CE0B2B">
        <w:rPr>
          <w:rFonts w:cstheme="minorHAnsi"/>
          <w:szCs w:val="24"/>
        </w:rPr>
        <w:t xml:space="preserve">Rata, E. (2012) </w:t>
      </w:r>
      <w:r w:rsidRPr="00CD7D10">
        <w:rPr>
          <w:rFonts w:cstheme="minorHAnsi"/>
          <w:i/>
          <w:iCs/>
          <w:szCs w:val="24"/>
        </w:rPr>
        <w:t>The politics of knowledge in education</w:t>
      </w:r>
      <w:r w:rsidRPr="00CE0B2B">
        <w:rPr>
          <w:rFonts w:cstheme="minorHAnsi"/>
          <w:szCs w:val="24"/>
        </w:rPr>
        <w:t>, British Educational Research Journal, 38(1), 103– 124.</w:t>
      </w:r>
    </w:p>
    <w:p w14:paraId="648E526D" w14:textId="77777777" w:rsidR="00C547C9" w:rsidRPr="00CE0B2B" w:rsidRDefault="00C547C9" w:rsidP="002073FB">
      <w:pPr>
        <w:spacing w:line="240" w:lineRule="auto"/>
        <w:jc w:val="both"/>
        <w:rPr>
          <w:rFonts w:cstheme="minorHAnsi"/>
          <w:szCs w:val="24"/>
        </w:rPr>
      </w:pPr>
    </w:p>
    <w:p w14:paraId="58635C49" w14:textId="4242B0EA" w:rsidR="000C4E8F" w:rsidRPr="00CE0B2B" w:rsidRDefault="000C4E8F" w:rsidP="002073FB">
      <w:pPr>
        <w:spacing w:line="240" w:lineRule="auto"/>
        <w:ind w:left="360"/>
        <w:jc w:val="both"/>
        <w:rPr>
          <w:rFonts w:cstheme="minorHAnsi"/>
          <w:szCs w:val="24"/>
        </w:rPr>
      </w:pPr>
      <w:r w:rsidRPr="00CE0B2B">
        <w:rPr>
          <w:rFonts w:cstheme="minorHAnsi"/>
          <w:szCs w:val="24"/>
        </w:rPr>
        <w:t>Sammons, P. &amp; Bakkum, L. (2012</w:t>
      </w:r>
      <w:r w:rsidRPr="00CD7D10">
        <w:rPr>
          <w:rFonts w:cstheme="minorHAnsi"/>
          <w:i/>
          <w:iCs/>
          <w:szCs w:val="24"/>
        </w:rPr>
        <w:t>) Effective schools, equity and teacher effectiveness: a review of the literature</w:t>
      </w:r>
      <w:r w:rsidRPr="00CD7D10">
        <w:rPr>
          <w:rFonts w:cstheme="minorHAnsi"/>
          <w:szCs w:val="24"/>
        </w:rPr>
        <w:t>, Profesorado Revista de Curriculum</w:t>
      </w:r>
      <w:r w:rsidRPr="00CE0B2B">
        <w:rPr>
          <w:rFonts w:cstheme="minorHAnsi"/>
          <w:szCs w:val="24"/>
        </w:rPr>
        <w:t xml:space="preserve"> yFormación del Profesorado, 15, pp. 9–26.</w:t>
      </w:r>
    </w:p>
    <w:p w14:paraId="24135FA9" w14:textId="77777777" w:rsidR="000C4E8F" w:rsidRPr="00CE0B2B" w:rsidRDefault="000C4E8F" w:rsidP="002073FB">
      <w:pPr>
        <w:spacing w:line="240" w:lineRule="auto"/>
        <w:jc w:val="both"/>
        <w:rPr>
          <w:rFonts w:cstheme="minorHAnsi"/>
          <w:szCs w:val="24"/>
        </w:rPr>
      </w:pPr>
    </w:p>
    <w:p w14:paraId="463FEB59" w14:textId="1389D408" w:rsidR="000C4E8F" w:rsidRPr="00CE0B2B" w:rsidRDefault="000C4E8F" w:rsidP="002073FB">
      <w:pPr>
        <w:spacing w:line="240" w:lineRule="auto"/>
        <w:ind w:left="360"/>
        <w:jc w:val="both"/>
        <w:rPr>
          <w:rFonts w:cstheme="minorHAnsi"/>
          <w:szCs w:val="24"/>
        </w:rPr>
      </w:pPr>
      <w:r w:rsidRPr="00CE0B2B">
        <w:rPr>
          <w:rFonts w:cstheme="minorHAnsi"/>
          <w:szCs w:val="24"/>
        </w:rPr>
        <w:t xml:space="preserve">Steger, C. (2014) </w:t>
      </w:r>
      <w:r w:rsidRPr="00CD7D10">
        <w:rPr>
          <w:rFonts w:cstheme="minorHAnsi"/>
          <w:i/>
          <w:iCs/>
          <w:szCs w:val="24"/>
        </w:rPr>
        <w:t>Review and analysis of the EU teacher-related policies and</w:t>
      </w:r>
      <w:r w:rsidR="00CD7D10">
        <w:rPr>
          <w:rFonts w:cstheme="minorHAnsi"/>
          <w:i/>
          <w:iCs/>
          <w:szCs w:val="24"/>
        </w:rPr>
        <w:t xml:space="preserve"> </w:t>
      </w:r>
      <w:r w:rsidRPr="00CD7D10">
        <w:rPr>
          <w:rFonts w:cstheme="minorHAnsi"/>
          <w:i/>
          <w:iCs/>
          <w:szCs w:val="24"/>
        </w:rPr>
        <w:t>activities</w:t>
      </w:r>
      <w:r w:rsidRPr="00CE0B2B">
        <w:rPr>
          <w:rFonts w:cstheme="minorHAnsi"/>
          <w:szCs w:val="24"/>
        </w:rPr>
        <w:t>, European Journal of Education, 49, pp. 332–347</w:t>
      </w:r>
    </w:p>
    <w:p w14:paraId="04797BC1" w14:textId="77777777" w:rsidR="000C4E8F" w:rsidRPr="00CE0B2B" w:rsidRDefault="000C4E8F" w:rsidP="002073FB">
      <w:pPr>
        <w:spacing w:line="240" w:lineRule="auto"/>
        <w:jc w:val="both"/>
        <w:rPr>
          <w:rFonts w:cstheme="minorHAnsi"/>
          <w:szCs w:val="24"/>
        </w:rPr>
      </w:pPr>
    </w:p>
    <w:p w14:paraId="0AF65000" w14:textId="6A8F8D4F" w:rsidR="009E739A" w:rsidRPr="00CE0B2B" w:rsidRDefault="009E739A" w:rsidP="002073FB">
      <w:pPr>
        <w:spacing w:line="240" w:lineRule="auto"/>
        <w:ind w:left="360"/>
        <w:jc w:val="both"/>
        <w:rPr>
          <w:rFonts w:cstheme="minorHAnsi"/>
          <w:szCs w:val="24"/>
        </w:rPr>
      </w:pPr>
      <w:r w:rsidRPr="00CE0B2B">
        <w:rPr>
          <w:rFonts w:cstheme="minorHAnsi"/>
          <w:szCs w:val="24"/>
        </w:rPr>
        <w:t>Sternberg R &amp; Krauss G (eds) (2014) H</w:t>
      </w:r>
      <w:r w:rsidRPr="00CD7D10">
        <w:rPr>
          <w:rFonts w:cstheme="minorHAnsi"/>
          <w:i/>
          <w:iCs/>
          <w:szCs w:val="24"/>
        </w:rPr>
        <w:t>andbook of Research on Entrepreneurship and Creativity</w:t>
      </w:r>
      <w:r w:rsidRPr="00CE0B2B">
        <w:rPr>
          <w:rFonts w:cstheme="minorHAnsi"/>
          <w:szCs w:val="24"/>
        </w:rPr>
        <w:t>. Cheltenham UK and Massachusetts USA: Edward Elgar Publishing</w:t>
      </w:r>
    </w:p>
    <w:p w14:paraId="68F6373B" w14:textId="48B1BA36" w:rsidR="000C4E8F" w:rsidRPr="00CE0B2B" w:rsidRDefault="000C4E8F" w:rsidP="002073FB">
      <w:pPr>
        <w:spacing w:line="240" w:lineRule="auto"/>
        <w:jc w:val="both"/>
        <w:rPr>
          <w:rFonts w:cstheme="minorHAnsi"/>
          <w:szCs w:val="24"/>
        </w:rPr>
      </w:pPr>
    </w:p>
    <w:p w14:paraId="2667C1AE" w14:textId="1936D7B9" w:rsidR="009E739A" w:rsidRPr="00CE0B2B" w:rsidRDefault="00AD7CDB" w:rsidP="002073FB">
      <w:pPr>
        <w:spacing w:line="240" w:lineRule="auto"/>
        <w:ind w:left="360"/>
        <w:jc w:val="both"/>
        <w:rPr>
          <w:rFonts w:cstheme="minorHAnsi"/>
          <w:szCs w:val="24"/>
        </w:rPr>
      </w:pPr>
      <w:r w:rsidRPr="00CE0B2B">
        <w:rPr>
          <w:rFonts w:cstheme="minorHAnsi"/>
          <w:szCs w:val="24"/>
        </w:rPr>
        <w:t xml:space="preserve">Sinnema, C., Alansari, M., Turner, H. (2011) </w:t>
      </w:r>
      <w:r w:rsidRPr="00CD7D10">
        <w:rPr>
          <w:rFonts w:cstheme="minorHAnsi"/>
          <w:i/>
          <w:iCs/>
          <w:szCs w:val="24"/>
        </w:rPr>
        <w:t>Monitoring and evaluating curriculum implementation. Final evaluation report on the implementation of the New Zealand curriculum 2008–2009.</w:t>
      </w:r>
      <w:r w:rsidRPr="00CE0B2B">
        <w:rPr>
          <w:rFonts w:cstheme="minorHAnsi"/>
          <w:szCs w:val="24"/>
        </w:rPr>
        <w:t xml:space="preserve"> Wellington: The New Zealand Ministry of Education.</w:t>
      </w:r>
    </w:p>
    <w:p w14:paraId="50A89BC1" w14:textId="77777777" w:rsidR="00AD7CDB" w:rsidRPr="00CE0B2B" w:rsidRDefault="00AD7CDB" w:rsidP="002073FB">
      <w:pPr>
        <w:spacing w:line="240" w:lineRule="auto"/>
        <w:jc w:val="both"/>
        <w:rPr>
          <w:rFonts w:cstheme="minorHAnsi"/>
          <w:szCs w:val="24"/>
        </w:rPr>
      </w:pPr>
    </w:p>
    <w:p w14:paraId="757DF418" w14:textId="57C2C633" w:rsidR="009E739A" w:rsidRPr="00CD7D10" w:rsidRDefault="009E739A" w:rsidP="002073FB">
      <w:pPr>
        <w:spacing w:line="240" w:lineRule="auto"/>
        <w:ind w:left="360"/>
        <w:jc w:val="both"/>
        <w:rPr>
          <w:rFonts w:cstheme="minorHAnsi"/>
          <w:i/>
          <w:iCs/>
          <w:szCs w:val="24"/>
        </w:rPr>
      </w:pPr>
      <w:r w:rsidRPr="00CE0B2B">
        <w:rPr>
          <w:rFonts w:cstheme="minorHAnsi"/>
          <w:szCs w:val="24"/>
        </w:rPr>
        <w:t xml:space="preserve">Siraj, I., &amp; Kingston, D. (2014). </w:t>
      </w:r>
      <w:r w:rsidRPr="00CD7D10">
        <w:rPr>
          <w:rFonts w:cstheme="minorHAnsi"/>
          <w:i/>
          <w:iCs/>
          <w:szCs w:val="24"/>
        </w:rPr>
        <w:t xml:space="preserve">An independent stocktake of the Foundation Phase in </w:t>
      </w:r>
    </w:p>
    <w:p w14:paraId="7C0A2C49" w14:textId="21008ECB" w:rsidR="009E739A" w:rsidRPr="00CE0B2B" w:rsidRDefault="009E739A" w:rsidP="002073FB">
      <w:pPr>
        <w:spacing w:line="240" w:lineRule="auto"/>
        <w:ind w:left="360"/>
        <w:jc w:val="both"/>
        <w:rPr>
          <w:rFonts w:cstheme="minorHAnsi"/>
          <w:szCs w:val="24"/>
        </w:rPr>
      </w:pPr>
      <w:r w:rsidRPr="00CD7D10">
        <w:rPr>
          <w:rFonts w:cstheme="minorHAnsi"/>
          <w:i/>
          <w:iCs/>
          <w:szCs w:val="24"/>
        </w:rPr>
        <w:t>Wales. Final Report</w:t>
      </w:r>
      <w:r w:rsidRPr="00CE0B2B">
        <w:rPr>
          <w:rFonts w:cstheme="minorHAnsi"/>
          <w:szCs w:val="24"/>
        </w:rPr>
        <w:t>. Cardiff: Welsh Assembly Government.</w:t>
      </w:r>
    </w:p>
    <w:p w14:paraId="2D51D831" w14:textId="663A75BB" w:rsidR="009E739A" w:rsidRPr="00CE0B2B" w:rsidRDefault="009E739A" w:rsidP="002073FB">
      <w:pPr>
        <w:spacing w:line="240" w:lineRule="auto"/>
        <w:jc w:val="both"/>
        <w:rPr>
          <w:rFonts w:cstheme="minorHAnsi"/>
          <w:szCs w:val="24"/>
        </w:rPr>
      </w:pPr>
    </w:p>
    <w:p w14:paraId="37DFAA64" w14:textId="090EF629" w:rsidR="009E739A" w:rsidRPr="00CE0B2B" w:rsidRDefault="009E739A" w:rsidP="002073FB">
      <w:pPr>
        <w:spacing w:line="240" w:lineRule="auto"/>
        <w:ind w:left="360"/>
        <w:jc w:val="both"/>
        <w:rPr>
          <w:rFonts w:cstheme="minorHAnsi"/>
          <w:szCs w:val="24"/>
        </w:rPr>
      </w:pPr>
      <w:r w:rsidRPr="00CE0B2B">
        <w:rPr>
          <w:rFonts w:cstheme="minorHAnsi"/>
          <w:szCs w:val="24"/>
        </w:rPr>
        <w:t xml:space="preserve">Taylor, C., Rhys, M., Waldron, S., Davies, R., Power, S., Maynard, T., Moore, </w:t>
      </w:r>
    </w:p>
    <w:p w14:paraId="1A9888F6" w14:textId="77777777" w:rsidR="009E739A" w:rsidRPr="00CE0B2B" w:rsidRDefault="009E739A" w:rsidP="002073FB">
      <w:pPr>
        <w:spacing w:line="240" w:lineRule="auto"/>
        <w:ind w:left="360"/>
        <w:jc w:val="both"/>
        <w:rPr>
          <w:rFonts w:cstheme="minorHAnsi"/>
          <w:szCs w:val="24"/>
        </w:rPr>
      </w:pPr>
      <w:r w:rsidRPr="00CE0B2B">
        <w:rPr>
          <w:rFonts w:cstheme="minorHAnsi"/>
          <w:szCs w:val="24"/>
        </w:rPr>
        <w:t xml:space="preserve">L., Blackaby, D. &amp; Plewis, I. (2015) Evaluating the Foundation Phase: Final </w:t>
      </w:r>
    </w:p>
    <w:p w14:paraId="4C60BA23" w14:textId="4F356520" w:rsidR="001F0CD6" w:rsidRPr="00CE0B2B" w:rsidRDefault="009E739A" w:rsidP="002073FB">
      <w:pPr>
        <w:spacing w:line="240" w:lineRule="auto"/>
        <w:ind w:left="360"/>
        <w:jc w:val="both"/>
        <w:rPr>
          <w:rFonts w:cstheme="minorHAnsi"/>
          <w:szCs w:val="24"/>
        </w:rPr>
      </w:pPr>
      <w:r w:rsidRPr="00CE0B2B">
        <w:rPr>
          <w:rFonts w:cstheme="minorHAnsi"/>
          <w:szCs w:val="24"/>
        </w:rPr>
        <w:t xml:space="preserve">Report Social research Number: 25/2015. Cardiff: Welsh Government. http://gov.wales/docs/caecd/research/2015/150514-foundation-phasefinal-en.pdf </w:t>
      </w:r>
    </w:p>
    <w:p w14:paraId="4E756380" w14:textId="202D0676" w:rsidR="001F0CD6" w:rsidRPr="00CE0B2B" w:rsidRDefault="001F0CD6" w:rsidP="002073FB">
      <w:pPr>
        <w:spacing w:line="240" w:lineRule="auto"/>
        <w:jc w:val="both"/>
        <w:rPr>
          <w:rFonts w:cstheme="minorHAnsi"/>
          <w:szCs w:val="24"/>
        </w:rPr>
      </w:pPr>
    </w:p>
    <w:p w14:paraId="18ADA4C2" w14:textId="77777777" w:rsidR="00CE0B2B" w:rsidRPr="00CE0B2B" w:rsidRDefault="00CE0B2B" w:rsidP="00CE0B2B">
      <w:pPr>
        <w:spacing w:line="240" w:lineRule="auto"/>
        <w:ind w:left="360"/>
        <w:jc w:val="both"/>
        <w:rPr>
          <w:rFonts w:cstheme="minorHAnsi"/>
          <w:szCs w:val="24"/>
        </w:rPr>
      </w:pPr>
      <w:r w:rsidRPr="00CE0B2B">
        <w:rPr>
          <w:rFonts w:cstheme="minorHAnsi"/>
          <w:szCs w:val="24"/>
        </w:rPr>
        <w:t xml:space="preserve">Wales Gov (2019) Cross Curricular skills frameworks. Welsh Government </w:t>
      </w:r>
    </w:p>
    <w:p w14:paraId="58965588" w14:textId="77777777" w:rsidR="00CE0B2B" w:rsidRPr="00CE0B2B" w:rsidRDefault="00CE0B2B" w:rsidP="00CE0B2B">
      <w:pPr>
        <w:spacing w:line="240" w:lineRule="auto"/>
        <w:ind w:left="360"/>
        <w:jc w:val="both"/>
        <w:rPr>
          <w:rFonts w:cstheme="minorHAnsi"/>
          <w:szCs w:val="24"/>
        </w:rPr>
      </w:pPr>
      <w:r w:rsidRPr="00CE0B2B">
        <w:rPr>
          <w:rFonts w:cstheme="minorHAnsi"/>
          <w:szCs w:val="24"/>
        </w:rPr>
        <w:t>https://hwb.gov.wales/curriculum-for-wales/cross-curricular-skillsframeworks/ last accessed 05 March 2021</w:t>
      </w:r>
    </w:p>
    <w:p w14:paraId="1A5C1EF2" w14:textId="4B928763" w:rsidR="00CE0B2B" w:rsidRDefault="00CE0B2B" w:rsidP="00CE0B2B">
      <w:pPr>
        <w:spacing w:line="240" w:lineRule="auto"/>
        <w:ind w:left="360"/>
        <w:jc w:val="both"/>
        <w:rPr>
          <w:rFonts w:cstheme="minorHAnsi"/>
          <w:szCs w:val="24"/>
        </w:rPr>
      </w:pPr>
      <w:r w:rsidRPr="00CE0B2B">
        <w:rPr>
          <w:rFonts w:cstheme="minorHAnsi"/>
          <w:szCs w:val="24"/>
        </w:rPr>
        <w:lastRenderedPageBreak/>
        <w:t xml:space="preserve">Wales Gov (2015) </w:t>
      </w:r>
      <w:r w:rsidRPr="00CD7D10">
        <w:rPr>
          <w:rFonts w:cstheme="minorHAnsi"/>
          <w:i/>
          <w:iCs/>
          <w:szCs w:val="24"/>
        </w:rPr>
        <w:t>The four purposes of the curriculum for Wales.</w:t>
      </w:r>
      <w:r w:rsidRPr="00CE0B2B">
        <w:rPr>
          <w:rFonts w:cstheme="minorHAnsi"/>
          <w:szCs w:val="24"/>
        </w:rPr>
        <w:t xml:space="preserve"> Welsh Government </w:t>
      </w:r>
    </w:p>
    <w:p w14:paraId="4F60BA47" w14:textId="77777777" w:rsidR="00CD7D10" w:rsidRPr="00CE0B2B" w:rsidRDefault="00CD7D10" w:rsidP="00CE0B2B">
      <w:pPr>
        <w:spacing w:line="240" w:lineRule="auto"/>
        <w:ind w:left="360"/>
        <w:jc w:val="both"/>
        <w:rPr>
          <w:rFonts w:cstheme="minorHAnsi"/>
          <w:szCs w:val="24"/>
        </w:rPr>
      </w:pPr>
    </w:p>
    <w:p w14:paraId="7A5DB2E2" w14:textId="5918B197" w:rsidR="00AD7CDB" w:rsidRPr="00CE0B2B" w:rsidRDefault="00AD7CDB" w:rsidP="002073FB">
      <w:pPr>
        <w:spacing w:line="240" w:lineRule="auto"/>
        <w:ind w:left="360"/>
        <w:jc w:val="both"/>
        <w:rPr>
          <w:rFonts w:cstheme="minorHAnsi"/>
          <w:szCs w:val="24"/>
        </w:rPr>
      </w:pPr>
      <w:r w:rsidRPr="00CE0B2B">
        <w:rPr>
          <w:rFonts w:cstheme="minorHAnsi"/>
          <w:szCs w:val="24"/>
        </w:rPr>
        <w:t xml:space="preserve">Young, M. (2008b) </w:t>
      </w:r>
      <w:r w:rsidRPr="00CD7D10">
        <w:rPr>
          <w:rFonts w:cstheme="minorHAnsi"/>
          <w:i/>
          <w:iCs/>
          <w:szCs w:val="24"/>
        </w:rPr>
        <w:t>From constructivism to realism in the sociology of the curriculum, Review of Research in Education</w:t>
      </w:r>
      <w:r w:rsidRPr="00CE0B2B">
        <w:rPr>
          <w:rFonts w:cstheme="minorHAnsi"/>
          <w:szCs w:val="24"/>
        </w:rPr>
        <w:t>, 32(1), 1– 28.</w:t>
      </w:r>
    </w:p>
    <w:p w14:paraId="0DE0C890" w14:textId="037AED78" w:rsidR="00305064" w:rsidRPr="00CE0B2B" w:rsidRDefault="00305064" w:rsidP="00CE0B2B">
      <w:pPr>
        <w:spacing w:line="240" w:lineRule="auto"/>
        <w:jc w:val="both"/>
        <w:rPr>
          <w:rFonts w:cstheme="minorHAnsi"/>
          <w:szCs w:val="24"/>
        </w:rPr>
      </w:pPr>
    </w:p>
    <w:p w14:paraId="1DF4CE11" w14:textId="4D371319" w:rsidR="00305064" w:rsidRPr="00CE0B2B" w:rsidRDefault="00305064" w:rsidP="002073FB">
      <w:pPr>
        <w:spacing w:line="240" w:lineRule="auto"/>
        <w:ind w:left="360"/>
        <w:jc w:val="both"/>
        <w:rPr>
          <w:rFonts w:cstheme="minorHAnsi"/>
          <w:szCs w:val="24"/>
        </w:rPr>
      </w:pPr>
      <w:r w:rsidRPr="00CE0B2B">
        <w:rPr>
          <w:rFonts w:cstheme="minorHAnsi"/>
          <w:szCs w:val="24"/>
        </w:rPr>
        <w:t xml:space="preserve">Vygotsky, L. S. (1978). </w:t>
      </w:r>
      <w:r w:rsidRPr="00CD7D10">
        <w:rPr>
          <w:rFonts w:cstheme="minorHAnsi"/>
          <w:i/>
          <w:iCs/>
          <w:szCs w:val="24"/>
        </w:rPr>
        <w:t>Mind in society: The development of higher psychological-processes</w:t>
      </w:r>
      <w:r w:rsidRPr="00CE0B2B">
        <w:rPr>
          <w:rFonts w:cstheme="minorHAnsi"/>
          <w:szCs w:val="24"/>
        </w:rPr>
        <w:t>. Cambridge, MA: Harvard University Press.</w:t>
      </w:r>
    </w:p>
    <w:sectPr w:rsidR="00305064" w:rsidRPr="00CE0B2B" w:rsidSect="00446402">
      <w:headerReference w:type="default" r:id="rId11"/>
      <w:footerReference w:type="default" r:id="rId12"/>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28E7CB" w14:textId="77777777" w:rsidR="007C100E" w:rsidRDefault="007C100E" w:rsidP="00446402">
      <w:pPr>
        <w:spacing w:line="240" w:lineRule="auto"/>
      </w:pPr>
      <w:r>
        <w:separator/>
      </w:r>
    </w:p>
  </w:endnote>
  <w:endnote w:type="continuationSeparator" w:id="0">
    <w:p w14:paraId="08ED313F" w14:textId="77777777" w:rsidR="007C100E" w:rsidRDefault="007C100E" w:rsidP="00446402">
      <w:pPr>
        <w:spacing w:line="240" w:lineRule="auto"/>
      </w:pPr>
      <w:r>
        <w:continuationSeparator/>
      </w:r>
    </w:p>
  </w:endnote>
  <w:endnote w:type="continuationNotice" w:id="1">
    <w:p w14:paraId="6CC34D7A" w14:textId="77777777" w:rsidR="007C100E" w:rsidRDefault="007C10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AF5A9D" w:rsidRDefault="00AF5A9D">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AF5A9D" w:rsidRDefault="00AF5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82A014" w14:textId="77777777" w:rsidR="007C100E" w:rsidRDefault="007C100E" w:rsidP="00446402">
      <w:pPr>
        <w:spacing w:line="240" w:lineRule="auto"/>
      </w:pPr>
      <w:r>
        <w:separator/>
      </w:r>
    </w:p>
  </w:footnote>
  <w:footnote w:type="continuationSeparator" w:id="0">
    <w:p w14:paraId="1D235BBD" w14:textId="77777777" w:rsidR="007C100E" w:rsidRDefault="007C100E" w:rsidP="00446402">
      <w:pPr>
        <w:spacing w:line="240" w:lineRule="auto"/>
      </w:pPr>
      <w:r>
        <w:continuationSeparator/>
      </w:r>
    </w:p>
  </w:footnote>
  <w:footnote w:type="continuationNotice" w:id="1">
    <w:p w14:paraId="71474071" w14:textId="77777777" w:rsidR="007C100E" w:rsidRDefault="007C100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AF5A9D" w:rsidRPr="00446402" w:rsidRDefault="00AF5A9D">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F86C5E"/>
    <w:multiLevelType w:val="hybridMultilevel"/>
    <w:tmpl w:val="37A29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5D31D11"/>
    <w:multiLevelType w:val="hybridMultilevel"/>
    <w:tmpl w:val="25EACEAE"/>
    <w:lvl w:ilvl="0" w:tplc="F620C0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3"/>
  </w:num>
  <w:num w:numId="5">
    <w:abstractNumId w:val="13"/>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21"/>
  </w:num>
  <w:num w:numId="21">
    <w:abstractNumId w:val="18"/>
  </w:num>
  <w:num w:numId="22">
    <w:abstractNumId w:val="11"/>
  </w:num>
  <w:num w:numId="23">
    <w:abstractNumId w:val="24"/>
  </w:num>
  <w:num w:numId="24">
    <w:abstractNumId w:val="15"/>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6A2D"/>
    <w:rsid w:val="00016B87"/>
    <w:rsid w:val="0002168D"/>
    <w:rsid w:val="000324EF"/>
    <w:rsid w:val="00034B6F"/>
    <w:rsid w:val="00044508"/>
    <w:rsid w:val="00053E73"/>
    <w:rsid w:val="00056041"/>
    <w:rsid w:val="000576D0"/>
    <w:rsid w:val="00062768"/>
    <w:rsid w:val="00067EFB"/>
    <w:rsid w:val="0008332B"/>
    <w:rsid w:val="000921F6"/>
    <w:rsid w:val="00092BC4"/>
    <w:rsid w:val="000B389F"/>
    <w:rsid w:val="000B50CC"/>
    <w:rsid w:val="000C4E8F"/>
    <w:rsid w:val="000D213D"/>
    <w:rsid w:val="000E5D60"/>
    <w:rsid w:val="000F0E15"/>
    <w:rsid w:val="000F1282"/>
    <w:rsid w:val="000F2DD8"/>
    <w:rsid w:val="00103F5C"/>
    <w:rsid w:val="00124CA6"/>
    <w:rsid w:val="001261C6"/>
    <w:rsid w:val="00127159"/>
    <w:rsid w:val="001305F9"/>
    <w:rsid w:val="00131AB7"/>
    <w:rsid w:val="001411B0"/>
    <w:rsid w:val="0014197B"/>
    <w:rsid w:val="00146BBB"/>
    <w:rsid w:val="001471B5"/>
    <w:rsid w:val="00160B20"/>
    <w:rsid w:val="00162539"/>
    <w:rsid w:val="001929E5"/>
    <w:rsid w:val="001939AE"/>
    <w:rsid w:val="001A12F0"/>
    <w:rsid w:val="001A1B67"/>
    <w:rsid w:val="001A290D"/>
    <w:rsid w:val="001B1969"/>
    <w:rsid w:val="001B27DA"/>
    <w:rsid w:val="001B54E5"/>
    <w:rsid w:val="001C2B04"/>
    <w:rsid w:val="001C2C9B"/>
    <w:rsid w:val="001C4119"/>
    <w:rsid w:val="001C4E15"/>
    <w:rsid w:val="001E7B6F"/>
    <w:rsid w:val="001F0CD6"/>
    <w:rsid w:val="001F2A9B"/>
    <w:rsid w:val="001F3049"/>
    <w:rsid w:val="002073FB"/>
    <w:rsid w:val="00211693"/>
    <w:rsid w:val="002143EB"/>
    <w:rsid w:val="00217A85"/>
    <w:rsid w:val="00217CC3"/>
    <w:rsid w:val="00222C78"/>
    <w:rsid w:val="00240D9D"/>
    <w:rsid w:val="00241E14"/>
    <w:rsid w:val="00242AE5"/>
    <w:rsid w:val="00244FD3"/>
    <w:rsid w:val="002473E3"/>
    <w:rsid w:val="00292706"/>
    <w:rsid w:val="002952B4"/>
    <w:rsid w:val="002A10A2"/>
    <w:rsid w:val="002A49CE"/>
    <w:rsid w:val="002D3811"/>
    <w:rsid w:val="002E626B"/>
    <w:rsid w:val="002E63C0"/>
    <w:rsid w:val="002F4854"/>
    <w:rsid w:val="002F5491"/>
    <w:rsid w:val="00303F21"/>
    <w:rsid w:val="003042C5"/>
    <w:rsid w:val="00305064"/>
    <w:rsid w:val="00320FA2"/>
    <w:rsid w:val="003268E8"/>
    <w:rsid w:val="00335509"/>
    <w:rsid w:val="00336A88"/>
    <w:rsid w:val="003418B0"/>
    <w:rsid w:val="003529C9"/>
    <w:rsid w:val="00356E84"/>
    <w:rsid w:val="00362393"/>
    <w:rsid w:val="003710E8"/>
    <w:rsid w:val="00373964"/>
    <w:rsid w:val="00374B80"/>
    <w:rsid w:val="00374CDA"/>
    <w:rsid w:val="003829F7"/>
    <w:rsid w:val="0038569F"/>
    <w:rsid w:val="0039069C"/>
    <w:rsid w:val="00393F31"/>
    <w:rsid w:val="003A356D"/>
    <w:rsid w:val="003A6AE4"/>
    <w:rsid w:val="003A734D"/>
    <w:rsid w:val="003C2E97"/>
    <w:rsid w:val="003D093A"/>
    <w:rsid w:val="003D369B"/>
    <w:rsid w:val="003E4813"/>
    <w:rsid w:val="003F005A"/>
    <w:rsid w:val="003F1057"/>
    <w:rsid w:val="0042458A"/>
    <w:rsid w:val="00433611"/>
    <w:rsid w:val="004459D0"/>
    <w:rsid w:val="00446402"/>
    <w:rsid w:val="00446B14"/>
    <w:rsid w:val="004645FA"/>
    <w:rsid w:val="0047355E"/>
    <w:rsid w:val="0049106B"/>
    <w:rsid w:val="004B6D47"/>
    <w:rsid w:val="004C0498"/>
    <w:rsid w:val="004C643D"/>
    <w:rsid w:val="004D003F"/>
    <w:rsid w:val="004E6024"/>
    <w:rsid w:val="004E7785"/>
    <w:rsid w:val="004F2013"/>
    <w:rsid w:val="0050000B"/>
    <w:rsid w:val="00501633"/>
    <w:rsid w:val="00505886"/>
    <w:rsid w:val="005127D7"/>
    <w:rsid w:val="00514992"/>
    <w:rsid w:val="005171FD"/>
    <w:rsid w:val="00534848"/>
    <w:rsid w:val="00536179"/>
    <w:rsid w:val="005503B6"/>
    <w:rsid w:val="00552BF1"/>
    <w:rsid w:val="005568E0"/>
    <w:rsid w:val="00566446"/>
    <w:rsid w:val="0057097E"/>
    <w:rsid w:val="005801FA"/>
    <w:rsid w:val="00581CF3"/>
    <w:rsid w:val="00583339"/>
    <w:rsid w:val="0059686F"/>
    <w:rsid w:val="00597468"/>
    <w:rsid w:val="005A1571"/>
    <w:rsid w:val="005A57BE"/>
    <w:rsid w:val="005B0DCC"/>
    <w:rsid w:val="005C36ED"/>
    <w:rsid w:val="005C660F"/>
    <w:rsid w:val="005D5A25"/>
    <w:rsid w:val="005E142C"/>
    <w:rsid w:val="005F614A"/>
    <w:rsid w:val="00601957"/>
    <w:rsid w:val="0061301E"/>
    <w:rsid w:val="00633001"/>
    <w:rsid w:val="00634EF9"/>
    <w:rsid w:val="00643AF3"/>
    <w:rsid w:val="00645252"/>
    <w:rsid w:val="0065486E"/>
    <w:rsid w:val="00660247"/>
    <w:rsid w:val="00667EB2"/>
    <w:rsid w:val="00681394"/>
    <w:rsid w:val="0068351A"/>
    <w:rsid w:val="00687CD2"/>
    <w:rsid w:val="006C2910"/>
    <w:rsid w:val="006C2FFF"/>
    <w:rsid w:val="006C7509"/>
    <w:rsid w:val="006C790F"/>
    <w:rsid w:val="006C7979"/>
    <w:rsid w:val="006D3D74"/>
    <w:rsid w:val="006E2545"/>
    <w:rsid w:val="006E7598"/>
    <w:rsid w:val="00720FC2"/>
    <w:rsid w:val="00724BD6"/>
    <w:rsid w:val="007615E5"/>
    <w:rsid w:val="00765C58"/>
    <w:rsid w:val="00767C1C"/>
    <w:rsid w:val="00770504"/>
    <w:rsid w:val="007B32B1"/>
    <w:rsid w:val="007C100E"/>
    <w:rsid w:val="007C32AA"/>
    <w:rsid w:val="007C3967"/>
    <w:rsid w:val="007C7EE3"/>
    <w:rsid w:val="007D1519"/>
    <w:rsid w:val="007D263C"/>
    <w:rsid w:val="007D6568"/>
    <w:rsid w:val="007F4E67"/>
    <w:rsid w:val="00810427"/>
    <w:rsid w:val="00811007"/>
    <w:rsid w:val="00816EEB"/>
    <w:rsid w:val="008236C9"/>
    <w:rsid w:val="0083066A"/>
    <w:rsid w:val="00833084"/>
    <w:rsid w:val="0083569A"/>
    <w:rsid w:val="008356C7"/>
    <w:rsid w:val="00840603"/>
    <w:rsid w:val="00846548"/>
    <w:rsid w:val="008632A8"/>
    <w:rsid w:val="00864708"/>
    <w:rsid w:val="00865656"/>
    <w:rsid w:val="008727F2"/>
    <w:rsid w:val="00875E6A"/>
    <w:rsid w:val="00877A70"/>
    <w:rsid w:val="00884CAA"/>
    <w:rsid w:val="00894386"/>
    <w:rsid w:val="008A05E9"/>
    <w:rsid w:val="008A7D08"/>
    <w:rsid w:val="008F36D8"/>
    <w:rsid w:val="008F713A"/>
    <w:rsid w:val="00901652"/>
    <w:rsid w:val="00917A4B"/>
    <w:rsid w:val="00922E6C"/>
    <w:rsid w:val="00925EA2"/>
    <w:rsid w:val="00927BAF"/>
    <w:rsid w:val="00927DC7"/>
    <w:rsid w:val="009334A1"/>
    <w:rsid w:val="009449BE"/>
    <w:rsid w:val="00972162"/>
    <w:rsid w:val="00976B20"/>
    <w:rsid w:val="0098251C"/>
    <w:rsid w:val="00987666"/>
    <w:rsid w:val="009903CE"/>
    <w:rsid w:val="009B3825"/>
    <w:rsid w:val="009C0BEA"/>
    <w:rsid w:val="009D2CD3"/>
    <w:rsid w:val="009D323C"/>
    <w:rsid w:val="009D5399"/>
    <w:rsid w:val="009E100E"/>
    <w:rsid w:val="009E739A"/>
    <w:rsid w:val="009F1049"/>
    <w:rsid w:val="00A05A9D"/>
    <w:rsid w:val="00A06B6D"/>
    <w:rsid w:val="00A07E7F"/>
    <w:rsid w:val="00A10EAD"/>
    <w:rsid w:val="00A22C56"/>
    <w:rsid w:val="00A23192"/>
    <w:rsid w:val="00A41C53"/>
    <w:rsid w:val="00A42317"/>
    <w:rsid w:val="00A43A05"/>
    <w:rsid w:val="00A47FD7"/>
    <w:rsid w:val="00A51F96"/>
    <w:rsid w:val="00A60CD4"/>
    <w:rsid w:val="00A64F27"/>
    <w:rsid w:val="00A76A6C"/>
    <w:rsid w:val="00A77338"/>
    <w:rsid w:val="00A8699C"/>
    <w:rsid w:val="00A9204E"/>
    <w:rsid w:val="00A95C95"/>
    <w:rsid w:val="00AA5D81"/>
    <w:rsid w:val="00AB4128"/>
    <w:rsid w:val="00AC19FF"/>
    <w:rsid w:val="00AD7CDB"/>
    <w:rsid w:val="00AF5A9D"/>
    <w:rsid w:val="00B1305E"/>
    <w:rsid w:val="00B31841"/>
    <w:rsid w:val="00B357D8"/>
    <w:rsid w:val="00B44623"/>
    <w:rsid w:val="00B57DBB"/>
    <w:rsid w:val="00B668DF"/>
    <w:rsid w:val="00B70105"/>
    <w:rsid w:val="00B76136"/>
    <w:rsid w:val="00B77B8F"/>
    <w:rsid w:val="00B9167E"/>
    <w:rsid w:val="00BA4A2E"/>
    <w:rsid w:val="00BB487E"/>
    <w:rsid w:val="00BE7AB1"/>
    <w:rsid w:val="00BF6EA2"/>
    <w:rsid w:val="00BF7BA6"/>
    <w:rsid w:val="00C067B3"/>
    <w:rsid w:val="00C14875"/>
    <w:rsid w:val="00C16847"/>
    <w:rsid w:val="00C247BE"/>
    <w:rsid w:val="00C33A95"/>
    <w:rsid w:val="00C37D50"/>
    <w:rsid w:val="00C42F69"/>
    <w:rsid w:val="00C50ECB"/>
    <w:rsid w:val="00C547C9"/>
    <w:rsid w:val="00C60096"/>
    <w:rsid w:val="00C66CE6"/>
    <w:rsid w:val="00C77479"/>
    <w:rsid w:val="00C81073"/>
    <w:rsid w:val="00C82DA5"/>
    <w:rsid w:val="00C86D62"/>
    <w:rsid w:val="00C9201E"/>
    <w:rsid w:val="00C961EE"/>
    <w:rsid w:val="00CA10E6"/>
    <w:rsid w:val="00CC0CA8"/>
    <w:rsid w:val="00CC5969"/>
    <w:rsid w:val="00CD1E5D"/>
    <w:rsid w:val="00CD53DB"/>
    <w:rsid w:val="00CD5D9F"/>
    <w:rsid w:val="00CD6A23"/>
    <w:rsid w:val="00CD7D10"/>
    <w:rsid w:val="00CE0B2B"/>
    <w:rsid w:val="00CE5C12"/>
    <w:rsid w:val="00D2457B"/>
    <w:rsid w:val="00D339C6"/>
    <w:rsid w:val="00D545AA"/>
    <w:rsid w:val="00D71977"/>
    <w:rsid w:val="00D733CC"/>
    <w:rsid w:val="00D73CF4"/>
    <w:rsid w:val="00D748C2"/>
    <w:rsid w:val="00D800F3"/>
    <w:rsid w:val="00D803B2"/>
    <w:rsid w:val="00DC3E26"/>
    <w:rsid w:val="00DD2369"/>
    <w:rsid w:val="00DD684F"/>
    <w:rsid w:val="00DD766B"/>
    <w:rsid w:val="00DE3A21"/>
    <w:rsid w:val="00DE5494"/>
    <w:rsid w:val="00DE74CA"/>
    <w:rsid w:val="00E02C5E"/>
    <w:rsid w:val="00E26350"/>
    <w:rsid w:val="00E56D19"/>
    <w:rsid w:val="00E605A3"/>
    <w:rsid w:val="00E60C19"/>
    <w:rsid w:val="00E6399C"/>
    <w:rsid w:val="00E64FC4"/>
    <w:rsid w:val="00E845BE"/>
    <w:rsid w:val="00E95D4E"/>
    <w:rsid w:val="00ED476F"/>
    <w:rsid w:val="00ED772D"/>
    <w:rsid w:val="00EE37F6"/>
    <w:rsid w:val="00EE7FF0"/>
    <w:rsid w:val="00F0274B"/>
    <w:rsid w:val="00F105EB"/>
    <w:rsid w:val="00F12AF2"/>
    <w:rsid w:val="00F307A2"/>
    <w:rsid w:val="00F5076F"/>
    <w:rsid w:val="00F50BFB"/>
    <w:rsid w:val="00F51C20"/>
    <w:rsid w:val="00F53854"/>
    <w:rsid w:val="00F6678C"/>
    <w:rsid w:val="00F673CE"/>
    <w:rsid w:val="00F72EDA"/>
    <w:rsid w:val="00F73165"/>
    <w:rsid w:val="00F778CF"/>
    <w:rsid w:val="00F8291D"/>
    <w:rsid w:val="00F86747"/>
    <w:rsid w:val="00FA2847"/>
    <w:rsid w:val="00FA356C"/>
    <w:rsid w:val="00FB2270"/>
    <w:rsid w:val="00FB3AF0"/>
    <w:rsid w:val="00FB40D8"/>
    <w:rsid w:val="00FB5FBF"/>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hlfld-contribauthor">
    <w:name w:val="hlfld-contribauthor"/>
    <w:basedOn w:val="DefaultParagraphFont"/>
    <w:rsid w:val="00720FC2"/>
  </w:style>
  <w:style w:type="character" w:customStyle="1" w:styleId="nlmgiven-names">
    <w:name w:val="nlm_given-names"/>
    <w:basedOn w:val="DefaultParagraphFont"/>
    <w:rsid w:val="00720FC2"/>
  </w:style>
  <w:style w:type="character" w:customStyle="1" w:styleId="nlmyear">
    <w:name w:val="nlm_year"/>
    <w:basedOn w:val="DefaultParagraphFont"/>
    <w:rsid w:val="00720FC2"/>
  </w:style>
  <w:style w:type="character" w:customStyle="1" w:styleId="nlmarticle-title">
    <w:name w:val="nlm_article-title"/>
    <w:basedOn w:val="DefaultParagraphFont"/>
    <w:rsid w:val="00720FC2"/>
  </w:style>
  <w:style w:type="character" w:customStyle="1" w:styleId="nlmfpage">
    <w:name w:val="nlm_fpage"/>
    <w:basedOn w:val="DefaultParagraphFont"/>
    <w:rsid w:val="00720FC2"/>
  </w:style>
  <w:style w:type="character" w:customStyle="1" w:styleId="nlmlpage">
    <w:name w:val="nlm_lpage"/>
    <w:basedOn w:val="DefaultParagraphFont"/>
    <w:rsid w:val="00720FC2"/>
  </w:style>
  <w:style w:type="paragraph" w:styleId="ListParagraph">
    <w:name w:val="List Paragraph"/>
    <w:basedOn w:val="Normal"/>
    <w:uiPriority w:val="34"/>
    <w:unhideWhenUsed/>
    <w:qFormat/>
    <w:rsid w:val="002073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1937">
      <w:bodyDiv w:val="1"/>
      <w:marLeft w:val="0"/>
      <w:marRight w:val="0"/>
      <w:marTop w:val="0"/>
      <w:marBottom w:val="0"/>
      <w:divBdr>
        <w:top w:val="none" w:sz="0" w:space="0" w:color="auto"/>
        <w:left w:val="none" w:sz="0" w:space="0" w:color="auto"/>
        <w:bottom w:val="none" w:sz="0" w:space="0" w:color="auto"/>
        <w:right w:val="none" w:sz="0" w:space="0" w:color="auto"/>
      </w:divBdr>
    </w:div>
    <w:div w:id="92746767">
      <w:bodyDiv w:val="1"/>
      <w:marLeft w:val="0"/>
      <w:marRight w:val="0"/>
      <w:marTop w:val="0"/>
      <w:marBottom w:val="0"/>
      <w:divBdr>
        <w:top w:val="none" w:sz="0" w:space="0" w:color="auto"/>
        <w:left w:val="none" w:sz="0" w:space="0" w:color="auto"/>
        <w:bottom w:val="none" w:sz="0" w:space="0" w:color="auto"/>
        <w:right w:val="none" w:sz="0" w:space="0" w:color="auto"/>
      </w:divBdr>
      <w:divsChild>
        <w:div w:id="262497581">
          <w:marLeft w:val="0"/>
          <w:marRight w:val="0"/>
          <w:marTop w:val="0"/>
          <w:marBottom w:val="0"/>
          <w:divBdr>
            <w:top w:val="none" w:sz="0" w:space="0" w:color="auto"/>
            <w:left w:val="none" w:sz="0" w:space="0" w:color="auto"/>
            <w:bottom w:val="none" w:sz="0" w:space="0" w:color="auto"/>
            <w:right w:val="none" w:sz="0" w:space="0" w:color="auto"/>
          </w:divBdr>
        </w:div>
        <w:div w:id="345594559">
          <w:marLeft w:val="0"/>
          <w:marRight w:val="0"/>
          <w:marTop w:val="0"/>
          <w:marBottom w:val="0"/>
          <w:divBdr>
            <w:top w:val="none" w:sz="0" w:space="0" w:color="auto"/>
            <w:left w:val="none" w:sz="0" w:space="0" w:color="auto"/>
            <w:bottom w:val="none" w:sz="0" w:space="0" w:color="auto"/>
            <w:right w:val="none" w:sz="0" w:space="0" w:color="auto"/>
          </w:divBdr>
        </w:div>
      </w:divsChild>
    </w:div>
    <w:div w:id="118037105">
      <w:bodyDiv w:val="1"/>
      <w:marLeft w:val="0"/>
      <w:marRight w:val="0"/>
      <w:marTop w:val="0"/>
      <w:marBottom w:val="0"/>
      <w:divBdr>
        <w:top w:val="none" w:sz="0" w:space="0" w:color="auto"/>
        <w:left w:val="none" w:sz="0" w:space="0" w:color="auto"/>
        <w:bottom w:val="none" w:sz="0" w:space="0" w:color="auto"/>
        <w:right w:val="none" w:sz="0" w:space="0" w:color="auto"/>
      </w:divBdr>
      <w:divsChild>
        <w:div w:id="1942755880">
          <w:marLeft w:val="0"/>
          <w:marRight w:val="0"/>
          <w:marTop w:val="0"/>
          <w:marBottom w:val="0"/>
          <w:divBdr>
            <w:top w:val="none" w:sz="0" w:space="0" w:color="auto"/>
            <w:left w:val="none" w:sz="0" w:space="0" w:color="auto"/>
            <w:bottom w:val="none" w:sz="0" w:space="0" w:color="auto"/>
            <w:right w:val="none" w:sz="0" w:space="0" w:color="auto"/>
          </w:divBdr>
        </w:div>
        <w:div w:id="1969698263">
          <w:marLeft w:val="0"/>
          <w:marRight w:val="0"/>
          <w:marTop w:val="0"/>
          <w:marBottom w:val="0"/>
          <w:divBdr>
            <w:top w:val="none" w:sz="0" w:space="0" w:color="auto"/>
            <w:left w:val="none" w:sz="0" w:space="0" w:color="auto"/>
            <w:bottom w:val="none" w:sz="0" w:space="0" w:color="auto"/>
            <w:right w:val="none" w:sz="0" w:space="0" w:color="auto"/>
          </w:divBdr>
        </w:div>
      </w:divsChild>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04912315">
      <w:bodyDiv w:val="1"/>
      <w:marLeft w:val="0"/>
      <w:marRight w:val="0"/>
      <w:marTop w:val="0"/>
      <w:marBottom w:val="0"/>
      <w:divBdr>
        <w:top w:val="none" w:sz="0" w:space="0" w:color="auto"/>
        <w:left w:val="none" w:sz="0" w:space="0" w:color="auto"/>
        <w:bottom w:val="none" w:sz="0" w:space="0" w:color="auto"/>
        <w:right w:val="none" w:sz="0" w:space="0" w:color="auto"/>
      </w:divBdr>
    </w:div>
    <w:div w:id="451286185">
      <w:bodyDiv w:val="1"/>
      <w:marLeft w:val="0"/>
      <w:marRight w:val="0"/>
      <w:marTop w:val="0"/>
      <w:marBottom w:val="0"/>
      <w:divBdr>
        <w:top w:val="none" w:sz="0" w:space="0" w:color="auto"/>
        <w:left w:val="none" w:sz="0" w:space="0" w:color="auto"/>
        <w:bottom w:val="none" w:sz="0" w:space="0" w:color="auto"/>
        <w:right w:val="none" w:sz="0" w:space="0" w:color="auto"/>
      </w:divBdr>
    </w:div>
    <w:div w:id="579338367">
      <w:bodyDiv w:val="1"/>
      <w:marLeft w:val="0"/>
      <w:marRight w:val="0"/>
      <w:marTop w:val="0"/>
      <w:marBottom w:val="0"/>
      <w:divBdr>
        <w:top w:val="none" w:sz="0" w:space="0" w:color="auto"/>
        <w:left w:val="none" w:sz="0" w:space="0" w:color="auto"/>
        <w:bottom w:val="none" w:sz="0" w:space="0" w:color="auto"/>
        <w:right w:val="none" w:sz="0" w:space="0" w:color="auto"/>
      </w:divBdr>
    </w:div>
    <w:div w:id="661009193">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48561426">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65127580">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408073309">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95605020">
      <w:bodyDiv w:val="1"/>
      <w:marLeft w:val="0"/>
      <w:marRight w:val="0"/>
      <w:marTop w:val="0"/>
      <w:marBottom w:val="0"/>
      <w:divBdr>
        <w:top w:val="none" w:sz="0" w:space="0" w:color="auto"/>
        <w:left w:val="none" w:sz="0" w:space="0" w:color="auto"/>
        <w:bottom w:val="none" w:sz="0" w:space="0" w:color="auto"/>
        <w:right w:val="none" w:sz="0" w:space="0" w:color="auto"/>
      </w:divBdr>
      <w:divsChild>
        <w:div w:id="2083329083">
          <w:marLeft w:val="0"/>
          <w:marRight w:val="0"/>
          <w:marTop w:val="0"/>
          <w:marBottom w:val="0"/>
          <w:divBdr>
            <w:top w:val="none" w:sz="0" w:space="0" w:color="auto"/>
            <w:left w:val="none" w:sz="0" w:space="0" w:color="auto"/>
            <w:bottom w:val="none" w:sz="0" w:space="0" w:color="auto"/>
            <w:right w:val="none" w:sz="0" w:space="0" w:color="auto"/>
          </w:divBdr>
        </w:div>
        <w:div w:id="996766617">
          <w:marLeft w:val="0"/>
          <w:marRight w:val="0"/>
          <w:marTop w:val="0"/>
          <w:marBottom w:val="0"/>
          <w:divBdr>
            <w:top w:val="none" w:sz="0" w:space="0" w:color="auto"/>
            <w:left w:val="none" w:sz="0" w:space="0" w:color="auto"/>
            <w:bottom w:val="none" w:sz="0" w:space="0" w:color="auto"/>
            <w:right w:val="none" w:sz="0" w:space="0" w:color="auto"/>
          </w:divBdr>
        </w:div>
        <w:div w:id="1554779423">
          <w:marLeft w:val="0"/>
          <w:marRight w:val="0"/>
          <w:marTop w:val="0"/>
          <w:marBottom w:val="0"/>
          <w:divBdr>
            <w:top w:val="none" w:sz="0" w:space="0" w:color="auto"/>
            <w:left w:val="none" w:sz="0" w:space="0" w:color="auto"/>
            <w:bottom w:val="none" w:sz="0" w:space="0" w:color="auto"/>
            <w:right w:val="none" w:sz="0" w:space="0" w:color="auto"/>
          </w:divBdr>
        </w:div>
        <w:div w:id="1636256254">
          <w:marLeft w:val="0"/>
          <w:marRight w:val="0"/>
          <w:marTop w:val="0"/>
          <w:marBottom w:val="0"/>
          <w:divBdr>
            <w:top w:val="none" w:sz="0" w:space="0" w:color="auto"/>
            <w:left w:val="none" w:sz="0" w:space="0" w:color="auto"/>
            <w:bottom w:val="none" w:sz="0" w:space="0" w:color="auto"/>
            <w:right w:val="none" w:sz="0" w:space="0" w:color="auto"/>
          </w:divBdr>
        </w:div>
        <w:div w:id="716395925">
          <w:marLeft w:val="0"/>
          <w:marRight w:val="0"/>
          <w:marTop w:val="0"/>
          <w:marBottom w:val="0"/>
          <w:divBdr>
            <w:top w:val="none" w:sz="0" w:space="0" w:color="auto"/>
            <w:left w:val="none" w:sz="0" w:space="0" w:color="auto"/>
            <w:bottom w:val="none" w:sz="0" w:space="0" w:color="auto"/>
            <w:right w:val="none" w:sz="0" w:space="0" w:color="auto"/>
          </w:divBdr>
        </w:div>
      </w:divsChild>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2000842761">
      <w:bodyDiv w:val="1"/>
      <w:marLeft w:val="0"/>
      <w:marRight w:val="0"/>
      <w:marTop w:val="0"/>
      <w:marBottom w:val="0"/>
      <w:divBdr>
        <w:top w:val="none" w:sz="0" w:space="0" w:color="auto"/>
        <w:left w:val="none" w:sz="0" w:space="0" w:color="auto"/>
        <w:bottom w:val="none" w:sz="0" w:space="0" w:color="auto"/>
        <w:right w:val="none" w:sz="0" w:space="0" w:color="auto"/>
      </w:divBdr>
      <w:divsChild>
        <w:div w:id="1391731205">
          <w:marLeft w:val="0"/>
          <w:marRight w:val="0"/>
          <w:marTop w:val="0"/>
          <w:marBottom w:val="0"/>
          <w:divBdr>
            <w:top w:val="none" w:sz="0" w:space="0" w:color="auto"/>
            <w:left w:val="none" w:sz="0" w:space="0" w:color="auto"/>
            <w:bottom w:val="none" w:sz="0" w:space="0" w:color="auto"/>
            <w:right w:val="none" w:sz="0" w:space="0" w:color="auto"/>
          </w:divBdr>
        </w:div>
        <w:div w:id="999768463">
          <w:marLeft w:val="0"/>
          <w:marRight w:val="0"/>
          <w:marTop w:val="0"/>
          <w:marBottom w:val="0"/>
          <w:divBdr>
            <w:top w:val="none" w:sz="0" w:space="0" w:color="auto"/>
            <w:left w:val="none" w:sz="0" w:space="0" w:color="auto"/>
            <w:bottom w:val="none" w:sz="0" w:space="0" w:color="auto"/>
            <w:right w:val="none" w:sz="0" w:space="0" w:color="auto"/>
          </w:divBdr>
        </w:div>
        <w:div w:id="737750499">
          <w:marLeft w:val="0"/>
          <w:marRight w:val="0"/>
          <w:marTop w:val="0"/>
          <w:marBottom w:val="0"/>
          <w:divBdr>
            <w:top w:val="none" w:sz="0" w:space="0" w:color="auto"/>
            <w:left w:val="none" w:sz="0" w:space="0" w:color="auto"/>
            <w:bottom w:val="none" w:sz="0" w:space="0" w:color="auto"/>
            <w:right w:val="none" w:sz="0" w:space="0" w:color="auto"/>
          </w:divBdr>
        </w:div>
        <w:div w:id="1844467292">
          <w:marLeft w:val="0"/>
          <w:marRight w:val="0"/>
          <w:marTop w:val="0"/>
          <w:marBottom w:val="0"/>
          <w:divBdr>
            <w:top w:val="none" w:sz="0" w:space="0" w:color="auto"/>
            <w:left w:val="none" w:sz="0" w:space="0" w:color="auto"/>
            <w:bottom w:val="none" w:sz="0" w:space="0" w:color="auto"/>
            <w:right w:val="none" w:sz="0" w:space="0" w:color="auto"/>
          </w:divBdr>
        </w:div>
        <w:div w:id="686491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bera-journals-onlinelibrary-wiley-com.ezproxy.uwtsd.ac.uk/doi/full/10.1002/curj.2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79713A"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79713A" w:rsidRDefault="00AA2502"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76991"/>
    <w:rsid w:val="001A658F"/>
    <w:rsid w:val="001D7356"/>
    <w:rsid w:val="002452EB"/>
    <w:rsid w:val="002E6584"/>
    <w:rsid w:val="0047741F"/>
    <w:rsid w:val="005C36ED"/>
    <w:rsid w:val="005C4596"/>
    <w:rsid w:val="006F4C24"/>
    <w:rsid w:val="0079713A"/>
    <w:rsid w:val="007F200B"/>
    <w:rsid w:val="00885C9F"/>
    <w:rsid w:val="008C473D"/>
    <w:rsid w:val="008D2B68"/>
    <w:rsid w:val="00AA2502"/>
    <w:rsid w:val="00B65D6A"/>
    <w:rsid w:val="00B74D74"/>
    <w:rsid w:val="00D47733"/>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1815</TotalTime>
  <Pages>22</Pages>
  <Words>6278</Words>
  <Characters>35785</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41980</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Shannon Booth</cp:lastModifiedBy>
  <cp:revision>43</cp:revision>
  <dcterms:created xsi:type="dcterms:W3CDTF">2021-03-08T00:59:00Z</dcterms:created>
  <dcterms:modified xsi:type="dcterms:W3CDTF">2021-03-20T14:14:00Z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