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sz w:val="2"/>
          <w:szCs w:val="24"/>
          <w:lang w:val="en-GB"/>
          <w14:ligatures w14:val="standardContextual"/>
        </w:rPr>
        <w:id w:val="-2015447439"/>
        <w:docPartObj>
          <w:docPartGallery w:val="Cover Pages"/>
          <w:docPartUnique/>
        </w:docPartObj>
      </w:sdtPr>
      <w:sdtEndPr>
        <w:rPr>
          <w:sz w:val="24"/>
        </w:rPr>
      </w:sdtEndPr>
      <w:sdtContent>
        <w:p w14:paraId="22EA04C7" w14:textId="06569DC8" w:rsidR="00A14C68" w:rsidRDefault="00A14C68">
          <w:pPr>
            <w:pStyle w:val="NoSpacing"/>
            <w:rPr>
              <w:sz w:val="2"/>
            </w:rPr>
          </w:pPr>
        </w:p>
        <w:p w14:paraId="06C6011E" w14:textId="04CE266D" w:rsidR="00A14C68" w:rsidRDefault="00A14C68">
          <w:r>
            <w:rPr>
              <w:noProof/>
            </w:rPr>
            <mc:AlternateContent>
              <mc:Choice Requires="wps">
                <w:drawing>
                  <wp:anchor distT="0" distB="0" distL="114300" distR="114300" simplePos="0" relativeHeight="251661312" behindDoc="0" locked="0" layoutInCell="1" allowOverlap="1" wp14:anchorId="75257F90" wp14:editId="3A9BA2D6">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C53084" w14:textId="70CD5B62" w:rsidR="00A14C68" w:rsidRDefault="00033AE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REFORM OF THE OFFENCES AGAINST THE PERSON ACT 1861</w:t>
                                    </w:r>
                                  </w:p>
                                </w:sdtContent>
                              </w:sdt>
                              <w:p w14:paraId="29E322BA" w14:textId="0593DE8E" w:rsidR="00A14C68"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33AE5">
                                      <w:rPr>
                                        <w:color w:val="156082" w:themeColor="accent1"/>
                                        <w:sz w:val="36"/>
                                        <w:szCs w:val="36"/>
                                      </w:rPr>
                                      <w:t>JADE BROWN - 2319007</w:t>
                                    </w:r>
                                  </w:sdtContent>
                                </w:sdt>
                                <w:r w:rsidR="00A14C68">
                                  <w:rPr>
                                    <w:noProof/>
                                  </w:rPr>
                                  <w:t xml:space="preserve"> </w:t>
                                </w:r>
                              </w:p>
                              <w:p w14:paraId="09B80D45" w14:textId="77777777" w:rsidR="00A14C68" w:rsidRDefault="00A14C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5257F90"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AC53084" w14:textId="70CD5B62" w:rsidR="00A14C68" w:rsidRDefault="00033AE5">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REFORM OF THE OFFENCES AGAINST THE PERSON ACT 1861</w:t>
                              </w:r>
                            </w:p>
                          </w:sdtContent>
                        </w:sdt>
                        <w:p w14:paraId="29E322BA" w14:textId="0593DE8E" w:rsidR="00A14C68" w:rsidRDefault="00000000">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033AE5">
                                <w:rPr>
                                  <w:color w:val="156082" w:themeColor="accent1"/>
                                  <w:sz w:val="36"/>
                                  <w:szCs w:val="36"/>
                                </w:rPr>
                                <w:t>JADE BROWN - 2319007</w:t>
                              </w:r>
                            </w:sdtContent>
                          </w:sdt>
                          <w:r w:rsidR="00A14C68">
                            <w:rPr>
                              <w:noProof/>
                            </w:rPr>
                            <w:t xml:space="preserve"> </w:t>
                          </w:r>
                        </w:p>
                        <w:p w14:paraId="09B80D45" w14:textId="77777777" w:rsidR="00A14C68" w:rsidRDefault="00A14C68"/>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7FC2B864" wp14:editId="6C28CD8F">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8DD044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p>
        <w:p w14:paraId="236A117C" w14:textId="0EF23321" w:rsidR="00A14C68" w:rsidRDefault="00A14C68">
          <w:r>
            <w:br w:type="page"/>
          </w:r>
        </w:p>
      </w:sdtContent>
    </w:sdt>
    <w:p w14:paraId="3DDCFE17" w14:textId="43B57584" w:rsidR="00E32C58" w:rsidRDefault="00E32C58" w:rsidP="00E32C58">
      <w:r>
        <w:lastRenderedPageBreak/>
        <w:t>The O</w:t>
      </w:r>
      <w:r w:rsidR="00967A7D">
        <w:t xml:space="preserve">ffences </w:t>
      </w:r>
      <w:r>
        <w:t>A</w:t>
      </w:r>
      <w:r w:rsidR="00967A7D">
        <w:t xml:space="preserve">gainst the </w:t>
      </w:r>
      <w:r>
        <w:t>P</w:t>
      </w:r>
      <w:r w:rsidR="00967A7D">
        <w:t xml:space="preserve">erson </w:t>
      </w:r>
      <w:r>
        <w:t>A</w:t>
      </w:r>
      <w:r w:rsidR="00967A7D">
        <w:t>ct</w:t>
      </w:r>
      <w:r>
        <w:t xml:space="preserve"> [1861] defines criminal offences against individuals in the United Kingdom</w:t>
      </w:r>
      <w:r w:rsidR="00967A7D">
        <w:t>, including</w:t>
      </w:r>
      <w:r>
        <w:t xml:space="preserve"> assault, battery, and other non-fatal acts that cause harm. Although the Act has been revised several times, it remains an essential aspect of the UK's criminal law structure. When examining the applicability of the OAPA [1861]</w:t>
      </w:r>
      <w:r w:rsidR="00437129">
        <w:t xml:space="preserve"> </w:t>
      </w:r>
      <w:r>
        <w:t>several factors</w:t>
      </w:r>
      <w:r w:rsidR="00437129">
        <w:t xml:space="preserve"> will be considered</w:t>
      </w:r>
      <w:r>
        <w:t xml:space="preserve"> surrounding </w:t>
      </w:r>
      <w:r w:rsidRPr="0085473B">
        <w:t>the relevance</w:t>
      </w:r>
      <w:r w:rsidR="00047254">
        <w:t xml:space="preserve"> of t</w:t>
      </w:r>
      <w:r w:rsidR="008C7662">
        <w:t>he legislation</w:t>
      </w:r>
      <w:r w:rsidRPr="0085473B">
        <w:t xml:space="preserve"> to contemporary issues, the flexibility of the Act to adapt to a changing society and its consistency with other laws. While the OAPA [1861] has been amended, some contend that a</w:t>
      </w:r>
      <w:r>
        <w:t xml:space="preserve"> complete overhaul may be required to address modern concerns adequately.</w:t>
      </w:r>
    </w:p>
    <w:p w14:paraId="620C81DC" w14:textId="7971078E" w:rsidR="00E32C58" w:rsidRPr="007A7FD9" w:rsidRDefault="008C7662" w:rsidP="00E32C58">
      <w:pPr>
        <w:rPr>
          <w:rFonts w:ascii="Times New Roman" w:eastAsia="Times New Roman" w:hAnsi="Times New Roman" w:cs="Times New Roman"/>
          <w:kern w:val="0"/>
          <w:lang w:eastAsia="en-GB"/>
          <w14:ligatures w14:val="none"/>
        </w:rPr>
      </w:pPr>
      <w:r>
        <w:t xml:space="preserve">In 2015 </w:t>
      </w:r>
      <w:r w:rsidR="00332E9D">
        <w:t>t</w:t>
      </w:r>
      <w:r>
        <w:t xml:space="preserve">he Law Commission </w:t>
      </w:r>
      <w:r w:rsidR="00E32C58">
        <w:t xml:space="preserve">stated that the OAPA [1861] </w:t>
      </w:r>
      <w:r w:rsidR="00E44753">
        <w:t>i</w:t>
      </w:r>
      <w:r w:rsidR="00E32C58">
        <w:t xml:space="preserve">s widely regarded as old-fashioned, and their goal </w:t>
      </w:r>
      <w:r>
        <w:t xml:space="preserve">was </w:t>
      </w:r>
      <w:r w:rsidR="00E32C58">
        <w:t>to redraft the law on OAPA</w:t>
      </w:r>
      <w:r w:rsidR="007B27D9">
        <w:t xml:space="preserve"> to develop a</w:t>
      </w:r>
      <w:r w:rsidR="00E32C58">
        <w:t xml:space="preserve"> systematic hierarchy of charges and </w:t>
      </w:r>
      <w:r w:rsidR="007A7FD9" w:rsidRPr="007A7FD9">
        <w:rPr>
          <w:rFonts w:eastAsia="Times New Roman" w:cs="Times New Roman"/>
          <w:kern w:val="0"/>
          <w:lang w:eastAsia="en-GB"/>
          <w14:ligatures w14:val="none"/>
        </w:rPr>
        <w:t>Modernising and streamlining the wording used to define these charges.</w:t>
      </w:r>
      <w:r w:rsidR="007A7FD9" w:rsidRPr="007A7FD9">
        <w:rPr>
          <w:rFonts w:cs="Times New Roman"/>
        </w:rPr>
        <w:t xml:space="preserve"> (</w:t>
      </w:r>
      <w:r w:rsidR="00287220" w:rsidRPr="00FE520C">
        <w:rPr>
          <w:rFonts w:cs="Times New Roman"/>
        </w:rPr>
        <w:t>Law Commission, 2015).</w:t>
      </w:r>
      <w:r w:rsidR="00287220">
        <w:rPr>
          <w:rFonts w:ascii="Times New Roman" w:hAnsi="Times New Roman" w:cs="Times New Roman"/>
        </w:rPr>
        <w:t xml:space="preserve"> </w:t>
      </w:r>
      <w:r w:rsidR="00012805">
        <w:rPr>
          <w:rFonts w:eastAsia="Times New Roman" w:cs="Times New Roman"/>
          <w:kern w:val="0"/>
          <w:lang w:eastAsia="en-GB"/>
          <w14:ligatures w14:val="none"/>
        </w:rPr>
        <w:t>According</w:t>
      </w:r>
      <w:r w:rsidR="00A13E9C">
        <w:rPr>
          <w:rFonts w:eastAsia="Times New Roman" w:cs="Times New Roman"/>
          <w:kern w:val="0"/>
          <w:lang w:eastAsia="en-GB"/>
          <w14:ligatures w14:val="none"/>
        </w:rPr>
        <w:t xml:space="preserve"> to </w:t>
      </w:r>
      <w:r w:rsidR="000D3648" w:rsidRPr="00FE520C">
        <w:rPr>
          <w:rFonts w:eastAsia="Times New Roman" w:cs="Times New Roman"/>
          <w:kern w:val="0"/>
          <w:lang w:eastAsia="en-GB"/>
          <w14:ligatures w14:val="none"/>
        </w:rPr>
        <w:t>Gardener (1994)</w:t>
      </w:r>
      <w:r w:rsidR="002D1C0D" w:rsidRPr="00BF46AD">
        <w:rPr>
          <w:rFonts w:eastAsia="Times New Roman" w:cs="Times New Roman"/>
          <w:kern w:val="0"/>
          <w:lang w:eastAsia="en-GB"/>
          <w14:ligatures w14:val="none"/>
        </w:rPr>
        <w:t xml:space="preserve"> </w:t>
      </w:r>
      <w:r w:rsidR="000D3648">
        <w:rPr>
          <w:rFonts w:eastAsia="Times New Roman" w:cs="Times New Roman"/>
          <w:kern w:val="0"/>
          <w:lang w:eastAsia="en-GB"/>
          <w14:ligatures w14:val="none"/>
        </w:rPr>
        <w:t>t</w:t>
      </w:r>
      <w:r w:rsidR="00B67501">
        <w:rPr>
          <w:rFonts w:eastAsia="Times New Roman" w:cs="Times New Roman"/>
          <w:kern w:val="0"/>
          <w:lang w:eastAsia="en-GB"/>
          <w14:ligatures w14:val="none"/>
        </w:rPr>
        <w:t>here are</w:t>
      </w:r>
      <w:r w:rsidR="002D1C0D" w:rsidRPr="00BF46AD">
        <w:rPr>
          <w:rFonts w:eastAsia="Times New Roman" w:cs="Times New Roman"/>
          <w:kern w:val="0"/>
          <w:lang w:eastAsia="en-GB"/>
          <w14:ligatures w14:val="none"/>
        </w:rPr>
        <w:t xml:space="preserve"> shortcomings</w:t>
      </w:r>
      <w:r w:rsidR="00B67501">
        <w:rPr>
          <w:rFonts w:eastAsia="Times New Roman" w:cs="Times New Roman"/>
          <w:kern w:val="0"/>
          <w:lang w:eastAsia="en-GB"/>
          <w14:ligatures w14:val="none"/>
        </w:rPr>
        <w:t xml:space="preserve"> with certain provisions in the Act and</w:t>
      </w:r>
      <w:r w:rsidR="002D1C0D" w:rsidRPr="00071FFB">
        <w:rPr>
          <w:rFonts w:eastAsia="Times New Roman" w:cs="Times New Roman"/>
          <w:kern w:val="0"/>
          <w:lang w:eastAsia="en-GB"/>
          <w14:ligatures w14:val="none"/>
        </w:rPr>
        <w:t xml:space="preserve"> a complete overhaul of the criminal code is necessary, rather than simply clarifying and</w:t>
      </w:r>
      <w:r w:rsidR="002D1C0D" w:rsidRPr="00BF46AD">
        <w:rPr>
          <w:rFonts w:eastAsia="Times New Roman" w:cs="Times New Roman"/>
          <w:kern w:val="0"/>
          <w:lang w:eastAsia="en-GB"/>
          <w14:ligatures w14:val="none"/>
        </w:rPr>
        <w:t xml:space="preserve"> updating individual crime definitions.</w:t>
      </w:r>
      <w:r w:rsidR="000F2A03">
        <w:t xml:space="preserve"> For</w:t>
      </w:r>
      <w:r w:rsidR="00E32C58">
        <w:t xml:space="preserve"> example, in terms of severity, </w:t>
      </w:r>
      <w:r w:rsidR="00B044C3" w:rsidRPr="00B044C3">
        <w:rPr>
          <w:rFonts w:eastAsia="Times New Roman" w:cs="Times New Roman"/>
          <w:kern w:val="0"/>
          <w:lang w:eastAsia="en-GB"/>
          <w14:ligatures w14:val="none"/>
        </w:rPr>
        <w:t>Actual bodily harm ("ABH") is a crime that falls between common assault (i.e., assault or battery) and causing severe bodily harm ("GBH"), and it overlaps both. Nonetheless, the maximum sentence for ABH is five years, the same as for GBH, and ten times that of assault or battery (six months).</w:t>
      </w:r>
      <w:r w:rsidR="00B044C3" w:rsidRPr="00B044C3">
        <w:rPr>
          <w:rFonts w:ascii="Times New Roman" w:eastAsia="Times New Roman" w:hAnsi="Times New Roman" w:cs="Times New Roman"/>
          <w:kern w:val="0"/>
          <w:lang w:eastAsia="en-GB"/>
          <w14:ligatures w14:val="none"/>
        </w:rPr>
        <w:t xml:space="preserve"> </w:t>
      </w:r>
      <w:r w:rsidR="00067DD4">
        <w:t xml:space="preserve">The Law Commission </w:t>
      </w:r>
      <w:r w:rsidR="00E32C58">
        <w:t>claim</w:t>
      </w:r>
      <w:r w:rsidR="00067DD4">
        <w:t>s</w:t>
      </w:r>
      <w:r w:rsidR="00E32C58">
        <w:t xml:space="preserve"> that the lack of a defined hierarchy needs to be clarified, </w:t>
      </w:r>
      <w:r w:rsidR="00D711B1">
        <w:t xml:space="preserve">it </w:t>
      </w:r>
      <w:r w:rsidR="00E32C58">
        <w:t xml:space="preserve">is not founded on a unifying logical basis, and that while the order of the offences is apparent, the grading is arbitrary and uneven. They indicate that between 2003 and 2013, 7% and 12% of offenders sentenced to ABH by the crown court received a term of immediate imprisonment of six months or less, which a magistrate's court might have imposed. The drafting of these offences under the 1861 Act could be more precise. </w:t>
      </w:r>
      <w:r w:rsidR="00947EE4" w:rsidRPr="00947EE4">
        <w:rPr>
          <w:rFonts w:eastAsia="Times New Roman" w:cs="Times New Roman"/>
          <w:kern w:val="0"/>
          <w:lang w:eastAsia="en-GB"/>
          <w14:ligatures w14:val="none"/>
        </w:rPr>
        <w:t>There are too many distinctions between and within the crimes</w:t>
      </w:r>
      <w:r w:rsidR="00947EE4" w:rsidRPr="00947EE4">
        <w:rPr>
          <w:rFonts w:ascii="Times New Roman" w:eastAsia="Times New Roman" w:hAnsi="Times New Roman" w:cs="Times New Roman"/>
          <w:kern w:val="0"/>
          <w:lang w:eastAsia="en-GB"/>
          <w14:ligatures w14:val="none"/>
        </w:rPr>
        <w:t xml:space="preserve">. </w:t>
      </w:r>
      <w:r w:rsidR="00E32C58">
        <w:t>It also does not specify the punishments for severe offences, such as those under sections 47 and 20; these must be subtracted from a series of interlocking provisions in other acts. The Law Commission also considers that the statute contains needless offences, such as failing to provide meals to servants or assaulting a magistrate or other person while doing his duties to preserve a wreck. They believe a plain, modern, straightforward statute should replace the 1861 A</w:t>
      </w:r>
      <w:r w:rsidR="00E32C58" w:rsidRPr="00EA0A1C">
        <w:t>ct (</w:t>
      </w:r>
      <w:r w:rsidR="00E32C58" w:rsidRPr="00FE520C">
        <w:t>Law Commission, 201</w:t>
      </w:r>
      <w:r w:rsidR="00FE520C" w:rsidRPr="00FE520C">
        <w:t>5</w:t>
      </w:r>
      <w:r w:rsidR="003C64A9">
        <w:t>)</w:t>
      </w:r>
      <w:r w:rsidR="00E32C58">
        <w:t xml:space="preserve"> </w:t>
      </w:r>
    </w:p>
    <w:p w14:paraId="20D1A9AA" w14:textId="7DFBF74B" w:rsidR="003647B0" w:rsidRPr="003647B0" w:rsidRDefault="00E32C58" w:rsidP="003647B0">
      <w:pPr>
        <w:rPr>
          <w:rFonts w:eastAsia="Times New Roman" w:cs="Times New Roman"/>
          <w:kern w:val="0"/>
          <w:lang w:eastAsia="en-GB"/>
          <w14:ligatures w14:val="none"/>
        </w:rPr>
      </w:pPr>
      <w:r>
        <w:t xml:space="preserve">The arguments for faults with the Act and revision are considerable. </w:t>
      </w:r>
      <w:r w:rsidRPr="00EA0A1C">
        <w:t>According to Smith, Hogan and Ormerod (2017), much of the law is still governed by the OAPA 1861; some</w:t>
      </w:r>
      <w:r>
        <w:t xml:space="preserve"> requests for reform go beyond minor changes. They briefly review some of the most critical areas of prospective reform, including the need for modernisation and re-codification, the contentious situation of constructive liability, and the meaning and role of consent. They argue that two key differences should be underlined. To begin, 'aggravated assault', which is only triable in the magistrate's court, is a newly conceived offence aimed at bridging the gap between reckless causing of injury and the </w:t>
      </w:r>
      <w:r>
        <w:lastRenderedPageBreak/>
        <w:t xml:space="preserve">equivalents of assault and battery, as well as more accurately labelling the defendants conduct and moving many low-level violence cases out of the crown courts. Second, whereas the 1998 draft Bill would have combined assault and battery into a single offence, the Commission preferred the clarity of two separate offences. They claim that there are various benefits to the suggested approach that will </w:t>
      </w:r>
      <w:r w:rsidR="003E1CCB">
        <w:t xml:space="preserve">be a reminder </w:t>
      </w:r>
      <w:r>
        <w:t>of the faults with current law and the relatively simple way in which many of them may be rectified.</w:t>
      </w:r>
      <w:r w:rsidR="0066174C">
        <w:t xml:space="preserve"> </w:t>
      </w:r>
      <w:r w:rsidRPr="00EA0A1C">
        <w:t xml:space="preserve">Jackson and Storey (2015) </w:t>
      </w:r>
      <w:r w:rsidR="003647B0">
        <w:t xml:space="preserve">argue that </w:t>
      </w:r>
      <w:r w:rsidR="003647B0">
        <w:rPr>
          <w:rFonts w:eastAsia="Times New Roman" w:cs="Times New Roman"/>
          <w:kern w:val="0"/>
          <w:lang w:eastAsia="en-GB"/>
          <w14:ligatures w14:val="none"/>
        </w:rPr>
        <w:t>s</w:t>
      </w:r>
      <w:r w:rsidR="003647B0" w:rsidRPr="003647B0">
        <w:rPr>
          <w:rFonts w:eastAsia="Times New Roman" w:cs="Times New Roman"/>
          <w:kern w:val="0"/>
          <w:lang w:eastAsia="en-GB"/>
          <w14:ligatures w14:val="none"/>
        </w:rPr>
        <w:t>ubjectivists believe that constructive responsibility breaches the concept of "individual autonomy" by imposing an obligation based on chance rather than choosing. They go on to argue that fair labelling is critical for constructivists, and that the correspondence principle does not apply to crimes against the person since it contradicts another tenet of criminal law, representational fair labelling.</w:t>
      </w:r>
    </w:p>
    <w:p w14:paraId="72244D74" w14:textId="266695D5" w:rsidR="00E32C58" w:rsidRDefault="00E32C58" w:rsidP="00E32C58"/>
    <w:p w14:paraId="259D2017" w14:textId="77777777" w:rsidR="00BE3A6C" w:rsidRDefault="00BE3A6C" w:rsidP="00E32C58"/>
    <w:p w14:paraId="3934F8F2" w14:textId="1C50A900" w:rsidR="00CC2F4E" w:rsidRDefault="00E32C58" w:rsidP="00E32C58">
      <w:r w:rsidRPr="00EA0A1C">
        <w:t xml:space="preserve">An article by </w:t>
      </w:r>
      <w:proofErr w:type="spellStart"/>
      <w:r w:rsidRPr="00EA0A1C">
        <w:t>Eugenicos</w:t>
      </w:r>
      <w:proofErr w:type="spellEnd"/>
      <w:r w:rsidRPr="00EA0A1C">
        <w:t xml:space="preserve"> (2017)</w:t>
      </w:r>
      <w:r>
        <w:t xml:space="preserve"> explains that the legislation governing these offences in the OAPA [1861] is over 150 years old, and modern society has progressed since the Victorian era. Many offences have been time-barred, leaving only judicial interpretation to deal with this out-of-date legislation. She argues that not only is there concern with the defective hierarchy of offences, with an increasing number of litigants in person combined with economic inefficiencies inside the system, but archaic terminology has resulted in unneeded procedural complications, making components of a crime more obvious and briefer may result in many Crown Court cases being transferred to the lower-cost Magistrates Court. She states that reform would improve cost and time efficiency. </w:t>
      </w:r>
      <w:r w:rsidR="00685955" w:rsidRPr="00685955">
        <w:t xml:space="preserve">An instance of outdated language can be found in section 17 of the </w:t>
      </w:r>
      <w:r w:rsidR="00685955" w:rsidRPr="00EA0A1C">
        <w:t>O</w:t>
      </w:r>
      <w:r w:rsidR="001E0DD7" w:rsidRPr="00EA0A1C">
        <w:t>APA</w:t>
      </w:r>
      <w:r w:rsidR="00685955" w:rsidRPr="00EA0A1C">
        <w:t xml:space="preserve"> (1861)</w:t>
      </w:r>
      <w:r w:rsidR="0020519A" w:rsidRPr="00EA0A1C">
        <w:t>, t</w:t>
      </w:r>
      <w:r w:rsidR="00685955" w:rsidRPr="00EA0A1C">
        <w:t>his</w:t>
      </w:r>
      <w:r w:rsidR="00685955" w:rsidRPr="00685955">
        <w:t xml:space="preserve"> section refers to hindering someone who is attempting to save themselves from a shipwreck. It is considered an offence to impede escape from a shipwreck, regardless of whether it is done illegally or with malicious intent. Moreover, it is a criminal act to block others from rescuing those who are stranded, wrecked, or in distress. The maximum punishment for violating section 17 is life imprisonment</w:t>
      </w:r>
      <w:r w:rsidR="00CE251A">
        <w:t xml:space="preserve">, this type of </w:t>
      </w:r>
      <w:r w:rsidR="0022087D">
        <w:t xml:space="preserve">offence is </w:t>
      </w:r>
      <w:r w:rsidR="00281F30">
        <w:t xml:space="preserve">not relevant to </w:t>
      </w:r>
      <w:r w:rsidR="00622224">
        <w:t>today’s</w:t>
      </w:r>
      <w:r w:rsidR="00281F30">
        <w:t xml:space="preserve"> society. </w:t>
      </w:r>
    </w:p>
    <w:p w14:paraId="21148EB4" w14:textId="403CC7D4" w:rsidR="00572441" w:rsidRPr="00B46AA0" w:rsidRDefault="00E32C58" w:rsidP="00572441">
      <w:pPr>
        <w:rPr>
          <w:rFonts w:eastAsia="Times New Roman" w:cs="Times New Roman"/>
          <w:kern w:val="0"/>
          <w:lang w:eastAsia="en-GB"/>
          <w14:ligatures w14:val="none"/>
        </w:rPr>
      </w:pPr>
      <w:r>
        <w:t xml:space="preserve">Another example </w:t>
      </w:r>
      <w:r w:rsidR="00BA02C2">
        <w:t xml:space="preserve">of </w:t>
      </w:r>
      <w:r>
        <w:t xml:space="preserve">archaic terminology causing uncertainty is the offences of assault, battery, and common assault. According </w:t>
      </w:r>
      <w:r w:rsidRPr="00EA0A1C">
        <w:t>to Demetriou (2016</w:t>
      </w:r>
      <w:r w:rsidR="00EA0A1C">
        <w:t>; Padfield, 2014</w:t>
      </w:r>
      <w:r w:rsidR="00037F28">
        <w:t>)</w:t>
      </w:r>
      <w:r>
        <w:t xml:space="preserve"> under current law,</w:t>
      </w:r>
      <w:r w:rsidR="00572441" w:rsidRPr="00B46AA0">
        <w:rPr>
          <w:rFonts w:eastAsia="Times New Roman" w:cs="Times New Roman"/>
          <w:kern w:val="0"/>
          <w:lang w:eastAsia="en-GB"/>
          <w14:ligatures w14:val="none"/>
        </w:rPr>
        <w:t xml:space="preserve"> assault is defined as behaviour that knowingly or recklessly causes another 'to fear immediate and unlawful violence.' In contrast, battery necessitates physical and illicit contact between the culprit and the victim. Although there appears to be a clear distinction between the two common law offences in terms of the actus reus required for each, the terms 'assault' and 'common assault' are used interchangeably, creating confusion about their true nature. </w:t>
      </w:r>
    </w:p>
    <w:p w14:paraId="58FE6015" w14:textId="384ABC58" w:rsidR="00116F56" w:rsidRPr="00116F56" w:rsidRDefault="00E32C58" w:rsidP="00116F56">
      <w:pPr>
        <w:rPr>
          <w:rFonts w:ascii="Times New Roman" w:eastAsia="Times New Roman" w:hAnsi="Times New Roman" w:cs="Times New Roman"/>
          <w:kern w:val="0"/>
          <w:lang w:eastAsia="en-GB"/>
          <w14:ligatures w14:val="none"/>
        </w:rPr>
      </w:pPr>
      <w:r>
        <w:lastRenderedPageBreak/>
        <w:t xml:space="preserve">This is partly because the term 'battery' is rarely used in the current language and looks deceptive in this context. </w:t>
      </w:r>
      <w:r w:rsidR="000E4151" w:rsidRPr="000E4151">
        <w:rPr>
          <w:rFonts w:eastAsia="Times New Roman" w:cs="Times New Roman"/>
          <w:kern w:val="0"/>
          <w:lang w:eastAsia="en-GB"/>
          <w14:ligatures w14:val="none"/>
        </w:rPr>
        <w:t xml:space="preserve">While his analysis focused primarily on the Commission's recommendations on the crime ladder, as well as the branding and vocabulary used, he also brought to light issues that the Commission had not previously addressed, </w:t>
      </w:r>
      <w:r w:rsidR="000E4151" w:rsidRPr="000E4151">
        <w:rPr>
          <w:rFonts w:eastAsia="Times New Roman" w:cs="Times New Roman"/>
          <w:kern w:val="0"/>
          <w:lang w:eastAsia="en-GB"/>
          <w14:ligatures w14:val="none"/>
        </w:rPr>
        <w:t>even though</w:t>
      </w:r>
      <w:r w:rsidR="000E4151" w:rsidRPr="000E4151">
        <w:rPr>
          <w:rFonts w:eastAsia="Times New Roman" w:cs="Times New Roman"/>
          <w:kern w:val="0"/>
          <w:lang w:eastAsia="en-GB"/>
          <w14:ligatures w14:val="none"/>
        </w:rPr>
        <w:t xml:space="preserve"> their mandate was to review non-fatal offences against the person and lay the groundwork for the modernisation and elucidation of the law in this area</w:t>
      </w:r>
      <w:r w:rsidR="00116F56">
        <w:rPr>
          <w:rFonts w:eastAsia="Times New Roman" w:cs="Times New Roman"/>
          <w:kern w:val="0"/>
          <w:lang w:eastAsia="en-GB"/>
          <w14:ligatures w14:val="none"/>
        </w:rPr>
        <w:t>.</w:t>
      </w:r>
      <w:r w:rsidR="00116F56" w:rsidRPr="00116F56">
        <w:t xml:space="preserve"> </w:t>
      </w:r>
      <w:r w:rsidR="00505F4F">
        <w:t>Considering this,</w:t>
      </w:r>
      <w:r w:rsidR="00505F4F" w:rsidRPr="00505F4F">
        <w:rPr>
          <w:rFonts w:eastAsia="Times New Roman" w:cs="Times New Roman"/>
          <w:kern w:val="0"/>
          <w:lang w:eastAsia="en-GB"/>
          <w14:ligatures w14:val="none"/>
        </w:rPr>
        <w:t xml:space="preserve"> it</w:t>
      </w:r>
      <w:r w:rsidR="00116F56" w:rsidRPr="00505F4F">
        <w:rPr>
          <w:rFonts w:eastAsia="Times New Roman" w:cs="Times New Roman"/>
          <w:kern w:val="0"/>
          <w:lang w:eastAsia="en-GB"/>
          <w14:ligatures w14:val="none"/>
        </w:rPr>
        <w:t xml:space="preserve"> is reasonable to expect the Commission to extensively investigate each constituting element of these offences, including the fault criteria, particularly 'intention' </w:t>
      </w:r>
      <w:r w:rsidR="00505F4F" w:rsidRPr="00505F4F">
        <w:rPr>
          <w:rFonts w:eastAsia="Times New Roman" w:cs="Times New Roman"/>
          <w:kern w:val="0"/>
          <w:lang w:eastAsia="en-GB"/>
          <w14:ligatures w14:val="none"/>
        </w:rPr>
        <w:t>and ‘recklessness</w:t>
      </w:r>
      <w:r w:rsidR="00116F56" w:rsidRPr="00505F4F">
        <w:rPr>
          <w:rFonts w:eastAsia="Times New Roman" w:cs="Times New Roman"/>
          <w:kern w:val="0"/>
          <w:lang w:eastAsia="en-GB"/>
          <w14:ligatures w14:val="none"/>
        </w:rPr>
        <w:t>', which are key fault factors. He goes on to say that, while the Commission has already acknowledged it, codifying criminal law can lead to greater consistency and clarity, and it is surprising that the Commission did not take advantage of the opportunity provided by the project to reiterate its position on codification.</w:t>
      </w:r>
      <w:r w:rsidR="00116F56" w:rsidRPr="00116F56">
        <w:rPr>
          <w:rFonts w:ascii="Times New Roman" w:eastAsia="Times New Roman" w:hAnsi="Times New Roman" w:cs="Times New Roman"/>
          <w:kern w:val="0"/>
          <w:lang w:eastAsia="en-GB"/>
          <w14:ligatures w14:val="none"/>
        </w:rPr>
        <w:t xml:space="preserve"> </w:t>
      </w:r>
    </w:p>
    <w:p w14:paraId="43F7D5B6" w14:textId="31B8E1DE" w:rsidR="00E32C58" w:rsidRPr="000E4151" w:rsidRDefault="00E32C58" w:rsidP="00E32C58">
      <w:pPr>
        <w:rPr>
          <w:rFonts w:ascii="Times New Roman" w:eastAsia="Times New Roman" w:hAnsi="Times New Roman" w:cs="Times New Roman"/>
          <w:kern w:val="0"/>
          <w:lang w:eastAsia="en-GB"/>
          <w14:ligatures w14:val="none"/>
        </w:rPr>
      </w:pPr>
      <w:r>
        <w:t xml:space="preserve"> </w:t>
      </w:r>
    </w:p>
    <w:p w14:paraId="15CE6D41" w14:textId="77777777" w:rsidR="00E32C58" w:rsidRDefault="00E32C58" w:rsidP="00E32C58"/>
    <w:p w14:paraId="2B420AB1" w14:textId="77777777" w:rsidR="00E32C58" w:rsidRDefault="00E32C58" w:rsidP="00E32C58">
      <w:r>
        <w:t xml:space="preserve">The general criticisms of the OAPA [1861], </w:t>
      </w:r>
      <w:r w:rsidRPr="0077672E">
        <w:t>according to Jefferson (2012). Another example is the usage of penalties in the original statute that are no longer used. In</w:t>
      </w:r>
      <w:r>
        <w:t xml:space="preserve"> section 29, the crime of "causing gunpowder to explode, or sending to any person an explosive substance, or throwing corrosive fluid on a person, with intent to do grievous bodily harm" had a maximum sentence of penal servitude for life with a minimum term of three years, or imprisonment. He states that these punishments should cause us to think about the age from which these misdeeds originated and that if the punishments are outdated, the crimes must be as well. </w:t>
      </w:r>
    </w:p>
    <w:p w14:paraId="1FA0E4FF" w14:textId="77777777" w:rsidR="00E32C58" w:rsidRDefault="00E32C58" w:rsidP="00E32C58"/>
    <w:p w14:paraId="7A7DC30E" w14:textId="77777777" w:rsidR="00E32C58" w:rsidRDefault="00E32C58" w:rsidP="00E32C58">
      <w:r>
        <w:t>There is a minority against any reform. The Criminal Bar Association (CBA) has over 3,500 members and represents criminal law practitioners in the Bar. In a 2015 Law Commission consultation interview, they acknowledged that grading offences do not cause problems and that judges commonly employ this at sentencing. Judges might also supervise the exercise by asking prosecutors relevant questions about the assessments. They claim that a cleaning-up exercise would be an inefficient use of parliamentary time.</w:t>
      </w:r>
    </w:p>
    <w:p w14:paraId="45B0E7AC" w14:textId="127B0D71" w:rsidR="00E32C58" w:rsidRPr="0077672E" w:rsidRDefault="00E32C58" w:rsidP="00E32C58">
      <w:r>
        <w:t xml:space="preserve">Furthermore, they claim that objections to the wording used in the 1861 statute are solely academic. Some of the words are not </w:t>
      </w:r>
      <w:r w:rsidR="00DE246B">
        <w:t>every day</w:t>
      </w:r>
      <w:r>
        <w:t xml:space="preserve"> ordinary words, but they agree </w:t>
      </w:r>
      <w:r w:rsidRPr="0077672E">
        <w:t>that the courts do not need to apply creative interpretation to those words and in R v Burstow; R v Ireland [1997] UKHL 34, Decided by the House of Lords in July 1997, held that it was fitting that the words 'bodily harm' included psychiatric illness under sections 18, 20, and 47 of the 1861 Act. Furthermore, where interpretation is needed, judges are given approved directions, which the</w:t>
      </w:r>
      <w:r>
        <w:t xml:space="preserve"> court shall follow. To recap, they </w:t>
      </w:r>
      <w:r>
        <w:lastRenderedPageBreak/>
        <w:t xml:space="preserve">wonder if an exercise </w:t>
      </w:r>
      <w:r w:rsidRPr="0077672E">
        <w:t>to clean up the language of the 1861 Act would be worth the cost and parliamentary time. (</w:t>
      </w:r>
      <w:r w:rsidR="005F72F2" w:rsidRPr="0077672E">
        <w:t>The Criminal Bar Assoc</w:t>
      </w:r>
      <w:r w:rsidR="002C2F3B" w:rsidRPr="0077672E">
        <w:t>iation, 2015</w:t>
      </w:r>
      <w:r w:rsidRPr="0077672E">
        <w:t>)</w:t>
      </w:r>
      <w:r w:rsidR="002C2F3B" w:rsidRPr="0077672E">
        <w:t>.</w:t>
      </w:r>
    </w:p>
    <w:p w14:paraId="2EB4876E" w14:textId="77777777" w:rsidR="00E32C58" w:rsidRPr="0077672E" w:rsidRDefault="00E32C58" w:rsidP="00E32C58"/>
    <w:p w14:paraId="06940DE3" w14:textId="6EDC83E1" w:rsidR="00BA20E5" w:rsidRPr="00BA20E5" w:rsidRDefault="00E32C58" w:rsidP="00BA20E5">
      <w:pPr>
        <w:rPr>
          <w:rFonts w:eastAsia="Times New Roman" w:cs="Times New Roman"/>
          <w:kern w:val="0"/>
          <w:lang w:eastAsia="en-GB"/>
          <w14:ligatures w14:val="none"/>
        </w:rPr>
      </w:pPr>
      <w:r w:rsidRPr="0077672E">
        <w:t xml:space="preserve">With all the research and evidence conducted, it is feasible to suggest that the OAPA [1861] urgently needs reform, and with certain offences abolished, that no longer serve a purpose in modern society. As argued by the Law Commission (2015), if it were replaced by a clear, </w:t>
      </w:r>
      <w:r w:rsidR="00BA20E5" w:rsidRPr="0077672E">
        <w:t>current,</w:t>
      </w:r>
      <w:r w:rsidRPr="0077672E">
        <w:t xml:space="preserve"> and straightforward statute, it could have a positive impact in the future. </w:t>
      </w:r>
      <w:r w:rsidR="00BA20E5" w:rsidRPr="00BA20E5">
        <w:rPr>
          <w:rFonts w:eastAsia="Times New Roman" w:cs="Times New Roman"/>
          <w:kern w:val="0"/>
          <w:lang w:eastAsia="en-GB"/>
          <w14:ligatures w14:val="none"/>
        </w:rPr>
        <w:t xml:space="preserve">There are three choices for reform. First, let the Act stand as is, with court interpretation continuing as it has for the past 150 years. Second, piecemeal reform entails modifying and removing certain provisions. Finally, the most compelling case is to repeal and replace the OAPA of 1861 with a new legislation. </w:t>
      </w:r>
      <w:proofErr w:type="gramStart"/>
      <w:r w:rsidR="00BA20E5" w:rsidRPr="00BA20E5">
        <w:rPr>
          <w:rFonts w:eastAsia="Times New Roman" w:cs="Times New Roman"/>
          <w:kern w:val="0"/>
          <w:lang w:eastAsia="en-GB"/>
          <w14:ligatures w14:val="none"/>
        </w:rPr>
        <w:t>All of</w:t>
      </w:r>
      <w:proofErr w:type="gramEnd"/>
      <w:r w:rsidR="00BA20E5" w:rsidRPr="00BA20E5">
        <w:rPr>
          <w:rFonts w:eastAsia="Times New Roman" w:cs="Times New Roman"/>
          <w:kern w:val="0"/>
          <w:lang w:eastAsia="en-GB"/>
          <w14:ligatures w14:val="none"/>
        </w:rPr>
        <w:t xml:space="preserve"> the difficulties listed would increase the use of the magistrate's court while avoiding excessive complexity and detail in the offences, guaranteeing that modern and evolving criminal practices do not limit the law. The legislation must be made more accessible while aiming for a transparent process. As a result, changing the OAPA is both critical and urgent.</w:t>
      </w:r>
    </w:p>
    <w:p w14:paraId="5EBC478C" w14:textId="78E580F9" w:rsidR="00E32C58" w:rsidRPr="00BA20E5" w:rsidRDefault="00E32C58" w:rsidP="00E32C58"/>
    <w:p w14:paraId="7811B5B9" w14:textId="77777777" w:rsidR="00E32C58" w:rsidRDefault="00E32C58" w:rsidP="00E32C58"/>
    <w:p w14:paraId="5A7581AD" w14:textId="77777777" w:rsidR="00E32C58" w:rsidRDefault="00E32C58" w:rsidP="00E32C58"/>
    <w:p w14:paraId="68FCB345" w14:textId="77777777" w:rsidR="00E32C58" w:rsidRDefault="00E32C58" w:rsidP="00E32C58"/>
    <w:p w14:paraId="2C67893B" w14:textId="09F20651" w:rsidR="00E32C58" w:rsidRPr="00E802C7" w:rsidRDefault="00E32C58" w:rsidP="00E32C58">
      <w:pPr>
        <w:rPr>
          <w:u w:val="single"/>
        </w:rPr>
      </w:pPr>
      <w:r w:rsidRPr="00E802C7">
        <w:rPr>
          <w:u w:val="single"/>
        </w:rPr>
        <w:t xml:space="preserve">References </w:t>
      </w:r>
    </w:p>
    <w:p w14:paraId="1B086305" w14:textId="4E8F75DD" w:rsidR="00E32C58" w:rsidRDefault="00E32C58" w:rsidP="00E32C58">
      <w:r>
        <w:t xml:space="preserve">Offences against the Person Act 1861, c. </w:t>
      </w:r>
      <w:r w:rsidR="006C3E5F">
        <w:t>100.</w:t>
      </w:r>
      <w:r>
        <w:t xml:space="preserve"> Available at: https://www.legislation.gov.uk/ukpga/Vict/24-25/100/contents (Accessed: 29 February 2024).</w:t>
      </w:r>
    </w:p>
    <w:p w14:paraId="7C94041D" w14:textId="6BC8C7A3" w:rsidR="002C2F3B" w:rsidRPr="009378EB" w:rsidRDefault="00C45FBD" w:rsidP="00E32C58">
      <w:r>
        <w:t>The Criminal Bar Association of England &amp; Wales 2015</w:t>
      </w:r>
      <w:r w:rsidR="009900D3" w:rsidRPr="009900D3">
        <w:rPr>
          <w:i/>
          <w:iCs/>
        </w:rPr>
        <w:t xml:space="preserve">. </w:t>
      </w:r>
      <w:r w:rsidR="00535D07" w:rsidRPr="009900D3">
        <w:rPr>
          <w:i/>
          <w:iCs/>
        </w:rPr>
        <w:t>Proposed reform of the Offences against the Person Act 1861</w:t>
      </w:r>
      <w:r w:rsidR="009900D3" w:rsidRPr="009900D3">
        <w:rPr>
          <w:i/>
          <w:iCs/>
        </w:rPr>
        <w:t xml:space="preserve"> Consultation by the law commission.</w:t>
      </w:r>
      <w:r w:rsidR="009900D3">
        <w:rPr>
          <w:i/>
          <w:iCs/>
        </w:rPr>
        <w:t xml:space="preserve"> </w:t>
      </w:r>
      <w:r w:rsidR="009378EB" w:rsidRPr="009378EB">
        <w:t>150215073348</w:t>
      </w:r>
      <w:r w:rsidR="00F5147F">
        <w:t xml:space="preserve"> Available at: </w:t>
      </w:r>
      <w:hyperlink r:id="rId4" w:history="1">
        <w:r w:rsidR="00F5147F" w:rsidRPr="006C3AF6">
          <w:rPr>
            <w:rStyle w:val="Hyperlink"/>
          </w:rPr>
          <w:t>https://www.criminalbar.com/wp-content/uploads/files/cba-responses/150215073348-PROPOSEDREFORMOFTHEOFFENCESAGAINSTTHEPERSONACT18613.pdf</w:t>
        </w:r>
      </w:hyperlink>
      <w:r w:rsidR="00F5147F">
        <w:t xml:space="preserve"> (Accessed: 5 March 2024).</w:t>
      </w:r>
    </w:p>
    <w:p w14:paraId="3654C9EF" w14:textId="19F3ECCE" w:rsidR="00E32C58" w:rsidRDefault="00E32C58" w:rsidP="00E32C58">
      <w:r>
        <w:t xml:space="preserve">Smith, Hogan and Ormerod (2017). </w:t>
      </w:r>
      <w:r w:rsidRPr="007D6D09">
        <w:rPr>
          <w:i/>
          <w:iCs/>
        </w:rPr>
        <w:t>Essentials of Criminal Law</w:t>
      </w:r>
      <w:r>
        <w:t xml:space="preserve">. 2nd </w:t>
      </w:r>
      <w:proofErr w:type="spellStart"/>
      <w:r>
        <w:t>Edn</w:t>
      </w:r>
      <w:proofErr w:type="spellEnd"/>
      <w:r>
        <w:t>. Oxford: Oxford University Press.</w:t>
      </w:r>
    </w:p>
    <w:p w14:paraId="6DD3B6DB" w14:textId="7AF76921" w:rsidR="00E32C58" w:rsidRDefault="00E32C58" w:rsidP="00E32C58">
      <w:r>
        <w:t xml:space="preserve">Law Commission (2015). </w:t>
      </w:r>
      <w:r w:rsidRPr="00F1062A">
        <w:rPr>
          <w:i/>
          <w:iCs/>
        </w:rPr>
        <w:t>Reform of Offences against the Person</w:t>
      </w:r>
      <w:r w:rsidRPr="00F1062A">
        <w:t>.</w:t>
      </w:r>
      <w:r>
        <w:t xml:space="preserve"> (Law Com No 361). Available at: https://lawcom.gov.uk/document/offences-against-the-person-report/ (Accessed: 3 March 2024).</w:t>
      </w:r>
    </w:p>
    <w:p w14:paraId="6E1AD203" w14:textId="243A9C58" w:rsidR="00E32C58" w:rsidRDefault="00E32C58" w:rsidP="00E32C58">
      <w:r>
        <w:lastRenderedPageBreak/>
        <w:t>Jackson, A., Storey, T. (2015</w:t>
      </w:r>
      <w:r w:rsidRPr="00F1062A">
        <w:t>) Reforming Offences Against the Person: In Defence of ' moderate ' constructivism</w:t>
      </w:r>
      <w:r>
        <w:t xml:space="preserve">, </w:t>
      </w:r>
      <w:r w:rsidRPr="00F1062A">
        <w:rPr>
          <w:i/>
          <w:iCs/>
        </w:rPr>
        <w:t>The Journal of Criminal Law</w:t>
      </w:r>
      <w:r>
        <w:t>, 79 (6), pp. 437-447. Available at: https://doi.org/10.1177/0022018315617583</w:t>
      </w:r>
    </w:p>
    <w:p w14:paraId="15F7B102" w14:textId="6CB35B33" w:rsidR="00E32C58" w:rsidRPr="00532570" w:rsidRDefault="00090139" w:rsidP="00E32C58">
      <w:r w:rsidRPr="00532570">
        <w:rPr>
          <w:sz w:val="23"/>
          <w:szCs w:val="23"/>
          <w:shd w:val="clear" w:color="auto" w:fill="FFFFFF"/>
        </w:rPr>
        <w:t>Demetriou, S. (2016) “Not Giving Up the Fight: A Review of the Law Commission’s Scoping Report on Non-fatal Offences Against the Person,” </w:t>
      </w:r>
      <w:r w:rsidRPr="00532570">
        <w:rPr>
          <w:i/>
          <w:iCs/>
          <w:sz w:val="23"/>
          <w:szCs w:val="23"/>
          <w:shd w:val="clear" w:color="auto" w:fill="FFFFFF"/>
        </w:rPr>
        <w:t>Journal of criminal law</w:t>
      </w:r>
      <w:r w:rsidRPr="00532570">
        <w:rPr>
          <w:sz w:val="23"/>
          <w:szCs w:val="23"/>
          <w:shd w:val="clear" w:color="auto" w:fill="FFFFFF"/>
        </w:rPr>
        <w:t>, 80(3), pp. 188–200. Available at: https://doi.org/10.1177/0022018316646656.</w:t>
      </w:r>
    </w:p>
    <w:p w14:paraId="2DB5E5C2" w14:textId="77777777" w:rsidR="00AD78F8" w:rsidRDefault="00AD78F8" w:rsidP="00E32C58"/>
    <w:p w14:paraId="5A4E4D33" w14:textId="277A6B29" w:rsidR="00E32C58" w:rsidRPr="00FE6675" w:rsidRDefault="00FE6675" w:rsidP="00E32C58">
      <w:r w:rsidRPr="00FE6675">
        <w:rPr>
          <w:sz w:val="23"/>
          <w:szCs w:val="23"/>
          <w:shd w:val="clear" w:color="auto" w:fill="FFFFFF"/>
        </w:rPr>
        <w:t>Jefferson, M. (2012) Offences against the Person: Into the 21st Century, </w:t>
      </w:r>
      <w:r w:rsidRPr="00FE6675">
        <w:rPr>
          <w:i/>
          <w:iCs/>
          <w:sz w:val="23"/>
          <w:szCs w:val="23"/>
          <w:shd w:val="clear" w:color="auto" w:fill="FFFFFF"/>
        </w:rPr>
        <w:t>Journal of criminal law (Hertford)</w:t>
      </w:r>
      <w:r w:rsidRPr="00FE6675">
        <w:rPr>
          <w:sz w:val="23"/>
          <w:szCs w:val="23"/>
          <w:shd w:val="clear" w:color="auto" w:fill="FFFFFF"/>
        </w:rPr>
        <w:t>, 76(6), pp. 472–492. Available at: https://doi.org/10.1350/jcla.2012.76.6.805.</w:t>
      </w:r>
    </w:p>
    <w:p w14:paraId="08F49591" w14:textId="3D2118B5" w:rsidR="00E32C58" w:rsidRPr="00F1062A" w:rsidRDefault="00B86659" w:rsidP="00E32C58">
      <w:proofErr w:type="spellStart"/>
      <w:r w:rsidRPr="00F1062A">
        <w:rPr>
          <w:sz w:val="23"/>
          <w:szCs w:val="23"/>
          <w:shd w:val="clear" w:color="auto" w:fill="FFFFFF"/>
        </w:rPr>
        <w:t>Eugenicos</w:t>
      </w:r>
      <w:proofErr w:type="spellEnd"/>
      <w:r w:rsidRPr="00F1062A">
        <w:rPr>
          <w:sz w:val="23"/>
          <w:szCs w:val="23"/>
          <w:shd w:val="clear" w:color="auto" w:fill="FFFFFF"/>
        </w:rPr>
        <w:t xml:space="preserve">, A.-M. (2017) </w:t>
      </w:r>
      <w:r w:rsidR="007023D7">
        <w:rPr>
          <w:sz w:val="23"/>
          <w:szCs w:val="23"/>
          <w:shd w:val="clear" w:color="auto" w:fill="FFFFFF"/>
        </w:rPr>
        <w:t>‘</w:t>
      </w:r>
      <w:r w:rsidRPr="00F1062A">
        <w:rPr>
          <w:sz w:val="23"/>
          <w:szCs w:val="23"/>
          <w:shd w:val="clear" w:color="auto" w:fill="FFFFFF"/>
        </w:rPr>
        <w:t>Should We Reform the Offences Against the Person Act 1861?</w:t>
      </w:r>
      <w:r w:rsidR="007023D7">
        <w:rPr>
          <w:sz w:val="23"/>
          <w:szCs w:val="23"/>
          <w:shd w:val="clear" w:color="auto" w:fill="FFFFFF"/>
        </w:rPr>
        <w:t>’</w:t>
      </w:r>
      <w:r w:rsidRPr="00F1062A">
        <w:rPr>
          <w:sz w:val="23"/>
          <w:szCs w:val="23"/>
          <w:shd w:val="clear" w:color="auto" w:fill="FFFFFF"/>
        </w:rPr>
        <w:t> </w:t>
      </w:r>
      <w:r w:rsidRPr="00F1062A">
        <w:rPr>
          <w:i/>
          <w:iCs/>
          <w:sz w:val="23"/>
          <w:szCs w:val="23"/>
          <w:shd w:val="clear" w:color="auto" w:fill="FFFFFF"/>
        </w:rPr>
        <w:t>Journal of criminal law (Hertford)</w:t>
      </w:r>
      <w:r w:rsidRPr="00F1062A">
        <w:rPr>
          <w:sz w:val="23"/>
          <w:szCs w:val="23"/>
          <w:shd w:val="clear" w:color="auto" w:fill="FFFFFF"/>
        </w:rPr>
        <w:t>, 81(1), pp. 26–32. Available at: https://doi.org/10.1177/0022018316685478.</w:t>
      </w:r>
    </w:p>
    <w:p w14:paraId="57E15D9D" w14:textId="1EAA71B1" w:rsidR="00E32C58" w:rsidRDefault="00E32C58" w:rsidP="00E32C58">
      <w:r>
        <w:t>Gard</w:t>
      </w:r>
      <w:r w:rsidR="00BB77D0">
        <w:t>ner</w:t>
      </w:r>
      <w:r w:rsidR="0001084D">
        <w:t>,</w:t>
      </w:r>
      <w:r w:rsidR="00BB77D0">
        <w:t xml:space="preserve"> J</w:t>
      </w:r>
      <w:r w:rsidR="0001084D">
        <w:t>.</w:t>
      </w:r>
      <w:r w:rsidR="00BB77D0">
        <w:t xml:space="preserve"> (1994) </w:t>
      </w:r>
      <w:r w:rsidR="00004DB7">
        <w:t>‘</w:t>
      </w:r>
      <w:r w:rsidR="00BB77D0">
        <w:t>Rationality and the Rule of Law in Offences against the Person</w:t>
      </w:r>
      <w:r w:rsidR="0001084D">
        <w:t xml:space="preserve">’, </w:t>
      </w:r>
      <w:r w:rsidR="00BB77D0" w:rsidRPr="00BB77D0">
        <w:rPr>
          <w:i/>
          <w:iCs/>
        </w:rPr>
        <w:t>The Cambridge Law Journal</w:t>
      </w:r>
      <w:r w:rsidR="0001084D">
        <w:rPr>
          <w:i/>
          <w:iCs/>
        </w:rPr>
        <w:t xml:space="preserve">, </w:t>
      </w:r>
      <w:r w:rsidR="00A27E69" w:rsidRPr="007023D7">
        <w:t xml:space="preserve">53 (3) pp. 502-523. Available at: </w:t>
      </w:r>
      <w:hyperlink r:id="rId5" w:history="1">
        <w:r w:rsidR="007023D7" w:rsidRPr="007023D7">
          <w:rPr>
            <w:rStyle w:val="Hyperlink"/>
          </w:rPr>
          <w:t>https://www.jstor.org/stable/4507992</w:t>
        </w:r>
      </w:hyperlink>
      <w:r w:rsidR="007023D7" w:rsidRPr="007023D7">
        <w:t xml:space="preserve"> (Accessed: 07 March 2024).</w:t>
      </w:r>
    </w:p>
    <w:p w14:paraId="1FFDD70C" w14:textId="6D8F1174" w:rsidR="00532570" w:rsidRDefault="001A31D3" w:rsidP="00E32C58">
      <w:r>
        <w:t>Padfield, N. (2014)</w:t>
      </w:r>
      <w:r w:rsidR="00323899">
        <w:t xml:space="preserve"> </w:t>
      </w:r>
      <w:r w:rsidR="00323899" w:rsidRPr="00323899">
        <w:rPr>
          <w:i/>
          <w:iCs/>
        </w:rPr>
        <w:t>Criminal La</w:t>
      </w:r>
      <w:r w:rsidR="00323899">
        <w:rPr>
          <w:i/>
          <w:iCs/>
        </w:rPr>
        <w:t xml:space="preserve">w. </w:t>
      </w:r>
      <w:r w:rsidR="00323899">
        <w:t>9</w:t>
      </w:r>
      <w:r w:rsidR="00323899" w:rsidRPr="00323899">
        <w:rPr>
          <w:vertAlign w:val="superscript"/>
        </w:rPr>
        <w:t>th</w:t>
      </w:r>
      <w:r w:rsidR="00323899">
        <w:t xml:space="preserve"> </w:t>
      </w:r>
      <w:proofErr w:type="spellStart"/>
      <w:r w:rsidR="00323899">
        <w:t>edn</w:t>
      </w:r>
      <w:proofErr w:type="spellEnd"/>
      <w:r w:rsidR="00323899">
        <w:t>. Oxford: Oxford University Pre</w:t>
      </w:r>
      <w:r w:rsidR="00406890">
        <w:t>ss</w:t>
      </w:r>
    </w:p>
    <w:p w14:paraId="5DCABC78" w14:textId="722174AB" w:rsidR="008D2BA2" w:rsidRPr="00323899" w:rsidRDefault="008D2BA2" w:rsidP="00E32C58">
      <w:r w:rsidRPr="00404B1D">
        <w:rPr>
          <w:i/>
          <w:iCs/>
        </w:rPr>
        <w:t>R v Burstow; R v Ireland [1997] UKHL 34</w:t>
      </w:r>
      <w:r w:rsidR="00404B1D" w:rsidRPr="00404B1D">
        <w:rPr>
          <w:i/>
          <w:iCs/>
        </w:rPr>
        <w:t>.</w:t>
      </w:r>
      <w:r w:rsidR="0077672E">
        <w:rPr>
          <w:i/>
          <w:iCs/>
        </w:rPr>
        <w:t xml:space="preserve"> Available at:</w:t>
      </w:r>
      <w:r w:rsidR="00404B1D" w:rsidRPr="00404B1D">
        <w:rPr>
          <w:i/>
          <w:iCs/>
        </w:rPr>
        <w:t xml:space="preserve"> </w:t>
      </w:r>
      <w:hyperlink r:id="rId6" w:history="1">
        <w:r w:rsidR="00404B1D" w:rsidRPr="006C3AF6">
          <w:rPr>
            <w:rStyle w:val="Hyperlink"/>
          </w:rPr>
          <w:t>https://publications.parliament.uk/pa/ld199798/ldjudgmt/jd970724/irland01.htm</w:t>
        </w:r>
      </w:hyperlink>
      <w:r w:rsidR="00404B1D">
        <w:t xml:space="preserve"> </w:t>
      </w:r>
      <w:r w:rsidR="0077672E">
        <w:t>(Accessed: 07 March 2024).</w:t>
      </w:r>
    </w:p>
    <w:p w14:paraId="7BD14226" w14:textId="77777777" w:rsidR="00E32C58" w:rsidRDefault="00E32C58" w:rsidP="00E32C58"/>
    <w:p w14:paraId="390FC0B1" w14:textId="77777777" w:rsidR="00E32C58" w:rsidRDefault="00E32C58"/>
    <w:sectPr w:rsidR="00E32C58" w:rsidSect="00A4243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58"/>
    <w:rsid w:val="00004DB7"/>
    <w:rsid w:val="0001084D"/>
    <w:rsid w:val="00012805"/>
    <w:rsid w:val="00033AE5"/>
    <w:rsid w:val="00037F28"/>
    <w:rsid w:val="00047254"/>
    <w:rsid w:val="00054A2A"/>
    <w:rsid w:val="00067DD4"/>
    <w:rsid w:val="00071FFB"/>
    <w:rsid w:val="00090139"/>
    <w:rsid w:val="000D3648"/>
    <w:rsid w:val="000E4151"/>
    <w:rsid w:val="000F2A03"/>
    <w:rsid w:val="00116F56"/>
    <w:rsid w:val="001A31D3"/>
    <w:rsid w:val="001C2A80"/>
    <w:rsid w:val="001E0DD7"/>
    <w:rsid w:val="0020519A"/>
    <w:rsid w:val="0022087D"/>
    <w:rsid w:val="0026400F"/>
    <w:rsid w:val="00280C75"/>
    <w:rsid w:val="00281F30"/>
    <w:rsid w:val="00287220"/>
    <w:rsid w:val="002C2F3B"/>
    <w:rsid w:val="002D1C0D"/>
    <w:rsid w:val="00323899"/>
    <w:rsid w:val="00332E9D"/>
    <w:rsid w:val="0035331E"/>
    <w:rsid w:val="003647B0"/>
    <w:rsid w:val="003A3351"/>
    <w:rsid w:val="003C64A9"/>
    <w:rsid w:val="003E1CCB"/>
    <w:rsid w:val="00404B1D"/>
    <w:rsid w:val="00406890"/>
    <w:rsid w:val="00433D9F"/>
    <w:rsid w:val="00437129"/>
    <w:rsid w:val="004577AB"/>
    <w:rsid w:val="004C4E88"/>
    <w:rsid w:val="00505F4F"/>
    <w:rsid w:val="00532570"/>
    <w:rsid w:val="00535D07"/>
    <w:rsid w:val="00572441"/>
    <w:rsid w:val="005A096B"/>
    <w:rsid w:val="005C3F5F"/>
    <w:rsid w:val="005F72F2"/>
    <w:rsid w:val="00622224"/>
    <w:rsid w:val="00626A12"/>
    <w:rsid w:val="0066174C"/>
    <w:rsid w:val="00685955"/>
    <w:rsid w:val="006C3E5F"/>
    <w:rsid w:val="006D25D6"/>
    <w:rsid w:val="007023D7"/>
    <w:rsid w:val="0077672E"/>
    <w:rsid w:val="0078680A"/>
    <w:rsid w:val="007A11E5"/>
    <w:rsid w:val="007A7FD9"/>
    <w:rsid w:val="007B27D9"/>
    <w:rsid w:val="007D6D09"/>
    <w:rsid w:val="0085473B"/>
    <w:rsid w:val="008C7662"/>
    <w:rsid w:val="008D2BA2"/>
    <w:rsid w:val="009378EB"/>
    <w:rsid w:val="00947EE4"/>
    <w:rsid w:val="00967A7D"/>
    <w:rsid w:val="009900D3"/>
    <w:rsid w:val="009A57BF"/>
    <w:rsid w:val="009C7F12"/>
    <w:rsid w:val="00A13E9C"/>
    <w:rsid w:val="00A14C68"/>
    <w:rsid w:val="00A14D86"/>
    <w:rsid w:val="00A27E69"/>
    <w:rsid w:val="00A42435"/>
    <w:rsid w:val="00A45130"/>
    <w:rsid w:val="00A50292"/>
    <w:rsid w:val="00A86E05"/>
    <w:rsid w:val="00AB2A84"/>
    <w:rsid w:val="00AD78F8"/>
    <w:rsid w:val="00B044C3"/>
    <w:rsid w:val="00B46AA0"/>
    <w:rsid w:val="00B56B34"/>
    <w:rsid w:val="00B67501"/>
    <w:rsid w:val="00B86659"/>
    <w:rsid w:val="00BA02C2"/>
    <w:rsid w:val="00BA20E5"/>
    <w:rsid w:val="00BB77D0"/>
    <w:rsid w:val="00BE3A6C"/>
    <w:rsid w:val="00BE5F5B"/>
    <w:rsid w:val="00BF46AD"/>
    <w:rsid w:val="00C45FBD"/>
    <w:rsid w:val="00C65E22"/>
    <w:rsid w:val="00CC2F4E"/>
    <w:rsid w:val="00CE251A"/>
    <w:rsid w:val="00D20641"/>
    <w:rsid w:val="00D711B1"/>
    <w:rsid w:val="00DD66AF"/>
    <w:rsid w:val="00DE246B"/>
    <w:rsid w:val="00E02FA7"/>
    <w:rsid w:val="00E32C58"/>
    <w:rsid w:val="00E44753"/>
    <w:rsid w:val="00E802C7"/>
    <w:rsid w:val="00EA0A1C"/>
    <w:rsid w:val="00EE15B0"/>
    <w:rsid w:val="00F1062A"/>
    <w:rsid w:val="00F4134A"/>
    <w:rsid w:val="00F5147F"/>
    <w:rsid w:val="00F67FAA"/>
    <w:rsid w:val="00FE520C"/>
    <w:rsid w:val="00FE6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D3CA1"/>
  <w15:chartTrackingRefBased/>
  <w15:docId w15:val="{71983A4F-5AD9-4E1D-84A9-7007625ED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2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2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2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2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2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2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2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2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2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2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2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2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2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2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2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2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2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2C58"/>
    <w:rPr>
      <w:rFonts w:eastAsiaTheme="majorEastAsia" w:cstheme="majorBidi"/>
      <w:color w:val="272727" w:themeColor="text1" w:themeTint="D8"/>
    </w:rPr>
  </w:style>
  <w:style w:type="paragraph" w:styleId="Title">
    <w:name w:val="Title"/>
    <w:basedOn w:val="Normal"/>
    <w:next w:val="Normal"/>
    <w:link w:val="TitleChar"/>
    <w:uiPriority w:val="10"/>
    <w:qFormat/>
    <w:rsid w:val="00E32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2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2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2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2C58"/>
    <w:pPr>
      <w:spacing w:before="160"/>
      <w:jc w:val="center"/>
    </w:pPr>
    <w:rPr>
      <w:i/>
      <w:iCs/>
      <w:color w:val="404040" w:themeColor="text1" w:themeTint="BF"/>
    </w:rPr>
  </w:style>
  <w:style w:type="character" w:customStyle="1" w:styleId="QuoteChar">
    <w:name w:val="Quote Char"/>
    <w:basedOn w:val="DefaultParagraphFont"/>
    <w:link w:val="Quote"/>
    <w:uiPriority w:val="29"/>
    <w:rsid w:val="00E32C58"/>
    <w:rPr>
      <w:i/>
      <w:iCs/>
      <w:color w:val="404040" w:themeColor="text1" w:themeTint="BF"/>
    </w:rPr>
  </w:style>
  <w:style w:type="paragraph" w:styleId="ListParagraph">
    <w:name w:val="List Paragraph"/>
    <w:basedOn w:val="Normal"/>
    <w:uiPriority w:val="34"/>
    <w:qFormat/>
    <w:rsid w:val="00E32C58"/>
    <w:pPr>
      <w:ind w:left="720"/>
      <w:contextualSpacing/>
    </w:pPr>
  </w:style>
  <w:style w:type="character" w:styleId="IntenseEmphasis">
    <w:name w:val="Intense Emphasis"/>
    <w:basedOn w:val="DefaultParagraphFont"/>
    <w:uiPriority w:val="21"/>
    <w:qFormat/>
    <w:rsid w:val="00E32C58"/>
    <w:rPr>
      <w:i/>
      <w:iCs/>
      <w:color w:val="0F4761" w:themeColor="accent1" w:themeShade="BF"/>
    </w:rPr>
  </w:style>
  <w:style w:type="paragraph" w:styleId="IntenseQuote">
    <w:name w:val="Intense Quote"/>
    <w:basedOn w:val="Normal"/>
    <w:next w:val="Normal"/>
    <w:link w:val="IntenseQuoteChar"/>
    <w:uiPriority w:val="30"/>
    <w:qFormat/>
    <w:rsid w:val="00E32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2C58"/>
    <w:rPr>
      <w:i/>
      <w:iCs/>
      <w:color w:val="0F4761" w:themeColor="accent1" w:themeShade="BF"/>
    </w:rPr>
  </w:style>
  <w:style w:type="character" w:styleId="IntenseReference">
    <w:name w:val="Intense Reference"/>
    <w:basedOn w:val="DefaultParagraphFont"/>
    <w:uiPriority w:val="32"/>
    <w:qFormat/>
    <w:rsid w:val="00E32C58"/>
    <w:rPr>
      <w:b/>
      <w:bCs/>
      <w:smallCaps/>
      <w:color w:val="0F4761" w:themeColor="accent1" w:themeShade="BF"/>
      <w:spacing w:val="5"/>
    </w:rPr>
  </w:style>
  <w:style w:type="character" w:styleId="Hyperlink">
    <w:name w:val="Hyperlink"/>
    <w:basedOn w:val="DefaultParagraphFont"/>
    <w:uiPriority w:val="99"/>
    <w:unhideWhenUsed/>
    <w:rsid w:val="00F5147F"/>
    <w:rPr>
      <w:color w:val="467886" w:themeColor="hyperlink"/>
      <w:u w:val="single"/>
    </w:rPr>
  </w:style>
  <w:style w:type="character" w:styleId="UnresolvedMention">
    <w:name w:val="Unresolved Mention"/>
    <w:basedOn w:val="DefaultParagraphFont"/>
    <w:uiPriority w:val="99"/>
    <w:semiHidden/>
    <w:unhideWhenUsed/>
    <w:rsid w:val="00F5147F"/>
    <w:rPr>
      <w:color w:val="605E5C"/>
      <w:shd w:val="clear" w:color="auto" w:fill="E1DFDD"/>
    </w:rPr>
  </w:style>
  <w:style w:type="paragraph" w:styleId="NoSpacing">
    <w:name w:val="No Spacing"/>
    <w:link w:val="NoSpacingChar"/>
    <w:uiPriority w:val="1"/>
    <w:qFormat/>
    <w:rsid w:val="00A14C68"/>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14C68"/>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088959">
      <w:bodyDiv w:val="1"/>
      <w:marLeft w:val="0"/>
      <w:marRight w:val="0"/>
      <w:marTop w:val="0"/>
      <w:marBottom w:val="0"/>
      <w:divBdr>
        <w:top w:val="none" w:sz="0" w:space="0" w:color="auto"/>
        <w:left w:val="none" w:sz="0" w:space="0" w:color="auto"/>
        <w:bottom w:val="none" w:sz="0" w:space="0" w:color="auto"/>
        <w:right w:val="none" w:sz="0" w:space="0" w:color="auto"/>
      </w:divBdr>
    </w:div>
    <w:div w:id="790051055">
      <w:bodyDiv w:val="1"/>
      <w:marLeft w:val="0"/>
      <w:marRight w:val="0"/>
      <w:marTop w:val="0"/>
      <w:marBottom w:val="0"/>
      <w:divBdr>
        <w:top w:val="none" w:sz="0" w:space="0" w:color="auto"/>
        <w:left w:val="none" w:sz="0" w:space="0" w:color="auto"/>
        <w:bottom w:val="none" w:sz="0" w:space="0" w:color="auto"/>
        <w:right w:val="none" w:sz="0" w:space="0" w:color="auto"/>
      </w:divBdr>
    </w:div>
    <w:div w:id="910695452">
      <w:bodyDiv w:val="1"/>
      <w:marLeft w:val="0"/>
      <w:marRight w:val="0"/>
      <w:marTop w:val="0"/>
      <w:marBottom w:val="0"/>
      <w:divBdr>
        <w:top w:val="none" w:sz="0" w:space="0" w:color="auto"/>
        <w:left w:val="none" w:sz="0" w:space="0" w:color="auto"/>
        <w:bottom w:val="none" w:sz="0" w:space="0" w:color="auto"/>
        <w:right w:val="none" w:sz="0" w:space="0" w:color="auto"/>
      </w:divBdr>
    </w:div>
    <w:div w:id="913244639">
      <w:bodyDiv w:val="1"/>
      <w:marLeft w:val="0"/>
      <w:marRight w:val="0"/>
      <w:marTop w:val="0"/>
      <w:marBottom w:val="0"/>
      <w:divBdr>
        <w:top w:val="none" w:sz="0" w:space="0" w:color="auto"/>
        <w:left w:val="none" w:sz="0" w:space="0" w:color="auto"/>
        <w:bottom w:val="none" w:sz="0" w:space="0" w:color="auto"/>
        <w:right w:val="none" w:sz="0" w:space="0" w:color="auto"/>
      </w:divBdr>
    </w:div>
    <w:div w:id="1304431737">
      <w:bodyDiv w:val="1"/>
      <w:marLeft w:val="0"/>
      <w:marRight w:val="0"/>
      <w:marTop w:val="0"/>
      <w:marBottom w:val="0"/>
      <w:divBdr>
        <w:top w:val="none" w:sz="0" w:space="0" w:color="auto"/>
        <w:left w:val="none" w:sz="0" w:space="0" w:color="auto"/>
        <w:bottom w:val="none" w:sz="0" w:space="0" w:color="auto"/>
        <w:right w:val="none" w:sz="0" w:space="0" w:color="auto"/>
      </w:divBdr>
    </w:div>
    <w:div w:id="1800607097">
      <w:bodyDiv w:val="1"/>
      <w:marLeft w:val="0"/>
      <w:marRight w:val="0"/>
      <w:marTop w:val="0"/>
      <w:marBottom w:val="0"/>
      <w:divBdr>
        <w:top w:val="none" w:sz="0" w:space="0" w:color="auto"/>
        <w:left w:val="none" w:sz="0" w:space="0" w:color="auto"/>
        <w:bottom w:val="none" w:sz="0" w:space="0" w:color="auto"/>
        <w:right w:val="none" w:sz="0" w:space="0" w:color="auto"/>
      </w:divBdr>
    </w:div>
    <w:div w:id="1916818381">
      <w:bodyDiv w:val="1"/>
      <w:marLeft w:val="0"/>
      <w:marRight w:val="0"/>
      <w:marTop w:val="0"/>
      <w:marBottom w:val="0"/>
      <w:divBdr>
        <w:top w:val="none" w:sz="0" w:space="0" w:color="auto"/>
        <w:left w:val="none" w:sz="0" w:space="0" w:color="auto"/>
        <w:bottom w:val="none" w:sz="0" w:space="0" w:color="auto"/>
        <w:right w:val="none" w:sz="0" w:space="0" w:color="auto"/>
      </w:divBdr>
    </w:div>
    <w:div w:id="2017270208">
      <w:bodyDiv w:val="1"/>
      <w:marLeft w:val="0"/>
      <w:marRight w:val="0"/>
      <w:marTop w:val="0"/>
      <w:marBottom w:val="0"/>
      <w:divBdr>
        <w:top w:val="none" w:sz="0" w:space="0" w:color="auto"/>
        <w:left w:val="none" w:sz="0" w:space="0" w:color="auto"/>
        <w:bottom w:val="none" w:sz="0" w:space="0" w:color="auto"/>
        <w:right w:val="none" w:sz="0" w:space="0" w:color="auto"/>
      </w:divBdr>
    </w:div>
    <w:div w:id="2139907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ublications.parliament.uk/pa/ld199798/ldjudgmt/jd970724/irland01.htm" TargetMode="External"/><Relationship Id="rId5" Type="http://schemas.openxmlformats.org/officeDocument/2006/relationships/hyperlink" Target="https://www.jstor.org/stable/4507992" TargetMode="External"/><Relationship Id="rId4" Type="http://schemas.openxmlformats.org/officeDocument/2006/relationships/hyperlink" Target="https://www.criminalbar.com/wp-content/uploads/files/cba-responses/150215073348-PROPOSEDREFORMOFTHEOFFENCESAGAINSTTHEPERSONACT186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2834</TotalTime>
  <Pages>6</Pages>
  <Words>1872</Words>
  <Characters>10677</Characters>
  <Application>Microsoft Office Word</Application>
  <DocSecurity>0</DocSecurity>
  <Lines>88</Lines>
  <Paragraphs>25</Paragraphs>
  <ScaleCrop>false</ScaleCrop>
  <Company/>
  <LinksUpToDate>false</LinksUpToDate>
  <CharactersWithSpaces>12524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REFORM OF THE OFFENCES AGAINST THE PERSON ACT 1861</dc:title>
  <dc:subject>JADE BROWN - 2319007</dc:subject>
  <dc:creator>jade brown</dc:creator>
  <cp:keywords/>
  <dc:description/>
  <cp:lastModifiedBy>jade brown</cp:lastModifiedBy>
  <cp:revision>75</cp:revision>
  <dcterms:created xsi:type="dcterms:W3CDTF">2024-03-05T23:19:00Z</dcterms:created>
  <dcterms:modified xsi:type="dcterms:W3CDTF">2024-03-07T14:41:00Z</dcterms:modified>
</cp:coreProperties>
</file>