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5A3FDE" w14:textId="77777777" w:rsidR="005C3E0F" w:rsidRPr="00A5716F" w:rsidRDefault="00343151" w:rsidP="005C3E0F">
      <w:pPr>
        <w:jc w:val="center"/>
        <w:rPr>
          <w:b/>
        </w:rPr>
      </w:pPr>
      <w:r w:rsidRPr="00A5716F">
        <w:rPr>
          <w:noProof/>
          <w:lang w:eastAsia="en-IN"/>
        </w:rPr>
        <w:drawing>
          <wp:inline distT="0" distB="0" distL="0" distR="0" wp14:anchorId="19E012B4" wp14:editId="0923CB24">
            <wp:extent cx="2419350" cy="8763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19350" cy="876300"/>
                    </a:xfrm>
                    <a:prstGeom prst="rect">
                      <a:avLst/>
                    </a:prstGeom>
                  </pic:spPr>
                </pic:pic>
              </a:graphicData>
            </a:graphic>
          </wp:inline>
        </w:drawing>
      </w:r>
    </w:p>
    <w:p w14:paraId="6550E9A9" w14:textId="77777777" w:rsidR="00C11CB4" w:rsidRPr="00A5716F" w:rsidRDefault="00C11CB4" w:rsidP="005C3E0F">
      <w:pPr>
        <w:jc w:val="center"/>
        <w:rPr>
          <w:b/>
        </w:rPr>
      </w:pPr>
    </w:p>
    <w:tbl>
      <w:tblPr>
        <w:tblStyle w:val="TableGrid"/>
        <w:tblW w:w="0" w:type="auto"/>
        <w:tblLook w:val="04A0" w:firstRow="1" w:lastRow="0" w:firstColumn="1" w:lastColumn="0" w:noHBand="0" w:noVBand="1"/>
      </w:tblPr>
      <w:tblGrid>
        <w:gridCol w:w="4675"/>
        <w:gridCol w:w="4675"/>
      </w:tblGrid>
      <w:tr w:rsidR="00C11CB4" w:rsidRPr="00A5716F" w14:paraId="59672947" w14:textId="77777777" w:rsidTr="00C11CB4">
        <w:tc>
          <w:tcPr>
            <w:tcW w:w="4675" w:type="dxa"/>
          </w:tcPr>
          <w:p w14:paraId="6C20D335" w14:textId="77777777" w:rsidR="00C11CB4" w:rsidRPr="00A5716F" w:rsidRDefault="00C11CB4" w:rsidP="00C11CB4">
            <w:pPr>
              <w:jc w:val="left"/>
              <w:rPr>
                <w:b/>
              </w:rPr>
            </w:pPr>
            <w:r w:rsidRPr="00A5716F">
              <w:rPr>
                <w:b/>
              </w:rPr>
              <w:t>Programme:</w:t>
            </w:r>
          </w:p>
        </w:tc>
        <w:tc>
          <w:tcPr>
            <w:tcW w:w="4675" w:type="dxa"/>
          </w:tcPr>
          <w:p w14:paraId="425377CA" w14:textId="77777777" w:rsidR="00C11CB4" w:rsidRPr="00A5716F" w:rsidRDefault="00C11CB4" w:rsidP="00C11CB4">
            <w:pPr>
              <w:jc w:val="center"/>
              <w:rPr>
                <w:b/>
              </w:rPr>
            </w:pPr>
            <w:r w:rsidRPr="00A5716F">
              <w:rPr>
                <w:b/>
              </w:rPr>
              <w:t>Master of Business Administration</w:t>
            </w:r>
          </w:p>
          <w:p w14:paraId="17274AA4" w14:textId="77777777" w:rsidR="00C11CB4" w:rsidRPr="00A5716F" w:rsidRDefault="00C11CB4" w:rsidP="00C11CB4">
            <w:pPr>
              <w:jc w:val="left"/>
              <w:rPr>
                <w:b/>
              </w:rPr>
            </w:pPr>
          </w:p>
        </w:tc>
      </w:tr>
      <w:tr w:rsidR="00C11CB4" w:rsidRPr="00A5716F" w14:paraId="2BB3FB3C" w14:textId="77777777" w:rsidTr="00C11CB4">
        <w:tc>
          <w:tcPr>
            <w:tcW w:w="4675" w:type="dxa"/>
          </w:tcPr>
          <w:p w14:paraId="65A76F5E" w14:textId="77777777" w:rsidR="00C11CB4" w:rsidRPr="00A5716F" w:rsidRDefault="00C11CB4" w:rsidP="00C11CB4">
            <w:pPr>
              <w:jc w:val="left"/>
              <w:rPr>
                <w:b/>
              </w:rPr>
            </w:pPr>
            <w:r w:rsidRPr="00A5716F">
              <w:rPr>
                <w:b/>
              </w:rPr>
              <w:t>Module:</w:t>
            </w:r>
          </w:p>
        </w:tc>
        <w:tc>
          <w:tcPr>
            <w:tcW w:w="4675" w:type="dxa"/>
          </w:tcPr>
          <w:p w14:paraId="63685C89" w14:textId="77777777" w:rsidR="00C11CB4" w:rsidRPr="00A5716F" w:rsidRDefault="00C11CB4" w:rsidP="00C11CB4">
            <w:pPr>
              <w:jc w:val="center"/>
              <w:rPr>
                <w:b/>
              </w:rPr>
            </w:pPr>
            <w:r w:rsidRPr="00A5716F">
              <w:rPr>
                <w:b/>
              </w:rPr>
              <w:t>Human Capital Management</w:t>
            </w:r>
          </w:p>
          <w:p w14:paraId="35B2E97C" w14:textId="77777777" w:rsidR="00C11CB4" w:rsidRPr="00A5716F" w:rsidRDefault="00C11CB4" w:rsidP="00C11CB4">
            <w:pPr>
              <w:jc w:val="left"/>
              <w:rPr>
                <w:b/>
              </w:rPr>
            </w:pPr>
          </w:p>
        </w:tc>
      </w:tr>
      <w:tr w:rsidR="00C11CB4" w:rsidRPr="00A5716F" w14:paraId="7384179F" w14:textId="77777777" w:rsidTr="00C11CB4">
        <w:tc>
          <w:tcPr>
            <w:tcW w:w="4675" w:type="dxa"/>
          </w:tcPr>
          <w:p w14:paraId="32BA07B0" w14:textId="77777777" w:rsidR="00C11CB4" w:rsidRPr="00A5716F" w:rsidRDefault="00C11CB4" w:rsidP="00C11CB4">
            <w:pPr>
              <w:jc w:val="left"/>
              <w:rPr>
                <w:b/>
              </w:rPr>
            </w:pPr>
            <w:r w:rsidRPr="00A5716F">
              <w:rPr>
                <w:b/>
              </w:rPr>
              <w:t>Module code:</w:t>
            </w:r>
          </w:p>
        </w:tc>
        <w:tc>
          <w:tcPr>
            <w:tcW w:w="4675" w:type="dxa"/>
          </w:tcPr>
          <w:p w14:paraId="25C5AB14" w14:textId="77777777" w:rsidR="00C11CB4" w:rsidRPr="00A5716F" w:rsidRDefault="00C11CB4" w:rsidP="00C11CB4">
            <w:pPr>
              <w:jc w:val="center"/>
              <w:rPr>
                <w:b/>
              </w:rPr>
            </w:pPr>
            <w:r w:rsidRPr="00A5716F">
              <w:rPr>
                <w:b/>
              </w:rPr>
              <w:t xml:space="preserve">LCMB7023 </w:t>
            </w:r>
          </w:p>
          <w:p w14:paraId="2B40E453" w14:textId="77777777" w:rsidR="00C11CB4" w:rsidRPr="00A5716F" w:rsidRDefault="00C11CB4" w:rsidP="00C11CB4">
            <w:pPr>
              <w:jc w:val="left"/>
              <w:rPr>
                <w:b/>
              </w:rPr>
            </w:pPr>
          </w:p>
        </w:tc>
      </w:tr>
      <w:tr w:rsidR="00C11CB4" w:rsidRPr="00A5716F" w14:paraId="60E0E497" w14:textId="77777777" w:rsidTr="00C11CB4">
        <w:tc>
          <w:tcPr>
            <w:tcW w:w="4675" w:type="dxa"/>
          </w:tcPr>
          <w:p w14:paraId="2D8B15F0" w14:textId="77777777" w:rsidR="00C11CB4" w:rsidRPr="00A5716F" w:rsidRDefault="00C11CB4" w:rsidP="00C11CB4">
            <w:pPr>
              <w:jc w:val="left"/>
              <w:rPr>
                <w:b/>
              </w:rPr>
            </w:pPr>
            <w:r w:rsidRPr="00A5716F">
              <w:rPr>
                <w:b/>
              </w:rPr>
              <w:t>Lecturer:</w:t>
            </w:r>
          </w:p>
        </w:tc>
        <w:tc>
          <w:tcPr>
            <w:tcW w:w="4675" w:type="dxa"/>
          </w:tcPr>
          <w:p w14:paraId="4BD576AC" w14:textId="6A8E8922" w:rsidR="00C11CB4" w:rsidRPr="00A5716F" w:rsidRDefault="007A1DF3" w:rsidP="00C11CB4">
            <w:pPr>
              <w:jc w:val="center"/>
              <w:rPr>
                <w:b/>
              </w:rPr>
            </w:pPr>
            <w:r>
              <w:rPr>
                <w:b/>
              </w:rPr>
              <w:t xml:space="preserve">Dr. </w:t>
            </w:r>
            <w:r w:rsidR="00C11CB4" w:rsidRPr="00A5716F">
              <w:rPr>
                <w:b/>
              </w:rPr>
              <w:t xml:space="preserve">Eno Maycock </w:t>
            </w:r>
          </w:p>
          <w:p w14:paraId="57368032" w14:textId="77777777" w:rsidR="00C11CB4" w:rsidRPr="00A5716F" w:rsidRDefault="00C11CB4" w:rsidP="00C11CB4">
            <w:pPr>
              <w:jc w:val="left"/>
              <w:rPr>
                <w:b/>
              </w:rPr>
            </w:pPr>
          </w:p>
        </w:tc>
      </w:tr>
      <w:tr w:rsidR="00C11CB4" w:rsidRPr="00A5716F" w14:paraId="20FA6482" w14:textId="77777777" w:rsidTr="00C11CB4">
        <w:tc>
          <w:tcPr>
            <w:tcW w:w="4675" w:type="dxa"/>
          </w:tcPr>
          <w:p w14:paraId="2EAE5A4F" w14:textId="77777777" w:rsidR="00C11CB4" w:rsidRPr="00A5716F" w:rsidRDefault="00C11CB4" w:rsidP="00C11CB4">
            <w:pPr>
              <w:jc w:val="center"/>
              <w:rPr>
                <w:b/>
              </w:rPr>
            </w:pPr>
          </w:p>
          <w:p w14:paraId="71CB604A" w14:textId="77777777" w:rsidR="00C11CB4" w:rsidRPr="00A5716F" w:rsidRDefault="00C11CB4" w:rsidP="00C11CB4">
            <w:pPr>
              <w:jc w:val="left"/>
              <w:rPr>
                <w:b/>
              </w:rPr>
            </w:pPr>
            <w:r w:rsidRPr="00A5716F">
              <w:rPr>
                <w:b/>
              </w:rPr>
              <w:t>Assignment Title:</w:t>
            </w:r>
          </w:p>
        </w:tc>
        <w:tc>
          <w:tcPr>
            <w:tcW w:w="4675" w:type="dxa"/>
          </w:tcPr>
          <w:p w14:paraId="2239DDB0" w14:textId="77777777" w:rsidR="00C11CB4" w:rsidRPr="00A5716F" w:rsidRDefault="00C11CB4" w:rsidP="00C11CB4">
            <w:pPr>
              <w:jc w:val="center"/>
              <w:rPr>
                <w:b/>
              </w:rPr>
            </w:pPr>
            <w:r w:rsidRPr="00A5716F">
              <w:rPr>
                <w:b/>
              </w:rPr>
              <w:t>Assessment component 1: Individual report</w:t>
            </w:r>
          </w:p>
        </w:tc>
      </w:tr>
      <w:tr w:rsidR="00C11CB4" w:rsidRPr="00A5716F" w14:paraId="46034317" w14:textId="77777777" w:rsidTr="00C11CB4">
        <w:tc>
          <w:tcPr>
            <w:tcW w:w="4675" w:type="dxa"/>
          </w:tcPr>
          <w:p w14:paraId="40EE9236" w14:textId="77777777" w:rsidR="00C11CB4" w:rsidRPr="00A5716F" w:rsidRDefault="00C11CB4" w:rsidP="00C11CB4">
            <w:pPr>
              <w:jc w:val="left"/>
              <w:rPr>
                <w:b/>
              </w:rPr>
            </w:pPr>
          </w:p>
          <w:p w14:paraId="1B6C0A4B" w14:textId="77777777" w:rsidR="00C11CB4" w:rsidRPr="00A5716F" w:rsidRDefault="00C11CB4" w:rsidP="00C11CB4">
            <w:pPr>
              <w:rPr>
                <w:b/>
              </w:rPr>
            </w:pPr>
            <w:r w:rsidRPr="00A5716F">
              <w:rPr>
                <w:b/>
              </w:rPr>
              <w:t>Student Name:</w:t>
            </w:r>
          </w:p>
        </w:tc>
        <w:tc>
          <w:tcPr>
            <w:tcW w:w="4675" w:type="dxa"/>
          </w:tcPr>
          <w:p w14:paraId="1AD3AF92" w14:textId="48AE33CE" w:rsidR="00C11CB4" w:rsidRPr="00A5716F" w:rsidRDefault="00D05B9C" w:rsidP="00C11CB4">
            <w:pPr>
              <w:jc w:val="center"/>
              <w:rPr>
                <w:b/>
              </w:rPr>
            </w:pPr>
            <w:r>
              <w:rPr>
                <w:b/>
              </w:rPr>
              <w:t xml:space="preserve">Anjali </w:t>
            </w:r>
            <w:r w:rsidR="00C6379A">
              <w:rPr>
                <w:b/>
              </w:rPr>
              <w:t>K</w:t>
            </w:r>
            <w:r>
              <w:rPr>
                <w:b/>
              </w:rPr>
              <w:t xml:space="preserve">aranbhai </w:t>
            </w:r>
            <w:r w:rsidR="00C6379A">
              <w:rPr>
                <w:b/>
              </w:rPr>
              <w:t>K</w:t>
            </w:r>
            <w:r w:rsidR="00C472BB">
              <w:rPr>
                <w:b/>
              </w:rPr>
              <w:t>aravadra</w:t>
            </w:r>
          </w:p>
        </w:tc>
      </w:tr>
      <w:tr w:rsidR="00C11CB4" w:rsidRPr="00A5716F" w14:paraId="2A9B6BCC" w14:textId="77777777" w:rsidTr="00C11CB4">
        <w:tc>
          <w:tcPr>
            <w:tcW w:w="4675" w:type="dxa"/>
          </w:tcPr>
          <w:p w14:paraId="06319509" w14:textId="6113CAA9" w:rsidR="00C11CB4" w:rsidRPr="00A5716F" w:rsidRDefault="00C11CB4" w:rsidP="00C6379A">
            <w:pPr>
              <w:tabs>
                <w:tab w:val="left" w:pos="1044"/>
                <w:tab w:val="center" w:pos="2229"/>
              </w:tabs>
              <w:jc w:val="left"/>
            </w:pPr>
            <w:r w:rsidRPr="00A5716F">
              <w:rPr>
                <w:b/>
              </w:rPr>
              <w:t>Student ID number:</w:t>
            </w:r>
          </w:p>
        </w:tc>
        <w:tc>
          <w:tcPr>
            <w:tcW w:w="4675" w:type="dxa"/>
          </w:tcPr>
          <w:p w14:paraId="372F3F48" w14:textId="4806669B" w:rsidR="00C11CB4" w:rsidRPr="004268DE" w:rsidRDefault="00C472BB" w:rsidP="00C6379A">
            <w:pPr>
              <w:jc w:val="center"/>
              <w:rPr>
                <w:b/>
                <w:bCs/>
              </w:rPr>
            </w:pPr>
            <w:r w:rsidRPr="004268DE">
              <w:rPr>
                <w:b/>
                <w:bCs/>
              </w:rPr>
              <w:t>2611144</w:t>
            </w:r>
          </w:p>
        </w:tc>
      </w:tr>
      <w:tr w:rsidR="00C11CB4" w:rsidRPr="00A5716F" w14:paraId="37A55CFA" w14:textId="77777777" w:rsidTr="00C11CB4">
        <w:tc>
          <w:tcPr>
            <w:tcW w:w="4675" w:type="dxa"/>
          </w:tcPr>
          <w:p w14:paraId="27834541" w14:textId="77777777" w:rsidR="00C11CB4" w:rsidRPr="00A5716F" w:rsidRDefault="00C11CB4" w:rsidP="00C11CB4">
            <w:r w:rsidRPr="00A5716F">
              <w:rPr>
                <w:b/>
              </w:rPr>
              <w:t>Word Count</w:t>
            </w:r>
          </w:p>
        </w:tc>
        <w:tc>
          <w:tcPr>
            <w:tcW w:w="4675" w:type="dxa"/>
          </w:tcPr>
          <w:p w14:paraId="7204A7C6" w14:textId="77777777" w:rsidR="00C11CB4" w:rsidRPr="00A5716F" w:rsidRDefault="00A5716F" w:rsidP="00A5716F">
            <w:pPr>
              <w:jc w:val="center"/>
              <w:rPr>
                <w:b/>
              </w:rPr>
            </w:pPr>
            <w:r w:rsidRPr="00A5716F">
              <w:rPr>
                <w:b/>
              </w:rPr>
              <w:t>2750</w:t>
            </w:r>
          </w:p>
        </w:tc>
      </w:tr>
      <w:tr w:rsidR="00C11CB4" w:rsidRPr="00A5716F" w14:paraId="710758F8" w14:textId="77777777" w:rsidTr="00C11CB4">
        <w:tc>
          <w:tcPr>
            <w:tcW w:w="4675" w:type="dxa"/>
          </w:tcPr>
          <w:p w14:paraId="5DECBB02" w14:textId="77777777" w:rsidR="00C11CB4" w:rsidRPr="00A5716F" w:rsidRDefault="00C11CB4" w:rsidP="00C11CB4">
            <w:pPr>
              <w:rPr>
                <w:b/>
              </w:rPr>
            </w:pPr>
            <w:r w:rsidRPr="00A5716F">
              <w:rPr>
                <w:b/>
              </w:rPr>
              <w:t>Submission Date:</w:t>
            </w:r>
          </w:p>
        </w:tc>
        <w:tc>
          <w:tcPr>
            <w:tcW w:w="4675" w:type="dxa"/>
          </w:tcPr>
          <w:p w14:paraId="5DCF33E9" w14:textId="77777777" w:rsidR="00C11CB4" w:rsidRPr="00A5716F" w:rsidRDefault="00C11CB4" w:rsidP="00C11CB4"/>
        </w:tc>
      </w:tr>
    </w:tbl>
    <w:p w14:paraId="41ED0E71" w14:textId="77777777" w:rsidR="005C3E0F" w:rsidRPr="00A5716F" w:rsidRDefault="005C3E0F" w:rsidP="005C3E0F">
      <w:pPr>
        <w:jc w:val="center"/>
        <w:rPr>
          <w:b/>
        </w:rPr>
      </w:pPr>
      <w:r w:rsidRPr="00A5716F">
        <w:rPr>
          <w:b/>
        </w:rPr>
        <w:t>     </w:t>
      </w:r>
    </w:p>
    <w:p w14:paraId="3E4FD1B4" w14:textId="77777777" w:rsidR="00C11CB4" w:rsidRPr="00A5716F" w:rsidRDefault="00C11CB4" w:rsidP="00C11CB4">
      <w:pPr>
        <w:jc w:val="center"/>
      </w:pPr>
    </w:p>
    <w:p w14:paraId="172CB944" w14:textId="77777777" w:rsidR="00B97C05" w:rsidRPr="00A5716F" w:rsidRDefault="00C720FC" w:rsidP="005C3E0F">
      <w:pPr>
        <w:jc w:val="center"/>
      </w:pPr>
      <w:r w:rsidRPr="00A5716F">
        <w:br w:type="page"/>
      </w:r>
    </w:p>
    <w:sdt>
      <w:sdtPr>
        <w:rPr>
          <w:rFonts w:ascii="Arial" w:eastAsia="Arial" w:hAnsi="Arial" w:cs="Arial"/>
          <w:color w:val="auto"/>
          <w:sz w:val="24"/>
          <w:szCs w:val="24"/>
          <w:lang w:val="en-GB" w:eastAsia="en-GB"/>
        </w:rPr>
        <w:id w:val="-64340339"/>
        <w:docPartObj>
          <w:docPartGallery w:val="Table of Contents"/>
          <w:docPartUnique/>
        </w:docPartObj>
      </w:sdtPr>
      <w:sdtEndPr>
        <w:rPr>
          <w:b/>
          <w:bCs/>
          <w:noProof/>
        </w:rPr>
      </w:sdtEndPr>
      <w:sdtContent>
        <w:p w14:paraId="29CC1522" w14:textId="77777777" w:rsidR="00E12156" w:rsidRPr="00A5716F" w:rsidRDefault="00E12156" w:rsidP="00E12156">
          <w:pPr>
            <w:pStyle w:val="TOCHeading"/>
            <w:jc w:val="center"/>
            <w:rPr>
              <w:rFonts w:ascii="Arial" w:hAnsi="Arial" w:cs="Arial"/>
              <w:b/>
              <w:color w:val="000000" w:themeColor="text1"/>
              <w:sz w:val="24"/>
              <w:lang w:val="en-GB"/>
            </w:rPr>
          </w:pPr>
          <w:r w:rsidRPr="00A5716F">
            <w:rPr>
              <w:rFonts w:ascii="Arial" w:hAnsi="Arial" w:cs="Arial"/>
              <w:b/>
              <w:color w:val="000000" w:themeColor="text1"/>
              <w:sz w:val="24"/>
              <w:lang w:val="en-GB"/>
            </w:rPr>
            <w:t>Table of Contents</w:t>
          </w:r>
        </w:p>
        <w:p w14:paraId="1553925F" w14:textId="77777777" w:rsidR="00E12156" w:rsidRPr="00A5716F" w:rsidRDefault="00E12156">
          <w:pPr>
            <w:pStyle w:val="TOC1"/>
            <w:tabs>
              <w:tab w:val="right" w:leader="dot" w:pos="9350"/>
            </w:tabs>
            <w:rPr>
              <w:noProof/>
            </w:rPr>
          </w:pPr>
          <w:r w:rsidRPr="00A5716F">
            <w:rPr>
              <w:b/>
              <w:bCs/>
              <w:noProof/>
            </w:rPr>
            <w:fldChar w:fldCharType="begin"/>
          </w:r>
          <w:r w:rsidRPr="00A5716F">
            <w:rPr>
              <w:b/>
              <w:bCs/>
              <w:noProof/>
            </w:rPr>
            <w:instrText xml:space="preserve"> TOC \o "1-3" \h \z \u </w:instrText>
          </w:r>
          <w:r w:rsidRPr="00A5716F">
            <w:rPr>
              <w:b/>
              <w:bCs/>
              <w:noProof/>
            </w:rPr>
            <w:fldChar w:fldCharType="separate"/>
          </w:r>
          <w:hyperlink w:anchor="_Toc242120793" w:history="1">
            <w:r w:rsidRPr="00A5716F">
              <w:rPr>
                <w:rStyle w:val="Hyperlink"/>
                <w:noProof/>
              </w:rPr>
              <w:t>Introduction</w:t>
            </w:r>
            <w:r w:rsidRPr="00A5716F">
              <w:rPr>
                <w:noProof/>
                <w:webHidden/>
              </w:rPr>
              <w:tab/>
            </w:r>
            <w:r w:rsidRPr="00A5716F">
              <w:rPr>
                <w:noProof/>
                <w:webHidden/>
              </w:rPr>
              <w:fldChar w:fldCharType="begin"/>
            </w:r>
            <w:r w:rsidRPr="00A5716F">
              <w:rPr>
                <w:noProof/>
                <w:webHidden/>
              </w:rPr>
              <w:instrText xml:space="preserve"> PAGEREF _Toc242120793 \h </w:instrText>
            </w:r>
            <w:r w:rsidRPr="00A5716F">
              <w:rPr>
                <w:noProof/>
                <w:webHidden/>
              </w:rPr>
            </w:r>
            <w:r w:rsidRPr="00A5716F">
              <w:rPr>
                <w:noProof/>
                <w:webHidden/>
              </w:rPr>
              <w:fldChar w:fldCharType="separate"/>
            </w:r>
            <w:r w:rsidRPr="00A5716F">
              <w:rPr>
                <w:noProof/>
                <w:webHidden/>
              </w:rPr>
              <w:t>2</w:t>
            </w:r>
            <w:r w:rsidRPr="00A5716F">
              <w:rPr>
                <w:noProof/>
                <w:webHidden/>
              </w:rPr>
              <w:fldChar w:fldCharType="end"/>
            </w:r>
          </w:hyperlink>
        </w:p>
        <w:p w14:paraId="4222F1E5" w14:textId="77777777" w:rsidR="00E12156" w:rsidRPr="00A5716F" w:rsidRDefault="00E12156">
          <w:pPr>
            <w:pStyle w:val="TOC1"/>
            <w:tabs>
              <w:tab w:val="right" w:leader="dot" w:pos="9350"/>
            </w:tabs>
            <w:rPr>
              <w:noProof/>
            </w:rPr>
          </w:pPr>
          <w:hyperlink w:anchor="_Toc242120794" w:history="1">
            <w:r w:rsidRPr="00A5716F">
              <w:rPr>
                <w:rStyle w:val="Hyperlink"/>
                <w:noProof/>
              </w:rPr>
              <w:t>Task A: Designing Innovative Working Practices</w:t>
            </w:r>
            <w:r w:rsidRPr="00A5716F">
              <w:rPr>
                <w:noProof/>
                <w:webHidden/>
              </w:rPr>
              <w:tab/>
            </w:r>
            <w:r w:rsidRPr="00A5716F">
              <w:rPr>
                <w:noProof/>
                <w:webHidden/>
              </w:rPr>
              <w:fldChar w:fldCharType="begin"/>
            </w:r>
            <w:r w:rsidRPr="00A5716F">
              <w:rPr>
                <w:noProof/>
                <w:webHidden/>
              </w:rPr>
              <w:instrText xml:space="preserve"> PAGEREF _Toc242120794 \h </w:instrText>
            </w:r>
            <w:r w:rsidRPr="00A5716F">
              <w:rPr>
                <w:noProof/>
                <w:webHidden/>
              </w:rPr>
            </w:r>
            <w:r w:rsidRPr="00A5716F">
              <w:rPr>
                <w:noProof/>
                <w:webHidden/>
              </w:rPr>
              <w:fldChar w:fldCharType="separate"/>
            </w:r>
            <w:r w:rsidRPr="00A5716F">
              <w:rPr>
                <w:noProof/>
                <w:webHidden/>
              </w:rPr>
              <w:t>2</w:t>
            </w:r>
            <w:r w:rsidRPr="00A5716F">
              <w:rPr>
                <w:noProof/>
                <w:webHidden/>
              </w:rPr>
              <w:fldChar w:fldCharType="end"/>
            </w:r>
          </w:hyperlink>
        </w:p>
        <w:p w14:paraId="51A6BE8C" w14:textId="77777777" w:rsidR="00E12156" w:rsidRPr="00A5716F" w:rsidRDefault="00E12156">
          <w:pPr>
            <w:pStyle w:val="TOC2"/>
            <w:tabs>
              <w:tab w:val="right" w:leader="dot" w:pos="9350"/>
            </w:tabs>
            <w:rPr>
              <w:noProof/>
            </w:rPr>
          </w:pPr>
          <w:hyperlink w:anchor="_Toc242120795" w:history="1">
            <w:r w:rsidRPr="00A5716F">
              <w:rPr>
                <w:rStyle w:val="Hyperlink"/>
                <w:noProof/>
              </w:rPr>
              <w:t>1. Critical Evaluation of Traditional versus Contemporary Working Practices through Application of Relevant Theories</w:t>
            </w:r>
            <w:r w:rsidRPr="00A5716F">
              <w:rPr>
                <w:noProof/>
                <w:webHidden/>
              </w:rPr>
              <w:tab/>
            </w:r>
            <w:r w:rsidRPr="00A5716F">
              <w:rPr>
                <w:noProof/>
                <w:webHidden/>
              </w:rPr>
              <w:fldChar w:fldCharType="begin"/>
            </w:r>
            <w:r w:rsidRPr="00A5716F">
              <w:rPr>
                <w:noProof/>
                <w:webHidden/>
              </w:rPr>
              <w:instrText xml:space="preserve"> PAGEREF _Toc242120795 \h </w:instrText>
            </w:r>
            <w:r w:rsidRPr="00A5716F">
              <w:rPr>
                <w:noProof/>
                <w:webHidden/>
              </w:rPr>
            </w:r>
            <w:r w:rsidRPr="00A5716F">
              <w:rPr>
                <w:noProof/>
                <w:webHidden/>
              </w:rPr>
              <w:fldChar w:fldCharType="separate"/>
            </w:r>
            <w:r w:rsidRPr="00A5716F">
              <w:rPr>
                <w:noProof/>
                <w:webHidden/>
              </w:rPr>
              <w:t>2</w:t>
            </w:r>
            <w:r w:rsidRPr="00A5716F">
              <w:rPr>
                <w:noProof/>
                <w:webHidden/>
              </w:rPr>
              <w:fldChar w:fldCharType="end"/>
            </w:r>
          </w:hyperlink>
        </w:p>
        <w:p w14:paraId="04E8F155" w14:textId="77777777" w:rsidR="00E12156" w:rsidRPr="00A5716F" w:rsidRDefault="00E12156">
          <w:pPr>
            <w:pStyle w:val="TOC2"/>
            <w:tabs>
              <w:tab w:val="right" w:leader="dot" w:pos="9350"/>
            </w:tabs>
            <w:rPr>
              <w:noProof/>
            </w:rPr>
          </w:pPr>
          <w:hyperlink w:anchor="_Toc242120796" w:history="1">
            <w:r w:rsidRPr="00A5716F">
              <w:rPr>
                <w:rStyle w:val="Hyperlink"/>
                <w:noProof/>
              </w:rPr>
              <w:t>2. Recommendations</w:t>
            </w:r>
            <w:r w:rsidRPr="00A5716F">
              <w:rPr>
                <w:noProof/>
                <w:webHidden/>
              </w:rPr>
              <w:tab/>
            </w:r>
            <w:r w:rsidRPr="00A5716F">
              <w:rPr>
                <w:noProof/>
                <w:webHidden/>
              </w:rPr>
              <w:fldChar w:fldCharType="begin"/>
            </w:r>
            <w:r w:rsidRPr="00A5716F">
              <w:rPr>
                <w:noProof/>
                <w:webHidden/>
              </w:rPr>
              <w:instrText xml:space="preserve"> PAGEREF _Toc242120796 \h </w:instrText>
            </w:r>
            <w:r w:rsidRPr="00A5716F">
              <w:rPr>
                <w:noProof/>
                <w:webHidden/>
              </w:rPr>
            </w:r>
            <w:r w:rsidRPr="00A5716F">
              <w:rPr>
                <w:noProof/>
                <w:webHidden/>
              </w:rPr>
              <w:fldChar w:fldCharType="separate"/>
            </w:r>
            <w:r w:rsidRPr="00A5716F">
              <w:rPr>
                <w:noProof/>
                <w:webHidden/>
              </w:rPr>
              <w:t>4</w:t>
            </w:r>
            <w:r w:rsidRPr="00A5716F">
              <w:rPr>
                <w:noProof/>
                <w:webHidden/>
              </w:rPr>
              <w:fldChar w:fldCharType="end"/>
            </w:r>
          </w:hyperlink>
        </w:p>
        <w:p w14:paraId="777EEFA4" w14:textId="77777777" w:rsidR="00E12156" w:rsidRPr="00A5716F" w:rsidRDefault="00E12156">
          <w:pPr>
            <w:pStyle w:val="TOC1"/>
            <w:tabs>
              <w:tab w:val="right" w:leader="dot" w:pos="9350"/>
            </w:tabs>
            <w:rPr>
              <w:noProof/>
            </w:rPr>
          </w:pPr>
          <w:hyperlink w:anchor="_Toc242120797" w:history="1">
            <w:r w:rsidRPr="00A5716F">
              <w:rPr>
                <w:rStyle w:val="Hyperlink"/>
                <w:noProof/>
              </w:rPr>
              <w:t>Task B: Breeding an Environment Where Talent May Grow</w:t>
            </w:r>
            <w:r w:rsidRPr="00A5716F">
              <w:rPr>
                <w:noProof/>
                <w:webHidden/>
              </w:rPr>
              <w:tab/>
            </w:r>
            <w:r w:rsidRPr="00A5716F">
              <w:rPr>
                <w:noProof/>
                <w:webHidden/>
              </w:rPr>
              <w:fldChar w:fldCharType="begin"/>
            </w:r>
            <w:r w:rsidRPr="00A5716F">
              <w:rPr>
                <w:noProof/>
                <w:webHidden/>
              </w:rPr>
              <w:instrText xml:space="preserve"> PAGEREF _Toc242120797 \h </w:instrText>
            </w:r>
            <w:r w:rsidRPr="00A5716F">
              <w:rPr>
                <w:noProof/>
                <w:webHidden/>
              </w:rPr>
            </w:r>
            <w:r w:rsidRPr="00A5716F">
              <w:rPr>
                <w:noProof/>
                <w:webHidden/>
              </w:rPr>
              <w:fldChar w:fldCharType="separate"/>
            </w:r>
            <w:r w:rsidRPr="00A5716F">
              <w:rPr>
                <w:noProof/>
                <w:webHidden/>
              </w:rPr>
              <w:t>6</w:t>
            </w:r>
            <w:r w:rsidRPr="00A5716F">
              <w:rPr>
                <w:noProof/>
                <w:webHidden/>
              </w:rPr>
              <w:fldChar w:fldCharType="end"/>
            </w:r>
          </w:hyperlink>
        </w:p>
        <w:p w14:paraId="5BBC5565" w14:textId="77777777" w:rsidR="00E12156" w:rsidRPr="00A5716F" w:rsidRDefault="00E12156">
          <w:pPr>
            <w:pStyle w:val="TOC2"/>
            <w:tabs>
              <w:tab w:val="right" w:leader="dot" w:pos="9350"/>
            </w:tabs>
            <w:rPr>
              <w:noProof/>
            </w:rPr>
          </w:pPr>
          <w:hyperlink w:anchor="_Toc242120798" w:history="1">
            <w:r w:rsidRPr="00A5716F">
              <w:rPr>
                <w:rStyle w:val="Hyperlink"/>
                <w:noProof/>
              </w:rPr>
              <w:t>1. Critical Evaluation of How Organisations Create Environments Where Talent Flourishes</w:t>
            </w:r>
            <w:r w:rsidRPr="00A5716F">
              <w:rPr>
                <w:noProof/>
                <w:webHidden/>
              </w:rPr>
              <w:tab/>
            </w:r>
            <w:r w:rsidRPr="00A5716F">
              <w:rPr>
                <w:noProof/>
                <w:webHidden/>
              </w:rPr>
              <w:fldChar w:fldCharType="begin"/>
            </w:r>
            <w:r w:rsidRPr="00A5716F">
              <w:rPr>
                <w:noProof/>
                <w:webHidden/>
              </w:rPr>
              <w:instrText xml:space="preserve"> PAGEREF _Toc242120798 \h </w:instrText>
            </w:r>
            <w:r w:rsidRPr="00A5716F">
              <w:rPr>
                <w:noProof/>
                <w:webHidden/>
              </w:rPr>
            </w:r>
            <w:r w:rsidRPr="00A5716F">
              <w:rPr>
                <w:noProof/>
                <w:webHidden/>
              </w:rPr>
              <w:fldChar w:fldCharType="separate"/>
            </w:r>
            <w:r w:rsidRPr="00A5716F">
              <w:rPr>
                <w:noProof/>
                <w:webHidden/>
              </w:rPr>
              <w:t>6</w:t>
            </w:r>
            <w:r w:rsidRPr="00A5716F">
              <w:rPr>
                <w:noProof/>
                <w:webHidden/>
              </w:rPr>
              <w:fldChar w:fldCharType="end"/>
            </w:r>
          </w:hyperlink>
        </w:p>
        <w:p w14:paraId="6324F668" w14:textId="77777777" w:rsidR="00E12156" w:rsidRPr="00A5716F" w:rsidRDefault="00E12156">
          <w:pPr>
            <w:pStyle w:val="TOC2"/>
            <w:tabs>
              <w:tab w:val="right" w:leader="dot" w:pos="9350"/>
            </w:tabs>
            <w:rPr>
              <w:noProof/>
            </w:rPr>
          </w:pPr>
          <w:hyperlink w:anchor="_Toc242120799" w:history="1">
            <w:r w:rsidRPr="00A5716F">
              <w:rPr>
                <w:rStyle w:val="Hyperlink"/>
                <w:noProof/>
              </w:rPr>
              <w:t>2. Comprehensive Talent Growth Strategy for NexSpace Health Systems</w:t>
            </w:r>
            <w:r w:rsidRPr="00A5716F">
              <w:rPr>
                <w:noProof/>
                <w:webHidden/>
              </w:rPr>
              <w:tab/>
            </w:r>
            <w:r w:rsidRPr="00A5716F">
              <w:rPr>
                <w:noProof/>
                <w:webHidden/>
              </w:rPr>
              <w:fldChar w:fldCharType="begin"/>
            </w:r>
            <w:r w:rsidRPr="00A5716F">
              <w:rPr>
                <w:noProof/>
                <w:webHidden/>
              </w:rPr>
              <w:instrText xml:space="preserve"> PAGEREF _Toc242120799 \h </w:instrText>
            </w:r>
            <w:r w:rsidRPr="00A5716F">
              <w:rPr>
                <w:noProof/>
                <w:webHidden/>
              </w:rPr>
            </w:r>
            <w:r w:rsidRPr="00A5716F">
              <w:rPr>
                <w:noProof/>
                <w:webHidden/>
              </w:rPr>
              <w:fldChar w:fldCharType="separate"/>
            </w:r>
            <w:r w:rsidRPr="00A5716F">
              <w:rPr>
                <w:noProof/>
                <w:webHidden/>
              </w:rPr>
              <w:t>7</w:t>
            </w:r>
            <w:r w:rsidRPr="00A5716F">
              <w:rPr>
                <w:noProof/>
                <w:webHidden/>
              </w:rPr>
              <w:fldChar w:fldCharType="end"/>
            </w:r>
          </w:hyperlink>
        </w:p>
        <w:p w14:paraId="1C0DD125" w14:textId="77777777" w:rsidR="00E12156" w:rsidRPr="00A5716F" w:rsidRDefault="00E12156">
          <w:pPr>
            <w:pStyle w:val="TOC1"/>
            <w:tabs>
              <w:tab w:val="right" w:leader="dot" w:pos="9350"/>
            </w:tabs>
            <w:rPr>
              <w:noProof/>
            </w:rPr>
          </w:pPr>
          <w:hyperlink w:anchor="_Toc242120800" w:history="1">
            <w:r w:rsidRPr="00A5716F">
              <w:rPr>
                <w:rStyle w:val="Hyperlink"/>
                <w:noProof/>
              </w:rPr>
              <w:t>Task C: Reflective Report</w:t>
            </w:r>
            <w:r w:rsidRPr="00A5716F">
              <w:rPr>
                <w:noProof/>
                <w:webHidden/>
              </w:rPr>
              <w:tab/>
            </w:r>
            <w:r w:rsidRPr="00A5716F">
              <w:rPr>
                <w:noProof/>
                <w:webHidden/>
              </w:rPr>
              <w:fldChar w:fldCharType="begin"/>
            </w:r>
            <w:r w:rsidRPr="00A5716F">
              <w:rPr>
                <w:noProof/>
                <w:webHidden/>
              </w:rPr>
              <w:instrText xml:space="preserve"> PAGEREF _Toc242120800 \h </w:instrText>
            </w:r>
            <w:r w:rsidRPr="00A5716F">
              <w:rPr>
                <w:noProof/>
                <w:webHidden/>
              </w:rPr>
            </w:r>
            <w:r w:rsidRPr="00A5716F">
              <w:rPr>
                <w:noProof/>
                <w:webHidden/>
              </w:rPr>
              <w:fldChar w:fldCharType="separate"/>
            </w:r>
            <w:r w:rsidRPr="00A5716F">
              <w:rPr>
                <w:noProof/>
                <w:webHidden/>
              </w:rPr>
              <w:t>10</w:t>
            </w:r>
            <w:r w:rsidRPr="00A5716F">
              <w:rPr>
                <w:noProof/>
                <w:webHidden/>
              </w:rPr>
              <w:fldChar w:fldCharType="end"/>
            </w:r>
          </w:hyperlink>
        </w:p>
        <w:p w14:paraId="591D385B" w14:textId="77777777" w:rsidR="00E12156" w:rsidRPr="00A5716F" w:rsidRDefault="00E12156">
          <w:pPr>
            <w:pStyle w:val="TOC2"/>
            <w:tabs>
              <w:tab w:val="right" w:leader="dot" w:pos="9350"/>
            </w:tabs>
            <w:rPr>
              <w:noProof/>
            </w:rPr>
          </w:pPr>
          <w:hyperlink w:anchor="_Toc242120801" w:history="1">
            <w:r w:rsidRPr="00A5716F">
              <w:rPr>
                <w:rStyle w:val="Hyperlink"/>
                <w:noProof/>
              </w:rPr>
              <w:t>1. AI as a Strategic Tool</w:t>
            </w:r>
            <w:r w:rsidRPr="00A5716F">
              <w:rPr>
                <w:noProof/>
                <w:webHidden/>
              </w:rPr>
              <w:tab/>
            </w:r>
            <w:r w:rsidRPr="00A5716F">
              <w:rPr>
                <w:noProof/>
                <w:webHidden/>
              </w:rPr>
              <w:fldChar w:fldCharType="begin"/>
            </w:r>
            <w:r w:rsidRPr="00A5716F">
              <w:rPr>
                <w:noProof/>
                <w:webHidden/>
              </w:rPr>
              <w:instrText xml:space="preserve"> PAGEREF _Toc242120801 \h </w:instrText>
            </w:r>
            <w:r w:rsidRPr="00A5716F">
              <w:rPr>
                <w:noProof/>
                <w:webHidden/>
              </w:rPr>
            </w:r>
            <w:r w:rsidRPr="00A5716F">
              <w:rPr>
                <w:noProof/>
                <w:webHidden/>
              </w:rPr>
              <w:fldChar w:fldCharType="separate"/>
            </w:r>
            <w:r w:rsidRPr="00A5716F">
              <w:rPr>
                <w:noProof/>
                <w:webHidden/>
              </w:rPr>
              <w:t>10</w:t>
            </w:r>
            <w:r w:rsidRPr="00A5716F">
              <w:rPr>
                <w:noProof/>
                <w:webHidden/>
              </w:rPr>
              <w:fldChar w:fldCharType="end"/>
            </w:r>
          </w:hyperlink>
        </w:p>
        <w:p w14:paraId="5107D293" w14:textId="77777777" w:rsidR="00E12156" w:rsidRPr="00A5716F" w:rsidRDefault="00E12156">
          <w:pPr>
            <w:pStyle w:val="TOC2"/>
            <w:tabs>
              <w:tab w:val="right" w:leader="dot" w:pos="9350"/>
            </w:tabs>
            <w:rPr>
              <w:noProof/>
            </w:rPr>
          </w:pPr>
          <w:hyperlink w:anchor="_Toc242120802" w:history="1">
            <w:r w:rsidRPr="00A5716F">
              <w:rPr>
                <w:rStyle w:val="Hyperlink"/>
                <w:noProof/>
              </w:rPr>
              <w:t>2. Reflective Analysis</w:t>
            </w:r>
            <w:r w:rsidRPr="00A5716F">
              <w:rPr>
                <w:noProof/>
                <w:webHidden/>
              </w:rPr>
              <w:tab/>
            </w:r>
            <w:r w:rsidRPr="00A5716F">
              <w:rPr>
                <w:noProof/>
                <w:webHidden/>
              </w:rPr>
              <w:fldChar w:fldCharType="begin"/>
            </w:r>
            <w:r w:rsidRPr="00A5716F">
              <w:rPr>
                <w:noProof/>
                <w:webHidden/>
              </w:rPr>
              <w:instrText xml:space="preserve"> PAGEREF _Toc242120802 \h </w:instrText>
            </w:r>
            <w:r w:rsidRPr="00A5716F">
              <w:rPr>
                <w:noProof/>
                <w:webHidden/>
              </w:rPr>
            </w:r>
            <w:r w:rsidRPr="00A5716F">
              <w:rPr>
                <w:noProof/>
                <w:webHidden/>
              </w:rPr>
              <w:fldChar w:fldCharType="separate"/>
            </w:r>
            <w:r w:rsidRPr="00A5716F">
              <w:rPr>
                <w:noProof/>
                <w:webHidden/>
              </w:rPr>
              <w:t>10</w:t>
            </w:r>
            <w:r w:rsidRPr="00A5716F">
              <w:rPr>
                <w:noProof/>
                <w:webHidden/>
              </w:rPr>
              <w:fldChar w:fldCharType="end"/>
            </w:r>
          </w:hyperlink>
        </w:p>
        <w:p w14:paraId="3426313D" w14:textId="77777777" w:rsidR="00E12156" w:rsidRPr="00A5716F" w:rsidRDefault="00E12156">
          <w:pPr>
            <w:pStyle w:val="TOC2"/>
            <w:tabs>
              <w:tab w:val="right" w:leader="dot" w:pos="9350"/>
            </w:tabs>
            <w:rPr>
              <w:noProof/>
            </w:rPr>
          </w:pPr>
          <w:hyperlink w:anchor="_Toc242120803" w:history="1">
            <w:r w:rsidRPr="00A5716F">
              <w:rPr>
                <w:rStyle w:val="Hyperlink"/>
                <w:noProof/>
              </w:rPr>
              <w:t>3. Personal Action Plan</w:t>
            </w:r>
            <w:r w:rsidRPr="00A5716F">
              <w:rPr>
                <w:noProof/>
                <w:webHidden/>
              </w:rPr>
              <w:tab/>
            </w:r>
            <w:r w:rsidRPr="00A5716F">
              <w:rPr>
                <w:noProof/>
                <w:webHidden/>
              </w:rPr>
              <w:fldChar w:fldCharType="begin"/>
            </w:r>
            <w:r w:rsidRPr="00A5716F">
              <w:rPr>
                <w:noProof/>
                <w:webHidden/>
              </w:rPr>
              <w:instrText xml:space="preserve"> PAGEREF _Toc242120803 \h </w:instrText>
            </w:r>
            <w:r w:rsidRPr="00A5716F">
              <w:rPr>
                <w:noProof/>
                <w:webHidden/>
              </w:rPr>
            </w:r>
            <w:r w:rsidRPr="00A5716F">
              <w:rPr>
                <w:noProof/>
                <w:webHidden/>
              </w:rPr>
              <w:fldChar w:fldCharType="separate"/>
            </w:r>
            <w:r w:rsidRPr="00A5716F">
              <w:rPr>
                <w:noProof/>
                <w:webHidden/>
              </w:rPr>
              <w:t>10</w:t>
            </w:r>
            <w:r w:rsidRPr="00A5716F">
              <w:rPr>
                <w:noProof/>
                <w:webHidden/>
              </w:rPr>
              <w:fldChar w:fldCharType="end"/>
            </w:r>
          </w:hyperlink>
        </w:p>
        <w:p w14:paraId="383BB0DA" w14:textId="77777777" w:rsidR="00E12156" w:rsidRPr="00A5716F" w:rsidRDefault="00E12156">
          <w:pPr>
            <w:pStyle w:val="TOC1"/>
            <w:tabs>
              <w:tab w:val="right" w:leader="dot" w:pos="9350"/>
            </w:tabs>
            <w:rPr>
              <w:noProof/>
            </w:rPr>
          </w:pPr>
          <w:hyperlink w:anchor="_Toc242120804" w:history="1">
            <w:r w:rsidRPr="00A5716F">
              <w:rPr>
                <w:rStyle w:val="Hyperlink"/>
                <w:noProof/>
              </w:rPr>
              <w:t>References</w:t>
            </w:r>
            <w:r w:rsidRPr="00A5716F">
              <w:rPr>
                <w:noProof/>
                <w:webHidden/>
              </w:rPr>
              <w:tab/>
            </w:r>
            <w:r w:rsidRPr="00A5716F">
              <w:rPr>
                <w:noProof/>
                <w:webHidden/>
              </w:rPr>
              <w:fldChar w:fldCharType="begin"/>
            </w:r>
            <w:r w:rsidRPr="00A5716F">
              <w:rPr>
                <w:noProof/>
                <w:webHidden/>
              </w:rPr>
              <w:instrText xml:space="preserve"> PAGEREF _Toc242120804 \h </w:instrText>
            </w:r>
            <w:r w:rsidRPr="00A5716F">
              <w:rPr>
                <w:noProof/>
                <w:webHidden/>
              </w:rPr>
            </w:r>
            <w:r w:rsidRPr="00A5716F">
              <w:rPr>
                <w:noProof/>
                <w:webHidden/>
              </w:rPr>
              <w:fldChar w:fldCharType="separate"/>
            </w:r>
            <w:r w:rsidRPr="00A5716F">
              <w:rPr>
                <w:noProof/>
                <w:webHidden/>
              </w:rPr>
              <w:t>12</w:t>
            </w:r>
            <w:r w:rsidRPr="00A5716F">
              <w:rPr>
                <w:noProof/>
                <w:webHidden/>
              </w:rPr>
              <w:fldChar w:fldCharType="end"/>
            </w:r>
          </w:hyperlink>
        </w:p>
        <w:p w14:paraId="64FC5DCE" w14:textId="77777777" w:rsidR="00E12156" w:rsidRPr="00A5716F" w:rsidRDefault="00E12156">
          <w:r w:rsidRPr="00A5716F">
            <w:rPr>
              <w:b/>
              <w:bCs/>
              <w:noProof/>
            </w:rPr>
            <w:fldChar w:fldCharType="end"/>
          </w:r>
        </w:p>
      </w:sdtContent>
    </w:sdt>
    <w:p w14:paraId="40A79408" w14:textId="77777777" w:rsidR="00B97C05" w:rsidRPr="00A5716F" w:rsidRDefault="00C720FC">
      <w:r w:rsidRPr="00A5716F">
        <w:br w:type="page"/>
      </w:r>
    </w:p>
    <w:p w14:paraId="77E6DBD5" w14:textId="77777777" w:rsidR="00B97C05" w:rsidRPr="00A5716F" w:rsidRDefault="00C720FC">
      <w:pPr>
        <w:pStyle w:val="Heading1"/>
      </w:pPr>
      <w:bookmarkStart w:id="0" w:name="_v2n0k8pwxwt5" w:colFirst="0" w:colLast="0"/>
      <w:bookmarkStart w:id="1" w:name="_Toc242120793"/>
      <w:bookmarkEnd w:id="0"/>
      <w:r w:rsidRPr="00A5716F">
        <w:lastRenderedPageBreak/>
        <w:t>Introduction</w:t>
      </w:r>
      <w:bookmarkEnd w:id="1"/>
      <w:r w:rsidRPr="00A5716F">
        <w:t xml:space="preserve"> </w:t>
      </w:r>
    </w:p>
    <w:p w14:paraId="6E8C6DEA" w14:textId="77777777" w:rsidR="00B97C05" w:rsidRPr="00A5716F" w:rsidRDefault="00C720FC">
      <w:r w:rsidRPr="00A5716F">
        <w:t xml:space="preserve">This report discusses the case of NexSpace Health Systems (NHSX), an emerging healthcare technology organisation with an employee strength of around 600 across the </w:t>
      </w:r>
      <w:r w:rsidR="00A5716F">
        <w:t>UK</w:t>
      </w:r>
      <w:r w:rsidRPr="00A5716F">
        <w:t xml:space="preserve">, India and the </w:t>
      </w:r>
      <w:r w:rsidR="00A5716F">
        <w:t>UAE</w:t>
      </w:r>
      <w:r w:rsidRPr="00A5716F">
        <w:t xml:space="preserve">. NHSX builds AI-powered digital health platforms, remote patient monitoring systems and clinical decision-support technologies for hospitals and healthcare providers. With growing international presence and investment in </w:t>
      </w:r>
      <w:r w:rsidR="00A5716F">
        <w:t>AI</w:t>
      </w:r>
      <w:r w:rsidRPr="00A5716F">
        <w:t>, the company is facing numerous strategic workforce-related challenges. The challenges include depend</w:t>
      </w:r>
      <w:r w:rsidR="00E12156" w:rsidRPr="00A5716F">
        <w:t xml:space="preserve">ence on traditional </w:t>
      </w:r>
      <w:r w:rsidRPr="00A5716F">
        <w:t xml:space="preserve">hierarchical working practices, limited career growth opportunities leading to high turnover among high-performing staff, weak collaboration due to hybrid working and failure to balance employee wellbeing with performance expectations. The purpose of this report is to advise the Board on how to design innovative working practices where innovation and talent can grow simultaneously, concluding with a reflective note. </w:t>
      </w:r>
    </w:p>
    <w:p w14:paraId="1C61ADCF" w14:textId="77777777" w:rsidR="00B97C05" w:rsidRPr="00A5716F" w:rsidRDefault="00C720FC" w:rsidP="00E12156">
      <w:pPr>
        <w:pStyle w:val="Heading1"/>
      </w:pPr>
      <w:bookmarkStart w:id="2" w:name="_mub7oohwq20z" w:colFirst="0" w:colLast="0"/>
      <w:bookmarkStart w:id="3" w:name="_Toc242120794"/>
      <w:bookmarkEnd w:id="2"/>
      <w:r w:rsidRPr="00A5716F">
        <w:t>Task A: Designing Innovative Working Practices</w:t>
      </w:r>
      <w:bookmarkEnd w:id="3"/>
      <w:r w:rsidRPr="00A5716F">
        <w:t xml:space="preserve"> </w:t>
      </w:r>
    </w:p>
    <w:p w14:paraId="6A55A527" w14:textId="77777777" w:rsidR="00B97C05" w:rsidRPr="00A5716F" w:rsidRDefault="00C720FC">
      <w:r w:rsidRPr="00A5716F">
        <w:t>This section develops an integrated framework for NHSX to redesign its working practices to stimulate innovation, collaboration and organisational agility through relevant theory application.</w:t>
      </w:r>
    </w:p>
    <w:p w14:paraId="72ADC9E4" w14:textId="77777777" w:rsidR="00B97C05" w:rsidRPr="00A5716F" w:rsidRDefault="00C720FC">
      <w:pPr>
        <w:pStyle w:val="Heading2"/>
      </w:pPr>
      <w:bookmarkStart w:id="4" w:name="_196vsyxi958g" w:colFirst="0" w:colLast="0"/>
      <w:bookmarkStart w:id="5" w:name="_Toc242120795"/>
      <w:bookmarkEnd w:id="4"/>
      <w:r w:rsidRPr="00A5716F">
        <w:t>1. Critical Evaluation of Traditional versus Contemporary Working Practices through Application of Relevant Theories</w:t>
      </w:r>
      <w:bookmarkEnd w:id="5"/>
      <w:r w:rsidRPr="00A5716F">
        <w:t xml:space="preserve"> </w:t>
      </w:r>
    </w:p>
    <w:p w14:paraId="10273248" w14:textId="77777777" w:rsidR="00B97C05" w:rsidRPr="00A5716F" w:rsidRDefault="00C720FC">
      <w:r w:rsidRPr="00A5716F">
        <w:t xml:space="preserve">NHSX’s workforce challenges are multifaceted and need the incorporation of curated theories and practices to overcome. For instance, a traditional hierarchical workforce depends on directions from managers, which is not good for a technical organisation, because it demands quick decision-making to test/implement innovative solutions (Stanikzai and Mittal, 2025). This delays innovation, reduces organisational agility and adaptability, which affects workforce performance/engagement and competitive advantage (Evans-Uzosike and Okatta, 2023). Moreover, in contemporary work settings, and particularly for global organisations, </w:t>
      </w:r>
      <w:r w:rsidR="00A5716F">
        <w:t xml:space="preserve">like </w:t>
      </w:r>
      <w:r w:rsidRPr="00A5716F">
        <w:t xml:space="preserve">NHSX, hybrid and flexible working systems have altered the traditional workplace models suitable for onsite collaboration (Chinyuku </w:t>
      </w:r>
      <w:r w:rsidRPr="00A5716F">
        <w:lastRenderedPageBreak/>
        <w:t xml:space="preserve">and Qutieshat, 2025). These working setups have made collaboration among distant team members increasingly difficult. </w:t>
      </w:r>
    </w:p>
    <w:p w14:paraId="4AC0B0C6" w14:textId="77777777" w:rsidR="00B97C05" w:rsidRPr="00A5716F" w:rsidRDefault="00C720FC">
      <w:r w:rsidRPr="00A5716F">
        <w:t xml:space="preserve">As per sociotechnical systems theory (STS), social (people, skills, attitudes, team dynamics) and technical systems must work in harmony in order to ensure optimum performance/productivity (Ang, Sankaran and Liu, 2025). In traditional workplace setups, when new technology was introduced, humans had to adapt their habits and workflows around rigid machines. However, in contemporary times, AI and humans both learn from each other in real time (Ang, Sankaran and Liu, 2025). Although NHSX works in the area of these emerging technologies, its conventional workplace model is defeating the purpose of a harmonised system, as outlined by the STS theory. Meaning, since both humans and technology are constantly changing and adapting to each other, the old STS theory, designed for static, unchangeable tools, falls short. </w:t>
      </w:r>
    </w:p>
    <w:p w14:paraId="5D4A73BF" w14:textId="77777777" w:rsidR="005E0E51" w:rsidRPr="00A5716F" w:rsidRDefault="005E0E51" w:rsidP="005E0E51">
      <w:pPr>
        <w:jc w:val="center"/>
      </w:pPr>
      <w:r w:rsidRPr="00A5716F">
        <w:rPr>
          <w:noProof/>
          <w:lang w:eastAsia="en-IN"/>
        </w:rPr>
        <w:drawing>
          <wp:inline distT="0" distB="0" distL="0" distR="0" wp14:anchorId="2BDA620D" wp14:editId="73F05D31">
            <wp:extent cx="4639436" cy="3305175"/>
            <wp:effectExtent l="0" t="0" r="8890" b="0"/>
            <wp:docPr id="1" name="Picture 1" descr="Using socio-technical systems theory to study the health information  management workforce in Australian acute hospitals | Social Theory &amp; Health  | Springer Nature 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ing socio-technical systems theory to study the health information  management workforce in Australian acute hospitals | Social Theory &amp; Health  | Springer Nature Lin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42516" cy="3307369"/>
                    </a:xfrm>
                    <a:prstGeom prst="rect">
                      <a:avLst/>
                    </a:prstGeom>
                    <a:noFill/>
                    <a:ln>
                      <a:noFill/>
                    </a:ln>
                  </pic:spPr>
                </pic:pic>
              </a:graphicData>
            </a:graphic>
          </wp:inline>
        </w:drawing>
      </w:r>
    </w:p>
    <w:p w14:paraId="0C473BBC" w14:textId="77777777" w:rsidR="005E0E51" w:rsidRPr="00A5716F" w:rsidRDefault="00A5716F" w:rsidP="005E0E51">
      <w:pPr>
        <w:jc w:val="center"/>
      </w:pPr>
      <w:r w:rsidRPr="00A5716F">
        <w:t>Figure.</w:t>
      </w:r>
      <w:r w:rsidR="005E0E51" w:rsidRPr="00A5716F">
        <w:t xml:space="preserve">1: Sociotechnical systems theory illustration </w:t>
      </w:r>
    </w:p>
    <w:p w14:paraId="23CB4A81" w14:textId="77777777" w:rsidR="005E0E51" w:rsidRPr="00A5716F" w:rsidRDefault="005E0E51" w:rsidP="005E0E51">
      <w:pPr>
        <w:jc w:val="center"/>
      </w:pPr>
      <w:r w:rsidRPr="00A5716F">
        <w:t>(Source: Kemp et al., 2024)</w:t>
      </w:r>
    </w:p>
    <w:p w14:paraId="48F5FAF9" w14:textId="77777777" w:rsidR="00B97C05" w:rsidRPr="00A5716F" w:rsidRDefault="00C720FC">
      <w:r w:rsidRPr="00A5716F">
        <w:t xml:space="preserve">Evaluating this through agile working, the hierarchical practice prevalent at NHSX is systematically working against cross-functional adaptability, causing decision-making bottlenecks and preventing the social system from keeping pace with the technical system. Agile working emphasises uninterrupted, cross-functional interactions and rapid </w:t>
      </w:r>
      <w:r w:rsidRPr="00A5716F">
        <w:lastRenderedPageBreak/>
        <w:t xml:space="preserve">feedback, which are essential to match continuous, real-time adaptations of AI technology (Ndou, Ingrosso and Di Girolamo, 2024). NHSX’s multi-region expansion without an agile structure is weakening collaboration, knowledge sharing and social cohesion among international hybrid teams. </w:t>
      </w:r>
    </w:p>
    <w:p w14:paraId="1FAA0092" w14:textId="77777777" w:rsidR="00B97C05" w:rsidRPr="00A5716F" w:rsidRDefault="00C720FC">
      <w:r w:rsidRPr="00A5716F">
        <w:t xml:space="preserve">As per High-Performance Work Systems (HPWS), organisational performance is maximised when HR practices, organisational structure, work design and technology are combined together to complement/reinforce one another (Arubayi, 2023). Applying HPWS alongside STS demonstrates that, at NHSX, top talents might be leaving due to denied job autonomy, skill variety and career growth. Rigid, non-agile environments at NHSX have limited skilled talent to mechanical tasks, creating a mismatch between high-performing staff and restricted organisational structure, resulting in brain drain. Also, the managers’ inability to balance employee wellbeing with high performance expectations demonstrates the ineffectiveness of traditional workplace practices, creating an unsustainable tension for the contemporary workforce. Managers might be trying to enforce conventional performance metrics on fluid, complex workflows, leading to employee burnout and failure to achieve high performance. </w:t>
      </w:r>
    </w:p>
    <w:p w14:paraId="57E499E9" w14:textId="77777777" w:rsidR="005C3E0F" w:rsidRPr="00A5716F" w:rsidRDefault="005C3E0F" w:rsidP="005C3E0F">
      <w:pPr>
        <w:jc w:val="center"/>
      </w:pPr>
      <w:r w:rsidRPr="00A5716F">
        <w:rPr>
          <w:noProof/>
          <w:lang w:eastAsia="en-IN"/>
        </w:rPr>
        <w:drawing>
          <wp:inline distT="0" distB="0" distL="0" distR="0" wp14:anchorId="67342426" wp14:editId="565BAFAD">
            <wp:extent cx="5391150" cy="2352675"/>
            <wp:effectExtent l="19050" t="19050" r="19050" b="28575"/>
            <wp:docPr id="2" name="Picture 2"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91150" cy="2352675"/>
                    </a:xfrm>
                    <a:prstGeom prst="rect">
                      <a:avLst/>
                    </a:prstGeom>
                    <a:noFill/>
                    <a:ln>
                      <a:solidFill>
                        <a:schemeClr val="tx1"/>
                      </a:solidFill>
                    </a:ln>
                  </pic:spPr>
                </pic:pic>
              </a:graphicData>
            </a:graphic>
          </wp:inline>
        </w:drawing>
      </w:r>
    </w:p>
    <w:p w14:paraId="77F1544F" w14:textId="77777777" w:rsidR="005C3E0F" w:rsidRPr="00A5716F" w:rsidRDefault="00A5716F" w:rsidP="005C3E0F">
      <w:pPr>
        <w:jc w:val="center"/>
      </w:pPr>
      <w:r w:rsidRPr="00A5716F">
        <w:t>Figure.</w:t>
      </w:r>
      <w:r w:rsidR="005C3E0F" w:rsidRPr="00A5716F">
        <w:t xml:space="preserve">2: HPWS illustration </w:t>
      </w:r>
    </w:p>
    <w:p w14:paraId="003C64A5" w14:textId="77777777" w:rsidR="005C3E0F" w:rsidRPr="00A5716F" w:rsidRDefault="005C3E0F" w:rsidP="005C3E0F">
      <w:pPr>
        <w:jc w:val="center"/>
      </w:pPr>
      <w:r w:rsidRPr="00A5716F">
        <w:t>(Source: Kloutsiniotis and Mihail, 2020)</w:t>
      </w:r>
    </w:p>
    <w:p w14:paraId="27EDD0DB" w14:textId="77777777" w:rsidR="00B97C05" w:rsidRPr="00A5716F" w:rsidRDefault="00C720FC">
      <w:r w:rsidRPr="00A5716F">
        <w:t xml:space="preserve">Hence, it can be inferred that NHSX is applying traditional working practices to a contemporary workforce, creating a mismatch/friction that is causing high-performing employees to leave. </w:t>
      </w:r>
    </w:p>
    <w:p w14:paraId="69721CE7" w14:textId="77777777" w:rsidR="00B97C05" w:rsidRPr="00A5716F" w:rsidRDefault="00C720FC" w:rsidP="00E12156">
      <w:pPr>
        <w:pStyle w:val="Heading2"/>
      </w:pPr>
      <w:bookmarkStart w:id="6" w:name="_qvbzujf6t2nx" w:colFirst="0" w:colLast="0"/>
      <w:bookmarkStart w:id="7" w:name="_Toc242120796"/>
      <w:bookmarkEnd w:id="6"/>
      <w:r w:rsidRPr="00A5716F">
        <w:lastRenderedPageBreak/>
        <w:t>2. Recommendations</w:t>
      </w:r>
      <w:bookmarkEnd w:id="7"/>
      <w:r w:rsidRPr="00A5716F">
        <w:t xml:space="preserve"> </w:t>
      </w:r>
    </w:p>
    <w:p w14:paraId="59CBACBF" w14:textId="77777777" w:rsidR="00B97C05" w:rsidRPr="00A5716F" w:rsidRDefault="00C720FC">
      <w:r w:rsidRPr="00A5716F">
        <w:t>The following recommendations are provided to redesign NHSX’s workplace practices to promote innovation, collaboration and organisational agility.</w:t>
      </w:r>
    </w:p>
    <w:p w14:paraId="75AF0BA0" w14:textId="77777777" w:rsidR="00B97C05" w:rsidRPr="00A5716F" w:rsidRDefault="00C720FC">
      <w:r w:rsidRPr="00A5716F">
        <w:rPr>
          <w:b/>
          <w:bCs/>
        </w:rPr>
        <w:t>Cross-Functional Collaboration</w:t>
      </w:r>
      <w:r w:rsidR="00A5716F" w:rsidRPr="00A5716F">
        <w:t>:</w:t>
      </w:r>
      <w:r w:rsidRPr="00A5716F">
        <w:t xml:space="preserve"> To improve cross-functional collaboration, NHSX must establish autonomous cross-functional teams combining AI developers, software engineers and clinical specialists who hold shared accountability over product delivery (Ilufoye and Giwah, 2025). NHSX must integrate relational coordination theory alongside STS to foster relationships of shared goals, shared knowledge and mutual respect, reinforced by frequent communication to strengthen cross-functional collaboration (Bolton, Logan and Gittell, 2021). This will eliminate delayed, multi-layered management approvals between separate departments and allow fast execution of digital health solutions. However, cultural misalignment within international teams may hinder collaboration, which can be reduced by providing cultural acceptance training during the induction process (Erfan, 2024). This recommendation directly addresses two challenges with the firm’s traditional work design; with team-level autonomy, decision-making will happen faster and support innovation, creativity and experimentation. </w:t>
      </w:r>
    </w:p>
    <w:p w14:paraId="575DFD13" w14:textId="77777777" w:rsidR="00B97C05" w:rsidRPr="00A5716F" w:rsidRDefault="00C720FC">
      <w:r w:rsidRPr="00A5716F">
        <w:rPr>
          <w:b/>
          <w:bCs/>
        </w:rPr>
        <w:t>Hybrid and Flexible Working</w:t>
      </w:r>
      <w:r w:rsidR="00A5716F" w:rsidRPr="00A5716F">
        <w:t>:</w:t>
      </w:r>
      <w:r w:rsidRPr="00A5716F">
        <w:t xml:space="preserve"> NHSX’s presence in multiple countries and growing hybrid work culture require a common platform where seamless, real-time collaboration and knowledge-sharing can occur. Therefore, to make distant teams work in tandem, the organisation must implement an “asynchronous-first” flexible working model (Albergaria-Almeida, 2026). This model will enable international teams to work in their flexible hours and document their decisions and thoughts in the central database for others to read when their working hours begin. Employees familiar with synchronous norms may trigger resistance, which can be negated through thorough training and sustained support to get them on-board with NHSX’s objectives (Albergaria-Almeida, 2026). This recommendation addresses the challenge with hybrid teams’ ineffective collaboration across the UK, India and the UAE, as demonstrated by GitLab (Choudhury et al., 2020). </w:t>
      </w:r>
    </w:p>
    <w:p w14:paraId="4BC296CC" w14:textId="77777777" w:rsidR="00B97C05" w:rsidRPr="00A5716F" w:rsidRDefault="00C720FC">
      <w:r w:rsidRPr="00A5716F">
        <w:rPr>
          <w:b/>
          <w:bCs/>
        </w:rPr>
        <w:t>Employee Autonomy</w:t>
      </w:r>
      <w:r w:rsidR="00A5716F" w:rsidRPr="00A5716F">
        <w:t xml:space="preserve">: </w:t>
      </w:r>
      <w:r w:rsidRPr="00A5716F">
        <w:t xml:space="preserve">To improve employee autonomy among high-performing employees, NHSX must create opportunities for them to trial/test their creativity and experiment. To create opportunities, the firm must foster an innovative environment (aligned with HIWS) by introducing a separate time from daily work hours for </w:t>
      </w:r>
      <w:r w:rsidRPr="00A5716F">
        <w:lastRenderedPageBreak/>
        <w:t>experimenting and self-managed projects, which must be voluntary (Nguyen et al., 2024). This will improve autonomous project management and decision-making, thereby boosting confidence in developing innovative solutions. Team-level autonomy in decision-making for project teams will also enhance resilience and adaptability by preparing them to take accountability for their successes and failures and remove the unnecessary fear associated with administrative failure (Nguyen et al., 2024). Nevertheless, job autonomy can be perceived differently by employees from a culture with high power distance (India, UAE), creating role ambiguity. NHSX can navigate this by clearly communicating the benefits and keeping participation voluntary to help employees adopt at their own pace.</w:t>
      </w:r>
    </w:p>
    <w:p w14:paraId="031FE23C" w14:textId="77777777" w:rsidR="00B97C05" w:rsidRPr="00A5716F" w:rsidRDefault="00C720FC">
      <w:r w:rsidRPr="00A5716F">
        <w:rPr>
          <w:b/>
          <w:bCs/>
        </w:rPr>
        <w:t>Agile Project Teams</w:t>
      </w:r>
      <w:r w:rsidR="00A5716F" w:rsidRPr="00A5716F">
        <w:t xml:space="preserve">: </w:t>
      </w:r>
      <w:r w:rsidRPr="00A5716F">
        <w:t xml:space="preserve">NHSX must create small, autonomous agile project teams that plan their work in ‘sprints’ (aligned with the Scrum framework) (Steegh et al., 2025). Before the sprint starts, members will assign work based on the realistic capacity of each individual and the team as a whole and break down daily goals into minor activities (Steegh et al., 2025). Instead of measuring the time one sits at their desk, managers must check whether everyone meets clear, shared goals. This will reduce employee burnout, maintain performance and wellbeing, and enable employees with extra time to invest in experimenting. However, running several project teams may create operational confusion, which NHSX can overcome by providing agile coaching and implementing pilot phases. This recommendation addresses the challenge with managers’ inability to balance employee wellbeing and high performance metrics. </w:t>
      </w:r>
    </w:p>
    <w:p w14:paraId="7936CE44" w14:textId="77777777" w:rsidR="00B97C05" w:rsidRPr="00A5716F" w:rsidRDefault="00C720FC">
      <w:r w:rsidRPr="00A5716F">
        <w:rPr>
          <w:b/>
          <w:bCs/>
        </w:rPr>
        <w:t>Digital Collaboration Technologies</w:t>
      </w:r>
      <w:r w:rsidR="00A5716F" w:rsidRPr="00A5716F">
        <w:t xml:space="preserve">: </w:t>
      </w:r>
      <w:r w:rsidRPr="00A5716F">
        <w:t xml:space="preserve">To address the challenge of high-performers leaving the company due to a lack of career growth opportunities, improving/investing in digital collaboration technologies to ensure connectivity across regions is recommended. Digital collaboration tools (e.g. Jira, Slack, Confluence) will make all international projects, task boards, and skill requirements visible to all employees, which will enable top talents to collaborate/lead projects without relocating (Calefato et al., 2020). Older generation employees may find it difficult to become accustomed to digital collaboration technologies, which can be mitigated through hands-on training and monitoring. This will expand opportunities under HPWS by offering top performers opportunities for continuous learning and career advancement, preventing attrition. </w:t>
      </w:r>
    </w:p>
    <w:p w14:paraId="469408EE" w14:textId="77777777" w:rsidR="00B97C05" w:rsidRPr="00A5716F" w:rsidRDefault="00C720FC">
      <w:r w:rsidRPr="00A5716F">
        <w:lastRenderedPageBreak/>
        <w:t xml:space="preserve">All the challenges are interconnected and will only nurture the other, when implemented in an integrated manner. </w:t>
      </w:r>
    </w:p>
    <w:p w14:paraId="3827778A" w14:textId="77777777" w:rsidR="00B97C05" w:rsidRPr="00A5716F" w:rsidRDefault="00C720FC">
      <w:pPr>
        <w:pStyle w:val="Heading1"/>
      </w:pPr>
      <w:bookmarkStart w:id="8" w:name="_319quyse2eso" w:colFirst="0" w:colLast="0"/>
      <w:bookmarkStart w:id="9" w:name="_Toc242120797"/>
      <w:bookmarkEnd w:id="8"/>
      <w:r w:rsidRPr="00A5716F">
        <w:t>Task B: Breeding an Environment Where Talent May Grow</w:t>
      </w:r>
      <w:bookmarkEnd w:id="9"/>
      <w:r w:rsidRPr="00A5716F">
        <w:t xml:space="preserve"> </w:t>
      </w:r>
    </w:p>
    <w:p w14:paraId="5D21C43F" w14:textId="77777777" w:rsidR="00B97C05" w:rsidRPr="00A5716F" w:rsidRDefault="00C720FC">
      <w:r w:rsidRPr="00A5716F">
        <w:t xml:space="preserve">This section designs a strategic talent ecosystem for NHSX that will enable employees to continuously grow and perform at their highest potential. </w:t>
      </w:r>
    </w:p>
    <w:p w14:paraId="737279ED" w14:textId="77777777" w:rsidR="00B97C05" w:rsidRPr="00A5716F" w:rsidRDefault="00C720FC">
      <w:pPr>
        <w:pStyle w:val="Heading2"/>
      </w:pPr>
      <w:bookmarkStart w:id="10" w:name="_rc3yeqf8d7al" w:colFirst="0" w:colLast="0"/>
      <w:bookmarkStart w:id="11" w:name="_Toc242120798"/>
      <w:bookmarkEnd w:id="10"/>
      <w:r w:rsidRPr="00A5716F">
        <w:t>1. Critical Evaluation of How Organisations Create Environments Where Talent Flourishes</w:t>
      </w:r>
      <w:bookmarkEnd w:id="11"/>
      <w:r w:rsidRPr="00A5716F">
        <w:t xml:space="preserve"> </w:t>
      </w:r>
    </w:p>
    <w:p w14:paraId="09BC7F86" w14:textId="77777777" w:rsidR="00B97C05" w:rsidRPr="00A5716F" w:rsidRDefault="00C720FC">
      <w:r w:rsidRPr="00A5716F">
        <w:t xml:space="preserve">Creating an environment in which talent flourishes requires organisations to integrate motivation, learning, career development and supportive work practices rather than relying solely on performance management. Self-determination theory (SDT) postulates that autonomy, competence and relatedness boost intrinsic motivation for high performance (McAnally and Hagger, 2024). NHSX’s traditional hierarchical structure is preventing top performers from making swift decisions, causing fatigue, low engagement and high turnover. This structure is basically inhibiting creativity and experimentation, key to developing innovative solutions. Not having autonomy over projects and decision-making might also be limiting top performers from taking accountability, addressing areas of improvement and upskilling themselves for career advancement. Consequently, the attrition rate among high performers at the firm is increasing, because they have limited opportunities to take autonomy, fail, learn, adapt and progress. </w:t>
      </w:r>
    </w:p>
    <w:p w14:paraId="1F74E610" w14:textId="77777777" w:rsidR="005C3E0F" w:rsidRPr="00A5716F" w:rsidRDefault="005C3E0F" w:rsidP="005C3E0F">
      <w:pPr>
        <w:jc w:val="center"/>
      </w:pPr>
      <w:r w:rsidRPr="00A5716F">
        <w:rPr>
          <w:noProof/>
          <w:lang w:eastAsia="en-IN"/>
        </w:rPr>
        <w:lastRenderedPageBreak/>
        <w:drawing>
          <wp:inline distT="0" distB="0" distL="0" distR="0" wp14:anchorId="166F72F1" wp14:editId="4C993B07">
            <wp:extent cx="5482618" cy="2752725"/>
            <wp:effectExtent l="19050" t="19050" r="22860" b="9525"/>
            <wp:docPr id="3" name="Picture 3" descr="Self-Determination Theory and Workplace Outcomes: A Conceptual Review and  Future Research Dire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lf-Determination Theory and Workplace Outcomes: A Conceptual Review and  Future Research Direction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85095" cy="2753969"/>
                    </a:xfrm>
                    <a:prstGeom prst="rect">
                      <a:avLst/>
                    </a:prstGeom>
                    <a:noFill/>
                    <a:ln>
                      <a:solidFill>
                        <a:schemeClr val="tx1"/>
                      </a:solidFill>
                    </a:ln>
                  </pic:spPr>
                </pic:pic>
              </a:graphicData>
            </a:graphic>
          </wp:inline>
        </w:drawing>
      </w:r>
    </w:p>
    <w:p w14:paraId="62AAB7FF" w14:textId="77777777" w:rsidR="005C3E0F" w:rsidRPr="00A5716F" w:rsidRDefault="00A5716F" w:rsidP="005C3E0F">
      <w:pPr>
        <w:jc w:val="center"/>
      </w:pPr>
      <w:r w:rsidRPr="00A5716F">
        <w:t>Figure.</w:t>
      </w:r>
      <w:r w:rsidR="005C3E0F" w:rsidRPr="00A5716F">
        <w:t>3: SDT illustration</w:t>
      </w:r>
    </w:p>
    <w:p w14:paraId="4A6196B7" w14:textId="77777777" w:rsidR="005C3E0F" w:rsidRPr="00A5716F" w:rsidRDefault="005C3E0F" w:rsidP="005C3E0F">
      <w:pPr>
        <w:jc w:val="center"/>
      </w:pPr>
      <w:r w:rsidRPr="00A5716F">
        <w:t>(Source: McAnally and Hagger, 2024)</w:t>
      </w:r>
    </w:p>
    <w:p w14:paraId="1CDFC599" w14:textId="77777777" w:rsidR="00B97C05" w:rsidRPr="00A5716F" w:rsidRDefault="00C720FC">
      <w:r w:rsidRPr="00A5716F">
        <w:t xml:space="preserve">Talent management frameworks are utilised by organisations to measure how effectively they can manage the interconnected stages of the employee lifecycle (e.g. recruitment, on-boarding, employability, benefits, retention, off-boarding) (Nosratabadi et al., 2022). Implementing these frameworks enables organisations to retain top talent, however, NHSX seems to be operating a broken talent ecosystem because it is failing to sustain engagement and is losing top talent. </w:t>
      </w:r>
    </w:p>
    <w:p w14:paraId="4FAC2D43" w14:textId="77777777" w:rsidR="00B97C05" w:rsidRPr="00A5716F" w:rsidRDefault="00C720FC">
      <w:r w:rsidRPr="00A5716F">
        <w:t xml:space="preserve">The managers at NHSX are struggling to balance employee wellbeing and high performance expectations, which indicates two things. First, employees are unhappy because they are not performing high, and second, performance expectations are not aligned with employee wellbeing. Meaning, the factors required for employees to optimise performance/productivity, may not be available and the performance metrics are not aligned with employees’ current capacity/skill. </w:t>
      </w:r>
    </w:p>
    <w:p w14:paraId="1B514367" w14:textId="77777777" w:rsidR="00B97C05" w:rsidRPr="00A5716F" w:rsidRDefault="00C720FC">
      <w:r w:rsidRPr="00A5716F">
        <w:t xml:space="preserve">Psychological safety theory argues that employees must feel psychologically safe in order to perform better and maximise productivity (Hebles, Trincado-Munoz and Ortega, 2022). However, it seems that at NHSX, employees might be experiencing burnout due to ineffective hybrid processes and unrealistic performance metrics based on traditional working practices. NHSX is a tech-oriented organisation developing AI-powered tools, which makes errors and failures common; therefore, an environment where failure is not </w:t>
      </w:r>
      <w:r w:rsidRPr="00A5716F">
        <w:lastRenderedPageBreak/>
        <w:t xml:space="preserve">accepted and is tied to performance ratings may lead to reduced interest/engagement among high-performing employees (Uddin, 2025). Fear of failure might have affected employees’ feelings of safety, reducing wellbeing and weakening performance. </w:t>
      </w:r>
    </w:p>
    <w:p w14:paraId="179374A7" w14:textId="77777777" w:rsidR="00B97C05" w:rsidRPr="00A5716F" w:rsidRDefault="00C720FC" w:rsidP="00E12156">
      <w:pPr>
        <w:pStyle w:val="Heading2"/>
      </w:pPr>
      <w:bookmarkStart w:id="12" w:name="_nn3e72tx6rh9" w:colFirst="0" w:colLast="0"/>
      <w:bookmarkStart w:id="13" w:name="_Toc242120799"/>
      <w:bookmarkEnd w:id="12"/>
      <w:r w:rsidRPr="00A5716F">
        <w:t>2. Comprehensive Talent Growth Strategy for NexSpace Health Systems</w:t>
      </w:r>
      <w:bookmarkEnd w:id="13"/>
      <w:r w:rsidRPr="00A5716F">
        <w:t xml:space="preserve"> </w:t>
      </w:r>
    </w:p>
    <w:p w14:paraId="0EEEE0EB" w14:textId="77777777" w:rsidR="00B97C05" w:rsidRPr="00A5716F" w:rsidRDefault="00C720FC">
      <w:r w:rsidRPr="00A5716F">
        <w:t xml:space="preserve">A comprehensive talent growth strategy for NHSX includes strategic intervention throughout the employee lifecycle and creates an enabling space where talent can sustain and grow. </w:t>
      </w:r>
    </w:p>
    <w:p w14:paraId="7D375E53" w14:textId="77777777" w:rsidR="00B97C05" w:rsidRPr="00A5716F" w:rsidRDefault="00C720FC">
      <w:r w:rsidRPr="00A5716F">
        <w:rPr>
          <w:b/>
          <w:bCs/>
        </w:rPr>
        <w:t>Democratised Career Mobility (HPWS + SDT)</w:t>
      </w:r>
      <w:r w:rsidR="00A5716F">
        <w:t xml:space="preserve">:  </w:t>
      </w:r>
      <w:r w:rsidRPr="00A5716F">
        <w:t xml:space="preserve">NHSX must launch an automated internal talent marketplace integrated into Jira/Slack and Confluence. This internal marketplace will routinely and transparently publish all the job vacancies across the UK, India and UAE, which will be visible to all employees. This will create a strong internal talent pipeline and career growth opportunities for top talent, alongside harbouring a growth mindset. For instance, top performers in India and the UAE will get equal exposure to major UK-based innovation initiatives, fulfilling their intrinsic need for autonomy and competence of SDT and the opportunity component of HPWS (McAnally and Hagger, 2024; Arubayi, 2023). This internal career mobility structure will help NHSX to build a strong international talent pool, gauge skill/resource preparedness and retain top talent. </w:t>
      </w:r>
    </w:p>
    <w:p w14:paraId="502A96E1" w14:textId="77777777" w:rsidR="00B97C05" w:rsidRPr="00A5716F" w:rsidRDefault="00C720FC">
      <w:r w:rsidRPr="00A5716F">
        <w:rPr>
          <w:b/>
          <w:bCs/>
        </w:rPr>
        <w:t>Structured Workplace Innovation (Job Crafting)</w:t>
      </w:r>
      <w:r w:rsidR="00A5716F">
        <w:t xml:space="preserve">: </w:t>
      </w:r>
      <w:r w:rsidRPr="00A5716F">
        <w:t xml:space="preserve">As discussed in the recommendations of Part A, to foster innovation and creativity, NHSX must offer autonomy and creative opportunities to employees. Applying the job crafting principles, employees must be offered some time from their daily work hours to work on projects/solutions fit for their skills (Khan et al., 2024). These self-managed projects will provide necessary autonomy, build accountability/adaptability/resilience and promote a creative workplace suitable for innovation and experimentation. To boost collaboration across international employees, NHSX can publish projects and requirements on Jira/Slack, which must be open to all and voluntary. This will operationalise job crafting through task crafting (choosing technical challenges) and relational crafting (forming cross-border research teams), converting static project descriptions into dynamic, employee-led roles (Khan et al., 2024). This will address the challenge with creativity, experimentation and collaboration across international teams. </w:t>
      </w:r>
    </w:p>
    <w:p w14:paraId="0CEB11FA" w14:textId="77777777" w:rsidR="00B97C05" w:rsidRPr="00A5716F" w:rsidRDefault="00C720FC">
      <w:r w:rsidRPr="00A5716F">
        <w:rPr>
          <w:b/>
          <w:bCs/>
        </w:rPr>
        <w:lastRenderedPageBreak/>
        <w:t>Psychological Safety, Learning Organisation and Growth Mindset Culture</w:t>
      </w:r>
      <w:r w:rsidR="00A5716F">
        <w:t xml:space="preserve">: </w:t>
      </w:r>
      <w:r w:rsidRPr="00A5716F">
        <w:t xml:space="preserve">To create psychological safety, NHSX will have to foster an environment where learning and growth are supported. NHSX must replace rigid administrative processes with an open environment where clinical and technical knowledge flows smoothly across international offices (Manaf et al., 2026). To harbour a growth mindset, it must normalise failures, so that clinicians and engineers can experiment without the fear of punitive pressures and view failures as key learning lessons (Bardach et al., 2024). This will cultivate psychological safety by supporting continuous learning and growth. </w:t>
      </w:r>
    </w:p>
    <w:p w14:paraId="311D6E4D" w14:textId="77777777" w:rsidR="00B97C05" w:rsidRPr="00A5716F" w:rsidRDefault="00C720FC">
      <w:r w:rsidRPr="00A5716F">
        <w:t>The following table details a 12-month implementation timeline for NHSX to support talent growth.</w:t>
      </w:r>
    </w:p>
    <w:p w14:paraId="511D4894" w14:textId="77777777" w:rsidR="00B97C05" w:rsidRPr="00A5716F" w:rsidRDefault="00C720FC">
      <w:pPr>
        <w:rPr>
          <w:b/>
          <w:bCs/>
        </w:rPr>
      </w:pPr>
      <w:r w:rsidRPr="00A5716F">
        <w:rPr>
          <w:b/>
          <w:bCs/>
        </w:rPr>
        <w:t>Table 1: 12-Month Implementation Timeline to Support Talent Growth at NHSX</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85"/>
        <w:gridCol w:w="1905"/>
        <w:gridCol w:w="3030"/>
        <w:gridCol w:w="2340"/>
      </w:tblGrid>
      <w:tr w:rsidR="00B97C05" w:rsidRPr="00A5716F" w14:paraId="414327FA" w14:textId="77777777">
        <w:tc>
          <w:tcPr>
            <w:tcW w:w="2085" w:type="dxa"/>
            <w:tcMar>
              <w:top w:w="100" w:type="dxa"/>
              <w:left w:w="100" w:type="dxa"/>
              <w:bottom w:w="100" w:type="dxa"/>
              <w:right w:w="100" w:type="dxa"/>
            </w:tcMar>
          </w:tcPr>
          <w:p w14:paraId="6B762FFA" w14:textId="77777777" w:rsidR="00B97C05" w:rsidRPr="00A5716F" w:rsidRDefault="00C720FC">
            <w:pPr>
              <w:widowControl w:val="0"/>
              <w:pBdr>
                <w:top w:val="nil"/>
                <w:left w:val="nil"/>
                <w:bottom w:val="nil"/>
                <w:right w:val="nil"/>
                <w:between w:val="nil"/>
              </w:pBdr>
              <w:spacing w:line="240" w:lineRule="auto"/>
              <w:jc w:val="center"/>
              <w:rPr>
                <w:b/>
                <w:bCs/>
              </w:rPr>
            </w:pPr>
            <w:r w:rsidRPr="00A5716F">
              <w:rPr>
                <w:b/>
                <w:bCs/>
              </w:rPr>
              <w:t xml:space="preserve">Timeline </w:t>
            </w:r>
          </w:p>
        </w:tc>
        <w:tc>
          <w:tcPr>
            <w:tcW w:w="1905" w:type="dxa"/>
            <w:tcMar>
              <w:top w:w="100" w:type="dxa"/>
              <w:left w:w="100" w:type="dxa"/>
              <w:bottom w:w="100" w:type="dxa"/>
              <w:right w:w="100" w:type="dxa"/>
            </w:tcMar>
          </w:tcPr>
          <w:p w14:paraId="301B7E56" w14:textId="77777777" w:rsidR="00B97C05" w:rsidRPr="00A5716F" w:rsidRDefault="00C720FC">
            <w:pPr>
              <w:widowControl w:val="0"/>
              <w:pBdr>
                <w:top w:val="nil"/>
                <w:left w:val="nil"/>
                <w:bottom w:val="nil"/>
                <w:right w:val="nil"/>
                <w:between w:val="nil"/>
              </w:pBdr>
              <w:spacing w:line="240" w:lineRule="auto"/>
              <w:jc w:val="center"/>
              <w:rPr>
                <w:b/>
                <w:bCs/>
              </w:rPr>
            </w:pPr>
            <w:r w:rsidRPr="00A5716F">
              <w:rPr>
                <w:b/>
                <w:bCs/>
              </w:rPr>
              <w:t>Lead</w:t>
            </w:r>
          </w:p>
        </w:tc>
        <w:tc>
          <w:tcPr>
            <w:tcW w:w="3030" w:type="dxa"/>
            <w:tcMar>
              <w:top w:w="100" w:type="dxa"/>
              <w:left w:w="100" w:type="dxa"/>
              <w:bottom w:w="100" w:type="dxa"/>
              <w:right w:w="100" w:type="dxa"/>
            </w:tcMar>
          </w:tcPr>
          <w:p w14:paraId="29CA6E1A" w14:textId="77777777" w:rsidR="00B97C05" w:rsidRPr="00A5716F" w:rsidRDefault="00C720FC">
            <w:pPr>
              <w:widowControl w:val="0"/>
              <w:pBdr>
                <w:top w:val="nil"/>
                <w:left w:val="nil"/>
                <w:bottom w:val="nil"/>
                <w:right w:val="nil"/>
                <w:between w:val="nil"/>
              </w:pBdr>
              <w:spacing w:line="240" w:lineRule="auto"/>
              <w:jc w:val="center"/>
              <w:rPr>
                <w:b/>
                <w:bCs/>
              </w:rPr>
            </w:pPr>
            <w:r w:rsidRPr="00A5716F">
              <w:rPr>
                <w:b/>
                <w:bCs/>
              </w:rPr>
              <w:t xml:space="preserve">Key Focus and Deliverables </w:t>
            </w:r>
          </w:p>
        </w:tc>
        <w:tc>
          <w:tcPr>
            <w:tcW w:w="2340" w:type="dxa"/>
            <w:tcMar>
              <w:top w:w="100" w:type="dxa"/>
              <w:left w:w="100" w:type="dxa"/>
              <w:bottom w:w="100" w:type="dxa"/>
              <w:right w:w="100" w:type="dxa"/>
            </w:tcMar>
          </w:tcPr>
          <w:p w14:paraId="55EEB283" w14:textId="77777777" w:rsidR="00B97C05" w:rsidRPr="00A5716F" w:rsidRDefault="00C720FC">
            <w:pPr>
              <w:widowControl w:val="0"/>
              <w:pBdr>
                <w:top w:val="nil"/>
                <w:left w:val="nil"/>
                <w:bottom w:val="nil"/>
                <w:right w:val="nil"/>
                <w:between w:val="nil"/>
              </w:pBdr>
              <w:spacing w:line="240" w:lineRule="auto"/>
              <w:jc w:val="center"/>
              <w:rPr>
                <w:b/>
                <w:bCs/>
              </w:rPr>
            </w:pPr>
            <w:r w:rsidRPr="00A5716F">
              <w:rPr>
                <w:b/>
                <w:bCs/>
              </w:rPr>
              <w:t>SMART Objectives and KPIs</w:t>
            </w:r>
          </w:p>
        </w:tc>
      </w:tr>
      <w:tr w:rsidR="00B97C05" w:rsidRPr="00A5716F" w14:paraId="3A143FD2" w14:textId="77777777">
        <w:tc>
          <w:tcPr>
            <w:tcW w:w="2085" w:type="dxa"/>
            <w:tcMar>
              <w:top w:w="100" w:type="dxa"/>
              <w:left w:w="100" w:type="dxa"/>
              <w:bottom w:w="100" w:type="dxa"/>
              <w:right w:w="100" w:type="dxa"/>
            </w:tcMar>
          </w:tcPr>
          <w:p w14:paraId="48617A3C" w14:textId="77777777" w:rsidR="00B97C05" w:rsidRPr="00A5716F" w:rsidRDefault="00C720FC">
            <w:pPr>
              <w:widowControl w:val="0"/>
              <w:pBdr>
                <w:top w:val="nil"/>
                <w:left w:val="nil"/>
                <w:bottom w:val="nil"/>
                <w:right w:val="nil"/>
                <w:between w:val="nil"/>
              </w:pBdr>
              <w:spacing w:line="240" w:lineRule="auto"/>
            </w:pPr>
            <w:r w:rsidRPr="00A5716F">
              <w:t>Phase 1: Foundation (month 1-3)</w:t>
            </w:r>
          </w:p>
        </w:tc>
        <w:tc>
          <w:tcPr>
            <w:tcW w:w="1905" w:type="dxa"/>
            <w:tcMar>
              <w:top w:w="100" w:type="dxa"/>
              <w:left w:w="100" w:type="dxa"/>
              <w:bottom w:w="100" w:type="dxa"/>
              <w:right w:w="100" w:type="dxa"/>
            </w:tcMar>
          </w:tcPr>
          <w:p w14:paraId="5E9B3686" w14:textId="77777777" w:rsidR="00B97C05" w:rsidRPr="00A5716F" w:rsidRDefault="00C720FC">
            <w:pPr>
              <w:widowControl w:val="0"/>
              <w:pBdr>
                <w:top w:val="nil"/>
                <w:left w:val="nil"/>
                <w:bottom w:val="nil"/>
                <w:right w:val="nil"/>
                <w:between w:val="nil"/>
              </w:pBdr>
              <w:spacing w:line="240" w:lineRule="auto"/>
            </w:pPr>
            <w:r w:rsidRPr="00A5716F">
              <w:t>Global talent head and regional heads</w:t>
            </w:r>
          </w:p>
        </w:tc>
        <w:tc>
          <w:tcPr>
            <w:tcW w:w="3030" w:type="dxa"/>
            <w:tcMar>
              <w:top w:w="100" w:type="dxa"/>
              <w:left w:w="100" w:type="dxa"/>
              <w:bottom w:w="100" w:type="dxa"/>
              <w:right w:w="100" w:type="dxa"/>
            </w:tcMar>
          </w:tcPr>
          <w:p w14:paraId="03878DA6" w14:textId="77777777" w:rsidR="00B97C05" w:rsidRPr="00A5716F" w:rsidRDefault="00C720FC">
            <w:pPr>
              <w:widowControl w:val="0"/>
              <w:numPr>
                <w:ilvl w:val="0"/>
                <w:numId w:val="4"/>
              </w:numPr>
              <w:pBdr>
                <w:top w:val="nil"/>
                <w:left w:val="nil"/>
                <w:bottom w:val="nil"/>
                <w:right w:val="nil"/>
                <w:between w:val="nil"/>
              </w:pBdr>
              <w:spacing w:line="240" w:lineRule="auto"/>
            </w:pPr>
            <w:r w:rsidRPr="00A5716F">
              <w:t>Review traditional job descriptions and performance metrics</w:t>
            </w:r>
          </w:p>
          <w:p w14:paraId="0251BA0D" w14:textId="77777777" w:rsidR="00B97C05" w:rsidRPr="00A5716F" w:rsidRDefault="00C720FC">
            <w:pPr>
              <w:widowControl w:val="0"/>
              <w:numPr>
                <w:ilvl w:val="0"/>
                <w:numId w:val="4"/>
              </w:numPr>
              <w:pBdr>
                <w:top w:val="nil"/>
                <w:left w:val="nil"/>
                <w:bottom w:val="nil"/>
                <w:right w:val="nil"/>
                <w:between w:val="nil"/>
              </w:pBdr>
              <w:spacing w:line="240" w:lineRule="auto"/>
            </w:pPr>
            <w:r w:rsidRPr="00A5716F">
              <w:t>Deploy Jira/Confluence infrastructure and train team leads on agile working principles and SDT</w:t>
            </w:r>
          </w:p>
        </w:tc>
        <w:tc>
          <w:tcPr>
            <w:tcW w:w="2340" w:type="dxa"/>
            <w:tcMar>
              <w:top w:w="100" w:type="dxa"/>
              <w:left w:w="100" w:type="dxa"/>
              <w:bottom w:w="100" w:type="dxa"/>
              <w:right w:w="100" w:type="dxa"/>
            </w:tcMar>
          </w:tcPr>
          <w:p w14:paraId="145B46AA" w14:textId="77777777" w:rsidR="00B97C05" w:rsidRPr="00A5716F" w:rsidRDefault="00C720FC">
            <w:pPr>
              <w:widowControl w:val="0"/>
              <w:numPr>
                <w:ilvl w:val="0"/>
                <w:numId w:val="2"/>
              </w:numPr>
              <w:pBdr>
                <w:top w:val="nil"/>
                <w:left w:val="nil"/>
                <w:bottom w:val="nil"/>
                <w:right w:val="nil"/>
                <w:between w:val="nil"/>
              </w:pBdr>
              <w:spacing w:line="240" w:lineRule="auto"/>
            </w:pPr>
            <w:r w:rsidRPr="00A5716F">
              <w:t>Basic psychological safety establishment</w:t>
            </w:r>
          </w:p>
          <w:p w14:paraId="0CB2953F" w14:textId="77777777" w:rsidR="00B97C05" w:rsidRPr="00A5716F" w:rsidRDefault="00C720FC">
            <w:pPr>
              <w:widowControl w:val="0"/>
              <w:numPr>
                <w:ilvl w:val="0"/>
                <w:numId w:val="2"/>
              </w:numPr>
              <w:pBdr>
                <w:top w:val="nil"/>
                <w:left w:val="nil"/>
                <w:bottom w:val="nil"/>
                <w:right w:val="nil"/>
                <w:between w:val="nil"/>
              </w:pBdr>
              <w:spacing w:line="240" w:lineRule="auto"/>
            </w:pPr>
            <w:r w:rsidRPr="00A5716F">
              <w:t>100% completion of leadership training</w:t>
            </w:r>
          </w:p>
        </w:tc>
      </w:tr>
      <w:tr w:rsidR="00B97C05" w:rsidRPr="00A5716F" w14:paraId="3FF994BA" w14:textId="77777777">
        <w:tc>
          <w:tcPr>
            <w:tcW w:w="2085" w:type="dxa"/>
            <w:tcMar>
              <w:top w:w="100" w:type="dxa"/>
              <w:left w:w="100" w:type="dxa"/>
              <w:bottom w:w="100" w:type="dxa"/>
              <w:right w:w="100" w:type="dxa"/>
            </w:tcMar>
          </w:tcPr>
          <w:p w14:paraId="35E11C07" w14:textId="77777777" w:rsidR="00B97C05" w:rsidRPr="00A5716F" w:rsidRDefault="00C720FC">
            <w:pPr>
              <w:widowControl w:val="0"/>
              <w:pBdr>
                <w:top w:val="nil"/>
                <w:left w:val="nil"/>
                <w:bottom w:val="nil"/>
                <w:right w:val="nil"/>
                <w:between w:val="nil"/>
              </w:pBdr>
              <w:spacing w:line="240" w:lineRule="auto"/>
            </w:pPr>
            <w:r w:rsidRPr="00A5716F">
              <w:t xml:space="preserve">Phase 2: Pilot Launch (month 4-6) </w:t>
            </w:r>
          </w:p>
        </w:tc>
        <w:tc>
          <w:tcPr>
            <w:tcW w:w="1905" w:type="dxa"/>
            <w:tcMar>
              <w:top w:w="100" w:type="dxa"/>
              <w:left w:w="100" w:type="dxa"/>
              <w:bottom w:w="100" w:type="dxa"/>
              <w:right w:w="100" w:type="dxa"/>
            </w:tcMar>
          </w:tcPr>
          <w:p w14:paraId="17FD0FFD" w14:textId="77777777" w:rsidR="00B97C05" w:rsidRPr="00A5716F" w:rsidRDefault="00C720FC">
            <w:pPr>
              <w:widowControl w:val="0"/>
              <w:pBdr>
                <w:top w:val="nil"/>
                <w:left w:val="nil"/>
                <w:bottom w:val="nil"/>
                <w:right w:val="nil"/>
                <w:between w:val="nil"/>
              </w:pBdr>
              <w:spacing w:line="240" w:lineRule="auto"/>
            </w:pPr>
            <w:r w:rsidRPr="00A5716F">
              <w:t xml:space="preserve">Team coordinators/Scrum facilitators </w:t>
            </w:r>
          </w:p>
        </w:tc>
        <w:tc>
          <w:tcPr>
            <w:tcW w:w="3030" w:type="dxa"/>
            <w:tcMar>
              <w:top w:w="100" w:type="dxa"/>
              <w:left w:w="100" w:type="dxa"/>
              <w:bottom w:w="100" w:type="dxa"/>
              <w:right w:w="100" w:type="dxa"/>
            </w:tcMar>
          </w:tcPr>
          <w:p w14:paraId="625B0F69" w14:textId="77777777" w:rsidR="00B97C05" w:rsidRPr="00A5716F" w:rsidRDefault="00C720FC">
            <w:pPr>
              <w:widowControl w:val="0"/>
              <w:numPr>
                <w:ilvl w:val="0"/>
                <w:numId w:val="8"/>
              </w:numPr>
              <w:pBdr>
                <w:top w:val="nil"/>
                <w:left w:val="nil"/>
                <w:bottom w:val="nil"/>
                <w:right w:val="nil"/>
                <w:between w:val="nil"/>
              </w:pBdr>
              <w:spacing w:line="240" w:lineRule="auto"/>
            </w:pPr>
            <w:r w:rsidRPr="00A5716F">
              <w:t>Launch digital internal talent marketplace</w:t>
            </w:r>
          </w:p>
          <w:p w14:paraId="5A6B1951" w14:textId="77777777" w:rsidR="00B97C05" w:rsidRPr="00A5716F" w:rsidRDefault="00C720FC">
            <w:pPr>
              <w:widowControl w:val="0"/>
              <w:numPr>
                <w:ilvl w:val="0"/>
                <w:numId w:val="8"/>
              </w:numPr>
              <w:pBdr>
                <w:top w:val="nil"/>
                <w:left w:val="nil"/>
                <w:bottom w:val="nil"/>
                <w:right w:val="nil"/>
                <w:between w:val="nil"/>
              </w:pBdr>
              <w:spacing w:line="240" w:lineRule="auto"/>
            </w:pPr>
            <w:r w:rsidRPr="00A5716F">
              <w:t>Introduce capacity-based sprint planning and 15% innovation times across UK/India pilot teams</w:t>
            </w:r>
          </w:p>
          <w:p w14:paraId="59B72106" w14:textId="77777777" w:rsidR="00B97C05" w:rsidRPr="00A5716F" w:rsidRDefault="00C720FC">
            <w:pPr>
              <w:widowControl w:val="0"/>
              <w:numPr>
                <w:ilvl w:val="0"/>
                <w:numId w:val="8"/>
              </w:numPr>
              <w:pBdr>
                <w:top w:val="nil"/>
                <w:left w:val="nil"/>
                <w:bottom w:val="nil"/>
                <w:right w:val="nil"/>
                <w:between w:val="nil"/>
              </w:pBdr>
              <w:spacing w:line="240" w:lineRule="auto"/>
            </w:pPr>
            <w:r w:rsidRPr="00A5716F">
              <w:t xml:space="preserve">Review initial psychological safety </w:t>
            </w:r>
          </w:p>
        </w:tc>
        <w:tc>
          <w:tcPr>
            <w:tcW w:w="2340" w:type="dxa"/>
            <w:tcMar>
              <w:top w:w="100" w:type="dxa"/>
              <w:left w:w="100" w:type="dxa"/>
              <w:bottom w:w="100" w:type="dxa"/>
              <w:right w:w="100" w:type="dxa"/>
            </w:tcMar>
          </w:tcPr>
          <w:p w14:paraId="617AD2E5" w14:textId="77777777" w:rsidR="00B97C05" w:rsidRPr="00A5716F" w:rsidRDefault="00C720FC">
            <w:pPr>
              <w:widowControl w:val="0"/>
              <w:numPr>
                <w:ilvl w:val="0"/>
                <w:numId w:val="1"/>
              </w:numPr>
              <w:pBdr>
                <w:top w:val="nil"/>
                <w:left w:val="nil"/>
                <w:bottom w:val="nil"/>
                <w:right w:val="nil"/>
                <w:between w:val="nil"/>
              </w:pBdr>
              <w:spacing w:line="240" w:lineRule="auto"/>
            </w:pPr>
            <w:r w:rsidRPr="00A5716F">
              <w:t>Achieve 100% capacity-based sprint planning for all pilot teams</w:t>
            </w:r>
          </w:p>
        </w:tc>
      </w:tr>
      <w:tr w:rsidR="00B97C05" w:rsidRPr="00A5716F" w14:paraId="14978A2E" w14:textId="77777777">
        <w:tc>
          <w:tcPr>
            <w:tcW w:w="2085" w:type="dxa"/>
            <w:tcMar>
              <w:top w:w="100" w:type="dxa"/>
              <w:left w:w="100" w:type="dxa"/>
              <w:bottom w:w="100" w:type="dxa"/>
              <w:right w:w="100" w:type="dxa"/>
            </w:tcMar>
          </w:tcPr>
          <w:p w14:paraId="64CB6EDF" w14:textId="77777777" w:rsidR="00B97C05" w:rsidRPr="00A5716F" w:rsidRDefault="00C720FC">
            <w:pPr>
              <w:widowControl w:val="0"/>
              <w:pBdr>
                <w:top w:val="nil"/>
                <w:left w:val="nil"/>
                <w:bottom w:val="nil"/>
                <w:right w:val="nil"/>
                <w:between w:val="nil"/>
              </w:pBdr>
              <w:spacing w:line="240" w:lineRule="auto"/>
            </w:pPr>
            <w:r w:rsidRPr="00A5716F">
              <w:t>Phase 3: Global Scaling (month 7-9)</w:t>
            </w:r>
          </w:p>
        </w:tc>
        <w:tc>
          <w:tcPr>
            <w:tcW w:w="1905" w:type="dxa"/>
            <w:tcMar>
              <w:top w:w="100" w:type="dxa"/>
              <w:left w:w="100" w:type="dxa"/>
              <w:bottom w:w="100" w:type="dxa"/>
              <w:right w:w="100" w:type="dxa"/>
            </w:tcMar>
          </w:tcPr>
          <w:p w14:paraId="6B694FE7" w14:textId="77777777" w:rsidR="00B97C05" w:rsidRPr="00A5716F" w:rsidRDefault="00C720FC">
            <w:pPr>
              <w:widowControl w:val="0"/>
              <w:pBdr>
                <w:top w:val="nil"/>
                <w:left w:val="nil"/>
                <w:bottom w:val="nil"/>
                <w:right w:val="nil"/>
                <w:between w:val="nil"/>
              </w:pBdr>
              <w:spacing w:line="240" w:lineRule="auto"/>
            </w:pPr>
            <w:r w:rsidRPr="00A5716F">
              <w:t xml:space="preserve">Chief HR manager and global talent </w:t>
            </w:r>
            <w:r w:rsidRPr="00A5716F">
              <w:lastRenderedPageBreak/>
              <w:t>head</w:t>
            </w:r>
          </w:p>
        </w:tc>
        <w:tc>
          <w:tcPr>
            <w:tcW w:w="3030" w:type="dxa"/>
            <w:tcMar>
              <w:top w:w="100" w:type="dxa"/>
              <w:left w:w="100" w:type="dxa"/>
              <w:bottom w:w="100" w:type="dxa"/>
              <w:right w:w="100" w:type="dxa"/>
            </w:tcMar>
          </w:tcPr>
          <w:p w14:paraId="422B4A87" w14:textId="77777777" w:rsidR="00B97C05" w:rsidRPr="00A5716F" w:rsidRDefault="00C720FC">
            <w:pPr>
              <w:widowControl w:val="0"/>
              <w:numPr>
                <w:ilvl w:val="0"/>
                <w:numId w:val="7"/>
              </w:numPr>
              <w:pBdr>
                <w:top w:val="nil"/>
                <w:left w:val="nil"/>
                <w:bottom w:val="nil"/>
                <w:right w:val="nil"/>
                <w:between w:val="nil"/>
              </w:pBdr>
              <w:spacing w:line="240" w:lineRule="auto"/>
            </w:pPr>
            <w:r w:rsidRPr="00A5716F">
              <w:lastRenderedPageBreak/>
              <w:t>Rollout the new working systems in the UAE operation</w:t>
            </w:r>
          </w:p>
          <w:p w14:paraId="11D6EF64" w14:textId="77777777" w:rsidR="00B97C05" w:rsidRPr="00A5716F" w:rsidRDefault="00C720FC">
            <w:pPr>
              <w:widowControl w:val="0"/>
              <w:numPr>
                <w:ilvl w:val="0"/>
                <w:numId w:val="7"/>
              </w:numPr>
              <w:pBdr>
                <w:top w:val="nil"/>
                <w:left w:val="nil"/>
                <w:bottom w:val="nil"/>
                <w:right w:val="nil"/>
                <w:between w:val="nil"/>
              </w:pBdr>
              <w:spacing w:line="240" w:lineRule="auto"/>
            </w:pPr>
            <w:r w:rsidRPr="00A5716F">
              <w:lastRenderedPageBreak/>
              <w:t xml:space="preserve">Implement goal-based reviews </w:t>
            </w:r>
          </w:p>
          <w:p w14:paraId="7DAA9AB4" w14:textId="77777777" w:rsidR="00B97C05" w:rsidRPr="00A5716F" w:rsidRDefault="00C720FC">
            <w:pPr>
              <w:widowControl w:val="0"/>
              <w:numPr>
                <w:ilvl w:val="0"/>
                <w:numId w:val="7"/>
              </w:numPr>
              <w:pBdr>
                <w:top w:val="nil"/>
                <w:left w:val="nil"/>
                <w:bottom w:val="nil"/>
                <w:right w:val="nil"/>
                <w:between w:val="nil"/>
              </w:pBdr>
              <w:spacing w:line="240" w:lineRule="auto"/>
            </w:pPr>
            <w:r w:rsidRPr="00A5716F">
              <w:t>Facilitate cross-border collaboration through Jira/Slack</w:t>
            </w:r>
          </w:p>
          <w:p w14:paraId="14FDE141" w14:textId="77777777" w:rsidR="00B97C05" w:rsidRPr="00A5716F" w:rsidRDefault="00C720FC">
            <w:pPr>
              <w:widowControl w:val="0"/>
              <w:numPr>
                <w:ilvl w:val="0"/>
                <w:numId w:val="7"/>
              </w:numPr>
              <w:pBdr>
                <w:top w:val="nil"/>
                <w:left w:val="nil"/>
                <w:bottom w:val="nil"/>
                <w:right w:val="nil"/>
                <w:between w:val="nil"/>
              </w:pBdr>
              <w:spacing w:line="240" w:lineRule="auto"/>
            </w:pPr>
            <w:r w:rsidRPr="00A5716F">
              <w:t>Launch quarterly events for self-managed prototype presentation</w:t>
            </w:r>
          </w:p>
        </w:tc>
        <w:tc>
          <w:tcPr>
            <w:tcW w:w="2340" w:type="dxa"/>
            <w:tcMar>
              <w:top w:w="100" w:type="dxa"/>
              <w:left w:w="100" w:type="dxa"/>
              <w:bottom w:w="100" w:type="dxa"/>
              <w:right w:w="100" w:type="dxa"/>
            </w:tcMar>
          </w:tcPr>
          <w:p w14:paraId="6AB749CF" w14:textId="77777777" w:rsidR="00B97C05" w:rsidRPr="00A5716F" w:rsidRDefault="00C720FC">
            <w:pPr>
              <w:widowControl w:val="0"/>
              <w:numPr>
                <w:ilvl w:val="0"/>
                <w:numId w:val="5"/>
              </w:numPr>
              <w:pBdr>
                <w:top w:val="nil"/>
                <w:left w:val="nil"/>
                <w:bottom w:val="nil"/>
                <w:right w:val="nil"/>
                <w:between w:val="nil"/>
              </w:pBdr>
              <w:spacing w:line="240" w:lineRule="auto"/>
            </w:pPr>
            <w:r w:rsidRPr="00A5716F">
              <w:lastRenderedPageBreak/>
              <w:t xml:space="preserve">Achieve &gt;80% employee </w:t>
            </w:r>
            <w:r w:rsidRPr="00A5716F">
              <w:lastRenderedPageBreak/>
              <w:t>participation and minimum 20 quarterly presentations</w:t>
            </w:r>
          </w:p>
        </w:tc>
      </w:tr>
      <w:tr w:rsidR="00B97C05" w:rsidRPr="00A5716F" w14:paraId="7A1E6FB2" w14:textId="77777777">
        <w:tc>
          <w:tcPr>
            <w:tcW w:w="2085" w:type="dxa"/>
            <w:tcMar>
              <w:top w:w="100" w:type="dxa"/>
              <w:left w:w="100" w:type="dxa"/>
              <w:bottom w:w="100" w:type="dxa"/>
              <w:right w:w="100" w:type="dxa"/>
            </w:tcMar>
          </w:tcPr>
          <w:p w14:paraId="149CC37B" w14:textId="77777777" w:rsidR="00B97C05" w:rsidRPr="00A5716F" w:rsidRDefault="00C720FC">
            <w:pPr>
              <w:widowControl w:val="0"/>
              <w:pBdr>
                <w:top w:val="nil"/>
                <w:left w:val="nil"/>
                <w:bottom w:val="nil"/>
                <w:right w:val="nil"/>
                <w:between w:val="nil"/>
              </w:pBdr>
              <w:spacing w:line="240" w:lineRule="auto"/>
            </w:pPr>
            <w:r w:rsidRPr="00A5716F">
              <w:lastRenderedPageBreak/>
              <w:t>Phase 4: Optimisation (month 10-12)</w:t>
            </w:r>
          </w:p>
        </w:tc>
        <w:tc>
          <w:tcPr>
            <w:tcW w:w="1905" w:type="dxa"/>
            <w:tcMar>
              <w:top w:w="100" w:type="dxa"/>
              <w:left w:w="100" w:type="dxa"/>
              <w:bottom w:w="100" w:type="dxa"/>
              <w:right w:w="100" w:type="dxa"/>
            </w:tcMar>
          </w:tcPr>
          <w:p w14:paraId="5D040512" w14:textId="77777777" w:rsidR="00B97C05" w:rsidRPr="00A5716F" w:rsidRDefault="00C720FC">
            <w:pPr>
              <w:widowControl w:val="0"/>
              <w:pBdr>
                <w:top w:val="nil"/>
                <w:left w:val="nil"/>
                <w:bottom w:val="nil"/>
                <w:right w:val="nil"/>
                <w:between w:val="nil"/>
              </w:pBdr>
              <w:spacing w:line="240" w:lineRule="auto"/>
            </w:pPr>
            <w:r w:rsidRPr="00A5716F">
              <w:t>Executive board and regional heads</w:t>
            </w:r>
          </w:p>
        </w:tc>
        <w:tc>
          <w:tcPr>
            <w:tcW w:w="3030" w:type="dxa"/>
            <w:tcMar>
              <w:top w:w="100" w:type="dxa"/>
              <w:left w:w="100" w:type="dxa"/>
              <w:bottom w:w="100" w:type="dxa"/>
              <w:right w:w="100" w:type="dxa"/>
            </w:tcMar>
          </w:tcPr>
          <w:p w14:paraId="7E437700" w14:textId="77777777" w:rsidR="00B97C05" w:rsidRPr="00A5716F" w:rsidRDefault="00C720FC">
            <w:pPr>
              <w:widowControl w:val="0"/>
              <w:numPr>
                <w:ilvl w:val="0"/>
                <w:numId w:val="3"/>
              </w:numPr>
              <w:pBdr>
                <w:top w:val="nil"/>
                <w:left w:val="nil"/>
                <w:bottom w:val="nil"/>
                <w:right w:val="nil"/>
                <w:between w:val="nil"/>
              </w:pBdr>
              <w:spacing w:line="240" w:lineRule="auto"/>
            </w:pPr>
            <w:r w:rsidRPr="00A5716F">
              <w:t>Evaluate global retention and turnover rate</w:t>
            </w:r>
          </w:p>
          <w:p w14:paraId="7D3937AD" w14:textId="77777777" w:rsidR="00B97C05" w:rsidRPr="00A5716F" w:rsidRDefault="00C720FC">
            <w:pPr>
              <w:widowControl w:val="0"/>
              <w:numPr>
                <w:ilvl w:val="0"/>
                <w:numId w:val="3"/>
              </w:numPr>
              <w:pBdr>
                <w:top w:val="nil"/>
                <w:left w:val="nil"/>
                <w:bottom w:val="nil"/>
                <w:right w:val="nil"/>
                <w:between w:val="nil"/>
              </w:pBdr>
              <w:spacing w:line="240" w:lineRule="auto"/>
            </w:pPr>
            <w:r w:rsidRPr="00A5716F">
              <w:t xml:space="preserve">Strengthen cross-border career mobility </w:t>
            </w:r>
          </w:p>
          <w:p w14:paraId="1719F1A5" w14:textId="77777777" w:rsidR="00B97C05" w:rsidRPr="00A5716F" w:rsidRDefault="00C720FC">
            <w:pPr>
              <w:widowControl w:val="0"/>
              <w:numPr>
                <w:ilvl w:val="0"/>
                <w:numId w:val="3"/>
              </w:numPr>
              <w:pBdr>
                <w:top w:val="nil"/>
                <w:left w:val="nil"/>
                <w:bottom w:val="nil"/>
                <w:right w:val="nil"/>
                <w:between w:val="nil"/>
              </w:pBdr>
              <w:spacing w:line="240" w:lineRule="auto"/>
            </w:pPr>
            <w:r w:rsidRPr="00A5716F">
              <w:t>Institutionalise growth mindset</w:t>
            </w:r>
          </w:p>
        </w:tc>
        <w:tc>
          <w:tcPr>
            <w:tcW w:w="2340" w:type="dxa"/>
            <w:tcMar>
              <w:top w:w="100" w:type="dxa"/>
              <w:left w:w="100" w:type="dxa"/>
              <w:bottom w:w="100" w:type="dxa"/>
              <w:right w:w="100" w:type="dxa"/>
            </w:tcMar>
          </w:tcPr>
          <w:p w14:paraId="5957FBEA" w14:textId="77777777" w:rsidR="00B97C05" w:rsidRPr="00A5716F" w:rsidRDefault="00C720FC">
            <w:pPr>
              <w:widowControl w:val="0"/>
              <w:numPr>
                <w:ilvl w:val="0"/>
                <w:numId w:val="6"/>
              </w:numPr>
              <w:pBdr>
                <w:top w:val="nil"/>
                <w:left w:val="nil"/>
                <w:bottom w:val="nil"/>
                <w:right w:val="nil"/>
                <w:between w:val="nil"/>
              </w:pBdr>
              <w:spacing w:line="240" w:lineRule="auto"/>
            </w:pPr>
            <w:r w:rsidRPr="00A5716F">
              <w:t>&gt;30% reduction in high-performer attrition</w:t>
            </w:r>
          </w:p>
          <w:p w14:paraId="1F6829F5" w14:textId="77777777" w:rsidR="00B97C05" w:rsidRPr="00A5716F" w:rsidRDefault="00C720FC">
            <w:pPr>
              <w:widowControl w:val="0"/>
              <w:numPr>
                <w:ilvl w:val="0"/>
                <w:numId w:val="6"/>
              </w:numPr>
              <w:pBdr>
                <w:top w:val="nil"/>
                <w:left w:val="nil"/>
                <w:bottom w:val="nil"/>
                <w:right w:val="nil"/>
                <w:between w:val="nil"/>
              </w:pBdr>
              <w:spacing w:line="240" w:lineRule="auto"/>
            </w:pPr>
            <w:r w:rsidRPr="00A5716F">
              <w:t>&gt;85% reduction in employee burnout</w:t>
            </w:r>
          </w:p>
        </w:tc>
      </w:tr>
    </w:tbl>
    <w:p w14:paraId="7CAFFBBE" w14:textId="77777777" w:rsidR="00B97C05" w:rsidRPr="00A5716F" w:rsidRDefault="00C720FC">
      <w:pPr>
        <w:jc w:val="center"/>
      </w:pPr>
      <w:r w:rsidRPr="00A5716F">
        <w:t>(Source: Self-Created)</w:t>
      </w:r>
    </w:p>
    <w:p w14:paraId="0659A070" w14:textId="77777777" w:rsidR="00B97C05" w:rsidRPr="00A5716F" w:rsidRDefault="00C720FC">
      <w:pPr>
        <w:pStyle w:val="Heading1"/>
      </w:pPr>
      <w:bookmarkStart w:id="14" w:name="_kkghtet0nmix" w:colFirst="0" w:colLast="0"/>
      <w:bookmarkStart w:id="15" w:name="_Toc242120800"/>
      <w:bookmarkEnd w:id="14"/>
      <w:r w:rsidRPr="00A5716F">
        <w:t>Task C: Reflective Report</w:t>
      </w:r>
      <w:bookmarkEnd w:id="15"/>
      <w:r w:rsidRPr="00A5716F">
        <w:t xml:space="preserve"> </w:t>
      </w:r>
    </w:p>
    <w:p w14:paraId="376C9845" w14:textId="77777777" w:rsidR="00B97C05" w:rsidRPr="00A5716F" w:rsidRDefault="00C720FC" w:rsidP="00E12156">
      <w:pPr>
        <w:pStyle w:val="Heading2"/>
      </w:pPr>
      <w:bookmarkStart w:id="16" w:name="_rbveu22dg7gq" w:colFirst="0" w:colLast="0"/>
      <w:bookmarkStart w:id="17" w:name="_Toc242120801"/>
      <w:bookmarkEnd w:id="16"/>
      <w:r w:rsidRPr="00A5716F">
        <w:t>1. AI as a Strategic Tool</w:t>
      </w:r>
      <w:bookmarkEnd w:id="17"/>
      <w:r w:rsidRPr="00A5716F">
        <w:t xml:space="preserve"> </w:t>
      </w:r>
    </w:p>
    <w:p w14:paraId="5C1A4FA7" w14:textId="77777777" w:rsidR="00B97C05" w:rsidRPr="00A5716F" w:rsidRDefault="00C720FC">
      <w:r w:rsidRPr="00A5716F">
        <w:t xml:space="preserve">Artificial intelligence can be strategically used to support decision-making within Human Resource Management (HRM) while maintaining ethical judgement, human empathy and professional responsibility. For ethical judgement, HR managers can use AI to help in recruitment and reviewing employees by regularly checking software algorithms to ensure a fair and unbiased process (Khanal, 2026). (Administrative paperwork and data analysis can be left to AI; however, employee care and conversations must be dealt with by human managers to ascertain empathetic solutions to sensitive employee issues (Amanullah et al., 2026). Final decisions regarding everything analysed by AI tools must be left with HR managers to uphold professional responsibility (Du, 2024). Therefore, AI can be used strategically within HRM, given the tools are complemented by human oversight and human-related concerns are supported by human managers and not AI. </w:t>
      </w:r>
    </w:p>
    <w:p w14:paraId="786EA988" w14:textId="77777777" w:rsidR="00B97C05" w:rsidRPr="00A5716F" w:rsidRDefault="00C720FC" w:rsidP="00E12156">
      <w:pPr>
        <w:pStyle w:val="Heading2"/>
      </w:pPr>
      <w:bookmarkStart w:id="18" w:name="_not286w34hpc" w:colFirst="0" w:colLast="0"/>
      <w:bookmarkStart w:id="19" w:name="_Toc242120802"/>
      <w:bookmarkEnd w:id="18"/>
      <w:r w:rsidRPr="00A5716F">
        <w:lastRenderedPageBreak/>
        <w:t>2. Reflective Analysis</w:t>
      </w:r>
      <w:bookmarkEnd w:id="19"/>
      <w:r w:rsidRPr="00A5716F">
        <w:t xml:space="preserve"> </w:t>
      </w:r>
    </w:p>
    <w:p w14:paraId="486ACDE0" w14:textId="77777777" w:rsidR="00B97C05" w:rsidRPr="00A5716F" w:rsidRDefault="00C720FC">
      <w:r w:rsidRPr="00A5716F">
        <w:t xml:space="preserve">Firstly, I have used AI to analyse and summarise data; I observed that the AI-enabled information/summary strengthened my problem-solving, evidence synthesis and data-driven decision-making. Secondly, when analysing complex business models/frameworks, I used AI whenever I was unclear about a theory/model, which helped me build strategic consulting competence and technical literacy. Thirdly, I have also used AI to conduct personal capability-gap analysis to build professional efficiency and leadership readiness (Latha and Sreenithi, 2025). These three specific AI usages have helped the development of my professional capabilities. </w:t>
      </w:r>
    </w:p>
    <w:p w14:paraId="4468F3CD" w14:textId="77777777" w:rsidR="00B97C05" w:rsidRPr="00A5716F" w:rsidRDefault="00C720FC" w:rsidP="00E12156">
      <w:pPr>
        <w:pStyle w:val="Heading2"/>
      </w:pPr>
      <w:bookmarkStart w:id="20" w:name="_k4fjttijxixv" w:colFirst="0" w:colLast="0"/>
      <w:bookmarkStart w:id="21" w:name="_Toc242120803"/>
      <w:bookmarkEnd w:id="20"/>
      <w:r w:rsidRPr="00A5716F">
        <w:t>3. Personal Action Plan</w:t>
      </w:r>
      <w:bookmarkEnd w:id="21"/>
      <w:r w:rsidRPr="00A5716F">
        <w:t xml:space="preserve"> </w:t>
      </w:r>
    </w:p>
    <w:p w14:paraId="095DC8C2" w14:textId="77777777" w:rsidR="00B97C05" w:rsidRPr="00A5716F" w:rsidRDefault="00C720FC">
      <w:pPr>
        <w:rPr>
          <w:b/>
          <w:bCs/>
        </w:rPr>
      </w:pPr>
      <w:r w:rsidRPr="00A5716F">
        <w:rPr>
          <w:b/>
          <w:bCs/>
        </w:rPr>
        <w:t>Table 2: Personal Action Plan</w:t>
      </w: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50"/>
        <w:gridCol w:w="2730"/>
        <w:gridCol w:w="3060"/>
        <w:gridCol w:w="1620"/>
      </w:tblGrid>
      <w:tr w:rsidR="00B97C05" w:rsidRPr="00A5716F" w14:paraId="78F0019C" w14:textId="77777777">
        <w:tc>
          <w:tcPr>
            <w:tcW w:w="1950" w:type="dxa"/>
            <w:tcMar>
              <w:top w:w="100" w:type="dxa"/>
              <w:left w:w="100" w:type="dxa"/>
              <w:bottom w:w="100" w:type="dxa"/>
              <w:right w:w="100" w:type="dxa"/>
            </w:tcMar>
          </w:tcPr>
          <w:p w14:paraId="6DEB6050" w14:textId="77777777" w:rsidR="00B97C05" w:rsidRPr="00A5716F" w:rsidRDefault="00C720FC">
            <w:pPr>
              <w:widowControl w:val="0"/>
              <w:pBdr>
                <w:top w:val="nil"/>
                <w:left w:val="nil"/>
                <w:bottom w:val="nil"/>
                <w:right w:val="nil"/>
                <w:between w:val="nil"/>
              </w:pBdr>
              <w:spacing w:line="240" w:lineRule="auto"/>
              <w:jc w:val="center"/>
              <w:rPr>
                <w:b/>
                <w:bCs/>
              </w:rPr>
            </w:pPr>
            <w:r w:rsidRPr="00A5716F">
              <w:rPr>
                <w:b/>
                <w:bCs/>
              </w:rPr>
              <w:t>Skills/Competencies</w:t>
            </w:r>
          </w:p>
        </w:tc>
        <w:tc>
          <w:tcPr>
            <w:tcW w:w="2730" w:type="dxa"/>
            <w:tcMar>
              <w:top w:w="100" w:type="dxa"/>
              <w:left w:w="100" w:type="dxa"/>
              <w:bottom w:w="100" w:type="dxa"/>
              <w:right w:w="100" w:type="dxa"/>
            </w:tcMar>
          </w:tcPr>
          <w:p w14:paraId="79DAD2D9" w14:textId="77777777" w:rsidR="00B97C05" w:rsidRPr="00A5716F" w:rsidRDefault="00C720FC">
            <w:pPr>
              <w:widowControl w:val="0"/>
              <w:pBdr>
                <w:top w:val="nil"/>
                <w:left w:val="nil"/>
                <w:bottom w:val="nil"/>
                <w:right w:val="nil"/>
                <w:between w:val="nil"/>
              </w:pBdr>
              <w:spacing w:line="240" w:lineRule="auto"/>
              <w:jc w:val="center"/>
              <w:rPr>
                <w:b/>
                <w:bCs/>
              </w:rPr>
            </w:pPr>
            <w:r w:rsidRPr="00A5716F">
              <w:rPr>
                <w:b/>
                <w:bCs/>
              </w:rPr>
              <w:t>Why Required?</w:t>
            </w:r>
          </w:p>
        </w:tc>
        <w:tc>
          <w:tcPr>
            <w:tcW w:w="3060" w:type="dxa"/>
            <w:tcMar>
              <w:top w:w="100" w:type="dxa"/>
              <w:left w:w="100" w:type="dxa"/>
              <w:bottom w:w="100" w:type="dxa"/>
              <w:right w:w="100" w:type="dxa"/>
            </w:tcMar>
          </w:tcPr>
          <w:p w14:paraId="5AD7BD5A" w14:textId="77777777" w:rsidR="00B97C05" w:rsidRPr="00A5716F" w:rsidRDefault="00C720FC">
            <w:pPr>
              <w:widowControl w:val="0"/>
              <w:pBdr>
                <w:top w:val="nil"/>
                <w:left w:val="nil"/>
                <w:bottom w:val="nil"/>
                <w:right w:val="nil"/>
                <w:between w:val="nil"/>
              </w:pBdr>
              <w:spacing w:line="240" w:lineRule="auto"/>
              <w:jc w:val="center"/>
              <w:rPr>
                <w:b/>
                <w:bCs/>
              </w:rPr>
            </w:pPr>
            <w:r w:rsidRPr="00A5716F">
              <w:rPr>
                <w:b/>
                <w:bCs/>
              </w:rPr>
              <w:t>How to Harness?</w:t>
            </w:r>
          </w:p>
        </w:tc>
        <w:tc>
          <w:tcPr>
            <w:tcW w:w="1620" w:type="dxa"/>
            <w:tcMar>
              <w:top w:w="100" w:type="dxa"/>
              <w:left w:w="100" w:type="dxa"/>
              <w:bottom w:w="100" w:type="dxa"/>
              <w:right w:w="100" w:type="dxa"/>
            </w:tcMar>
          </w:tcPr>
          <w:p w14:paraId="2187FC8A" w14:textId="77777777" w:rsidR="00B97C05" w:rsidRPr="00A5716F" w:rsidRDefault="00C720FC">
            <w:pPr>
              <w:widowControl w:val="0"/>
              <w:pBdr>
                <w:top w:val="nil"/>
                <w:left w:val="nil"/>
                <w:bottom w:val="nil"/>
                <w:right w:val="nil"/>
                <w:between w:val="nil"/>
              </w:pBdr>
              <w:spacing w:line="240" w:lineRule="auto"/>
              <w:jc w:val="center"/>
              <w:rPr>
                <w:b/>
                <w:bCs/>
              </w:rPr>
            </w:pPr>
            <w:r w:rsidRPr="00A5716F">
              <w:rPr>
                <w:b/>
                <w:bCs/>
              </w:rPr>
              <w:t xml:space="preserve">Timeline </w:t>
            </w:r>
          </w:p>
        </w:tc>
      </w:tr>
      <w:tr w:rsidR="00B97C05" w:rsidRPr="00A5716F" w14:paraId="27F596A7" w14:textId="77777777">
        <w:tc>
          <w:tcPr>
            <w:tcW w:w="1950" w:type="dxa"/>
            <w:tcMar>
              <w:top w:w="100" w:type="dxa"/>
              <w:left w:w="100" w:type="dxa"/>
              <w:bottom w:w="100" w:type="dxa"/>
              <w:right w:w="100" w:type="dxa"/>
            </w:tcMar>
          </w:tcPr>
          <w:p w14:paraId="2A7AC8D1" w14:textId="77777777" w:rsidR="00B97C05" w:rsidRPr="00A5716F" w:rsidRDefault="00C720FC">
            <w:pPr>
              <w:widowControl w:val="0"/>
              <w:pBdr>
                <w:top w:val="nil"/>
                <w:left w:val="nil"/>
                <w:bottom w:val="nil"/>
                <w:right w:val="nil"/>
                <w:between w:val="nil"/>
              </w:pBdr>
              <w:spacing w:line="240" w:lineRule="auto"/>
            </w:pPr>
            <w:r w:rsidRPr="00A5716F">
              <w:t>Agile/hybrid leadership</w:t>
            </w:r>
          </w:p>
        </w:tc>
        <w:tc>
          <w:tcPr>
            <w:tcW w:w="2730" w:type="dxa"/>
            <w:tcMar>
              <w:top w:w="100" w:type="dxa"/>
              <w:left w:w="100" w:type="dxa"/>
              <w:bottom w:w="100" w:type="dxa"/>
              <w:right w:w="100" w:type="dxa"/>
            </w:tcMar>
          </w:tcPr>
          <w:p w14:paraId="4376B93E" w14:textId="77777777" w:rsidR="00B97C05" w:rsidRPr="00A5716F" w:rsidRDefault="00C720FC">
            <w:pPr>
              <w:widowControl w:val="0"/>
              <w:pBdr>
                <w:top w:val="nil"/>
                <w:left w:val="nil"/>
                <w:bottom w:val="nil"/>
                <w:right w:val="nil"/>
                <w:between w:val="nil"/>
              </w:pBdr>
              <w:spacing w:line="240" w:lineRule="auto"/>
            </w:pPr>
            <w:r w:rsidRPr="00A5716F">
              <w:t>Facilitates multi-region collaboration; mitigates manager burnout</w:t>
            </w:r>
          </w:p>
        </w:tc>
        <w:tc>
          <w:tcPr>
            <w:tcW w:w="3060" w:type="dxa"/>
            <w:tcMar>
              <w:top w:w="100" w:type="dxa"/>
              <w:left w:w="100" w:type="dxa"/>
              <w:bottom w:w="100" w:type="dxa"/>
              <w:right w:w="100" w:type="dxa"/>
            </w:tcMar>
          </w:tcPr>
          <w:p w14:paraId="3CAD45A8" w14:textId="77777777" w:rsidR="00B97C05" w:rsidRPr="00A5716F" w:rsidRDefault="00C720FC">
            <w:pPr>
              <w:widowControl w:val="0"/>
              <w:pBdr>
                <w:top w:val="nil"/>
                <w:left w:val="nil"/>
                <w:bottom w:val="nil"/>
                <w:right w:val="nil"/>
                <w:between w:val="nil"/>
              </w:pBdr>
              <w:spacing w:line="240" w:lineRule="auto"/>
            </w:pPr>
            <w:r w:rsidRPr="00A5716F">
              <w:t>Complete PMI Agile Certified Practitioner (Angel, 2023)</w:t>
            </w:r>
          </w:p>
        </w:tc>
        <w:tc>
          <w:tcPr>
            <w:tcW w:w="1620" w:type="dxa"/>
            <w:tcMar>
              <w:top w:w="100" w:type="dxa"/>
              <w:left w:w="100" w:type="dxa"/>
              <w:bottom w:w="100" w:type="dxa"/>
              <w:right w:w="100" w:type="dxa"/>
            </w:tcMar>
          </w:tcPr>
          <w:p w14:paraId="5E561878" w14:textId="77777777" w:rsidR="00B97C05" w:rsidRPr="00A5716F" w:rsidRDefault="00C720FC">
            <w:pPr>
              <w:widowControl w:val="0"/>
              <w:pBdr>
                <w:top w:val="nil"/>
                <w:left w:val="nil"/>
                <w:bottom w:val="nil"/>
                <w:right w:val="nil"/>
                <w:between w:val="nil"/>
              </w:pBdr>
              <w:spacing w:line="240" w:lineRule="auto"/>
            </w:pPr>
            <w:r w:rsidRPr="00A5716F">
              <w:t>Months 1-3</w:t>
            </w:r>
          </w:p>
        </w:tc>
      </w:tr>
      <w:tr w:rsidR="00B97C05" w:rsidRPr="00A5716F" w14:paraId="49218E42" w14:textId="77777777">
        <w:tc>
          <w:tcPr>
            <w:tcW w:w="1950" w:type="dxa"/>
            <w:tcMar>
              <w:top w:w="100" w:type="dxa"/>
              <w:left w:w="100" w:type="dxa"/>
              <w:bottom w:w="100" w:type="dxa"/>
              <w:right w:w="100" w:type="dxa"/>
            </w:tcMar>
          </w:tcPr>
          <w:p w14:paraId="13A13D18" w14:textId="77777777" w:rsidR="00B97C05" w:rsidRPr="00A5716F" w:rsidRDefault="00C720FC">
            <w:pPr>
              <w:widowControl w:val="0"/>
              <w:pBdr>
                <w:top w:val="nil"/>
                <w:left w:val="nil"/>
                <w:bottom w:val="nil"/>
                <w:right w:val="nil"/>
                <w:between w:val="nil"/>
              </w:pBdr>
              <w:spacing w:line="240" w:lineRule="auto"/>
            </w:pPr>
            <w:r w:rsidRPr="00A5716F">
              <w:t>Data-driven HRM and AI governance</w:t>
            </w:r>
          </w:p>
        </w:tc>
        <w:tc>
          <w:tcPr>
            <w:tcW w:w="2730" w:type="dxa"/>
            <w:tcMar>
              <w:top w:w="100" w:type="dxa"/>
              <w:left w:w="100" w:type="dxa"/>
              <w:bottom w:w="100" w:type="dxa"/>
              <w:right w:w="100" w:type="dxa"/>
            </w:tcMar>
          </w:tcPr>
          <w:p w14:paraId="2BB16C94" w14:textId="77777777" w:rsidR="00B97C05" w:rsidRPr="00A5716F" w:rsidRDefault="00C720FC">
            <w:pPr>
              <w:widowControl w:val="0"/>
              <w:pBdr>
                <w:top w:val="nil"/>
                <w:left w:val="nil"/>
                <w:bottom w:val="nil"/>
                <w:right w:val="nil"/>
                <w:between w:val="nil"/>
              </w:pBdr>
              <w:spacing w:line="240" w:lineRule="auto"/>
            </w:pPr>
            <w:r w:rsidRPr="00A5716F">
              <w:t>Ensures ethical, empathetic and responsible AI utilisation in HR decision-making</w:t>
            </w:r>
          </w:p>
        </w:tc>
        <w:tc>
          <w:tcPr>
            <w:tcW w:w="3060" w:type="dxa"/>
            <w:tcMar>
              <w:top w:w="100" w:type="dxa"/>
              <w:left w:w="100" w:type="dxa"/>
              <w:bottom w:w="100" w:type="dxa"/>
              <w:right w:w="100" w:type="dxa"/>
            </w:tcMar>
          </w:tcPr>
          <w:p w14:paraId="509F3FB5" w14:textId="77777777" w:rsidR="00B97C05" w:rsidRPr="00A5716F" w:rsidRDefault="00C720FC">
            <w:pPr>
              <w:widowControl w:val="0"/>
              <w:pBdr>
                <w:top w:val="nil"/>
                <w:left w:val="nil"/>
                <w:bottom w:val="nil"/>
                <w:right w:val="nil"/>
                <w:between w:val="nil"/>
              </w:pBdr>
              <w:spacing w:line="240" w:lineRule="auto"/>
            </w:pPr>
            <w:r w:rsidRPr="00A5716F">
              <w:t>Complete HR analytics certification</w:t>
            </w:r>
          </w:p>
        </w:tc>
        <w:tc>
          <w:tcPr>
            <w:tcW w:w="1620" w:type="dxa"/>
            <w:tcMar>
              <w:top w:w="100" w:type="dxa"/>
              <w:left w:w="100" w:type="dxa"/>
              <w:bottom w:w="100" w:type="dxa"/>
              <w:right w:w="100" w:type="dxa"/>
            </w:tcMar>
          </w:tcPr>
          <w:p w14:paraId="085BE9B6" w14:textId="77777777" w:rsidR="00B97C05" w:rsidRPr="00A5716F" w:rsidRDefault="00C720FC">
            <w:pPr>
              <w:widowControl w:val="0"/>
              <w:pBdr>
                <w:top w:val="nil"/>
                <w:left w:val="nil"/>
                <w:bottom w:val="nil"/>
                <w:right w:val="nil"/>
                <w:between w:val="nil"/>
              </w:pBdr>
              <w:spacing w:line="240" w:lineRule="auto"/>
            </w:pPr>
            <w:r w:rsidRPr="00A5716F">
              <w:t>Months 2-4</w:t>
            </w:r>
          </w:p>
        </w:tc>
      </w:tr>
      <w:tr w:rsidR="00B97C05" w:rsidRPr="00A5716F" w14:paraId="7E342DDB" w14:textId="77777777">
        <w:tc>
          <w:tcPr>
            <w:tcW w:w="1950" w:type="dxa"/>
            <w:tcMar>
              <w:top w:w="100" w:type="dxa"/>
              <w:left w:w="100" w:type="dxa"/>
              <w:bottom w:w="100" w:type="dxa"/>
              <w:right w:w="100" w:type="dxa"/>
            </w:tcMar>
          </w:tcPr>
          <w:p w14:paraId="275B5B16" w14:textId="77777777" w:rsidR="00B97C05" w:rsidRPr="00A5716F" w:rsidRDefault="00C720FC">
            <w:pPr>
              <w:widowControl w:val="0"/>
              <w:pBdr>
                <w:top w:val="nil"/>
                <w:left w:val="nil"/>
                <w:bottom w:val="nil"/>
                <w:right w:val="nil"/>
                <w:between w:val="nil"/>
              </w:pBdr>
              <w:spacing w:line="240" w:lineRule="auto"/>
            </w:pPr>
            <w:r w:rsidRPr="00A5716F">
              <w:t xml:space="preserve">Cross-cultural intelligence </w:t>
            </w:r>
          </w:p>
        </w:tc>
        <w:tc>
          <w:tcPr>
            <w:tcW w:w="2730" w:type="dxa"/>
            <w:tcMar>
              <w:top w:w="100" w:type="dxa"/>
              <w:left w:w="100" w:type="dxa"/>
              <w:bottom w:w="100" w:type="dxa"/>
              <w:right w:w="100" w:type="dxa"/>
            </w:tcMar>
          </w:tcPr>
          <w:p w14:paraId="76C21E0D" w14:textId="77777777" w:rsidR="00B97C05" w:rsidRPr="00A5716F" w:rsidRDefault="00C720FC">
            <w:pPr>
              <w:widowControl w:val="0"/>
              <w:pBdr>
                <w:top w:val="nil"/>
                <w:left w:val="nil"/>
                <w:bottom w:val="nil"/>
                <w:right w:val="nil"/>
                <w:between w:val="nil"/>
              </w:pBdr>
              <w:spacing w:line="240" w:lineRule="auto"/>
            </w:pPr>
            <w:r w:rsidRPr="00A5716F">
              <w:t>Enables seamless collaboration across international teams</w:t>
            </w:r>
          </w:p>
        </w:tc>
        <w:tc>
          <w:tcPr>
            <w:tcW w:w="3060" w:type="dxa"/>
            <w:tcMar>
              <w:top w:w="100" w:type="dxa"/>
              <w:left w:w="100" w:type="dxa"/>
              <w:bottom w:w="100" w:type="dxa"/>
              <w:right w:w="100" w:type="dxa"/>
            </w:tcMar>
          </w:tcPr>
          <w:p w14:paraId="1007C85E" w14:textId="77777777" w:rsidR="00B97C05" w:rsidRPr="00A5716F" w:rsidRDefault="00C720FC">
            <w:pPr>
              <w:widowControl w:val="0"/>
              <w:pBdr>
                <w:top w:val="nil"/>
                <w:left w:val="nil"/>
                <w:bottom w:val="nil"/>
                <w:right w:val="nil"/>
                <w:between w:val="nil"/>
              </w:pBdr>
              <w:spacing w:line="240" w:lineRule="auto"/>
            </w:pPr>
            <w:r w:rsidRPr="00A5716F">
              <w:t>Complete online courses on cultural intelligence building and practice culture-sensitive communication</w:t>
            </w:r>
          </w:p>
        </w:tc>
        <w:tc>
          <w:tcPr>
            <w:tcW w:w="1620" w:type="dxa"/>
            <w:tcMar>
              <w:top w:w="100" w:type="dxa"/>
              <w:left w:w="100" w:type="dxa"/>
              <w:bottom w:w="100" w:type="dxa"/>
              <w:right w:w="100" w:type="dxa"/>
            </w:tcMar>
          </w:tcPr>
          <w:p w14:paraId="159E8A81" w14:textId="77777777" w:rsidR="00B97C05" w:rsidRPr="00A5716F" w:rsidRDefault="00C720FC">
            <w:pPr>
              <w:widowControl w:val="0"/>
              <w:pBdr>
                <w:top w:val="nil"/>
                <w:left w:val="nil"/>
                <w:bottom w:val="nil"/>
                <w:right w:val="nil"/>
                <w:between w:val="nil"/>
              </w:pBdr>
              <w:spacing w:line="240" w:lineRule="auto"/>
            </w:pPr>
            <w:r w:rsidRPr="00A5716F">
              <w:t xml:space="preserve">Ongoing </w:t>
            </w:r>
          </w:p>
        </w:tc>
      </w:tr>
      <w:tr w:rsidR="00B97C05" w:rsidRPr="00A5716F" w14:paraId="2EF3A45B" w14:textId="77777777">
        <w:tc>
          <w:tcPr>
            <w:tcW w:w="1950" w:type="dxa"/>
            <w:tcMar>
              <w:top w:w="100" w:type="dxa"/>
              <w:left w:w="100" w:type="dxa"/>
              <w:bottom w:w="100" w:type="dxa"/>
              <w:right w:w="100" w:type="dxa"/>
            </w:tcMar>
          </w:tcPr>
          <w:p w14:paraId="32D03733" w14:textId="77777777" w:rsidR="00B97C05" w:rsidRPr="00A5716F" w:rsidRDefault="00C720FC">
            <w:pPr>
              <w:widowControl w:val="0"/>
              <w:pBdr>
                <w:top w:val="nil"/>
                <w:left w:val="nil"/>
                <w:bottom w:val="nil"/>
                <w:right w:val="nil"/>
                <w:between w:val="nil"/>
              </w:pBdr>
              <w:spacing w:line="240" w:lineRule="auto"/>
            </w:pPr>
            <w:r w:rsidRPr="00A5716F">
              <w:t>Change management</w:t>
            </w:r>
          </w:p>
        </w:tc>
        <w:tc>
          <w:tcPr>
            <w:tcW w:w="2730" w:type="dxa"/>
            <w:tcMar>
              <w:top w:w="100" w:type="dxa"/>
              <w:left w:w="100" w:type="dxa"/>
              <w:bottom w:w="100" w:type="dxa"/>
              <w:right w:w="100" w:type="dxa"/>
            </w:tcMar>
          </w:tcPr>
          <w:p w14:paraId="78E2771E" w14:textId="77777777" w:rsidR="00B97C05" w:rsidRPr="00A5716F" w:rsidRDefault="00C720FC">
            <w:pPr>
              <w:widowControl w:val="0"/>
              <w:pBdr>
                <w:top w:val="nil"/>
                <w:left w:val="nil"/>
                <w:bottom w:val="nil"/>
                <w:right w:val="nil"/>
                <w:between w:val="nil"/>
              </w:pBdr>
              <w:spacing w:line="240" w:lineRule="auto"/>
            </w:pPr>
            <w:r w:rsidRPr="00A5716F">
              <w:t>Ensures smooth organisational transition</w:t>
            </w:r>
          </w:p>
        </w:tc>
        <w:tc>
          <w:tcPr>
            <w:tcW w:w="3060" w:type="dxa"/>
            <w:tcMar>
              <w:top w:w="100" w:type="dxa"/>
              <w:left w:w="100" w:type="dxa"/>
              <w:bottom w:w="100" w:type="dxa"/>
              <w:right w:w="100" w:type="dxa"/>
            </w:tcMar>
          </w:tcPr>
          <w:p w14:paraId="2300A0B4" w14:textId="77777777" w:rsidR="00B97C05" w:rsidRPr="00A5716F" w:rsidRDefault="00C720FC">
            <w:pPr>
              <w:widowControl w:val="0"/>
              <w:pBdr>
                <w:top w:val="nil"/>
                <w:left w:val="nil"/>
                <w:bottom w:val="nil"/>
                <w:right w:val="nil"/>
                <w:between w:val="nil"/>
              </w:pBdr>
              <w:spacing w:line="240" w:lineRule="auto"/>
            </w:pPr>
            <w:r w:rsidRPr="00A5716F">
              <w:t>Complete Prosci Change Management Certification (Rodi, 2026)</w:t>
            </w:r>
          </w:p>
        </w:tc>
        <w:tc>
          <w:tcPr>
            <w:tcW w:w="1620" w:type="dxa"/>
            <w:tcMar>
              <w:top w:w="100" w:type="dxa"/>
              <w:left w:w="100" w:type="dxa"/>
              <w:bottom w:w="100" w:type="dxa"/>
              <w:right w:w="100" w:type="dxa"/>
            </w:tcMar>
          </w:tcPr>
          <w:p w14:paraId="6A21D4F5" w14:textId="77777777" w:rsidR="00B97C05" w:rsidRPr="00A5716F" w:rsidRDefault="00C720FC">
            <w:pPr>
              <w:widowControl w:val="0"/>
              <w:pBdr>
                <w:top w:val="nil"/>
                <w:left w:val="nil"/>
                <w:bottom w:val="nil"/>
                <w:right w:val="nil"/>
                <w:between w:val="nil"/>
              </w:pBdr>
              <w:spacing w:line="240" w:lineRule="auto"/>
            </w:pPr>
            <w:r w:rsidRPr="00A5716F">
              <w:t>Months 1-6</w:t>
            </w:r>
          </w:p>
        </w:tc>
      </w:tr>
    </w:tbl>
    <w:p w14:paraId="53F4F95F" w14:textId="77777777" w:rsidR="00B97C05" w:rsidRPr="00A5716F" w:rsidRDefault="00C720FC">
      <w:pPr>
        <w:jc w:val="center"/>
      </w:pPr>
      <w:r w:rsidRPr="00A5716F">
        <w:t>(Source: Self-Created)</w:t>
      </w:r>
    </w:p>
    <w:p w14:paraId="780F81D5" w14:textId="77777777" w:rsidR="00A5716F" w:rsidRPr="00A5716F" w:rsidRDefault="00A5716F" w:rsidP="00A5716F">
      <w:pPr>
        <w:pStyle w:val="Heading1"/>
      </w:pPr>
      <w:r w:rsidRPr="00A5716F">
        <w:lastRenderedPageBreak/>
        <w:t>Conclusion</w:t>
      </w:r>
    </w:p>
    <w:p w14:paraId="05F4BDCC" w14:textId="77777777" w:rsidR="00A5716F" w:rsidRPr="00A5716F" w:rsidRDefault="00A5716F" w:rsidP="00A5716F">
      <w:r w:rsidRPr="00A5716F">
        <w:t>To conclude, this report critically evaluted the workforce-related challenges NexSpace Health Systems has been facing. The recommendations include cross-functional international collaboration on digital collaboration platforms, job autonomy, experimentation opportunities creation and transparent internal mobility pipeline. The report also suggested a talent growth strategy for NHSX through implementation of job crafting principles and SDT. Overall, the recommendations and strategies are redesigned to ensure the firm retains top talent through creation of career development opportunities and psychological safety.</w:t>
      </w:r>
    </w:p>
    <w:p w14:paraId="1921E080" w14:textId="77777777" w:rsidR="00B97C05" w:rsidRPr="00A5716F" w:rsidRDefault="00C720FC">
      <w:r w:rsidRPr="00A5716F">
        <w:br w:type="page"/>
      </w:r>
    </w:p>
    <w:p w14:paraId="43AE5A7A" w14:textId="77777777" w:rsidR="00B97C05" w:rsidRPr="00A5716F" w:rsidRDefault="00C720FC">
      <w:pPr>
        <w:pStyle w:val="Heading1"/>
      </w:pPr>
      <w:bookmarkStart w:id="22" w:name="_u4j67lqs7kzh" w:colFirst="0" w:colLast="0"/>
      <w:bookmarkStart w:id="23" w:name="_Toc242120804"/>
      <w:bookmarkEnd w:id="22"/>
      <w:r w:rsidRPr="00A5716F">
        <w:lastRenderedPageBreak/>
        <w:t>References</w:t>
      </w:r>
      <w:bookmarkEnd w:id="23"/>
      <w:r w:rsidRPr="00A5716F">
        <w:t xml:space="preserve"> </w:t>
      </w:r>
    </w:p>
    <w:p w14:paraId="12D1DB35" w14:textId="77777777" w:rsidR="00E12156" w:rsidRPr="00A5716F" w:rsidRDefault="00E12156">
      <w:r w:rsidRPr="00A5716F">
        <w:t xml:space="preserve">Albergaria-Almeida, P., (2026), June. Asynchronous-first as an ethical imperative: rethinking time, presence, and equity in teacher professional development. In </w:t>
      </w:r>
      <w:r w:rsidRPr="00A5716F">
        <w:rPr>
          <w:i/>
          <w:iCs/>
        </w:rPr>
        <w:t>Frontiers in Education</w:t>
      </w:r>
      <w:r w:rsidRPr="00A5716F">
        <w:t xml:space="preserve"> (Vol. 11, p. 1871206). Frontiers Media SA. Available at: </w:t>
      </w:r>
      <w:hyperlink r:id="rId12">
        <w:r w:rsidRPr="00A5716F">
          <w:rPr>
            <w:color w:val="1155CC"/>
            <w:u w:val="single"/>
          </w:rPr>
          <w:t>https://doi.org/10.3389/feduc.2026.1871206</w:t>
        </w:r>
      </w:hyperlink>
      <w:r w:rsidRPr="00A5716F">
        <w:t xml:space="preserve">. </w:t>
      </w:r>
    </w:p>
    <w:p w14:paraId="17D32E6A" w14:textId="77777777" w:rsidR="00E12156" w:rsidRPr="00A5716F" w:rsidRDefault="00E12156">
      <w:r w:rsidRPr="00A5716F">
        <w:t xml:space="preserve">Amanullah, M., Ahmed, M.F., Tumpa, K.K., Khatun, M., Paul, R.K. and Tarafdar, P., (2026). Artificial intelligence for data-driven human resource decision-making: A systematic review. </w:t>
      </w:r>
      <w:r w:rsidRPr="00A5716F">
        <w:rPr>
          <w:i/>
          <w:iCs/>
        </w:rPr>
        <w:t>Social Sciences &amp; Humanities Open, 13</w:t>
      </w:r>
      <w:r w:rsidRPr="00A5716F">
        <w:t xml:space="preserve">, p.102909. Available at: </w:t>
      </w:r>
      <w:hyperlink r:id="rId13">
        <w:r w:rsidRPr="00A5716F">
          <w:rPr>
            <w:color w:val="1155CC"/>
            <w:u w:val="single"/>
          </w:rPr>
          <w:t>https://doi.org/10.1016/j.ssaho.2026.102909</w:t>
        </w:r>
      </w:hyperlink>
      <w:r w:rsidRPr="00A5716F">
        <w:t xml:space="preserve"> </w:t>
      </w:r>
    </w:p>
    <w:p w14:paraId="1BA847CA" w14:textId="77777777" w:rsidR="00E12156" w:rsidRPr="00A5716F" w:rsidRDefault="00E12156">
      <w:r w:rsidRPr="00A5716F">
        <w:t xml:space="preserve">Ang, K.C.S., Sankaran, S. and Liu, D., (2025). Advancing sociotechnical systems theory: New principles for human-robot team design and development. </w:t>
      </w:r>
      <w:r w:rsidRPr="00A5716F">
        <w:rPr>
          <w:i/>
          <w:iCs/>
        </w:rPr>
        <w:t>Applied Ergonomics</w:t>
      </w:r>
      <w:r w:rsidRPr="00A5716F">
        <w:t xml:space="preserve">, </w:t>
      </w:r>
      <w:r w:rsidRPr="00A5716F">
        <w:rPr>
          <w:i/>
          <w:iCs/>
        </w:rPr>
        <w:t>129</w:t>
      </w:r>
      <w:r w:rsidRPr="00A5716F">
        <w:t xml:space="preserve">, p. 104604. Available at: </w:t>
      </w:r>
      <w:hyperlink r:id="rId14">
        <w:r w:rsidRPr="00A5716F">
          <w:rPr>
            <w:color w:val="1155CC"/>
            <w:u w:val="single"/>
          </w:rPr>
          <w:t>https://doi.org/10.1016/j.apergo.2025.104604</w:t>
        </w:r>
      </w:hyperlink>
      <w:r w:rsidRPr="00A5716F">
        <w:t xml:space="preserve">. </w:t>
      </w:r>
    </w:p>
    <w:p w14:paraId="21D6DB77" w14:textId="77777777" w:rsidR="00E12156" w:rsidRPr="00A5716F" w:rsidRDefault="00E12156">
      <w:r w:rsidRPr="00A5716F">
        <w:t xml:space="preserve">Angel, G.G., (2023). </w:t>
      </w:r>
      <w:r w:rsidRPr="00A5716F">
        <w:rPr>
          <w:i/>
          <w:iCs/>
        </w:rPr>
        <w:t>PMP Certification: A beginner's guide</w:t>
      </w:r>
      <w:r w:rsidRPr="00A5716F">
        <w:t>. University Press of Colorado.</w:t>
      </w:r>
    </w:p>
    <w:p w14:paraId="4AAE17DB" w14:textId="77777777" w:rsidR="00E12156" w:rsidRPr="00A5716F" w:rsidRDefault="00E12156">
      <w:r w:rsidRPr="00A5716F">
        <w:t xml:space="preserve">Arubayi, D.O., (2023). High Performance Work Systems (HPWs) and employee satisfaction. </w:t>
      </w:r>
      <w:r w:rsidRPr="00A5716F">
        <w:rPr>
          <w:i/>
          <w:iCs/>
        </w:rPr>
        <w:t>Indikator Jurnal Ilmiah Manajemen Dan Bisnis</w:t>
      </w:r>
      <w:r w:rsidRPr="00A5716F">
        <w:t xml:space="preserve">, </w:t>
      </w:r>
      <w:r w:rsidRPr="00A5716F">
        <w:rPr>
          <w:i/>
          <w:iCs/>
        </w:rPr>
        <w:t>7</w:t>
      </w:r>
      <w:r w:rsidRPr="00A5716F">
        <w:t xml:space="preserve">(1), p. 13. Available at: </w:t>
      </w:r>
      <w:hyperlink r:id="rId15">
        <w:r w:rsidRPr="00A5716F">
          <w:rPr>
            <w:color w:val="1155CC"/>
            <w:u w:val="single"/>
          </w:rPr>
          <w:t>https://doi.org/10.22441/indikator.v7i1.18405</w:t>
        </w:r>
      </w:hyperlink>
      <w:r w:rsidRPr="00A5716F">
        <w:t xml:space="preserve">. </w:t>
      </w:r>
    </w:p>
    <w:p w14:paraId="13D60C2C" w14:textId="77777777" w:rsidR="00E12156" w:rsidRPr="00A5716F" w:rsidRDefault="00E12156">
      <w:r w:rsidRPr="00A5716F">
        <w:t xml:space="preserve">Bardach, L., Bostwick, K.C., Fütterer, T., Kopatz, M., Hobbi, D.M., Klassen, R.M. and Pietschnig, J., (2024). A meta-analysis on teachers’ growth mindset. </w:t>
      </w:r>
      <w:r w:rsidRPr="00A5716F">
        <w:rPr>
          <w:i/>
          <w:iCs/>
        </w:rPr>
        <w:t>Educational Psychology Review, 36</w:t>
      </w:r>
      <w:r w:rsidRPr="00A5716F">
        <w:t xml:space="preserve">(3), p.84. Available at: </w:t>
      </w:r>
      <w:hyperlink r:id="rId16">
        <w:r w:rsidRPr="00A5716F">
          <w:rPr>
            <w:color w:val="1155CC"/>
            <w:u w:val="single"/>
          </w:rPr>
          <w:t>https://doi.org/10.1007/s10648-024-09925-7</w:t>
        </w:r>
      </w:hyperlink>
      <w:r w:rsidRPr="00A5716F">
        <w:t xml:space="preserve"> </w:t>
      </w:r>
    </w:p>
    <w:p w14:paraId="159D9EC5" w14:textId="77777777" w:rsidR="00E12156" w:rsidRPr="00A5716F" w:rsidRDefault="00E12156">
      <w:r w:rsidRPr="00A5716F">
        <w:t xml:space="preserve">Bolton, R., Logan, C. and Gittell, J.H., (2021). Revisiting Relational Coordination: A Systematic review. </w:t>
      </w:r>
      <w:r w:rsidRPr="00A5716F">
        <w:rPr>
          <w:i/>
          <w:iCs/>
        </w:rPr>
        <w:t>The Journal of Applied Behavioral Science</w:t>
      </w:r>
      <w:r w:rsidRPr="00A5716F">
        <w:t xml:space="preserve">, </w:t>
      </w:r>
      <w:r w:rsidRPr="00A5716F">
        <w:rPr>
          <w:i/>
          <w:iCs/>
        </w:rPr>
        <w:t>57</w:t>
      </w:r>
      <w:r w:rsidRPr="00A5716F">
        <w:t xml:space="preserve">(3), pp. 290–322. Available at: </w:t>
      </w:r>
      <w:hyperlink r:id="rId17">
        <w:r w:rsidRPr="00A5716F">
          <w:rPr>
            <w:color w:val="1155CC"/>
            <w:u w:val="single"/>
          </w:rPr>
          <w:t>https://doi.org/10.1177/0021886321991597</w:t>
        </w:r>
      </w:hyperlink>
      <w:r w:rsidRPr="00A5716F">
        <w:t xml:space="preserve">. </w:t>
      </w:r>
    </w:p>
    <w:p w14:paraId="5AE0BA8A" w14:textId="77777777" w:rsidR="00E12156" w:rsidRPr="00A5716F" w:rsidRDefault="00E12156">
      <w:r w:rsidRPr="00A5716F">
        <w:t xml:space="preserve">Calefato, F., Giove, A., Lanubile, F. and Losavio, M., (2020), June. A case study on tool support for collaboration in agile development. In </w:t>
      </w:r>
      <w:r w:rsidRPr="00A5716F">
        <w:rPr>
          <w:i/>
          <w:iCs/>
        </w:rPr>
        <w:t>Proceedings of the 15th International Conference on Global Software Engineering</w:t>
      </w:r>
      <w:r w:rsidRPr="00A5716F">
        <w:t xml:space="preserve"> (pp. 11-21). Available at: </w:t>
      </w:r>
      <w:hyperlink r:id="rId18">
        <w:r w:rsidRPr="00A5716F">
          <w:rPr>
            <w:color w:val="1155CC"/>
            <w:u w:val="single"/>
          </w:rPr>
          <w:t>https://doi.org/10.1145/3372787.3390436</w:t>
        </w:r>
      </w:hyperlink>
      <w:r w:rsidRPr="00A5716F">
        <w:t xml:space="preserve">  </w:t>
      </w:r>
    </w:p>
    <w:p w14:paraId="7A612B34" w14:textId="77777777" w:rsidR="00E12156" w:rsidRPr="00A5716F" w:rsidRDefault="00E12156">
      <w:r w:rsidRPr="00A5716F">
        <w:t xml:space="preserve">Chinyuku, C. and Qutieshat, A., (2025). The Impact of Remote Work on Building Effective Teams: Exploring the Challenges of Fostering Team Cohesion in Remote Work Environments, A brief review of literature. </w:t>
      </w:r>
      <w:r w:rsidRPr="00A5716F">
        <w:rPr>
          <w:i/>
          <w:iCs/>
        </w:rPr>
        <w:t>International Journal of Advanced Business Studies</w:t>
      </w:r>
      <w:r w:rsidRPr="00A5716F">
        <w:t>,</w:t>
      </w:r>
      <w:r w:rsidRPr="00A5716F">
        <w:rPr>
          <w:i/>
          <w:iCs/>
        </w:rPr>
        <w:t xml:space="preserve"> 4</w:t>
      </w:r>
      <w:r w:rsidRPr="00A5716F">
        <w:t xml:space="preserve">(2), pp. 133–148. Available at: </w:t>
      </w:r>
      <w:hyperlink r:id="rId19">
        <w:r w:rsidRPr="00A5716F">
          <w:rPr>
            <w:color w:val="1155CC"/>
            <w:u w:val="single"/>
          </w:rPr>
          <w:t>https://doi.org/10.59857/vrxh4886</w:t>
        </w:r>
      </w:hyperlink>
      <w:r w:rsidRPr="00A5716F">
        <w:t xml:space="preserve">. </w:t>
      </w:r>
    </w:p>
    <w:p w14:paraId="7CC35961" w14:textId="77777777" w:rsidR="00E12156" w:rsidRPr="00A5716F" w:rsidRDefault="00E12156">
      <w:r w:rsidRPr="00A5716F">
        <w:lastRenderedPageBreak/>
        <w:t xml:space="preserve">Choudhury, P., Crowston, K., Dahlander, L., Minervini, M.S. and Raghuram, S., (2020). GitLab: work where you want, when you want. </w:t>
      </w:r>
      <w:r w:rsidRPr="00A5716F">
        <w:rPr>
          <w:i/>
          <w:iCs/>
        </w:rPr>
        <w:t>Journal of Organization Design, 9</w:t>
      </w:r>
      <w:r w:rsidRPr="00A5716F">
        <w:t xml:space="preserve">(1), p.23. Available at: </w:t>
      </w:r>
      <w:hyperlink r:id="rId20">
        <w:r w:rsidRPr="00A5716F">
          <w:rPr>
            <w:color w:val="1155CC"/>
            <w:u w:val="single"/>
          </w:rPr>
          <w:t>https://doi.org/10.1186/s41469-020-00087-8</w:t>
        </w:r>
      </w:hyperlink>
      <w:r w:rsidRPr="00A5716F">
        <w:t xml:space="preserve"> </w:t>
      </w:r>
    </w:p>
    <w:p w14:paraId="6D48E93A" w14:textId="77777777" w:rsidR="00E12156" w:rsidRPr="00A5716F" w:rsidRDefault="00E12156">
      <w:r w:rsidRPr="00A5716F">
        <w:t xml:space="preserve">Erfan, M., (2024). The impact of Cross-Cultural Management on global collaboration and performance. </w:t>
      </w:r>
      <w:r w:rsidRPr="00A5716F">
        <w:rPr>
          <w:i/>
          <w:iCs/>
        </w:rPr>
        <w:t>Advances in Human Resource Management Research</w:t>
      </w:r>
      <w:r w:rsidRPr="00A5716F">
        <w:t xml:space="preserve">, </w:t>
      </w:r>
      <w:r w:rsidRPr="00A5716F">
        <w:rPr>
          <w:i/>
          <w:iCs/>
        </w:rPr>
        <w:t>2</w:t>
      </w:r>
      <w:r w:rsidRPr="00A5716F">
        <w:t xml:space="preserve">(2). Available at: </w:t>
      </w:r>
      <w:hyperlink r:id="rId21">
        <w:r w:rsidRPr="00A5716F">
          <w:rPr>
            <w:color w:val="1155CC"/>
            <w:u w:val="single"/>
          </w:rPr>
          <w:t>https://doi.org/10.60079/ahrmr.v2i2.261</w:t>
        </w:r>
      </w:hyperlink>
      <w:r w:rsidRPr="00A5716F">
        <w:t xml:space="preserve">. </w:t>
      </w:r>
    </w:p>
    <w:p w14:paraId="2128542D" w14:textId="77777777" w:rsidR="00E12156" w:rsidRPr="00A5716F" w:rsidRDefault="00E12156">
      <w:r w:rsidRPr="00A5716F">
        <w:t xml:space="preserve">Evans-Uzosike, I.O. and Okatta, C.G., (2023). Talent management in the age of gig economy and remote work and AI. </w:t>
      </w:r>
      <w:r w:rsidRPr="00A5716F">
        <w:rPr>
          <w:i/>
          <w:iCs/>
        </w:rPr>
        <w:t>Shodhshauryam, International Scientific Refereed Research Journal, 6</w:t>
      </w:r>
      <w:r w:rsidRPr="00A5716F">
        <w:t xml:space="preserve">(4), pp.147-170. Available at: </w:t>
      </w:r>
      <w:hyperlink r:id="rId22">
        <w:r w:rsidRPr="00A5716F">
          <w:rPr>
            <w:color w:val="1155CC"/>
            <w:u w:val="single"/>
          </w:rPr>
          <w:t>https://doi.org/10.32628/SHISRRJ</w:t>
        </w:r>
      </w:hyperlink>
      <w:r w:rsidRPr="00A5716F">
        <w:t xml:space="preserve"> </w:t>
      </w:r>
    </w:p>
    <w:p w14:paraId="233210CD" w14:textId="77777777" w:rsidR="00E12156" w:rsidRPr="00A5716F" w:rsidRDefault="00E12156">
      <w:r w:rsidRPr="00A5716F">
        <w:t xml:space="preserve">Ilufoye, H. and Giwah, M., (2025). Cross-Functional team collaboration and its impact on project outcomes. </w:t>
      </w:r>
      <w:r w:rsidRPr="00A5716F">
        <w:rPr>
          <w:i/>
          <w:iCs/>
        </w:rPr>
        <w:t>International Journal of Social Sciences and Management Research</w:t>
      </w:r>
      <w:r w:rsidRPr="00A5716F">
        <w:t xml:space="preserve">, </w:t>
      </w:r>
      <w:r w:rsidRPr="00A5716F">
        <w:rPr>
          <w:i/>
          <w:iCs/>
        </w:rPr>
        <w:t>11</w:t>
      </w:r>
      <w:r w:rsidRPr="00A5716F">
        <w:t xml:space="preserve">(10), pp. 272–284. Available at: </w:t>
      </w:r>
      <w:hyperlink r:id="rId23">
        <w:r w:rsidRPr="00A5716F">
          <w:rPr>
            <w:color w:val="1155CC"/>
            <w:u w:val="single"/>
          </w:rPr>
          <w:t>https://doi.org/10.56201/ijssmr.vol.11no10.2025.pg272.284</w:t>
        </w:r>
      </w:hyperlink>
      <w:r w:rsidRPr="00A5716F">
        <w:t xml:space="preserve">. </w:t>
      </w:r>
    </w:p>
    <w:p w14:paraId="52BB42C4" w14:textId="77777777" w:rsidR="005E0E51" w:rsidRPr="00A5716F" w:rsidRDefault="005E0E51">
      <w:pPr>
        <w:rPr>
          <w:color w:val="000000" w:themeColor="text1"/>
          <w:sz w:val="32"/>
        </w:rPr>
      </w:pPr>
      <w:r w:rsidRPr="00A5716F">
        <w:rPr>
          <w:color w:val="000000" w:themeColor="text1"/>
          <w:szCs w:val="20"/>
          <w:shd w:val="clear" w:color="auto" w:fill="FFFFFF"/>
        </w:rPr>
        <w:t xml:space="preserve">Kemp, T., Ayton, J., Butler-Henderson, K. and Lam, M., (2024). Using socio-technical systems theory to study the health information management workforce in Australian acute hospitals. </w:t>
      </w:r>
      <w:r w:rsidRPr="00A5716F">
        <w:rPr>
          <w:i/>
          <w:iCs/>
          <w:color w:val="000000" w:themeColor="text1"/>
          <w:szCs w:val="20"/>
          <w:shd w:val="clear" w:color="auto" w:fill="FFFFFF"/>
        </w:rPr>
        <w:t>Social Theory &amp; Health</w:t>
      </w:r>
      <w:r w:rsidRPr="00A5716F">
        <w:rPr>
          <w:color w:val="000000" w:themeColor="text1"/>
          <w:szCs w:val="20"/>
          <w:shd w:val="clear" w:color="auto" w:fill="FFFFFF"/>
        </w:rPr>
        <w:t xml:space="preserve">, </w:t>
      </w:r>
      <w:r w:rsidRPr="00A5716F">
        <w:rPr>
          <w:i/>
          <w:iCs/>
          <w:color w:val="000000" w:themeColor="text1"/>
          <w:szCs w:val="20"/>
          <w:shd w:val="clear" w:color="auto" w:fill="FFFFFF"/>
        </w:rPr>
        <w:t>22</w:t>
      </w:r>
      <w:r w:rsidRPr="00A5716F">
        <w:rPr>
          <w:color w:val="000000" w:themeColor="text1"/>
          <w:szCs w:val="20"/>
          <w:shd w:val="clear" w:color="auto" w:fill="FFFFFF"/>
        </w:rPr>
        <w:t xml:space="preserve">(4), pp.285-300. </w:t>
      </w:r>
      <w:r w:rsidRPr="00A5716F">
        <w:t xml:space="preserve">Available at: </w:t>
      </w:r>
      <w:hyperlink r:id="rId24" w:history="1">
        <w:r w:rsidRPr="00A5716F">
          <w:rPr>
            <w:rStyle w:val="Hyperlink"/>
            <w:rFonts w:ascii="Helvetica" w:hAnsi="Helvetica" w:cs="Helvetica"/>
            <w:shd w:val="clear" w:color="auto" w:fill="FFFFFF"/>
          </w:rPr>
          <w:t>https://doi.org/10.1057/s41285-024-00214-5</w:t>
        </w:r>
      </w:hyperlink>
      <w:r w:rsidRPr="00A5716F">
        <w:rPr>
          <w:rFonts w:ascii="Helvetica" w:hAnsi="Helvetica" w:cs="Helvetica"/>
          <w:color w:val="222222"/>
          <w:shd w:val="clear" w:color="auto" w:fill="FFFFFF"/>
        </w:rPr>
        <w:t xml:space="preserve"> </w:t>
      </w:r>
    </w:p>
    <w:p w14:paraId="74FD3F2D" w14:textId="77777777" w:rsidR="005C3E0F" w:rsidRPr="00A5716F" w:rsidRDefault="00E12156" w:rsidP="005C3E0F">
      <w:r w:rsidRPr="00A5716F">
        <w:t xml:space="preserve">Khanal, K., (2026). The Ethical Implications of AI in Human Resources: Addressing Bias and Promoting Fairness. In </w:t>
      </w:r>
      <w:r w:rsidRPr="00A5716F">
        <w:rPr>
          <w:i/>
          <w:iCs/>
        </w:rPr>
        <w:t>Navigating Responsible Business Practices Through Ethical AI</w:t>
      </w:r>
      <w:r w:rsidRPr="00A5716F">
        <w:t xml:space="preserve"> (pp. 1-18). IGI Global Scientific Publishing.  Available at: </w:t>
      </w:r>
      <w:hyperlink r:id="rId25">
        <w:r w:rsidRPr="00A5716F">
          <w:rPr>
            <w:color w:val="1155CC"/>
            <w:u w:val="single"/>
          </w:rPr>
          <w:t>https://doi.org/10.4018/979-8-3373-3104-1.ch001</w:t>
        </w:r>
      </w:hyperlink>
      <w:r w:rsidRPr="00A5716F">
        <w:t xml:space="preserve">. </w:t>
      </w:r>
    </w:p>
    <w:p w14:paraId="326DA9B8" w14:textId="77777777" w:rsidR="005C3E0F" w:rsidRPr="00A5716F" w:rsidRDefault="005C3E0F" w:rsidP="005C3E0F">
      <w:r w:rsidRPr="00A5716F">
        <w:t xml:space="preserve">Kloutsiniotis, P.V. and Mihail, D.M. (2020). The effects of high performance work systems in employees’ service-oriented OCB. </w:t>
      </w:r>
      <w:r w:rsidRPr="00A5716F">
        <w:rPr>
          <w:i/>
          <w:iCs/>
        </w:rPr>
        <w:t>International Journal of Hospitality Management</w:t>
      </w:r>
      <w:r w:rsidRPr="00A5716F">
        <w:t xml:space="preserve">, 90, p. 102610. Available at: </w:t>
      </w:r>
      <w:hyperlink r:id="rId26" w:history="1">
        <w:r w:rsidRPr="00A5716F">
          <w:rPr>
            <w:rStyle w:val="Hyperlink"/>
          </w:rPr>
          <w:t>https://doi.org/10.1016/j.ijhm.2020.102610</w:t>
        </w:r>
      </w:hyperlink>
      <w:r w:rsidRPr="00A5716F">
        <w:t xml:space="preserve">. </w:t>
      </w:r>
    </w:p>
    <w:p w14:paraId="3414C1CD" w14:textId="77777777" w:rsidR="00E12156" w:rsidRPr="00A5716F" w:rsidRDefault="00E12156">
      <w:r w:rsidRPr="00A5716F">
        <w:t xml:space="preserve">Latha, R. and Sreenithi, R., (2025). SKILL GAP ANALYSIS USING MACHINE LEARNING. </w:t>
      </w:r>
      <w:r w:rsidRPr="00A5716F">
        <w:rPr>
          <w:i/>
          <w:iCs/>
        </w:rPr>
        <w:t>International Journal of Engineering Research and Sustainable Technologies (IJERST), 3</w:t>
      </w:r>
      <w:r w:rsidRPr="00A5716F">
        <w:t xml:space="preserve">(3), pp.33-39. Available at: </w:t>
      </w:r>
      <w:hyperlink r:id="rId27">
        <w:r w:rsidRPr="00A5716F">
          <w:rPr>
            <w:color w:val="1155CC"/>
            <w:u w:val="single"/>
          </w:rPr>
          <w:t>https://www.ijerst.drmgrjournals.org/index.php/ijerst/article/download/122/143</w:t>
        </w:r>
      </w:hyperlink>
      <w:r w:rsidRPr="00A5716F">
        <w:t xml:space="preserve"> </w:t>
      </w:r>
    </w:p>
    <w:p w14:paraId="1B5B93AA" w14:textId="77777777" w:rsidR="00E12156" w:rsidRPr="00A5716F" w:rsidRDefault="00E12156">
      <w:r w:rsidRPr="00A5716F">
        <w:t xml:space="preserve">Manaf, S., Ibrohim, B., Kurniawan, M.I., Suryono, F., Musthofa, M. and Izfanna, D., (2026). Implementing Senge’s Learning Organisation Model in Islamic Educational </w:t>
      </w:r>
      <w:r w:rsidRPr="00A5716F">
        <w:lastRenderedPageBreak/>
        <w:t xml:space="preserve">Institutions: A Case Study Of Pondok Pesantren Darunnajah. </w:t>
      </w:r>
      <w:r w:rsidRPr="00A5716F">
        <w:rPr>
          <w:i/>
          <w:iCs/>
        </w:rPr>
        <w:t>Tadbiruna, 5</w:t>
      </w:r>
      <w:r w:rsidRPr="00A5716F">
        <w:t xml:space="preserve">(2), pp.24-37. Available at: </w:t>
      </w:r>
      <w:hyperlink r:id="rId28">
        <w:r w:rsidRPr="00A5716F">
          <w:rPr>
            <w:color w:val="1155CC"/>
            <w:u w:val="single"/>
          </w:rPr>
          <w:t>https://doi.org/10.51192/jurnalmanajemenpendidikanislam.v5i2.2507</w:t>
        </w:r>
      </w:hyperlink>
      <w:r w:rsidRPr="00A5716F">
        <w:t xml:space="preserve"> </w:t>
      </w:r>
    </w:p>
    <w:p w14:paraId="233CB175" w14:textId="77777777" w:rsidR="00E12156" w:rsidRPr="00A5716F" w:rsidRDefault="00E12156">
      <w:r w:rsidRPr="00A5716F">
        <w:t xml:space="preserve">McAnally, K. and Hagger, M.S., (2024). Self-Determination Theory and Workplace Outcomes: A Conceptual Review and Future Research Directions. </w:t>
      </w:r>
      <w:r w:rsidRPr="00A5716F">
        <w:rPr>
          <w:i/>
          <w:iCs/>
        </w:rPr>
        <w:t>Behavioral Sciences</w:t>
      </w:r>
      <w:r w:rsidRPr="00A5716F">
        <w:t xml:space="preserve">, </w:t>
      </w:r>
      <w:r w:rsidRPr="00A5716F">
        <w:rPr>
          <w:i/>
          <w:iCs/>
        </w:rPr>
        <w:t>14</w:t>
      </w:r>
      <w:r w:rsidRPr="00A5716F">
        <w:t xml:space="preserve">(6), p. 428. Available at: </w:t>
      </w:r>
      <w:hyperlink r:id="rId29">
        <w:r w:rsidRPr="00A5716F">
          <w:rPr>
            <w:color w:val="1155CC"/>
            <w:u w:val="single"/>
          </w:rPr>
          <w:t>https://doi.org/10.3390/bs14060428</w:t>
        </w:r>
      </w:hyperlink>
      <w:r w:rsidRPr="00A5716F">
        <w:t xml:space="preserve">. </w:t>
      </w:r>
    </w:p>
    <w:p w14:paraId="6A70A108" w14:textId="77777777" w:rsidR="00E12156" w:rsidRPr="00A5716F" w:rsidRDefault="00E12156">
      <w:r w:rsidRPr="00A5716F">
        <w:t xml:space="preserve">Ndou, V., Ingrosso, A. and Di Girolamo, A., (2024). Framework for Agile Transformation: guiding organizations through cultural, structural, and competency shifts in project management. </w:t>
      </w:r>
      <w:r w:rsidRPr="00A5716F">
        <w:rPr>
          <w:i/>
          <w:iCs/>
        </w:rPr>
        <w:t>Administrative Sciences</w:t>
      </w:r>
      <w:r w:rsidRPr="00A5716F">
        <w:t xml:space="preserve">, </w:t>
      </w:r>
      <w:r w:rsidRPr="00A5716F">
        <w:rPr>
          <w:i/>
          <w:iCs/>
        </w:rPr>
        <w:t>14</w:t>
      </w:r>
      <w:r w:rsidRPr="00A5716F">
        <w:t xml:space="preserve">(11), p. 301. Available at: </w:t>
      </w:r>
      <w:hyperlink r:id="rId30">
        <w:r w:rsidRPr="00A5716F">
          <w:rPr>
            <w:color w:val="1155CC"/>
            <w:u w:val="single"/>
          </w:rPr>
          <w:t>https://doi.org/10.3390/admsci14110301</w:t>
        </w:r>
      </w:hyperlink>
      <w:r w:rsidRPr="00A5716F">
        <w:t xml:space="preserve">. </w:t>
      </w:r>
    </w:p>
    <w:p w14:paraId="7DDE8D57" w14:textId="77777777" w:rsidR="00E12156" w:rsidRPr="00A5716F" w:rsidRDefault="00E12156">
      <w:r w:rsidRPr="00A5716F">
        <w:t xml:space="preserve">Nguyen, M., Malik, A., Sharma, P., Kingshott, R. and Gugnani, R., (2024). High involvement work system and organizational and employee resilience: Impact of digitalisation in crisis situations. </w:t>
      </w:r>
      <w:r w:rsidRPr="00A5716F">
        <w:rPr>
          <w:i/>
          <w:iCs/>
        </w:rPr>
        <w:t>Technological Forecasting and Social Change, 205</w:t>
      </w:r>
      <w:r w:rsidRPr="00A5716F">
        <w:t xml:space="preserve">, p.123510. Available at: </w:t>
      </w:r>
      <w:hyperlink r:id="rId31">
        <w:r w:rsidRPr="00A5716F">
          <w:rPr>
            <w:color w:val="1155CC"/>
            <w:u w:val="single"/>
          </w:rPr>
          <w:t>https://doi.org/10.1016/j.techfore.2024.123510</w:t>
        </w:r>
      </w:hyperlink>
      <w:r w:rsidRPr="00A5716F">
        <w:t xml:space="preserve"> </w:t>
      </w:r>
    </w:p>
    <w:p w14:paraId="5DE12FD9" w14:textId="77777777" w:rsidR="00E12156" w:rsidRPr="00A5716F" w:rsidRDefault="00E12156">
      <w:r w:rsidRPr="00A5716F">
        <w:t xml:space="preserve">Nosratabadi, S., Zahed, R.K., Ponkratov, V.V. and Kostyrin, E.V., (2022). Artificial intelligence models and employee lifecycle management: A systematic literature review. </w:t>
      </w:r>
      <w:r w:rsidRPr="00A5716F">
        <w:rPr>
          <w:i/>
          <w:iCs/>
        </w:rPr>
        <w:t>Organizacija, 55</w:t>
      </w:r>
      <w:r w:rsidRPr="00A5716F">
        <w:t xml:space="preserve">(3), pp.181-198. Available at:  </w:t>
      </w:r>
      <w:hyperlink r:id="rId32">
        <w:r w:rsidRPr="00A5716F">
          <w:rPr>
            <w:color w:val="1155CC"/>
            <w:u w:val="single"/>
          </w:rPr>
          <w:t>https://doi.org/10.2478/orga-2022-0012</w:t>
        </w:r>
      </w:hyperlink>
      <w:r w:rsidRPr="00A5716F">
        <w:t xml:space="preserve"> </w:t>
      </w:r>
    </w:p>
    <w:p w14:paraId="22F591BE" w14:textId="77777777" w:rsidR="00E12156" w:rsidRPr="00A5716F" w:rsidRDefault="00E12156">
      <w:r w:rsidRPr="00A5716F">
        <w:t xml:space="preserve">Rodi, A.F., (2026). Embedding Change Management into Project Management Courses. </w:t>
      </w:r>
      <w:r w:rsidRPr="00A5716F">
        <w:rPr>
          <w:i/>
          <w:iCs/>
        </w:rPr>
        <w:t>Developments in Business Simulation and Experiential Learning, 53</w:t>
      </w:r>
      <w:r w:rsidRPr="00A5716F">
        <w:t xml:space="preserve">. Available at: </w:t>
      </w:r>
      <w:hyperlink r:id="rId33">
        <w:r w:rsidRPr="00A5716F">
          <w:rPr>
            <w:color w:val="1155CC"/>
            <w:u w:val="single"/>
          </w:rPr>
          <w:t>https://absel-ojs-ttu.tdl.org/absel/article/download/3458/3415</w:t>
        </w:r>
      </w:hyperlink>
      <w:r w:rsidRPr="00A5716F">
        <w:t xml:space="preserve"> </w:t>
      </w:r>
    </w:p>
    <w:p w14:paraId="41E4EDCE" w14:textId="77777777" w:rsidR="00E12156" w:rsidRPr="00A5716F" w:rsidRDefault="00E12156">
      <w:r w:rsidRPr="00A5716F">
        <w:t xml:space="preserve">Stanikzai, M.E. and Mittal, E., (2025). Strategic alignment of organizational structure based on decisions for sustainable organizational performance: a bibliometric-systematic literature review. </w:t>
      </w:r>
      <w:r w:rsidRPr="00A5716F">
        <w:rPr>
          <w:i/>
          <w:iCs/>
        </w:rPr>
        <w:t>Cogent Business &amp; Management</w:t>
      </w:r>
      <w:r w:rsidRPr="00A5716F">
        <w:t xml:space="preserve">, </w:t>
      </w:r>
      <w:r w:rsidRPr="00A5716F">
        <w:rPr>
          <w:i/>
          <w:iCs/>
        </w:rPr>
        <w:t>12</w:t>
      </w:r>
      <w:r w:rsidRPr="00A5716F">
        <w:t xml:space="preserve">(1). Available at: </w:t>
      </w:r>
      <w:hyperlink r:id="rId34">
        <w:r w:rsidRPr="00A5716F">
          <w:rPr>
            <w:color w:val="1155CC"/>
            <w:u w:val="single"/>
          </w:rPr>
          <w:t>https://doi.org/10.1080/23311975.2025.2560650</w:t>
        </w:r>
      </w:hyperlink>
      <w:r w:rsidRPr="00A5716F">
        <w:t xml:space="preserve">. </w:t>
      </w:r>
    </w:p>
    <w:p w14:paraId="0683D221" w14:textId="77777777" w:rsidR="00E12156" w:rsidRPr="00A5716F" w:rsidRDefault="00E12156">
      <w:r w:rsidRPr="00A5716F">
        <w:t xml:space="preserve">Steegh, R., Van De Voorde, K., Paauwe, J. and Peeters, T., (2025). The agile way of working and team adaptive performance: A goal-setting perspective. </w:t>
      </w:r>
      <w:r w:rsidRPr="00A5716F">
        <w:rPr>
          <w:i/>
          <w:iCs/>
        </w:rPr>
        <w:t>Journal of Business Research, 189</w:t>
      </w:r>
      <w:r w:rsidRPr="00A5716F">
        <w:t xml:space="preserve">, p.115163. Available at: </w:t>
      </w:r>
      <w:hyperlink r:id="rId35">
        <w:r w:rsidRPr="00A5716F">
          <w:rPr>
            <w:color w:val="1155CC"/>
            <w:u w:val="single"/>
          </w:rPr>
          <w:t>https://doi.org/10.1016/j.jbusres.2024.115163</w:t>
        </w:r>
      </w:hyperlink>
      <w:r w:rsidRPr="00A5716F">
        <w:t xml:space="preserve"> </w:t>
      </w:r>
    </w:p>
    <w:p w14:paraId="0A20EABF" w14:textId="77777777" w:rsidR="00E12156" w:rsidRPr="00A5716F" w:rsidRDefault="00E12156">
      <w:r w:rsidRPr="00A5716F">
        <w:t xml:space="preserve">Uddin, A.F.M.A. (2025). Psychological Safety as A Mediating Mechanism Between Workplace Stressors And Employee Wellbeing: A Multilevel Analysis. </w:t>
      </w:r>
      <w:r w:rsidRPr="00A5716F">
        <w:rPr>
          <w:i/>
          <w:iCs/>
        </w:rPr>
        <w:t>International Journal of Advanced Research</w:t>
      </w:r>
      <w:r w:rsidRPr="00A5716F">
        <w:t xml:space="preserve">, </w:t>
      </w:r>
      <w:r w:rsidRPr="00A5716F">
        <w:rPr>
          <w:i/>
          <w:iCs/>
        </w:rPr>
        <w:t>13</w:t>
      </w:r>
      <w:r w:rsidRPr="00A5716F">
        <w:t xml:space="preserve">(11), pp. 864–879. Available at: </w:t>
      </w:r>
      <w:hyperlink r:id="rId36">
        <w:r w:rsidRPr="00A5716F">
          <w:rPr>
            <w:color w:val="1155CC"/>
            <w:u w:val="single"/>
          </w:rPr>
          <w:t>https://doi.org/10.21474/ijar01/22168</w:t>
        </w:r>
      </w:hyperlink>
      <w:r w:rsidRPr="00A5716F">
        <w:t xml:space="preserve">. </w:t>
      </w:r>
    </w:p>
    <w:sectPr w:rsidR="00E12156" w:rsidRPr="00A5716F">
      <w:footerReference w:type="default" r:id="rId37"/>
      <w:footerReference w:type="first" r:id="rId3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8383AF" w14:textId="77777777" w:rsidR="003E66B4" w:rsidRDefault="003E66B4">
      <w:pPr>
        <w:spacing w:line="240" w:lineRule="auto"/>
      </w:pPr>
      <w:r>
        <w:separator/>
      </w:r>
    </w:p>
  </w:endnote>
  <w:endnote w:type="continuationSeparator" w:id="0">
    <w:p w14:paraId="2CCC5C34" w14:textId="77777777" w:rsidR="003E66B4" w:rsidRDefault="003E66B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6FBEA38A-4A8F-4B2C-BE19-6D4C4C32AC61}"/>
  </w:font>
  <w:font w:name="Calibri">
    <w:panose1 w:val="020F0502020204030204"/>
    <w:charset w:val="00"/>
    <w:family w:val="swiss"/>
    <w:pitch w:val="variable"/>
    <w:sig w:usb0="E4002EFF" w:usb1="C200247B" w:usb2="00000009" w:usb3="00000000" w:csb0="000001FF" w:csb1="00000000"/>
    <w:embedRegular r:id="rId2" w:fontKey="{DB9A7A17-CAE0-4078-A006-1A1145F59C9E}"/>
  </w:font>
  <w:font w:name="Helvetica">
    <w:panose1 w:val="020B0604020202020204"/>
    <w:charset w:val="00"/>
    <w:family w:val="swiss"/>
    <w:pitch w:val="variable"/>
    <w:sig w:usb0="E0002EFF" w:usb1="C000785B" w:usb2="00000009" w:usb3="00000000" w:csb0="000001FF" w:csb1="00000000"/>
    <w:embedRegular r:id="rId3" w:fontKey="{1801EAE4-2604-404E-9B81-4785BB9BB117}"/>
  </w:font>
  <w:font w:name="Cambria">
    <w:panose1 w:val="02040503050406030204"/>
    <w:charset w:val="00"/>
    <w:family w:val="roman"/>
    <w:pitch w:val="variable"/>
    <w:sig w:usb0="E00006FF" w:usb1="420024FF" w:usb2="02000000" w:usb3="00000000" w:csb0="0000019F" w:csb1="00000000"/>
    <w:embedRegular r:id="rId4" w:fontKey="{FC49F10D-D83F-46E9-8F84-6793071E553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AC25B5" w14:textId="77777777" w:rsidR="00B97C05" w:rsidRDefault="00C720FC">
    <w:pPr>
      <w:jc w:val="right"/>
    </w:pPr>
    <w:r>
      <w:fldChar w:fldCharType="begin"/>
    </w:r>
    <w:r>
      <w:instrText>PAGE</w:instrText>
    </w:r>
    <w:r>
      <w:fldChar w:fldCharType="separate"/>
    </w:r>
    <w:r w:rsidR="00A5716F">
      <w:rPr>
        <w:noProof/>
      </w:rPr>
      <w:t>16</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950CD" w14:textId="77777777" w:rsidR="00B97C05" w:rsidRDefault="00B97C0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9B08E7" w14:textId="77777777" w:rsidR="003E66B4" w:rsidRDefault="003E66B4">
      <w:pPr>
        <w:spacing w:line="240" w:lineRule="auto"/>
      </w:pPr>
      <w:r>
        <w:separator/>
      </w:r>
    </w:p>
  </w:footnote>
  <w:footnote w:type="continuationSeparator" w:id="0">
    <w:p w14:paraId="77A42E3E" w14:textId="77777777" w:rsidR="003E66B4" w:rsidRDefault="003E66B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5118D"/>
    <w:multiLevelType w:val="multilevel"/>
    <w:tmpl w:val="0AF018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71287B"/>
    <w:multiLevelType w:val="multilevel"/>
    <w:tmpl w:val="4FBC41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3EF79F3"/>
    <w:multiLevelType w:val="multilevel"/>
    <w:tmpl w:val="4484F0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D8206F6"/>
    <w:multiLevelType w:val="multilevel"/>
    <w:tmpl w:val="587ACD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AAB6DA7"/>
    <w:multiLevelType w:val="multilevel"/>
    <w:tmpl w:val="D7F0CE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F945FB6"/>
    <w:multiLevelType w:val="multilevel"/>
    <w:tmpl w:val="1492AB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BEE2183"/>
    <w:multiLevelType w:val="multilevel"/>
    <w:tmpl w:val="99D899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E5639FB"/>
    <w:multiLevelType w:val="multilevel"/>
    <w:tmpl w:val="187A3F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57980635">
    <w:abstractNumId w:val="1"/>
  </w:num>
  <w:num w:numId="2" w16cid:durableId="1848209144">
    <w:abstractNumId w:val="2"/>
  </w:num>
  <w:num w:numId="3" w16cid:durableId="175003002">
    <w:abstractNumId w:val="6"/>
  </w:num>
  <w:num w:numId="4" w16cid:durableId="351088">
    <w:abstractNumId w:val="5"/>
  </w:num>
  <w:num w:numId="5" w16cid:durableId="1910456240">
    <w:abstractNumId w:val="3"/>
  </w:num>
  <w:num w:numId="6" w16cid:durableId="213658688">
    <w:abstractNumId w:val="4"/>
  </w:num>
  <w:num w:numId="7" w16cid:durableId="246236171">
    <w:abstractNumId w:val="0"/>
  </w:num>
  <w:num w:numId="8" w16cid:durableId="18941478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7C05"/>
    <w:rsid w:val="00053956"/>
    <w:rsid w:val="002C6996"/>
    <w:rsid w:val="002D37FD"/>
    <w:rsid w:val="00343151"/>
    <w:rsid w:val="00363A0E"/>
    <w:rsid w:val="003E66B4"/>
    <w:rsid w:val="00404149"/>
    <w:rsid w:val="004268DE"/>
    <w:rsid w:val="005C3E0F"/>
    <w:rsid w:val="005E0E51"/>
    <w:rsid w:val="00621A1E"/>
    <w:rsid w:val="007A1DF3"/>
    <w:rsid w:val="00A56657"/>
    <w:rsid w:val="00A5716F"/>
    <w:rsid w:val="00B97C05"/>
    <w:rsid w:val="00BB6C34"/>
    <w:rsid w:val="00C11CB4"/>
    <w:rsid w:val="00C472BB"/>
    <w:rsid w:val="00C6379A"/>
    <w:rsid w:val="00C720FC"/>
    <w:rsid w:val="00D05B9C"/>
    <w:rsid w:val="00D076F0"/>
    <w:rsid w:val="00E12156"/>
    <w:rsid w:val="00E3711D"/>
    <w:rsid w:val="00EC07BA"/>
    <w:rsid w:val="00ED7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F83E1"/>
  <w15:docId w15:val="{D12494EE-94C5-4ECE-9700-CE3F40188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b/>
      <w:bCs/>
    </w:rPr>
  </w:style>
  <w:style w:type="paragraph" w:styleId="Heading2">
    <w:name w:val="heading 2"/>
    <w:basedOn w:val="Normal"/>
    <w:next w:val="Normal"/>
    <w:pPr>
      <w:keepNext/>
      <w:keepLines/>
      <w:spacing w:before="360" w:after="120"/>
      <w:outlineLvl w:val="1"/>
    </w:pPr>
    <w:rPr>
      <w:b/>
      <w:bCs/>
      <w:i/>
      <w:i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E12156"/>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2156"/>
    <w:rPr>
      <w:rFonts w:ascii="Segoe UI" w:hAnsi="Segoe UI" w:cs="Segoe UI"/>
      <w:sz w:val="18"/>
      <w:szCs w:val="18"/>
    </w:rPr>
  </w:style>
  <w:style w:type="paragraph" w:styleId="TOCHeading">
    <w:name w:val="TOC Heading"/>
    <w:basedOn w:val="Heading1"/>
    <w:next w:val="Normal"/>
    <w:uiPriority w:val="39"/>
    <w:unhideWhenUsed/>
    <w:qFormat/>
    <w:rsid w:val="00E12156"/>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E12156"/>
    <w:pPr>
      <w:spacing w:after="100"/>
    </w:pPr>
  </w:style>
  <w:style w:type="paragraph" w:styleId="TOC2">
    <w:name w:val="toc 2"/>
    <w:basedOn w:val="Normal"/>
    <w:next w:val="Normal"/>
    <w:autoRedefine/>
    <w:uiPriority w:val="39"/>
    <w:unhideWhenUsed/>
    <w:rsid w:val="00E12156"/>
    <w:pPr>
      <w:spacing w:after="100"/>
      <w:ind w:left="240"/>
    </w:pPr>
  </w:style>
  <w:style w:type="character" w:styleId="Hyperlink">
    <w:name w:val="Hyperlink"/>
    <w:basedOn w:val="DefaultParagraphFont"/>
    <w:uiPriority w:val="99"/>
    <w:unhideWhenUsed/>
    <w:rsid w:val="00E12156"/>
    <w:rPr>
      <w:color w:val="0000FF" w:themeColor="hyperlink"/>
      <w:u w:val="single"/>
    </w:rPr>
  </w:style>
  <w:style w:type="paragraph" w:styleId="NormalWeb">
    <w:name w:val="Normal (Web)"/>
    <w:basedOn w:val="Normal"/>
    <w:uiPriority w:val="99"/>
    <w:unhideWhenUsed/>
    <w:rsid w:val="005C3E0F"/>
    <w:pPr>
      <w:spacing w:before="100" w:beforeAutospacing="1" w:after="100" w:afterAutospacing="1" w:line="240" w:lineRule="auto"/>
      <w:jc w:val="left"/>
    </w:pPr>
    <w:rPr>
      <w:rFonts w:ascii="Times New Roman" w:eastAsia="Times New Roman" w:hAnsi="Times New Roman" w:cs="Times New Roman"/>
    </w:rPr>
  </w:style>
  <w:style w:type="character" w:customStyle="1" w:styleId="url">
    <w:name w:val="url"/>
    <w:basedOn w:val="DefaultParagraphFont"/>
    <w:rsid w:val="005C3E0F"/>
  </w:style>
  <w:style w:type="table" w:styleId="TableGrid">
    <w:name w:val="Table Grid"/>
    <w:basedOn w:val="TableNormal"/>
    <w:uiPriority w:val="39"/>
    <w:rsid w:val="00C11CB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419542">
      <w:bodyDiv w:val="1"/>
      <w:marLeft w:val="0"/>
      <w:marRight w:val="0"/>
      <w:marTop w:val="0"/>
      <w:marBottom w:val="0"/>
      <w:divBdr>
        <w:top w:val="none" w:sz="0" w:space="0" w:color="auto"/>
        <w:left w:val="none" w:sz="0" w:space="0" w:color="auto"/>
        <w:bottom w:val="none" w:sz="0" w:space="0" w:color="auto"/>
        <w:right w:val="none" w:sz="0" w:space="0" w:color="auto"/>
      </w:divBdr>
    </w:div>
    <w:div w:id="599339926">
      <w:bodyDiv w:val="1"/>
      <w:marLeft w:val="0"/>
      <w:marRight w:val="0"/>
      <w:marTop w:val="0"/>
      <w:marBottom w:val="0"/>
      <w:divBdr>
        <w:top w:val="none" w:sz="0" w:space="0" w:color="auto"/>
        <w:left w:val="none" w:sz="0" w:space="0" w:color="auto"/>
        <w:bottom w:val="none" w:sz="0" w:space="0" w:color="auto"/>
        <w:right w:val="none" w:sz="0" w:space="0" w:color="auto"/>
      </w:divBdr>
      <w:divsChild>
        <w:div w:id="1044603742">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ssaho.2026.102909" TargetMode="External"/><Relationship Id="rId18" Type="http://schemas.openxmlformats.org/officeDocument/2006/relationships/hyperlink" Target="https://doi.org/10.1145/3372787.3390436" TargetMode="External"/><Relationship Id="rId26" Type="http://schemas.openxmlformats.org/officeDocument/2006/relationships/hyperlink" Target="https://doi.org/10.1016/j.ijhm.2020.102610" TargetMode="External"/><Relationship Id="rId39" Type="http://schemas.openxmlformats.org/officeDocument/2006/relationships/fontTable" Target="fontTable.xml"/><Relationship Id="rId21" Type="http://schemas.openxmlformats.org/officeDocument/2006/relationships/hyperlink" Target="https://doi.org/10.60079/ahrmr.v2i2.261" TargetMode="External"/><Relationship Id="rId34" Type="http://schemas.openxmlformats.org/officeDocument/2006/relationships/hyperlink" Target="https://doi.org/10.1080/23311975.2025.2560650" TargetMode="External"/><Relationship Id="rId7" Type="http://schemas.openxmlformats.org/officeDocument/2006/relationships/endnotes" Target="endnotes.xml"/><Relationship Id="rId12" Type="http://schemas.openxmlformats.org/officeDocument/2006/relationships/hyperlink" Target="https://doi.org/10.3389/feduc.2026.1871206" TargetMode="External"/><Relationship Id="rId17" Type="http://schemas.openxmlformats.org/officeDocument/2006/relationships/hyperlink" Target="https://doi.org/10.1177/0021886321991597" TargetMode="External"/><Relationship Id="rId25" Type="http://schemas.openxmlformats.org/officeDocument/2006/relationships/hyperlink" Target="https://doi.org/10.4018/979-8-3373-3104-1.ch001" TargetMode="External"/><Relationship Id="rId33" Type="http://schemas.openxmlformats.org/officeDocument/2006/relationships/hyperlink" Target="https://absel-ojs-ttu.tdl.org/absel/article/download/3458/3415" TargetMode="External"/><Relationship Id="rId38"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doi.org/10.1007/s10648-024-09925-7" TargetMode="External"/><Relationship Id="rId20" Type="http://schemas.openxmlformats.org/officeDocument/2006/relationships/hyperlink" Target="https://doi.org/10.1186/s41469-020-00087-8" TargetMode="External"/><Relationship Id="rId29" Type="http://schemas.openxmlformats.org/officeDocument/2006/relationships/hyperlink" Target="https://doi.org/10.3390/bs1406042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57/s41285-024-00214-5" TargetMode="External"/><Relationship Id="rId32" Type="http://schemas.openxmlformats.org/officeDocument/2006/relationships/hyperlink" Target="https://doi.org/10.2478/orga-2022-0012"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22441/indikator.v7i1.18405" TargetMode="External"/><Relationship Id="rId23" Type="http://schemas.openxmlformats.org/officeDocument/2006/relationships/hyperlink" Target="https://doi.org/10.56201/ijssmr.vol.11no10.2025.pg272.284" TargetMode="External"/><Relationship Id="rId28" Type="http://schemas.openxmlformats.org/officeDocument/2006/relationships/hyperlink" Target="https://doi.org/10.51192/jurnalmanajemenpendidikanislam.v5i2.2507" TargetMode="External"/><Relationship Id="rId36" Type="http://schemas.openxmlformats.org/officeDocument/2006/relationships/hyperlink" Target="https://doi.org/10.21474/ijar01/22168" TargetMode="External"/><Relationship Id="rId10" Type="http://schemas.openxmlformats.org/officeDocument/2006/relationships/image" Target="media/image3.jpeg"/><Relationship Id="rId19" Type="http://schemas.openxmlformats.org/officeDocument/2006/relationships/hyperlink" Target="https://doi.org/10.59857/vrxh4886" TargetMode="External"/><Relationship Id="rId31" Type="http://schemas.openxmlformats.org/officeDocument/2006/relationships/hyperlink" Target="https://doi.org/10.1016/j.techfore.2024.12351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apergo.2025.104604" TargetMode="External"/><Relationship Id="rId22" Type="http://schemas.openxmlformats.org/officeDocument/2006/relationships/hyperlink" Target="https://doi.org/10.32628/SHISRRJ" TargetMode="External"/><Relationship Id="rId27" Type="http://schemas.openxmlformats.org/officeDocument/2006/relationships/hyperlink" Target="https://www.ijerst.drmgrjournals.org/index.php/ijerst/article/download/122/143" TargetMode="External"/><Relationship Id="rId30" Type="http://schemas.openxmlformats.org/officeDocument/2006/relationships/hyperlink" Target="https://doi.org/10.3390/admsci14110301" TargetMode="External"/><Relationship Id="rId35" Type="http://schemas.openxmlformats.org/officeDocument/2006/relationships/hyperlink" Target="https://doi.org/10.1016/j.jbusres.2024.115163" TargetMode="Externa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370B0B-18F6-4E71-BE43-5EE90A13D8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4568</Words>
  <Characters>26039</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anjali karavadara</cp:lastModifiedBy>
  <cp:revision>6</cp:revision>
  <dcterms:created xsi:type="dcterms:W3CDTF">2026-10-13T20:40:00Z</dcterms:created>
  <dcterms:modified xsi:type="dcterms:W3CDTF">2026-10-14T11:35:00Z</dcterms:modified>
</cp:coreProperties>
</file>