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0D66A" w14:textId="319E5FDF" w:rsidR="001420BD" w:rsidRPr="00D115A5" w:rsidRDefault="001420BD" w:rsidP="001420BD">
      <w:pPr>
        <w:jc w:val="center"/>
        <w:rPr>
          <w:rFonts w:ascii="Arial" w:hAnsi="Arial" w:cs="Arial"/>
          <w:sz w:val="22"/>
          <w:szCs w:val="20"/>
        </w:rPr>
      </w:pPr>
      <w:r w:rsidRPr="00D115A5">
        <w:rPr>
          <w:rFonts w:ascii="Arial" w:hAnsi="Arial" w:cs="Arial"/>
        </w:rPr>
        <w:drawing>
          <wp:inline distT="0" distB="0" distL="0" distR="0" wp14:anchorId="23D0CA1A" wp14:editId="1BE603FD">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DB24849" w14:textId="77777777" w:rsidR="001420BD" w:rsidRPr="00D115A5" w:rsidRDefault="001420BD" w:rsidP="001420BD">
      <w:pPr>
        <w:jc w:val="center"/>
        <w:rPr>
          <w:rFonts w:ascii="Arial" w:hAnsi="Arial" w:cs="Arial"/>
          <w:sz w:val="22"/>
          <w:szCs w:val="20"/>
        </w:rPr>
      </w:pPr>
    </w:p>
    <w:p w14:paraId="73A41B83" w14:textId="3DE9E6CA" w:rsidR="001420BD" w:rsidRPr="00D115A5" w:rsidRDefault="001420BD" w:rsidP="001420BD">
      <w:pPr>
        <w:jc w:val="center"/>
        <w:rPr>
          <w:rFonts w:ascii="Arial" w:hAnsi="Arial" w:cs="Arial"/>
          <w:sz w:val="32"/>
          <w:szCs w:val="28"/>
          <w:lang w:val="en-US"/>
        </w:rPr>
      </w:pPr>
      <w:r w:rsidRPr="00D115A5">
        <w:rPr>
          <w:rFonts w:ascii="Arial" w:hAnsi="Arial" w:cs="Arial"/>
          <w:b/>
          <w:bCs/>
          <w:sz w:val="32"/>
          <w:szCs w:val="28"/>
          <w:lang w:val="en-US"/>
        </w:rPr>
        <w:t>Student Name:</w:t>
      </w:r>
      <w:r w:rsidRPr="00D115A5">
        <w:rPr>
          <w:rFonts w:ascii="Arial" w:hAnsi="Arial" w:cs="Arial"/>
          <w:sz w:val="32"/>
          <w:szCs w:val="28"/>
          <w:lang w:val="en-US"/>
        </w:rPr>
        <w:t xml:space="preserve"> </w:t>
      </w:r>
      <w:r w:rsidRPr="00D115A5">
        <w:rPr>
          <w:rFonts w:ascii="Arial" w:hAnsi="Arial" w:cs="Arial"/>
          <w:sz w:val="32"/>
          <w:szCs w:val="28"/>
        </w:rPr>
        <w:t>Celine Bena</w:t>
      </w:r>
    </w:p>
    <w:p w14:paraId="0EA34F0E" w14:textId="33AED219" w:rsidR="001420BD" w:rsidRPr="00D115A5" w:rsidRDefault="001420BD" w:rsidP="001420BD">
      <w:pPr>
        <w:jc w:val="center"/>
        <w:rPr>
          <w:rFonts w:ascii="Arial" w:hAnsi="Arial" w:cs="Arial"/>
          <w:b/>
          <w:bCs/>
          <w:sz w:val="32"/>
          <w:szCs w:val="28"/>
          <w:lang w:val="en-US"/>
        </w:rPr>
      </w:pPr>
      <w:r w:rsidRPr="00D115A5">
        <w:rPr>
          <w:rFonts w:ascii="Arial" w:hAnsi="Arial" w:cs="Arial"/>
          <w:b/>
          <w:bCs/>
          <w:sz w:val="32"/>
          <w:szCs w:val="28"/>
          <w:lang w:val="en-US"/>
        </w:rPr>
        <w:t>Student Number:</w:t>
      </w:r>
    </w:p>
    <w:p w14:paraId="47DE1D95" w14:textId="77777777" w:rsidR="001420BD" w:rsidRPr="00D115A5" w:rsidRDefault="001420BD" w:rsidP="001420BD">
      <w:pPr>
        <w:jc w:val="center"/>
        <w:rPr>
          <w:rFonts w:ascii="Arial" w:hAnsi="Arial" w:cs="Arial"/>
          <w:b/>
          <w:bCs/>
          <w:sz w:val="32"/>
          <w:szCs w:val="28"/>
          <w:lang w:val="en-US"/>
        </w:rPr>
      </w:pPr>
    </w:p>
    <w:p w14:paraId="37DC0736" w14:textId="2282D6B5" w:rsidR="001420BD" w:rsidRPr="00652DF2" w:rsidRDefault="001420BD" w:rsidP="001420BD">
      <w:pPr>
        <w:jc w:val="center"/>
        <w:rPr>
          <w:rFonts w:ascii="Arial" w:hAnsi="Arial" w:cs="Arial"/>
          <w:sz w:val="32"/>
          <w:szCs w:val="28"/>
          <w:lang w:val="en-US"/>
        </w:rPr>
      </w:pPr>
      <w:r w:rsidRPr="00652DF2">
        <w:rPr>
          <w:rFonts w:ascii="Arial" w:hAnsi="Arial" w:cs="Arial"/>
          <w:b/>
          <w:bCs/>
          <w:sz w:val="32"/>
          <w:szCs w:val="28"/>
          <w:lang w:val="en-US"/>
        </w:rPr>
        <w:t>Module Name:</w:t>
      </w:r>
      <w:r w:rsidRPr="00652DF2">
        <w:rPr>
          <w:rFonts w:ascii="Arial" w:hAnsi="Arial" w:cs="Arial"/>
          <w:sz w:val="32"/>
          <w:szCs w:val="28"/>
          <w:lang w:val="en-US"/>
        </w:rPr>
        <w:t xml:space="preserve"> </w:t>
      </w:r>
      <w:r w:rsidRPr="00652DF2">
        <w:rPr>
          <w:rFonts w:ascii="Arial" w:hAnsi="Arial" w:cs="Arial"/>
          <w:sz w:val="32"/>
          <w:szCs w:val="28"/>
        </w:rPr>
        <w:t>Health, Wellbeing and Sustainable Development</w:t>
      </w:r>
    </w:p>
    <w:p w14:paraId="3CBCCB06" w14:textId="77777777" w:rsidR="001420BD" w:rsidRDefault="001420BD" w:rsidP="001420BD">
      <w:pPr>
        <w:jc w:val="center"/>
        <w:rPr>
          <w:rFonts w:ascii="Arial" w:hAnsi="Arial" w:cs="Arial"/>
          <w:b/>
          <w:bCs/>
          <w:sz w:val="22"/>
          <w:szCs w:val="20"/>
          <w:lang w:val="en-US"/>
        </w:rPr>
      </w:pPr>
    </w:p>
    <w:p w14:paraId="6CC77DFA" w14:textId="77777777" w:rsidR="00652DF2" w:rsidRPr="00D115A5" w:rsidRDefault="00652DF2" w:rsidP="001420BD">
      <w:pPr>
        <w:jc w:val="center"/>
        <w:rPr>
          <w:rFonts w:ascii="Arial" w:hAnsi="Arial" w:cs="Arial"/>
          <w:b/>
          <w:bCs/>
          <w:sz w:val="22"/>
          <w:szCs w:val="20"/>
          <w:lang w:val="en-US"/>
        </w:rPr>
      </w:pPr>
    </w:p>
    <w:p w14:paraId="2F213A1D" w14:textId="2F21BF83" w:rsidR="001420BD" w:rsidRPr="00D115A5" w:rsidRDefault="001420BD" w:rsidP="001420BD">
      <w:pPr>
        <w:pStyle w:val="Title"/>
        <w:rPr>
          <w:rFonts w:ascii="Arial" w:hAnsi="Arial" w:cs="Arial"/>
          <w:lang w:val="en-US"/>
        </w:rPr>
      </w:pPr>
      <w:r w:rsidRPr="00D115A5">
        <w:rPr>
          <w:rFonts w:ascii="Arial" w:hAnsi="Arial" w:cs="Arial"/>
          <w:bCs/>
          <w:lang w:val="en-US"/>
        </w:rPr>
        <w:t>Assignment Title:</w:t>
      </w:r>
      <w:r w:rsidRPr="00D115A5">
        <w:rPr>
          <w:rFonts w:ascii="Arial" w:hAnsi="Arial" w:cs="Arial"/>
          <w:lang w:val="en-US"/>
        </w:rPr>
        <w:t xml:space="preserve"> </w:t>
      </w:r>
      <w:r w:rsidRPr="00D115A5">
        <w:rPr>
          <w:rFonts w:ascii="Arial" w:hAnsi="Arial" w:cs="Arial"/>
        </w:rPr>
        <w:t>Component 2: Written Assignment (Report)</w:t>
      </w:r>
    </w:p>
    <w:p w14:paraId="4B15BAE9" w14:textId="77777777" w:rsidR="001420BD" w:rsidRPr="00D115A5" w:rsidRDefault="001420BD" w:rsidP="001420BD">
      <w:pPr>
        <w:jc w:val="center"/>
        <w:rPr>
          <w:rFonts w:ascii="Arial" w:hAnsi="Arial" w:cs="Arial"/>
          <w:b/>
          <w:bCs/>
          <w:sz w:val="22"/>
          <w:szCs w:val="20"/>
          <w:lang w:val="en-US"/>
        </w:rPr>
      </w:pPr>
    </w:p>
    <w:p w14:paraId="5543781E" w14:textId="77777777" w:rsidR="001420BD" w:rsidRPr="00D115A5" w:rsidRDefault="001420BD" w:rsidP="001420BD">
      <w:pPr>
        <w:jc w:val="center"/>
        <w:rPr>
          <w:rFonts w:ascii="Arial" w:hAnsi="Arial" w:cs="Arial"/>
          <w:b/>
          <w:bCs/>
          <w:sz w:val="22"/>
          <w:szCs w:val="20"/>
          <w:lang w:val="en-US"/>
        </w:rPr>
      </w:pPr>
    </w:p>
    <w:p w14:paraId="30D7982A" w14:textId="1BB04B3F" w:rsidR="001420BD" w:rsidRPr="00D115A5" w:rsidRDefault="001420BD" w:rsidP="001420BD">
      <w:pPr>
        <w:jc w:val="center"/>
        <w:rPr>
          <w:rFonts w:ascii="Arial" w:hAnsi="Arial" w:cs="Arial"/>
          <w:sz w:val="22"/>
          <w:szCs w:val="20"/>
        </w:rPr>
      </w:pPr>
      <w:r w:rsidRPr="00D115A5">
        <w:rPr>
          <w:rFonts w:ascii="Arial" w:hAnsi="Arial" w:cs="Arial"/>
          <w:b/>
          <w:bCs/>
          <w:sz w:val="28"/>
          <w:szCs w:val="24"/>
          <w:lang w:val="en-US"/>
        </w:rPr>
        <w:t>Lecturer name</w:t>
      </w:r>
      <w:r w:rsidRPr="00D115A5">
        <w:rPr>
          <w:rFonts w:ascii="Arial" w:hAnsi="Arial" w:cs="Arial"/>
          <w:b/>
          <w:bCs/>
          <w:sz w:val="28"/>
          <w:szCs w:val="24"/>
        </w:rPr>
        <w:t>:</w:t>
      </w:r>
      <w:r w:rsidRPr="00D115A5">
        <w:rPr>
          <w:rFonts w:ascii="Arial" w:hAnsi="Arial" w:cs="Arial"/>
          <w:sz w:val="28"/>
          <w:szCs w:val="24"/>
        </w:rPr>
        <w:t xml:space="preserve"> Parese Ahmed, Philip Jones, Samuel Assan and Junaid Shaikh </w:t>
      </w:r>
      <w:r w:rsidRPr="00D115A5">
        <w:rPr>
          <w:rFonts w:ascii="Arial" w:hAnsi="Arial" w:cs="Arial"/>
          <w:sz w:val="22"/>
          <w:szCs w:val="20"/>
        </w:rPr>
        <w:t xml:space="preserve"> </w:t>
      </w:r>
      <w:r w:rsidRPr="00D115A5">
        <w:rPr>
          <w:rFonts w:ascii="Arial" w:hAnsi="Arial" w:cs="Arial"/>
          <w:sz w:val="22"/>
          <w:szCs w:val="20"/>
        </w:rPr>
        <w:br w:type="page"/>
      </w:r>
    </w:p>
    <w:sdt>
      <w:sdtPr>
        <w:rPr>
          <w:rFonts w:ascii="Arial" w:hAnsi="Arial" w:cs="Arial"/>
          <w:b/>
          <w:bCs/>
          <w:sz w:val="28"/>
          <w:szCs w:val="28"/>
        </w:rPr>
        <w:id w:val="-1288808177"/>
        <w:docPartObj>
          <w:docPartGallery w:val="Table of Contents"/>
          <w:docPartUnique/>
        </w:docPartObj>
      </w:sdtPr>
      <w:sdtEndPr>
        <w:rPr>
          <w:sz w:val="22"/>
          <w:szCs w:val="22"/>
        </w:rPr>
      </w:sdtEndPr>
      <w:sdtContent>
        <w:p w14:paraId="32CEA76D" w14:textId="47A1C31E" w:rsidR="001420BD" w:rsidRPr="00D115A5" w:rsidRDefault="001420BD" w:rsidP="00D115A5">
          <w:pPr>
            <w:spacing w:before="0" w:beforeAutospacing="0" w:after="0" w:afterAutospacing="0"/>
            <w:jc w:val="center"/>
            <w:rPr>
              <w:rFonts w:ascii="Arial" w:hAnsi="Arial" w:cs="Arial"/>
              <w:b/>
              <w:bCs/>
              <w:sz w:val="28"/>
              <w:szCs w:val="28"/>
            </w:rPr>
          </w:pPr>
          <w:r w:rsidRPr="00D115A5">
            <w:rPr>
              <w:rFonts w:ascii="Arial" w:hAnsi="Arial" w:cs="Arial"/>
              <w:b/>
              <w:bCs/>
              <w:sz w:val="28"/>
              <w:szCs w:val="28"/>
            </w:rPr>
            <w:t>Table of Contents</w:t>
          </w:r>
        </w:p>
        <w:p w14:paraId="69863D00" w14:textId="1E02B8C6" w:rsidR="00D115A5" w:rsidRPr="00D115A5" w:rsidRDefault="001420BD" w:rsidP="00D115A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r w:rsidRPr="00D115A5">
            <w:rPr>
              <w:rFonts w:ascii="Arial" w:hAnsi="Arial" w:cs="Arial"/>
              <w:sz w:val="22"/>
            </w:rPr>
            <w:fldChar w:fldCharType="begin"/>
          </w:r>
          <w:r w:rsidRPr="00D115A5">
            <w:rPr>
              <w:rFonts w:ascii="Arial" w:hAnsi="Arial" w:cs="Arial"/>
              <w:sz w:val="22"/>
            </w:rPr>
            <w:instrText xml:space="preserve"> TOC \o "1-3" \h \z \u </w:instrText>
          </w:r>
          <w:r w:rsidRPr="00D115A5">
            <w:rPr>
              <w:rFonts w:ascii="Arial" w:hAnsi="Arial" w:cs="Arial"/>
              <w:sz w:val="22"/>
            </w:rPr>
            <w:fldChar w:fldCharType="separate"/>
          </w:r>
          <w:hyperlink w:anchor="_Toc234505529" w:history="1">
            <w:r w:rsidR="00D115A5" w:rsidRPr="00D115A5">
              <w:rPr>
                <w:rStyle w:val="Hyperlink"/>
                <w:rFonts w:ascii="Arial" w:hAnsi="Arial" w:cs="Arial"/>
                <w:sz w:val="22"/>
              </w:rPr>
              <w:t>1. Introduction</w:t>
            </w:r>
            <w:r w:rsidR="00D115A5" w:rsidRPr="00D115A5">
              <w:rPr>
                <w:webHidden/>
                <w:sz w:val="22"/>
              </w:rPr>
              <w:tab/>
            </w:r>
            <w:r w:rsidR="00D115A5" w:rsidRPr="00D115A5">
              <w:rPr>
                <w:webHidden/>
                <w:sz w:val="22"/>
              </w:rPr>
              <w:fldChar w:fldCharType="begin"/>
            </w:r>
            <w:r w:rsidR="00D115A5" w:rsidRPr="00D115A5">
              <w:rPr>
                <w:webHidden/>
                <w:sz w:val="22"/>
              </w:rPr>
              <w:instrText xml:space="preserve"> PAGEREF _Toc234505529 \h </w:instrText>
            </w:r>
            <w:r w:rsidR="00D115A5" w:rsidRPr="00D115A5">
              <w:rPr>
                <w:webHidden/>
                <w:sz w:val="22"/>
              </w:rPr>
            </w:r>
            <w:r w:rsidR="00D115A5" w:rsidRPr="00D115A5">
              <w:rPr>
                <w:webHidden/>
                <w:sz w:val="22"/>
              </w:rPr>
              <w:fldChar w:fldCharType="separate"/>
            </w:r>
            <w:r w:rsidR="00D115A5" w:rsidRPr="00D115A5">
              <w:rPr>
                <w:webHidden/>
                <w:sz w:val="22"/>
              </w:rPr>
              <w:t>2</w:t>
            </w:r>
            <w:r w:rsidR="00D115A5" w:rsidRPr="00D115A5">
              <w:rPr>
                <w:webHidden/>
                <w:sz w:val="22"/>
              </w:rPr>
              <w:fldChar w:fldCharType="end"/>
            </w:r>
          </w:hyperlink>
        </w:p>
        <w:p w14:paraId="5DDF2860" w14:textId="1EBD7523" w:rsidR="00D115A5" w:rsidRPr="00D115A5" w:rsidRDefault="00D115A5" w:rsidP="00D115A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30" w:history="1">
            <w:r w:rsidRPr="00D115A5">
              <w:rPr>
                <w:rStyle w:val="Hyperlink"/>
                <w:rFonts w:ascii="Arial" w:hAnsi="Arial" w:cs="Arial"/>
                <w:sz w:val="22"/>
              </w:rPr>
              <w:t>2. Section 1: SDG 3 - Good Health and Wellbeing</w:t>
            </w:r>
            <w:r w:rsidRPr="00D115A5">
              <w:rPr>
                <w:webHidden/>
                <w:sz w:val="22"/>
              </w:rPr>
              <w:tab/>
            </w:r>
            <w:r w:rsidRPr="00D115A5">
              <w:rPr>
                <w:webHidden/>
                <w:sz w:val="22"/>
              </w:rPr>
              <w:fldChar w:fldCharType="begin"/>
            </w:r>
            <w:r w:rsidRPr="00D115A5">
              <w:rPr>
                <w:webHidden/>
                <w:sz w:val="22"/>
              </w:rPr>
              <w:instrText xml:space="preserve"> PAGEREF _Toc234505530 \h </w:instrText>
            </w:r>
            <w:r w:rsidRPr="00D115A5">
              <w:rPr>
                <w:webHidden/>
                <w:sz w:val="22"/>
              </w:rPr>
            </w:r>
            <w:r w:rsidRPr="00D115A5">
              <w:rPr>
                <w:webHidden/>
                <w:sz w:val="22"/>
              </w:rPr>
              <w:fldChar w:fldCharType="separate"/>
            </w:r>
            <w:r w:rsidRPr="00D115A5">
              <w:rPr>
                <w:webHidden/>
                <w:sz w:val="22"/>
              </w:rPr>
              <w:t>2</w:t>
            </w:r>
            <w:r w:rsidRPr="00D115A5">
              <w:rPr>
                <w:webHidden/>
                <w:sz w:val="22"/>
              </w:rPr>
              <w:fldChar w:fldCharType="end"/>
            </w:r>
          </w:hyperlink>
        </w:p>
        <w:p w14:paraId="551CE2FC" w14:textId="6736D584" w:rsidR="00D115A5" w:rsidRPr="00D115A5" w:rsidRDefault="00D115A5" w:rsidP="00D115A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31" w:history="1">
            <w:r w:rsidRPr="00D115A5">
              <w:rPr>
                <w:rStyle w:val="Hyperlink"/>
                <w:rFonts w:ascii="Arial" w:hAnsi="Arial" w:cs="Arial"/>
                <w:sz w:val="22"/>
              </w:rPr>
              <w:t>2.1 Overview of SDG 3</w:t>
            </w:r>
            <w:r w:rsidRPr="00D115A5">
              <w:rPr>
                <w:webHidden/>
                <w:sz w:val="22"/>
              </w:rPr>
              <w:tab/>
            </w:r>
            <w:r w:rsidRPr="00D115A5">
              <w:rPr>
                <w:webHidden/>
                <w:sz w:val="22"/>
              </w:rPr>
              <w:fldChar w:fldCharType="begin"/>
            </w:r>
            <w:r w:rsidRPr="00D115A5">
              <w:rPr>
                <w:webHidden/>
                <w:sz w:val="22"/>
              </w:rPr>
              <w:instrText xml:space="preserve"> PAGEREF _Toc234505531 \h </w:instrText>
            </w:r>
            <w:r w:rsidRPr="00D115A5">
              <w:rPr>
                <w:webHidden/>
                <w:sz w:val="22"/>
              </w:rPr>
            </w:r>
            <w:r w:rsidRPr="00D115A5">
              <w:rPr>
                <w:webHidden/>
                <w:sz w:val="22"/>
              </w:rPr>
              <w:fldChar w:fldCharType="separate"/>
            </w:r>
            <w:r w:rsidRPr="00D115A5">
              <w:rPr>
                <w:webHidden/>
                <w:sz w:val="22"/>
              </w:rPr>
              <w:t>2</w:t>
            </w:r>
            <w:r w:rsidRPr="00D115A5">
              <w:rPr>
                <w:webHidden/>
                <w:sz w:val="22"/>
              </w:rPr>
              <w:fldChar w:fldCharType="end"/>
            </w:r>
          </w:hyperlink>
        </w:p>
        <w:p w14:paraId="503CBDE7" w14:textId="3F3F8BA6" w:rsidR="00D115A5" w:rsidRPr="00D115A5" w:rsidRDefault="00D115A5" w:rsidP="00D115A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32" w:history="1">
            <w:r w:rsidRPr="00D115A5">
              <w:rPr>
                <w:rStyle w:val="Hyperlink"/>
                <w:rFonts w:ascii="Arial" w:hAnsi="Arial" w:cs="Arial"/>
                <w:sz w:val="22"/>
              </w:rPr>
              <w:t>2.2 Critical evaluation of global policies and initiatives</w:t>
            </w:r>
            <w:r w:rsidRPr="00D115A5">
              <w:rPr>
                <w:webHidden/>
                <w:sz w:val="22"/>
              </w:rPr>
              <w:tab/>
            </w:r>
            <w:r w:rsidRPr="00D115A5">
              <w:rPr>
                <w:webHidden/>
                <w:sz w:val="22"/>
              </w:rPr>
              <w:fldChar w:fldCharType="begin"/>
            </w:r>
            <w:r w:rsidRPr="00D115A5">
              <w:rPr>
                <w:webHidden/>
                <w:sz w:val="22"/>
              </w:rPr>
              <w:instrText xml:space="preserve"> PAGEREF _Toc234505532 \h </w:instrText>
            </w:r>
            <w:r w:rsidRPr="00D115A5">
              <w:rPr>
                <w:webHidden/>
                <w:sz w:val="22"/>
              </w:rPr>
            </w:r>
            <w:r w:rsidRPr="00D115A5">
              <w:rPr>
                <w:webHidden/>
                <w:sz w:val="22"/>
              </w:rPr>
              <w:fldChar w:fldCharType="separate"/>
            </w:r>
            <w:r w:rsidRPr="00D115A5">
              <w:rPr>
                <w:webHidden/>
                <w:sz w:val="22"/>
              </w:rPr>
              <w:t>2</w:t>
            </w:r>
            <w:r w:rsidRPr="00D115A5">
              <w:rPr>
                <w:webHidden/>
                <w:sz w:val="22"/>
              </w:rPr>
              <w:fldChar w:fldCharType="end"/>
            </w:r>
          </w:hyperlink>
        </w:p>
        <w:p w14:paraId="454E3763" w14:textId="5A1F6404" w:rsidR="00D115A5" w:rsidRPr="00D115A5" w:rsidRDefault="00D115A5" w:rsidP="00D115A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33" w:history="1">
            <w:r w:rsidRPr="00D115A5">
              <w:rPr>
                <w:rStyle w:val="Hyperlink"/>
                <w:rFonts w:ascii="Arial" w:hAnsi="Arial" w:cs="Arial"/>
                <w:sz w:val="22"/>
              </w:rPr>
              <w:t>2.3 Critical evaluation of national and local examples</w:t>
            </w:r>
            <w:r w:rsidRPr="00D115A5">
              <w:rPr>
                <w:webHidden/>
                <w:sz w:val="22"/>
              </w:rPr>
              <w:tab/>
            </w:r>
            <w:r w:rsidRPr="00D115A5">
              <w:rPr>
                <w:webHidden/>
                <w:sz w:val="22"/>
              </w:rPr>
              <w:fldChar w:fldCharType="begin"/>
            </w:r>
            <w:r w:rsidRPr="00D115A5">
              <w:rPr>
                <w:webHidden/>
                <w:sz w:val="22"/>
              </w:rPr>
              <w:instrText xml:space="preserve"> PAGEREF _Toc234505533 \h </w:instrText>
            </w:r>
            <w:r w:rsidRPr="00D115A5">
              <w:rPr>
                <w:webHidden/>
                <w:sz w:val="22"/>
              </w:rPr>
            </w:r>
            <w:r w:rsidRPr="00D115A5">
              <w:rPr>
                <w:webHidden/>
                <w:sz w:val="22"/>
              </w:rPr>
              <w:fldChar w:fldCharType="separate"/>
            </w:r>
            <w:r w:rsidRPr="00D115A5">
              <w:rPr>
                <w:webHidden/>
                <w:sz w:val="22"/>
              </w:rPr>
              <w:t>3</w:t>
            </w:r>
            <w:r w:rsidRPr="00D115A5">
              <w:rPr>
                <w:webHidden/>
                <w:sz w:val="22"/>
              </w:rPr>
              <w:fldChar w:fldCharType="end"/>
            </w:r>
          </w:hyperlink>
        </w:p>
        <w:p w14:paraId="64AF9D17" w14:textId="7B21676C" w:rsidR="00D115A5" w:rsidRPr="00D115A5" w:rsidRDefault="00D115A5" w:rsidP="00D115A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34" w:history="1">
            <w:r w:rsidRPr="00D115A5">
              <w:rPr>
                <w:rStyle w:val="Hyperlink"/>
                <w:rFonts w:ascii="Arial" w:hAnsi="Arial" w:cs="Arial"/>
                <w:sz w:val="22"/>
              </w:rPr>
              <w:t>2.4 Use of models incorporated into your evaluation</w:t>
            </w:r>
            <w:r w:rsidRPr="00D115A5">
              <w:rPr>
                <w:webHidden/>
                <w:sz w:val="22"/>
              </w:rPr>
              <w:tab/>
            </w:r>
            <w:r w:rsidRPr="00D115A5">
              <w:rPr>
                <w:webHidden/>
                <w:sz w:val="22"/>
              </w:rPr>
              <w:fldChar w:fldCharType="begin"/>
            </w:r>
            <w:r w:rsidRPr="00D115A5">
              <w:rPr>
                <w:webHidden/>
                <w:sz w:val="22"/>
              </w:rPr>
              <w:instrText xml:space="preserve"> PAGEREF _Toc234505534 \h </w:instrText>
            </w:r>
            <w:r w:rsidRPr="00D115A5">
              <w:rPr>
                <w:webHidden/>
                <w:sz w:val="22"/>
              </w:rPr>
            </w:r>
            <w:r w:rsidRPr="00D115A5">
              <w:rPr>
                <w:webHidden/>
                <w:sz w:val="22"/>
              </w:rPr>
              <w:fldChar w:fldCharType="separate"/>
            </w:r>
            <w:r w:rsidRPr="00D115A5">
              <w:rPr>
                <w:webHidden/>
                <w:sz w:val="22"/>
              </w:rPr>
              <w:t>4</w:t>
            </w:r>
            <w:r w:rsidRPr="00D115A5">
              <w:rPr>
                <w:webHidden/>
                <w:sz w:val="22"/>
              </w:rPr>
              <w:fldChar w:fldCharType="end"/>
            </w:r>
          </w:hyperlink>
        </w:p>
        <w:p w14:paraId="402A6A2D" w14:textId="76D19099" w:rsidR="00D115A5" w:rsidRPr="00D115A5" w:rsidRDefault="00D115A5" w:rsidP="00D115A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35" w:history="1">
            <w:r w:rsidRPr="00D115A5">
              <w:rPr>
                <w:rStyle w:val="Hyperlink"/>
                <w:rFonts w:ascii="Arial" w:hAnsi="Arial" w:cs="Arial"/>
                <w:sz w:val="22"/>
              </w:rPr>
              <w:t>2.5 Recommendations</w:t>
            </w:r>
            <w:r w:rsidRPr="00D115A5">
              <w:rPr>
                <w:webHidden/>
                <w:sz w:val="22"/>
              </w:rPr>
              <w:tab/>
            </w:r>
            <w:r w:rsidRPr="00D115A5">
              <w:rPr>
                <w:webHidden/>
                <w:sz w:val="22"/>
              </w:rPr>
              <w:fldChar w:fldCharType="begin"/>
            </w:r>
            <w:r w:rsidRPr="00D115A5">
              <w:rPr>
                <w:webHidden/>
                <w:sz w:val="22"/>
              </w:rPr>
              <w:instrText xml:space="preserve"> PAGEREF _Toc234505535 \h </w:instrText>
            </w:r>
            <w:r w:rsidRPr="00D115A5">
              <w:rPr>
                <w:webHidden/>
                <w:sz w:val="22"/>
              </w:rPr>
            </w:r>
            <w:r w:rsidRPr="00D115A5">
              <w:rPr>
                <w:webHidden/>
                <w:sz w:val="22"/>
              </w:rPr>
              <w:fldChar w:fldCharType="separate"/>
            </w:r>
            <w:r w:rsidRPr="00D115A5">
              <w:rPr>
                <w:webHidden/>
                <w:sz w:val="22"/>
              </w:rPr>
              <w:t>4</w:t>
            </w:r>
            <w:r w:rsidRPr="00D115A5">
              <w:rPr>
                <w:webHidden/>
                <w:sz w:val="22"/>
              </w:rPr>
              <w:fldChar w:fldCharType="end"/>
            </w:r>
          </w:hyperlink>
        </w:p>
        <w:p w14:paraId="36380CA0" w14:textId="3B409C39" w:rsidR="00D115A5" w:rsidRPr="00D115A5" w:rsidRDefault="00D115A5" w:rsidP="00D115A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36" w:history="1">
            <w:r w:rsidRPr="00D115A5">
              <w:rPr>
                <w:rStyle w:val="Hyperlink"/>
                <w:rFonts w:ascii="Arial" w:hAnsi="Arial" w:cs="Arial"/>
                <w:sz w:val="22"/>
              </w:rPr>
              <w:t>3. Section 2: Your Chosen SDG</w:t>
            </w:r>
            <w:r w:rsidRPr="00D115A5">
              <w:rPr>
                <w:webHidden/>
                <w:sz w:val="22"/>
              </w:rPr>
              <w:tab/>
            </w:r>
            <w:r w:rsidRPr="00D115A5">
              <w:rPr>
                <w:webHidden/>
                <w:sz w:val="22"/>
              </w:rPr>
              <w:fldChar w:fldCharType="begin"/>
            </w:r>
            <w:r w:rsidRPr="00D115A5">
              <w:rPr>
                <w:webHidden/>
                <w:sz w:val="22"/>
              </w:rPr>
              <w:instrText xml:space="preserve"> PAGEREF _Toc234505536 \h </w:instrText>
            </w:r>
            <w:r w:rsidRPr="00D115A5">
              <w:rPr>
                <w:webHidden/>
                <w:sz w:val="22"/>
              </w:rPr>
            </w:r>
            <w:r w:rsidRPr="00D115A5">
              <w:rPr>
                <w:webHidden/>
                <w:sz w:val="22"/>
              </w:rPr>
              <w:fldChar w:fldCharType="separate"/>
            </w:r>
            <w:r w:rsidRPr="00D115A5">
              <w:rPr>
                <w:webHidden/>
                <w:sz w:val="22"/>
              </w:rPr>
              <w:t>5</w:t>
            </w:r>
            <w:r w:rsidRPr="00D115A5">
              <w:rPr>
                <w:webHidden/>
                <w:sz w:val="22"/>
              </w:rPr>
              <w:fldChar w:fldCharType="end"/>
            </w:r>
          </w:hyperlink>
        </w:p>
        <w:p w14:paraId="1F492C85" w14:textId="39BFD263" w:rsidR="00D115A5" w:rsidRPr="00D115A5" w:rsidRDefault="00D115A5" w:rsidP="00D115A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37" w:history="1">
            <w:r w:rsidRPr="00D115A5">
              <w:rPr>
                <w:rStyle w:val="Hyperlink"/>
                <w:rFonts w:ascii="Arial" w:hAnsi="Arial" w:cs="Arial"/>
                <w:sz w:val="22"/>
              </w:rPr>
              <w:t>3.1 Overview of SDG 5</w:t>
            </w:r>
            <w:r w:rsidRPr="00D115A5">
              <w:rPr>
                <w:webHidden/>
                <w:sz w:val="22"/>
              </w:rPr>
              <w:tab/>
            </w:r>
            <w:r w:rsidRPr="00D115A5">
              <w:rPr>
                <w:webHidden/>
                <w:sz w:val="22"/>
              </w:rPr>
              <w:fldChar w:fldCharType="begin"/>
            </w:r>
            <w:r w:rsidRPr="00D115A5">
              <w:rPr>
                <w:webHidden/>
                <w:sz w:val="22"/>
              </w:rPr>
              <w:instrText xml:space="preserve"> PAGEREF _Toc234505537 \h </w:instrText>
            </w:r>
            <w:r w:rsidRPr="00D115A5">
              <w:rPr>
                <w:webHidden/>
                <w:sz w:val="22"/>
              </w:rPr>
            </w:r>
            <w:r w:rsidRPr="00D115A5">
              <w:rPr>
                <w:webHidden/>
                <w:sz w:val="22"/>
              </w:rPr>
              <w:fldChar w:fldCharType="separate"/>
            </w:r>
            <w:r w:rsidRPr="00D115A5">
              <w:rPr>
                <w:webHidden/>
                <w:sz w:val="22"/>
              </w:rPr>
              <w:t>5</w:t>
            </w:r>
            <w:r w:rsidRPr="00D115A5">
              <w:rPr>
                <w:webHidden/>
                <w:sz w:val="22"/>
              </w:rPr>
              <w:fldChar w:fldCharType="end"/>
            </w:r>
          </w:hyperlink>
        </w:p>
        <w:p w14:paraId="553DAE5A" w14:textId="34ABFC11" w:rsidR="00D115A5" w:rsidRPr="00D115A5" w:rsidRDefault="00D115A5" w:rsidP="00D115A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38" w:history="1">
            <w:r w:rsidRPr="00D115A5">
              <w:rPr>
                <w:rStyle w:val="Hyperlink"/>
                <w:rFonts w:ascii="Arial" w:hAnsi="Arial" w:cs="Arial"/>
                <w:sz w:val="22"/>
              </w:rPr>
              <w:t>3.2 Critical evaluation of global policies and initiatives</w:t>
            </w:r>
            <w:r w:rsidRPr="00D115A5">
              <w:rPr>
                <w:webHidden/>
                <w:sz w:val="22"/>
              </w:rPr>
              <w:tab/>
            </w:r>
            <w:r w:rsidRPr="00D115A5">
              <w:rPr>
                <w:webHidden/>
                <w:sz w:val="22"/>
              </w:rPr>
              <w:fldChar w:fldCharType="begin"/>
            </w:r>
            <w:r w:rsidRPr="00D115A5">
              <w:rPr>
                <w:webHidden/>
                <w:sz w:val="22"/>
              </w:rPr>
              <w:instrText xml:space="preserve"> PAGEREF _Toc234505538 \h </w:instrText>
            </w:r>
            <w:r w:rsidRPr="00D115A5">
              <w:rPr>
                <w:webHidden/>
                <w:sz w:val="22"/>
              </w:rPr>
            </w:r>
            <w:r w:rsidRPr="00D115A5">
              <w:rPr>
                <w:webHidden/>
                <w:sz w:val="22"/>
              </w:rPr>
              <w:fldChar w:fldCharType="separate"/>
            </w:r>
            <w:r w:rsidRPr="00D115A5">
              <w:rPr>
                <w:webHidden/>
                <w:sz w:val="22"/>
              </w:rPr>
              <w:t>5</w:t>
            </w:r>
            <w:r w:rsidRPr="00D115A5">
              <w:rPr>
                <w:webHidden/>
                <w:sz w:val="22"/>
              </w:rPr>
              <w:fldChar w:fldCharType="end"/>
            </w:r>
          </w:hyperlink>
        </w:p>
        <w:p w14:paraId="3A5689D6" w14:textId="11B5EB6E" w:rsidR="00D115A5" w:rsidRPr="00D115A5" w:rsidRDefault="00D115A5" w:rsidP="00D115A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39" w:history="1">
            <w:r w:rsidRPr="00D115A5">
              <w:rPr>
                <w:rStyle w:val="Hyperlink"/>
                <w:rFonts w:ascii="Arial" w:hAnsi="Arial" w:cs="Arial"/>
                <w:sz w:val="22"/>
              </w:rPr>
              <w:t>3.3 Critical evaluation of national and local examples</w:t>
            </w:r>
            <w:r w:rsidRPr="00D115A5">
              <w:rPr>
                <w:webHidden/>
                <w:sz w:val="22"/>
              </w:rPr>
              <w:tab/>
            </w:r>
            <w:r w:rsidRPr="00D115A5">
              <w:rPr>
                <w:webHidden/>
                <w:sz w:val="22"/>
              </w:rPr>
              <w:fldChar w:fldCharType="begin"/>
            </w:r>
            <w:r w:rsidRPr="00D115A5">
              <w:rPr>
                <w:webHidden/>
                <w:sz w:val="22"/>
              </w:rPr>
              <w:instrText xml:space="preserve"> PAGEREF _Toc234505539 \h </w:instrText>
            </w:r>
            <w:r w:rsidRPr="00D115A5">
              <w:rPr>
                <w:webHidden/>
                <w:sz w:val="22"/>
              </w:rPr>
            </w:r>
            <w:r w:rsidRPr="00D115A5">
              <w:rPr>
                <w:webHidden/>
                <w:sz w:val="22"/>
              </w:rPr>
              <w:fldChar w:fldCharType="separate"/>
            </w:r>
            <w:r w:rsidRPr="00D115A5">
              <w:rPr>
                <w:webHidden/>
                <w:sz w:val="22"/>
              </w:rPr>
              <w:t>6</w:t>
            </w:r>
            <w:r w:rsidRPr="00D115A5">
              <w:rPr>
                <w:webHidden/>
                <w:sz w:val="22"/>
              </w:rPr>
              <w:fldChar w:fldCharType="end"/>
            </w:r>
          </w:hyperlink>
        </w:p>
        <w:p w14:paraId="24F2BA19" w14:textId="54A194E3" w:rsidR="00D115A5" w:rsidRPr="00D115A5" w:rsidRDefault="00D115A5" w:rsidP="00D115A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40" w:history="1">
            <w:r w:rsidRPr="00D115A5">
              <w:rPr>
                <w:rStyle w:val="Hyperlink"/>
                <w:rFonts w:ascii="Arial" w:hAnsi="Arial" w:cs="Arial"/>
                <w:sz w:val="22"/>
              </w:rPr>
              <w:t>3.4 Use of models incorporated into your evaluation</w:t>
            </w:r>
            <w:r w:rsidRPr="00D115A5">
              <w:rPr>
                <w:webHidden/>
                <w:sz w:val="22"/>
              </w:rPr>
              <w:tab/>
            </w:r>
            <w:r w:rsidRPr="00D115A5">
              <w:rPr>
                <w:webHidden/>
                <w:sz w:val="22"/>
              </w:rPr>
              <w:fldChar w:fldCharType="begin"/>
            </w:r>
            <w:r w:rsidRPr="00D115A5">
              <w:rPr>
                <w:webHidden/>
                <w:sz w:val="22"/>
              </w:rPr>
              <w:instrText xml:space="preserve"> PAGEREF _Toc234505540 \h </w:instrText>
            </w:r>
            <w:r w:rsidRPr="00D115A5">
              <w:rPr>
                <w:webHidden/>
                <w:sz w:val="22"/>
              </w:rPr>
            </w:r>
            <w:r w:rsidRPr="00D115A5">
              <w:rPr>
                <w:webHidden/>
                <w:sz w:val="22"/>
              </w:rPr>
              <w:fldChar w:fldCharType="separate"/>
            </w:r>
            <w:r w:rsidRPr="00D115A5">
              <w:rPr>
                <w:webHidden/>
                <w:sz w:val="22"/>
              </w:rPr>
              <w:t>6</w:t>
            </w:r>
            <w:r w:rsidRPr="00D115A5">
              <w:rPr>
                <w:webHidden/>
                <w:sz w:val="22"/>
              </w:rPr>
              <w:fldChar w:fldCharType="end"/>
            </w:r>
          </w:hyperlink>
        </w:p>
        <w:p w14:paraId="0EDA2561" w14:textId="17C18CB2" w:rsidR="00D115A5" w:rsidRPr="00D115A5" w:rsidRDefault="00D115A5" w:rsidP="00D115A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41" w:history="1">
            <w:r w:rsidRPr="00D115A5">
              <w:rPr>
                <w:rStyle w:val="Hyperlink"/>
                <w:rFonts w:ascii="Arial" w:hAnsi="Arial" w:cs="Arial"/>
                <w:sz w:val="22"/>
              </w:rPr>
              <w:t>3.5 Recommendations</w:t>
            </w:r>
            <w:r w:rsidRPr="00D115A5">
              <w:rPr>
                <w:webHidden/>
                <w:sz w:val="22"/>
              </w:rPr>
              <w:tab/>
            </w:r>
            <w:r w:rsidRPr="00D115A5">
              <w:rPr>
                <w:webHidden/>
                <w:sz w:val="22"/>
              </w:rPr>
              <w:fldChar w:fldCharType="begin"/>
            </w:r>
            <w:r w:rsidRPr="00D115A5">
              <w:rPr>
                <w:webHidden/>
                <w:sz w:val="22"/>
              </w:rPr>
              <w:instrText xml:space="preserve"> PAGEREF _Toc234505541 \h </w:instrText>
            </w:r>
            <w:r w:rsidRPr="00D115A5">
              <w:rPr>
                <w:webHidden/>
                <w:sz w:val="22"/>
              </w:rPr>
            </w:r>
            <w:r w:rsidRPr="00D115A5">
              <w:rPr>
                <w:webHidden/>
                <w:sz w:val="22"/>
              </w:rPr>
              <w:fldChar w:fldCharType="separate"/>
            </w:r>
            <w:r w:rsidRPr="00D115A5">
              <w:rPr>
                <w:webHidden/>
                <w:sz w:val="22"/>
              </w:rPr>
              <w:t>7</w:t>
            </w:r>
            <w:r w:rsidRPr="00D115A5">
              <w:rPr>
                <w:webHidden/>
                <w:sz w:val="22"/>
              </w:rPr>
              <w:fldChar w:fldCharType="end"/>
            </w:r>
          </w:hyperlink>
        </w:p>
        <w:p w14:paraId="61D8BAF9" w14:textId="4F0FECF7" w:rsidR="00D115A5" w:rsidRPr="00D115A5" w:rsidRDefault="00D115A5" w:rsidP="00D115A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42" w:history="1">
            <w:r w:rsidRPr="00D115A5">
              <w:rPr>
                <w:rStyle w:val="Hyperlink"/>
                <w:rFonts w:ascii="Arial" w:hAnsi="Arial" w:cs="Arial"/>
                <w:sz w:val="22"/>
              </w:rPr>
              <w:t>4. Conclusion</w:t>
            </w:r>
            <w:r w:rsidRPr="00D115A5">
              <w:rPr>
                <w:webHidden/>
                <w:sz w:val="22"/>
              </w:rPr>
              <w:tab/>
            </w:r>
            <w:r w:rsidRPr="00D115A5">
              <w:rPr>
                <w:webHidden/>
                <w:sz w:val="22"/>
              </w:rPr>
              <w:fldChar w:fldCharType="begin"/>
            </w:r>
            <w:r w:rsidRPr="00D115A5">
              <w:rPr>
                <w:webHidden/>
                <w:sz w:val="22"/>
              </w:rPr>
              <w:instrText xml:space="preserve"> PAGEREF _Toc234505542 \h </w:instrText>
            </w:r>
            <w:r w:rsidRPr="00D115A5">
              <w:rPr>
                <w:webHidden/>
                <w:sz w:val="22"/>
              </w:rPr>
            </w:r>
            <w:r w:rsidRPr="00D115A5">
              <w:rPr>
                <w:webHidden/>
                <w:sz w:val="22"/>
              </w:rPr>
              <w:fldChar w:fldCharType="separate"/>
            </w:r>
            <w:r w:rsidRPr="00D115A5">
              <w:rPr>
                <w:webHidden/>
                <w:sz w:val="22"/>
              </w:rPr>
              <w:t>7</w:t>
            </w:r>
            <w:r w:rsidRPr="00D115A5">
              <w:rPr>
                <w:webHidden/>
                <w:sz w:val="22"/>
              </w:rPr>
              <w:fldChar w:fldCharType="end"/>
            </w:r>
          </w:hyperlink>
        </w:p>
        <w:p w14:paraId="5289E043" w14:textId="4E87A828" w:rsidR="00D115A5" w:rsidRPr="00D115A5" w:rsidRDefault="00D115A5" w:rsidP="00D115A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4505543" w:history="1">
            <w:r w:rsidRPr="00D115A5">
              <w:rPr>
                <w:rStyle w:val="Hyperlink"/>
                <w:rFonts w:ascii="Arial" w:hAnsi="Arial" w:cs="Arial"/>
                <w:sz w:val="22"/>
              </w:rPr>
              <w:t>References</w:t>
            </w:r>
            <w:r w:rsidRPr="00D115A5">
              <w:rPr>
                <w:webHidden/>
                <w:sz w:val="22"/>
              </w:rPr>
              <w:tab/>
            </w:r>
            <w:r w:rsidRPr="00D115A5">
              <w:rPr>
                <w:webHidden/>
                <w:sz w:val="22"/>
              </w:rPr>
              <w:fldChar w:fldCharType="begin"/>
            </w:r>
            <w:r w:rsidRPr="00D115A5">
              <w:rPr>
                <w:webHidden/>
                <w:sz w:val="22"/>
              </w:rPr>
              <w:instrText xml:space="preserve"> PAGEREF _Toc234505543 \h </w:instrText>
            </w:r>
            <w:r w:rsidRPr="00D115A5">
              <w:rPr>
                <w:webHidden/>
                <w:sz w:val="22"/>
              </w:rPr>
            </w:r>
            <w:r w:rsidRPr="00D115A5">
              <w:rPr>
                <w:webHidden/>
                <w:sz w:val="22"/>
              </w:rPr>
              <w:fldChar w:fldCharType="separate"/>
            </w:r>
            <w:r w:rsidRPr="00D115A5">
              <w:rPr>
                <w:webHidden/>
                <w:sz w:val="22"/>
              </w:rPr>
              <w:t>8</w:t>
            </w:r>
            <w:r w:rsidRPr="00D115A5">
              <w:rPr>
                <w:webHidden/>
                <w:sz w:val="22"/>
              </w:rPr>
              <w:fldChar w:fldCharType="end"/>
            </w:r>
          </w:hyperlink>
        </w:p>
        <w:p w14:paraId="3CF9C130" w14:textId="0E6D4335" w:rsidR="001420BD" w:rsidRPr="00D115A5" w:rsidRDefault="001420BD" w:rsidP="00D115A5">
          <w:pPr>
            <w:spacing w:before="0" w:beforeAutospacing="0" w:after="0" w:afterAutospacing="0"/>
            <w:rPr>
              <w:rFonts w:ascii="Arial" w:hAnsi="Arial" w:cs="Arial"/>
            </w:rPr>
          </w:pPr>
          <w:r w:rsidRPr="00D115A5">
            <w:rPr>
              <w:rFonts w:ascii="Arial" w:hAnsi="Arial" w:cs="Arial"/>
              <w:b/>
              <w:bCs/>
              <w:sz w:val="22"/>
            </w:rPr>
            <w:fldChar w:fldCharType="end"/>
          </w:r>
        </w:p>
      </w:sdtContent>
    </w:sdt>
    <w:p w14:paraId="4A63324F" w14:textId="1065B15C" w:rsidR="001420BD" w:rsidRPr="00D115A5" w:rsidRDefault="001420BD">
      <w:pPr>
        <w:rPr>
          <w:rFonts w:ascii="Arial" w:hAnsi="Arial" w:cs="Arial"/>
          <w:sz w:val="22"/>
          <w:szCs w:val="20"/>
        </w:rPr>
      </w:pPr>
      <w:r w:rsidRPr="00D115A5">
        <w:rPr>
          <w:rFonts w:ascii="Arial" w:hAnsi="Arial" w:cs="Arial"/>
          <w:sz w:val="22"/>
          <w:szCs w:val="20"/>
        </w:rPr>
        <w:br w:type="page"/>
      </w:r>
    </w:p>
    <w:p w14:paraId="0682ACF9" w14:textId="77777777" w:rsidR="001420BD" w:rsidRPr="00D115A5" w:rsidRDefault="001420BD" w:rsidP="001420BD">
      <w:pPr>
        <w:pStyle w:val="Heading1"/>
        <w:rPr>
          <w:rFonts w:ascii="Arial" w:hAnsi="Arial" w:cs="Arial"/>
        </w:rPr>
      </w:pPr>
      <w:bookmarkStart w:id="0" w:name="_Toc234505529"/>
      <w:r w:rsidRPr="00D115A5">
        <w:rPr>
          <w:rFonts w:ascii="Arial" w:hAnsi="Arial" w:cs="Arial"/>
        </w:rPr>
        <w:lastRenderedPageBreak/>
        <w:t>1. Introduction</w:t>
      </w:r>
      <w:bookmarkEnd w:id="0"/>
      <w:r w:rsidRPr="00D115A5">
        <w:rPr>
          <w:rFonts w:ascii="Arial" w:hAnsi="Arial" w:cs="Arial"/>
        </w:rPr>
        <w:t> </w:t>
      </w:r>
    </w:p>
    <w:p w14:paraId="5E3272F8" w14:textId="77777777" w:rsidR="001420BD" w:rsidRPr="00D115A5" w:rsidRDefault="001420BD" w:rsidP="001420BD">
      <w:pPr>
        <w:rPr>
          <w:rFonts w:ascii="Arial" w:hAnsi="Arial" w:cs="Arial"/>
          <w:sz w:val="22"/>
          <w:szCs w:val="20"/>
        </w:rPr>
      </w:pPr>
      <w:r w:rsidRPr="00D115A5">
        <w:rPr>
          <w:rFonts w:ascii="Arial" w:hAnsi="Arial" w:cs="Arial"/>
          <w:sz w:val="22"/>
          <w:szCs w:val="20"/>
        </w:rPr>
        <w:t>The present report aims at a critical assessment of the achievements towards the following two SDGs in the global region: SDG 3 (Good Health and Well-being) and SDG 5 (Gender Equality). It looks at gender equality and health &amp; wellbeing as both are closely related and part of the sustainable development in the world. In this Evaluation, the difference between global, national and local policy responses are analysed.</w:t>
      </w:r>
    </w:p>
    <w:p w14:paraId="50717BDE" w14:textId="77777777" w:rsidR="001420BD" w:rsidRPr="00D115A5" w:rsidRDefault="001420BD" w:rsidP="001420BD">
      <w:pPr>
        <w:rPr>
          <w:rFonts w:ascii="Arial" w:hAnsi="Arial" w:cs="Arial"/>
          <w:sz w:val="22"/>
          <w:szCs w:val="20"/>
        </w:rPr>
      </w:pPr>
      <w:r w:rsidRPr="00D115A5">
        <w:rPr>
          <w:rFonts w:ascii="Arial" w:hAnsi="Arial" w:cs="Arial"/>
          <w:sz w:val="22"/>
          <w:szCs w:val="20"/>
        </w:rPr>
        <w:t>The report will aim to review in detail the policies and initiatives that would contribute to the achievement of each global goal, in a critical way. Using genuine data sources supplied by the national and local governments, national and local examples are evaluated. Theoretical models that are relevant to the work are woven in to enhance analysis in each section. Based on these gaps and limitations, recommend some practice to meet the need.</w:t>
      </w:r>
    </w:p>
    <w:p w14:paraId="2CA9E371" w14:textId="13DEFA67" w:rsidR="001420BD" w:rsidRPr="00D115A5" w:rsidRDefault="001420BD" w:rsidP="001420BD">
      <w:pPr>
        <w:rPr>
          <w:rFonts w:ascii="Arial" w:hAnsi="Arial" w:cs="Arial"/>
          <w:sz w:val="22"/>
          <w:szCs w:val="20"/>
        </w:rPr>
      </w:pPr>
      <w:r w:rsidRPr="00D115A5">
        <w:rPr>
          <w:rFonts w:ascii="Arial" w:hAnsi="Arial" w:cs="Arial"/>
          <w:sz w:val="22"/>
          <w:szCs w:val="20"/>
        </w:rPr>
        <w:t>There are two main sections of the report that focus on SDG3 and then SDG5. There are critical evaluations of policies and examples in each section followed by an overview. A summary of the key findings from the two SDGs analysed are finally put together in the report.</w:t>
      </w:r>
    </w:p>
    <w:p w14:paraId="0C874031" w14:textId="77777777" w:rsidR="001420BD" w:rsidRPr="00D115A5" w:rsidRDefault="001420BD" w:rsidP="001420BD">
      <w:pPr>
        <w:pStyle w:val="Heading1"/>
        <w:rPr>
          <w:rFonts w:ascii="Arial" w:hAnsi="Arial" w:cs="Arial"/>
        </w:rPr>
      </w:pPr>
      <w:bookmarkStart w:id="1" w:name="_Toc234505530"/>
      <w:r w:rsidRPr="00D115A5">
        <w:rPr>
          <w:rFonts w:ascii="Arial" w:hAnsi="Arial" w:cs="Arial"/>
        </w:rPr>
        <w:t>2. Section 1: SDG 3 - Good Health and Wellbeing</w:t>
      </w:r>
      <w:bookmarkEnd w:id="1"/>
      <w:r w:rsidRPr="00D115A5">
        <w:rPr>
          <w:rFonts w:ascii="Arial" w:hAnsi="Arial" w:cs="Arial"/>
        </w:rPr>
        <w:t> </w:t>
      </w:r>
    </w:p>
    <w:p w14:paraId="3BB65EFC" w14:textId="77777777" w:rsidR="001420BD" w:rsidRPr="00D115A5" w:rsidRDefault="001420BD" w:rsidP="001420BD">
      <w:pPr>
        <w:pStyle w:val="Heading2"/>
        <w:rPr>
          <w:rFonts w:ascii="Arial" w:hAnsi="Arial" w:cs="Arial"/>
        </w:rPr>
      </w:pPr>
      <w:bookmarkStart w:id="2" w:name="_Toc234505531"/>
      <w:r w:rsidRPr="00D115A5">
        <w:rPr>
          <w:rFonts w:ascii="Arial" w:hAnsi="Arial" w:cs="Arial"/>
        </w:rPr>
        <w:t>2.1 Overview of SDG 3</w:t>
      </w:r>
      <w:bookmarkEnd w:id="2"/>
      <w:r w:rsidRPr="00D115A5">
        <w:rPr>
          <w:rFonts w:ascii="Arial" w:hAnsi="Arial" w:cs="Arial"/>
        </w:rPr>
        <w:t> </w:t>
      </w:r>
    </w:p>
    <w:p w14:paraId="5E66B273" w14:textId="6C38F7D0" w:rsidR="001420BD" w:rsidRPr="00D115A5" w:rsidRDefault="001420BD" w:rsidP="001420BD">
      <w:pPr>
        <w:rPr>
          <w:rFonts w:ascii="Arial" w:hAnsi="Arial" w:cs="Arial"/>
          <w:sz w:val="22"/>
          <w:szCs w:val="20"/>
        </w:rPr>
      </w:pPr>
      <w:r w:rsidRPr="00D115A5">
        <w:rPr>
          <w:rFonts w:ascii="Arial" w:hAnsi="Arial" w:cs="Arial"/>
          <w:sz w:val="22"/>
          <w:szCs w:val="20"/>
        </w:rPr>
        <w:t xml:space="preserve">SDG 3 is set to "Good health and wellbeing" which aims to make sure that everyone of all ages can have a healthy life. It is part of a United Nations member states' common agenda: the 2030 Agenda for Sustainable Development. There are multiple targets that make up the goal, such as the child mortality target, communicable disease target, etc., and maternal health (Singh </w:t>
      </w:r>
      <w:r w:rsidR="00652DF2" w:rsidRPr="00652DF2">
        <w:rPr>
          <w:rFonts w:ascii="Arial" w:hAnsi="Arial" w:cs="Arial"/>
          <w:i/>
          <w:iCs/>
          <w:sz w:val="22"/>
          <w:szCs w:val="20"/>
        </w:rPr>
        <w:t>et al</w:t>
      </w:r>
      <w:r w:rsidRPr="00D115A5">
        <w:rPr>
          <w:rFonts w:ascii="Arial" w:hAnsi="Arial" w:cs="Arial"/>
          <w:i/>
          <w:iCs/>
          <w:sz w:val="22"/>
          <w:szCs w:val="20"/>
        </w:rPr>
        <w:t>.</w:t>
      </w:r>
      <w:r w:rsidRPr="00D115A5">
        <w:rPr>
          <w:rFonts w:ascii="Arial" w:hAnsi="Arial" w:cs="Arial"/>
          <w:sz w:val="22"/>
          <w:szCs w:val="20"/>
        </w:rPr>
        <w:t xml:space="preserve">, 2025). Other topics covered include non-communicable diseases, mental health and universal health coverage. Within its scope are also the risk of substance abuse, road safety and environmental health. </w:t>
      </w:r>
    </w:p>
    <w:p w14:paraId="24D8DBDE" w14:textId="77777777" w:rsidR="001420BD" w:rsidRPr="00D115A5" w:rsidRDefault="001420BD" w:rsidP="001420BD">
      <w:pPr>
        <w:pStyle w:val="Heading2"/>
        <w:rPr>
          <w:rFonts w:ascii="Arial" w:hAnsi="Arial" w:cs="Arial"/>
        </w:rPr>
      </w:pPr>
      <w:bookmarkStart w:id="3" w:name="_Toc234505532"/>
      <w:r w:rsidRPr="00D115A5">
        <w:rPr>
          <w:rFonts w:ascii="Arial" w:hAnsi="Arial" w:cs="Arial"/>
        </w:rPr>
        <w:t>2.2 Critical evaluation of global policies and initiatives</w:t>
      </w:r>
      <w:bookmarkEnd w:id="3"/>
      <w:r w:rsidRPr="00D115A5">
        <w:rPr>
          <w:rFonts w:ascii="Arial" w:hAnsi="Arial" w:cs="Arial"/>
        </w:rPr>
        <w:t> </w:t>
      </w:r>
    </w:p>
    <w:p w14:paraId="2E779151" w14:textId="00C44F3A" w:rsidR="001420BD" w:rsidRPr="00D115A5" w:rsidRDefault="001420BD" w:rsidP="001420BD">
      <w:pPr>
        <w:rPr>
          <w:rFonts w:ascii="Arial" w:hAnsi="Arial" w:cs="Arial"/>
          <w:sz w:val="22"/>
          <w:szCs w:val="20"/>
        </w:rPr>
      </w:pPr>
      <w:r w:rsidRPr="00D115A5">
        <w:rPr>
          <w:rFonts w:ascii="Arial" w:hAnsi="Arial" w:cs="Arial"/>
          <w:sz w:val="22"/>
          <w:szCs w:val="20"/>
        </w:rPr>
        <w:t>The WHO SDG3 Global Action Plan was created, to make collaboration between multi-lateral agencies on health targets more powerful. The work on this centre is aligned with the work areas of primary health care systems, maternal and child health and non-communicable disease prevention (Leon and Xu, 2023). Multiple UN agencies, however, have historically not been coordinated which has resulted in a fault line in accountability towards implementation at country level</w:t>
      </w:r>
      <w:r w:rsidR="00956E9D">
        <w:rPr>
          <w:rFonts w:ascii="Arial" w:hAnsi="Arial" w:cs="Arial"/>
          <w:sz w:val="22"/>
          <w:szCs w:val="20"/>
        </w:rPr>
        <w:t xml:space="preserve"> </w:t>
      </w:r>
      <w:r w:rsidRPr="00D115A5">
        <w:rPr>
          <w:rFonts w:ascii="Arial" w:hAnsi="Arial" w:cs="Arial"/>
          <w:sz w:val="22"/>
          <w:szCs w:val="20"/>
        </w:rPr>
        <w:t xml:space="preserve">(Bruch </w:t>
      </w:r>
      <w:r w:rsidR="00652DF2" w:rsidRPr="00652DF2">
        <w:rPr>
          <w:rFonts w:ascii="Arial" w:hAnsi="Arial" w:cs="Arial"/>
          <w:i/>
          <w:iCs/>
          <w:sz w:val="22"/>
          <w:szCs w:val="20"/>
        </w:rPr>
        <w:t>et al</w:t>
      </w:r>
      <w:r w:rsidRPr="00D115A5">
        <w:rPr>
          <w:rFonts w:ascii="Arial" w:hAnsi="Arial" w:cs="Arial"/>
          <w:i/>
          <w:iCs/>
          <w:sz w:val="22"/>
          <w:szCs w:val="20"/>
        </w:rPr>
        <w:t>.</w:t>
      </w:r>
      <w:r w:rsidRPr="00D115A5">
        <w:rPr>
          <w:rFonts w:ascii="Arial" w:hAnsi="Arial" w:cs="Arial"/>
          <w:sz w:val="22"/>
          <w:szCs w:val="20"/>
        </w:rPr>
        <w:t xml:space="preserve">, 2024). The Framework Convention on Tobacco Control's impact </w:t>
      </w:r>
      <w:r w:rsidRPr="00D115A5">
        <w:rPr>
          <w:rFonts w:ascii="Arial" w:hAnsi="Arial" w:cs="Arial"/>
          <w:sz w:val="22"/>
          <w:szCs w:val="20"/>
        </w:rPr>
        <w:lastRenderedPageBreak/>
        <w:t xml:space="preserve">has bolstered the world's work to tackle risk factors for non-communicable disease. On the contrary, Matthes </w:t>
      </w:r>
      <w:r w:rsidR="00652DF2" w:rsidRPr="00652DF2">
        <w:rPr>
          <w:rFonts w:ascii="Arial" w:hAnsi="Arial" w:cs="Arial"/>
          <w:i/>
          <w:iCs/>
          <w:sz w:val="22"/>
          <w:szCs w:val="20"/>
        </w:rPr>
        <w:t>et al</w:t>
      </w:r>
      <w:r w:rsidRPr="00D115A5">
        <w:rPr>
          <w:rFonts w:ascii="Arial" w:hAnsi="Arial" w:cs="Arial"/>
          <w:sz w:val="22"/>
          <w:szCs w:val="20"/>
        </w:rPr>
        <w:t xml:space="preserve">., (2023) argued that there are great disparities in terms of the enforcement of the law and even in some regions, the enforcement process is still being hampered by lobbying from the tobacco industry. The UN programme on HIV/AIDS (UNAIDS) has done well in addressing issues concerning communicable diseases in the sense that funding mechanisms have been targeted (UNAIDS, 2023). WHO </w:t>
      </w:r>
      <w:r w:rsidR="00956E9D">
        <w:rPr>
          <w:rFonts w:ascii="Arial" w:hAnsi="Arial" w:cs="Arial"/>
          <w:sz w:val="22"/>
          <w:szCs w:val="20"/>
        </w:rPr>
        <w:t xml:space="preserve">considered in </w:t>
      </w:r>
      <w:r w:rsidRPr="00D115A5">
        <w:rPr>
          <w:rFonts w:ascii="Arial" w:hAnsi="Arial" w:cs="Arial"/>
          <w:sz w:val="22"/>
          <w:szCs w:val="20"/>
        </w:rPr>
        <w:t>address</w:t>
      </w:r>
      <w:r w:rsidR="00956E9D">
        <w:rPr>
          <w:rFonts w:ascii="Arial" w:hAnsi="Arial" w:cs="Arial"/>
          <w:sz w:val="22"/>
          <w:szCs w:val="20"/>
        </w:rPr>
        <w:t>ing</w:t>
      </w:r>
      <w:r w:rsidRPr="00D115A5">
        <w:rPr>
          <w:rFonts w:ascii="Arial" w:hAnsi="Arial" w:cs="Arial"/>
          <w:sz w:val="22"/>
          <w:szCs w:val="20"/>
        </w:rPr>
        <w:t xml:space="preserve"> neglected tropical diseases, which affect vulnerable groups in a vicious circle of inadequate provision of health services. Investment in primary care has become very important in the context of global summits where a commitment to offer health coverage for everyone is being reaffirmed (Frieden </w:t>
      </w:r>
      <w:r w:rsidR="00652DF2" w:rsidRPr="00652DF2">
        <w:rPr>
          <w:rFonts w:ascii="Arial" w:hAnsi="Arial" w:cs="Arial"/>
          <w:i/>
          <w:iCs/>
          <w:sz w:val="22"/>
          <w:szCs w:val="20"/>
        </w:rPr>
        <w:t>et al</w:t>
      </w:r>
      <w:r w:rsidRPr="00D115A5">
        <w:rPr>
          <w:rFonts w:ascii="Arial" w:hAnsi="Arial" w:cs="Arial"/>
          <w:sz w:val="22"/>
          <w:szCs w:val="20"/>
        </w:rPr>
        <w:t>., 2023). In many cases, the commitment of the summits does not translate into domestic policies of the country.</w:t>
      </w:r>
    </w:p>
    <w:p w14:paraId="3C0E96B6" w14:textId="77777777" w:rsidR="001420BD" w:rsidRPr="00D115A5" w:rsidRDefault="001420BD" w:rsidP="001420BD">
      <w:pPr>
        <w:pStyle w:val="Heading2"/>
        <w:rPr>
          <w:rFonts w:ascii="Arial" w:hAnsi="Arial" w:cs="Arial"/>
        </w:rPr>
      </w:pPr>
      <w:bookmarkStart w:id="4" w:name="_Toc234505533"/>
      <w:r w:rsidRPr="00D115A5">
        <w:rPr>
          <w:rFonts w:ascii="Arial" w:hAnsi="Arial" w:cs="Arial"/>
        </w:rPr>
        <w:t>2.3 Critical evaluation of national and local examples</w:t>
      </w:r>
      <w:bookmarkEnd w:id="4"/>
      <w:r w:rsidRPr="00D115A5">
        <w:rPr>
          <w:rFonts w:ascii="Arial" w:hAnsi="Arial" w:cs="Arial"/>
        </w:rPr>
        <w:t> </w:t>
      </w:r>
    </w:p>
    <w:p w14:paraId="16B88622" w14:textId="038B560F" w:rsidR="001420BD" w:rsidRPr="00D115A5" w:rsidRDefault="001420BD" w:rsidP="001420BD">
      <w:pPr>
        <w:rPr>
          <w:rFonts w:ascii="Arial" w:hAnsi="Arial" w:cs="Arial"/>
          <w:sz w:val="22"/>
          <w:szCs w:val="20"/>
        </w:rPr>
      </w:pPr>
      <w:r w:rsidRPr="00D115A5">
        <w:rPr>
          <w:rFonts w:ascii="Arial" w:hAnsi="Arial" w:cs="Arial"/>
          <w:sz w:val="22"/>
          <w:szCs w:val="20"/>
        </w:rPr>
        <w:t xml:space="preserve">The aim of universal health coverage has been sought in a concerted national health financing policy around the world. Around 4.6 billion people as of 2023 did not have full coverage (World Health Organization, 2025). On a global scale, the service coverage index has somewhat leveled off from 68 points in 2019 to 71 in 2023, however, </w:t>
      </w:r>
      <w:r w:rsidR="00956E9D">
        <w:rPr>
          <w:rFonts w:ascii="Arial" w:hAnsi="Arial" w:cs="Arial"/>
          <w:sz w:val="22"/>
          <w:szCs w:val="20"/>
        </w:rPr>
        <w:t xml:space="preserve">an indication of </w:t>
      </w:r>
      <w:r w:rsidRPr="00D115A5">
        <w:rPr>
          <w:rFonts w:ascii="Arial" w:hAnsi="Arial" w:cs="Arial"/>
          <w:sz w:val="22"/>
          <w:szCs w:val="20"/>
        </w:rPr>
        <w:t>a lack of progress in commitment in countries</w:t>
      </w:r>
      <w:r w:rsidR="00956E9D">
        <w:rPr>
          <w:rFonts w:ascii="Arial" w:hAnsi="Arial" w:cs="Arial"/>
          <w:sz w:val="22"/>
          <w:szCs w:val="20"/>
        </w:rPr>
        <w:t xml:space="preserve"> is observed</w:t>
      </w:r>
      <w:r w:rsidRPr="00D115A5">
        <w:rPr>
          <w:rFonts w:ascii="Arial" w:hAnsi="Arial" w:cs="Arial"/>
          <w:sz w:val="22"/>
          <w:szCs w:val="20"/>
        </w:rPr>
        <w:t>.</w:t>
      </w:r>
    </w:p>
    <w:p w14:paraId="3FFE7ACD" w14:textId="77777777" w:rsidR="001420BD" w:rsidRPr="00D115A5" w:rsidRDefault="001420BD" w:rsidP="001420BD">
      <w:pPr>
        <w:rPr>
          <w:rFonts w:ascii="Arial" w:hAnsi="Arial" w:cs="Arial"/>
          <w:sz w:val="22"/>
          <w:szCs w:val="20"/>
        </w:rPr>
      </w:pPr>
      <w:r w:rsidRPr="00D115A5">
        <w:rPr>
          <w:rFonts w:ascii="Arial" w:hAnsi="Arial" w:cs="Arial"/>
          <w:sz w:val="22"/>
          <w:szCs w:val="20"/>
        </w:rPr>
        <w:t>Within England the National Health Service is an example of applying the principles of the SDG 3 locally. SDG 3 is applied on the local level in the NHS in England. The health spending proportion of total GDP was 10.9% in 2023, in the UK (ONS, 2025). However, the public satisfaction data showed that although in 2025, 51% of the public were not satisfied with the service and 49% were satisfied. But, public satisfaction data revealed 51% dissatisfaction in 2025 showing that spending alone is not enough to meet the demands and expectations for service quality. </w:t>
      </w:r>
    </w:p>
    <w:p w14:paraId="20B9EA02" w14:textId="77777777" w:rsidR="001420BD" w:rsidRPr="00D115A5" w:rsidRDefault="001420BD" w:rsidP="001420BD">
      <w:pPr>
        <w:pStyle w:val="Heading2"/>
        <w:rPr>
          <w:rFonts w:ascii="Arial" w:hAnsi="Arial" w:cs="Arial"/>
        </w:rPr>
      </w:pPr>
      <w:bookmarkStart w:id="5" w:name="_Toc234505534"/>
      <w:r w:rsidRPr="00D115A5">
        <w:rPr>
          <w:rFonts w:ascii="Arial" w:hAnsi="Arial" w:cs="Arial"/>
        </w:rPr>
        <w:t>2.4 Use of models incorporated into your evaluation</w:t>
      </w:r>
      <w:bookmarkEnd w:id="5"/>
      <w:r w:rsidRPr="00D115A5">
        <w:rPr>
          <w:rFonts w:ascii="Arial" w:hAnsi="Arial" w:cs="Arial"/>
        </w:rPr>
        <w:t> </w:t>
      </w:r>
    </w:p>
    <w:p w14:paraId="175318E9" w14:textId="4DF11140" w:rsidR="001420BD" w:rsidRPr="00D115A5" w:rsidRDefault="001420BD" w:rsidP="001420BD">
      <w:pPr>
        <w:rPr>
          <w:rFonts w:ascii="Arial" w:hAnsi="Arial" w:cs="Arial"/>
          <w:sz w:val="22"/>
          <w:szCs w:val="20"/>
        </w:rPr>
      </w:pPr>
      <w:r w:rsidRPr="00D115A5">
        <w:rPr>
          <w:rFonts w:ascii="Arial" w:hAnsi="Arial" w:cs="Arial"/>
          <w:sz w:val="22"/>
          <w:szCs w:val="20"/>
        </w:rPr>
        <w:t xml:space="preserve">The social cognitive theory (Bandura) of behavior is an explanation of behavior arising from the interactions between personal, behavioural and environmental factors. It is based on three main constructs: self-efficacy, observational learning and reciprocal determinism. It works through the demonstration of confidence in health behaviours and/or through models of others (Wilkins </w:t>
      </w:r>
      <w:r w:rsidR="00652DF2" w:rsidRPr="00652DF2">
        <w:rPr>
          <w:rFonts w:ascii="Arial" w:hAnsi="Arial" w:cs="Arial"/>
          <w:i/>
          <w:iCs/>
          <w:sz w:val="22"/>
          <w:szCs w:val="20"/>
        </w:rPr>
        <w:t>et al</w:t>
      </w:r>
      <w:r w:rsidRPr="00D115A5">
        <w:rPr>
          <w:rFonts w:ascii="Arial" w:hAnsi="Arial" w:cs="Arial"/>
          <w:i/>
          <w:iCs/>
          <w:sz w:val="22"/>
          <w:szCs w:val="20"/>
        </w:rPr>
        <w:t>.</w:t>
      </w:r>
      <w:r w:rsidRPr="00D115A5">
        <w:rPr>
          <w:rFonts w:ascii="Arial" w:hAnsi="Arial" w:cs="Arial"/>
          <w:sz w:val="22"/>
          <w:szCs w:val="20"/>
        </w:rPr>
        <w:t xml:space="preserve">, 2022). </w:t>
      </w:r>
      <w:r w:rsidR="009D0F83" w:rsidRPr="009D0F83">
        <w:rPr>
          <w:rFonts w:ascii="Arial" w:hAnsi="Arial" w:cs="Arial"/>
          <w:sz w:val="22"/>
          <w:szCs w:val="20"/>
        </w:rPr>
        <w:t>Incorporation of self-efficacy came through the connection between lower preventive healthcare adoption among people and their lack of confidence in controlling their own health behaviors.</w:t>
      </w:r>
      <w:r w:rsidR="009D0F83">
        <w:rPr>
          <w:rFonts w:ascii="Arial" w:hAnsi="Arial" w:cs="Arial"/>
          <w:sz w:val="22"/>
          <w:szCs w:val="20"/>
        </w:rPr>
        <w:t xml:space="preserve"> </w:t>
      </w:r>
      <w:r w:rsidRPr="00D115A5">
        <w:rPr>
          <w:rFonts w:ascii="Arial" w:hAnsi="Arial" w:cs="Arial"/>
          <w:sz w:val="22"/>
          <w:szCs w:val="20"/>
        </w:rPr>
        <w:t xml:space="preserve">But an assumption that it makes is that agency can play in a structurally constrained environment without problem (Schürer, 2025). This theory threads </w:t>
      </w:r>
      <w:r w:rsidRPr="00D115A5">
        <w:rPr>
          <w:rFonts w:ascii="Arial" w:hAnsi="Arial" w:cs="Arial"/>
          <w:sz w:val="22"/>
          <w:szCs w:val="20"/>
        </w:rPr>
        <w:lastRenderedPageBreak/>
        <w:t>through SDG 3 and is correspondent with the explanations of behaviors regarding taking up health services.</w:t>
      </w:r>
    </w:p>
    <w:p w14:paraId="69EF4F60" w14:textId="60A06EC3" w:rsidR="001420BD" w:rsidRPr="00D115A5" w:rsidRDefault="001420BD" w:rsidP="001420BD">
      <w:pPr>
        <w:rPr>
          <w:rFonts w:ascii="Arial" w:hAnsi="Arial" w:cs="Arial"/>
          <w:sz w:val="22"/>
          <w:szCs w:val="20"/>
        </w:rPr>
      </w:pPr>
      <w:r w:rsidRPr="00D115A5">
        <w:rPr>
          <w:rFonts w:ascii="Arial" w:hAnsi="Arial" w:cs="Arial"/>
          <w:sz w:val="22"/>
          <w:szCs w:val="20"/>
        </w:rPr>
        <w:t xml:space="preserve">The Health Belief Model refers to the theory used to explain the reasons behind engaging and failing to engage in health-related behavior (Anokye </w:t>
      </w:r>
      <w:r w:rsidR="00652DF2" w:rsidRPr="00652DF2">
        <w:rPr>
          <w:rFonts w:ascii="Arial" w:hAnsi="Arial" w:cs="Arial"/>
          <w:i/>
          <w:iCs/>
          <w:sz w:val="22"/>
          <w:szCs w:val="20"/>
        </w:rPr>
        <w:t>et al</w:t>
      </w:r>
      <w:r w:rsidRPr="00D115A5">
        <w:rPr>
          <w:rFonts w:ascii="Arial" w:hAnsi="Arial" w:cs="Arial"/>
          <w:sz w:val="22"/>
          <w:szCs w:val="20"/>
        </w:rPr>
        <w:t xml:space="preserve">., 2023). The Health Belief Model includes the following components: susceptibility perception, threat perception, barriers and self-efficacy perception (Anokye </w:t>
      </w:r>
      <w:r w:rsidR="00652DF2" w:rsidRPr="00652DF2">
        <w:rPr>
          <w:rFonts w:ascii="Arial" w:hAnsi="Arial" w:cs="Arial"/>
          <w:i/>
          <w:iCs/>
          <w:sz w:val="22"/>
          <w:szCs w:val="20"/>
        </w:rPr>
        <w:t>et al</w:t>
      </w:r>
      <w:r w:rsidRPr="00D115A5">
        <w:rPr>
          <w:rFonts w:ascii="Arial" w:hAnsi="Arial" w:cs="Arial"/>
          <w:sz w:val="22"/>
          <w:szCs w:val="20"/>
        </w:rPr>
        <w:t xml:space="preserve">., 2023). </w:t>
      </w:r>
      <w:r w:rsidR="009D0F83" w:rsidRPr="009D0F83">
        <w:rPr>
          <w:rFonts w:ascii="Arial" w:hAnsi="Arial" w:cs="Arial"/>
          <w:sz w:val="22"/>
          <w:szCs w:val="20"/>
        </w:rPr>
        <w:t>Incorporation of perceived threat came through the explanation for dissatisfaction with the NHS in spite of huge funding, because patients underestimate the risks for themselves in absence of symptoms.</w:t>
      </w:r>
      <w:r w:rsidR="009D0F83">
        <w:rPr>
          <w:rFonts w:ascii="Arial" w:hAnsi="Arial" w:cs="Arial"/>
          <w:sz w:val="22"/>
          <w:szCs w:val="20"/>
        </w:rPr>
        <w:t xml:space="preserve"> </w:t>
      </w:r>
      <w:r w:rsidRPr="00D115A5">
        <w:rPr>
          <w:rFonts w:ascii="Arial" w:hAnsi="Arial" w:cs="Arial"/>
          <w:sz w:val="22"/>
          <w:szCs w:val="20"/>
        </w:rPr>
        <w:t xml:space="preserve">However, it does not consider the factors affecting decision-making processes in the emotional and cultural aspects (Ben-Arye </w:t>
      </w:r>
      <w:r w:rsidR="00652DF2" w:rsidRPr="00652DF2">
        <w:rPr>
          <w:rFonts w:ascii="Arial" w:hAnsi="Arial" w:cs="Arial"/>
          <w:i/>
          <w:iCs/>
          <w:sz w:val="22"/>
          <w:szCs w:val="20"/>
        </w:rPr>
        <w:t>et al</w:t>
      </w:r>
      <w:r w:rsidRPr="00D115A5">
        <w:rPr>
          <w:rFonts w:ascii="Arial" w:hAnsi="Arial" w:cs="Arial"/>
          <w:sz w:val="22"/>
          <w:szCs w:val="20"/>
        </w:rPr>
        <w:t>., 2024). This model is related to SDG 3, and helps to account for low uptake of preventive healthcare around the world.</w:t>
      </w:r>
    </w:p>
    <w:p w14:paraId="1CC50093" w14:textId="77777777" w:rsidR="001420BD" w:rsidRPr="00D115A5" w:rsidRDefault="001420BD" w:rsidP="001420BD">
      <w:pPr>
        <w:pStyle w:val="Heading2"/>
        <w:rPr>
          <w:rFonts w:ascii="Arial" w:hAnsi="Arial" w:cs="Arial"/>
        </w:rPr>
      </w:pPr>
      <w:bookmarkStart w:id="6" w:name="_Toc234505535"/>
      <w:r w:rsidRPr="00D115A5">
        <w:rPr>
          <w:rFonts w:ascii="Arial" w:hAnsi="Arial" w:cs="Arial"/>
        </w:rPr>
        <w:t>2.5 Recommendations</w:t>
      </w:r>
      <w:bookmarkEnd w:id="6"/>
    </w:p>
    <w:p w14:paraId="1A4DFC27" w14:textId="77777777" w:rsidR="00BF547D" w:rsidRPr="00BF547D" w:rsidRDefault="00BF547D" w:rsidP="00BF547D">
      <w:pPr>
        <w:numPr>
          <w:ilvl w:val="0"/>
          <w:numId w:val="1"/>
        </w:numPr>
        <w:rPr>
          <w:rFonts w:ascii="Arial" w:hAnsi="Arial" w:cs="Arial"/>
          <w:sz w:val="22"/>
          <w:szCs w:val="20"/>
        </w:rPr>
      </w:pPr>
      <w:r w:rsidRPr="00BF547D">
        <w:rPr>
          <w:rFonts w:ascii="Arial" w:hAnsi="Arial" w:cs="Arial"/>
          <w:sz w:val="22"/>
          <w:szCs w:val="20"/>
        </w:rPr>
        <w:t>Coordination mechanisms among different agencies can possibly substitute fragmented UN accountability systems that have weakened implementation efforts.</w:t>
      </w:r>
    </w:p>
    <w:p w14:paraId="3CCF34B7" w14:textId="15F0C445" w:rsidR="00BF547D" w:rsidRPr="00BF547D" w:rsidRDefault="00BF547D" w:rsidP="00BF547D">
      <w:pPr>
        <w:numPr>
          <w:ilvl w:val="0"/>
          <w:numId w:val="1"/>
        </w:numPr>
        <w:rPr>
          <w:rFonts w:ascii="Arial" w:hAnsi="Arial" w:cs="Arial"/>
          <w:sz w:val="22"/>
          <w:szCs w:val="20"/>
        </w:rPr>
      </w:pPr>
      <w:r w:rsidRPr="00BF547D">
        <w:rPr>
          <w:rFonts w:ascii="Arial" w:hAnsi="Arial" w:cs="Arial"/>
          <w:sz w:val="22"/>
          <w:szCs w:val="20"/>
        </w:rPr>
        <w:t>On the other hand, increased coordination can possibly impede decision-making processes since consensus building among several agencies is a process that takes time</w:t>
      </w:r>
      <w:r>
        <w:rPr>
          <w:rFonts w:ascii="Arial" w:hAnsi="Arial" w:cs="Arial"/>
          <w:sz w:val="22"/>
          <w:szCs w:val="20"/>
        </w:rPr>
        <w:t xml:space="preserve"> </w:t>
      </w:r>
      <w:r w:rsidRPr="00BF547D">
        <w:rPr>
          <w:rFonts w:ascii="Arial" w:hAnsi="Arial" w:cs="Arial"/>
          <w:sz w:val="22"/>
          <w:szCs w:val="20"/>
        </w:rPr>
        <w:t xml:space="preserve">(Bird </w:t>
      </w:r>
      <w:r w:rsidRPr="00BF547D">
        <w:rPr>
          <w:rFonts w:ascii="Arial" w:hAnsi="Arial" w:cs="Arial"/>
          <w:i/>
          <w:iCs/>
          <w:sz w:val="22"/>
          <w:szCs w:val="20"/>
        </w:rPr>
        <w:t>et al.</w:t>
      </w:r>
      <w:r w:rsidRPr="00BF547D">
        <w:rPr>
          <w:rFonts w:ascii="Arial" w:hAnsi="Arial" w:cs="Arial"/>
          <w:sz w:val="22"/>
          <w:szCs w:val="20"/>
        </w:rPr>
        <w:t>, 2025).</w:t>
      </w:r>
    </w:p>
    <w:p w14:paraId="7426346F" w14:textId="7A1D2DCE" w:rsidR="00BF547D" w:rsidRPr="00BF547D" w:rsidRDefault="00BF547D" w:rsidP="00BF547D">
      <w:pPr>
        <w:numPr>
          <w:ilvl w:val="0"/>
          <w:numId w:val="1"/>
        </w:numPr>
        <w:rPr>
          <w:rFonts w:ascii="Arial" w:hAnsi="Arial" w:cs="Arial"/>
          <w:sz w:val="22"/>
          <w:szCs w:val="20"/>
        </w:rPr>
      </w:pPr>
      <w:r w:rsidRPr="00BF547D">
        <w:rPr>
          <w:rFonts w:ascii="Arial" w:hAnsi="Arial" w:cs="Arial"/>
          <w:sz w:val="22"/>
          <w:szCs w:val="20"/>
        </w:rPr>
        <w:t>National financial targets for healthcare could fast-track efforts to bridge the 4.6 billion global shortfall</w:t>
      </w:r>
      <w:r>
        <w:rPr>
          <w:rFonts w:ascii="Arial" w:hAnsi="Arial" w:cs="Arial"/>
          <w:sz w:val="22"/>
          <w:szCs w:val="20"/>
        </w:rPr>
        <w:t xml:space="preserve"> </w:t>
      </w:r>
      <w:r w:rsidRPr="00BF547D">
        <w:rPr>
          <w:rFonts w:ascii="Arial" w:hAnsi="Arial" w:cs="Arial"/>
          <w:sz w:val="22"/>
          <w:szCs w:val="20"/>
        </w:rPr>
        <w:t xml:space="preserve">(Chaudhry </w:t>
      </w:r>
      <w:r w:rsidRPr="00BF547D">
        <w:rPr>
          <w:rFonts w:ascii="Arial" w:hAnsi="Arial" w:cs="Arial"/>
          <w:i/>
          <w:iCs/>
          <w:sz w:val="22"/>
          <w:szCs w:val="20"/>
        </w:rPr>
        <w:t>et al.</w:t>
      </w:r>
      <w:r w:rsidRPr="00BF547D">
        <w:rPr>
          <w:rFonts w:ascii="Arial" w:hAnsi="Arial" w:cs="Arial"/>
          <w:sz w:val="22"/>
          <w:szCs w:val="20"/>
        </w:rPr>
        <w:t>, 2025).</w:t>
      </w:r>
    </w:p>
    <w:p w14:paraId="78B66C00" w14:textId="77777777" w:rsidR="00BF547D" w:rsidRPr="00BF547D" w:rsidRDefault="00BF547D" w:rsidP="00BF547D">
      <w:pPr>
        <w:numPr>
          <w:ilvl w:val="0"/>
          <w:numId w:val="1"/>
        </w:numPr>
        <w:rPr>
          <w:rFonts w:ascii="Arial" w:hAnsi="Arial" w:cs="Arial"/>
          <w:sz w:val="22"/>
          <w:szCs w:val="20"/>
        </w:rPr>
      </w:pPr>
      <w:r w:rsidRPr="00BF547D">
        <w:rPr>
          <w:rFonts w:ascii="Arial" w:hAnsi="Arial" w:cs="Arial"/>
          <w:sz w:val="22"/>
          <w:szCs w:val="20"/>
        </w:rPr>
        <w:t>Binding targets can be counterproductive and reduce participation since countries would be hesitant to participate voluntarily.</w:t>
      </w:r>
    </w:p>
    <w:p w14:paraId="274BEE20" w14:textId="2E575F6B" w:rsidR="001420BD" w:rsidRPr="00BF547D" w:rsidRDefault="00BF547D" w:rsidP="00BF547D">
      <w:pPr>
        <w:numPr>
          <w:ilvl w:val="0"/>
          <w:numId w:val="1"/>
        </w:numPr>
        <w:rPr>
          <w:rFonts w:ascii="Arial" w:hAnsi="Arial" w:cs="Arial"/>
          <w:sz w:val="22"/>
          <w:szCs w:val="20"/>
        </w:rPr>
      </w:pPr>
      <w:r w:rsidRPr="00BF547D">
        <w:rPr>
          <w:rFonts w:ascii="Arial" w:hAnsi="Arial" w:cs="Arial"/>
          <w:sz w:val="22"/>
          <w:szCs w:val="20"/>
        </w:rPr>
        <w:t>Community-based care approaches can help resolve NHS dissatisfaction and achieve SDG 3 goals</w:t>
      </w:r>
      <w:r>
        <w:rPr>
          <w:rFonts w:ascii="Arial" w:hAnsi="Arial" w:cs="Arial"/>
          <w:sz w:val="22"/>
          <w:szCs w:val="20"/>
        </w:rPr>
        <w:t xml:space="preserve"> </w:t>
      </w:r>
      <w:r w:rsidRPr="00BF547D">
        <w:rPr>
          <w:rFonts w:ascii="Arial" w:hAnsi="Arial" w:cs="Arial"/>
          <w:sz w:val="22"/>
          <w:szCs w:val="20"/>
        </w:rPr>
        <w:t xml:space="preserve">. </w:t>
      </w:r>
    </w:p>
    <w:p w14:paraId="26FB1360" w14:textId="77777777" w:rsidR="001420BD" w:rsidRPr="00D115A5" w:rsidRDefault="001420BD" w:rsidP="001420BD">
      <w:pPr>
        <w:pStyle w:val="Heading1"/>
        <w:rPr>
          <w:rFonts w:ascii="Arial" w:hAnsi="Arial" w:cs="Arial"/>
        </w:rPr>
      </w:pPr>
      <w:bookmarkStart w:id="7" w:name="_Toc234505536"/>
      <w:r w:rsidRPr="00D115A5">
        <w:rPr>
          <w:rFonts w:ascii="Arial" w:hAnsi="Arial" w:cs="Arial"/>
        </w:rPr>
        <w:t>3. Section 2: Your Chosen SDG</w:t>
      </w:r>
      <w:bookmarkEnd w:id="7"/>
      <w:r w:rsidRPr="00D115A5">
        <w:rPr>
          <w:rFonts w:ascii="Arial" w:hAnsi="Arial" w:cs="Arial"/>
        </w:rPr>
        <w:t> </w:t>
      </w:r>
    </w:p>
    <w:p w14:paraId="092303E0" w14:textId="77777777" w:rsidR="001420BD" w:rsidRPr="00D115A5" w:rsidRDefault="001420BD" w:rsidP="001420BD">
      <w:pPr>
        <w:pStyle w:val="Heading2"/>
        <w:rPr>
          <w:rFonts w:ascii="Arial" w:hAnsi="Arial" w:cs="Arial"/>
        </w:rPr>
      </w:pPr>
      <w:bookmarkStart w:id="8" w:name="_Toc234505537"/>
      <w:r w:rsidRPr="00D115A5">
        <w:rPr>
          <w:rFonts w:ascii="Arial" w:hAnsi="Arial" w:cs="Arial"/>
        </w:rPr>
        <w:t>3.1 Overview of SDG 5</w:t>
      </w:r>
      <w:bookmarkEnd w:id="8"/>
      <w:r w:rsidRPr="00D115A5">
        <w:rPr>
          <w:rFonts w:ascii="Arial" w:hAnsi="Arial" w:cs="Arial"/>
        </w:rPr>
        <w:t> </w:t>
      </w:r>
    </w:p>
    <w:p w14:paraId="1F584C1E" w14:textId="062021F7" w:rsidR="001420BD" w:rsidRPr="00D115A5" w:rsidRDefault="001420BD" w:rsidP="001420BD">
      <w:pPr>
        <w:rPr>
          <w:rFonts w:ascii="Arial" w:hAnsi="Arial" w:cs="Arial"/>
          <w:sz w:val="22"/>
          <w:szCs w:val="20"/>
        </w:rPr>
      </w:pPr>
      <w:r w:rsidRPr="00D115A5">
        <w:rPr>
          <w:rFonts w:ascii="Arial" w:hAnsi="Arial" w:cs="Arial"/>
          <w:sz w:val="22"/>
          <w:szCs w:val="20"/>
        </w:rPr>
        <w:t xml:space="preserve">The fifth SDG is ‘Gender Equality' and the objective here is to attain gender equality and empower all women and girls around the globe (United Nations, 2026). The inclusion of SDG 5 in the 2030 Agenda for Sustainable Development has already been done by the members of the United Nations (United Nations, 2026). The objective tackles discrimination and violent behavior towards women, and harmful practices like early marriages. Women's leadership in society and their reproductive health rights are also being targeted and so is the unpaid care work. Other factors in this priority include economic factors, property ownership and access to </w:t>
      </w:r>
      <w:r w:rsidRPr="00D115A5">
        <w:rPr>
          <w:rFonts w:ascii="Arial" w:hAnsi="Arial" w:cs="Arial"/>
          <w:sz w:val="22"/>
          <w:szCs w:val="20"/>
        </w:rPr>
        <w:lastRenderedPageBreak/>
        <w:t xml:space="preserve">technology (Rocha-Meneses </w:t>
      </w:r>
      <w:r w:rsidR="00652DF2" w:rsidRPr="00652DF2">
        <w:rPr>
          <w:rFonts w:ascii="Arial" w:hAnsi="Arial" w:cs="Arial"/>
          <w:i/>
          <w:iCs/>
          <w:sz w:val="22"/>
          <w:szCs w:val="20"/>
        </w:rPr>
        <w:t>et al</w:t>
      </w:r>
      <w:r w:rsidRPr="00D115A5">
        <w:rPr>
          <w:rFonts w:ascii="Arial" w:hAnsi="Arial" w:cs="Arial"/>
          <w:sz w:val="22"/>
          <w:szCs w:val="20"/>
        </w:rPr>
        <w:t>., 2023). This objective underlines the importance of gender equality in relation to sustainable development in the world.</w:t>
      </w:r>
    </w:p>
    <w:p w14:paraId="196CE707" w14:textId="77777777" w:rsidR="001420BD" w:rsidRPr="00D115A5" w:rsidRDefault="001420BD" w:rsidP="001420BD">
      <w:pPr>
        <w:pStyle w:val="Heading2"/>
        <w:rPr>
          <w:rFonts w:ascii="Arial" w:hAnsi="Arial" w:cs="Arial"/>
        </w:rPr>
      </w:pPr>
      <w:bookmarkStart w:id="9" w:name="_Toc234505538"/>
      <w:r w:rsidRPr="00D115A5">
        <w:rPr>
          <w:rFonts w:ascii="Arial" w:hAnsi="Arial" w:cs="Arial"/>
        </w:rPr>
        <w:t>3.2 Critical evaluation of global policies and initiatives</w:t>
      </w:r>
      <w:bookmarkEnd w:id="9"/>
      <w:r w:rsidRPr="00D115A5">
        <w:rPr>
          <w:rFonts w:ascii="Arial" w:hAnsi="Arial" w:cs="Arial"/>
        </w:rPr>
        <w:t> </w:t>
      </w:r>
    </w:p>
    <w:p w14:paraId="01E7C001" w14:textId="40EDCDB1" w:rsidR="001420BD" w:rsidRPr="00D115A5" w:rsidRDefault="001420BD" w:rsidP="001420BD">
      <w:pPr>
        <w:rPr>
          <w:rFonts w:ascii="Arial" w:hAnsi="Arial" w:cs="Arial"/>
          <w:sz w:val="22"/>
          <w:szCs w:val="20"/>
        </w:rPr>
      </w:pPr>
      <w:r w:rsidRPr="00D115A5">
        <w:rPr>
          <w:rFonts w:ascii="Arial" w:hAnsi="Arial" w:cs="Arial"/>
          <w:sz w:val="22"/>
          <w:szCs w:val="20"/>
        </w:rPr>
        <w:t xml:space="preserve">The Convention on the Elimination of All Forms of Discrimination against WOMEN (1979) is an international framework. In 1995, the Beijing Declaration and Platform for Action recognized that women’s rights were human rights through the adoption of this document (United Nations, 1995). Nevertheless, 30 years later, there are still many countries where signatories to which place marriage and work are still barred. UN Women was created as the appropriate point to implement the SDG Gender Action Plan and has been made the main institution to implement gender equality measures on all the SDGs. Still, it relies on primarily voluntary contributions from its members to finance its programmes, putting a limit on programme scale around the world (UN Women, 2026). The partnership between the EU and UN has a partnership programme called Spotlight Initiative for the elimination of violence, worldwide. It is the largest coordinated effort, but requires an initial investment of only €500m, which is still small in comparison to the global need. Since the Beijing conference gender mainstreaming has been embraced as a strategic approach. </w:t>
      </w:r>
      <w:r w:rsidR="00956E9D">
        <w:rPr>
          <w:rFonts w:ascii="Arial" w:hAnsi="Arial" w:cs="Arial"/>
          <w:sz w:val="22"/>
          <w:szCs w:val="20"/>
        </w:rPr>
        <w:t xml:space="preserve">On the other hand, </w:t>
      </w:r>
      <w:r w:rsidRPr="00D115A5">
        <w:rPr>
          <w:rFonts w:ascii="Arial" w:hAnsi="Arial" w:cs="Arial"/>
          <w:sz w:val="22"/>
          <w:szCs w:val="20"/>
        </w:rPr>
        <w:t>UNiTE campaign is a 16 Days of Activism to raise awareness (UN Women, 2026). Meanwhile, with no supporting legislative changes, awareness lessons alone are only likely to leave in place deep-rooted structural discrimination.</w:t>
      </w:r>
    </w:p>
    <w:p w14:paraId="32BD8C47" w14:textId="77777777" w:rsidR="001420BD" w:rsidRPr="00D115A5" w:rsidRDefault="001420BD" w:rsidP="001420BD">
      <w:pPr>
        <w:pStyle w:val="Heading2"/>
        <w:rPr>
          <w:rFonts w:ascii="Arial" w:hAnsi="Arial" w:cs="Arial"/>
        </w:rPr>
      </w:pPr>
      <w:bookmarkStart w:id="10" w:name="_Toc234505539"/>
      <w:r w:rsidRPr="00D115A5">
        <w:rPr>
          <w:rFonts w:ascii="Arial" w:hAnsi="Arial" w:cs="Arial"/>
        </w:rPr>
        <w:t>3.3 Critical evaluation of national and local examples</w:t>
      </w:r>
      <w:bookmarkEnd w:id="10"/>
    </w:p>
    <w:p w14:paraId="2CBB5630" w14:textId="77777777" w:rsidR="001420BD" w:rsidRPr="00D115A5" w:rsidRDefault="001420BD" w:rsidP="001420BD">
      <w:pPr>
        <w:rPr>
          <w:rFonts w:ascii="Arial" w:hAnsi="Arial" w:cs="Arial"/>
          <w:sz w:val="22"/>
          <w:szCs w:val="20"/>
        </w:rPr>
      </w:pPr>
      <w:r w:rsidRPr="00D115A5">
        <w:rPr>
          <w:rFonts w:ascii="Arial" w:hAnsi="Arial" w:cs="Arial"/>
          <w:sz w:val="22"/>
          <w:szCs w:val="20"/>
        </w:rPr>
        <w:t>The wage disparity among male and female employees has been an enduring challenge to SDG 5 around the world. However, since 2015, the disparity has decreased marginally, which indicates that the intervention measures taken have not been sufficient enough to close the gap of 18%. The wage disparity is earned by females, which is $0.82 : $1 in 2026 (Payscale, 2025). This corresponds to an 18% pay gap between these jobs which is not accounted for by control when segmented by industry. This is the main gap identified that demonstrates the lack of effective implementation of equal pay provisions in a number of countries' legislation.</w:t>
      </w:r>
    </w:p>
    <w:p w14:paraId="29E64A7A" w14:textId="77777777" w:rsidR="001420BD" w:rsidRPr="00D115A5" w:rsidRDefault="001420BD" w:rsidP="001420BD">
      <w:pPr>
        <w:rPr>
          <w:rFonts w:ascii="Arial" w:hAnsi="Arial" w:cs="Arial"/>
          <w:sz w:val="22"/>
          <w:szCs w:val="20"/>
        </w:rPr>
      </w:pPr>
      <w:r w:rsidRPr="00D115A5">
        <w:rPr>
          <w:rFonts w:ascii="Arial" w:hAnsi="Arial" w:cs="Arial"/>
          <w:sz w:val="22"/>
          <w:szCs w:val="20"/>
        </w:rPr>
        <w:t>The graph indicates place-based approach towards SDG 5 goals in England, which is demonstrated with regard to UK gender pay gap. Yet, the graph went up to 12.8% upon taking into account part-time workers, which proves the point of lack of measures to address occupational segregation. The gap was 6.9% for those working on a full time basis in April 2025 (ONS, 2025). It is only marginally lower than the 7.1% recorded in April 2024. Yet, the figure went up to 12.8% upon taking into account part-time workers.</w:t>
      </w:r>
    </w:p>
    <w:p w14:paraId="02C3F866" w14:textId="77777777" w:rsidR="001420BD" w:rsidRPr="00D115A5" w:rsidRDefault="001420BD" w:rsidP="001420BD">
      <w:pPr>
        <w:pStyle w:val="Heading2"/>
        <w:rPr>
          <w:rFonts w:ascii="Arial" w:hAnsi="Arial" w:cs="Arial"/>
        </w:rPr>
      </w:pPr>
      <w:bookmarkStart w:id="11" w:name="_Toc234505540"/>
      <w:r w:rsidRPr="00D115A5">
        <w:rPr>
          <w:rFonts w:ascii="Arial" w:hAnsi="Arial" w:cs="Arial"/>
        </w:rPr>
        <w:lastRenderedPageBreak/>
        <w:t>3.4 Use of models incorporated into your evaluation</w:t>
      </w:r>
      <w:bookmarkEnd w:id="11"/>
    </w:p>
    <w:p w14:paraId="331D1EDF" w14:textId="3A37689A" w:rsidR="001420BD" w:rsidRPr="00D115A5" w:rsidRDefault="001420BD" w:rsidP="001420BD">
      <w:pPr>
        <w:rPr>
          <w:rFonts w:ascii="Arial" w:hAnsi="Arial" w:cs="Arial"/>
          <w:sz w:val="22"/>
          <w:szCs w:val="20"/>
        </w:rPr>
      </w:pPr>
      <w:r w:rsidRPr="00D115A5">
        <w:rPr>
          <w:rFonts w:ascii="Arial" w:hAnsi="Arial" w:cs="Arial"/>
          <w:sz w:val="22"/>
          <w:szCs w:val="20"/>
        </w:rPr>
        <w:t xml:space="preserve">Empowerment is an empowerment process as per Kabeer that consists of three interrelated aspects, namely, Communal, Individual, and Sexual. These include: resources, agency, and accomplishments within social structures. </w:t>
      </w:r>
      <w:r w:rsidR="009D0F83" w:rsidRPr="009D0F83">
        <w:rPr>
          <w:rFonts w:ascii="Arial" w:hAnsi="Arial" w:cs="Arial"/>
          <w:sz w:val="22"/>
          <w:szCs w:val="20"/>
        </w:rPr>
        <w:t>Incorporation of agency was done via the connection between the gender pay gap on the world scale and lack of decision-making capabilities of women within workplaces.</w:t>
      </w:r>
      <w:r w:rsidR="009D0F83">
        <w:rPr>
          <w:rFonts w:ascii="Arial" w:hAnsi="Arial" w:cs="Arial"/>
          <w:sz w:val="22"/>
          <w:szCs w:val="20"/>
        </w:rPr>
        <w:t xml:space="preserve"> </w:t>
      </w:r>
      <w:r w:rsidRPr="00D115A5">
        <w:rPr>
          <w:rFonts w:ascii="Arial" w:hAnsi="Arial" w:cs="Arial"/>
          <w:sz w:val="22"/>
          <w:szCs w:val="20"/>
        </w:rPr>
        <w:t xml:space="preserve">The barriers to women staying in places where they do not have any 'real choices' are shown using this model. Nevertheless, there has been difficulty in empirical measurement of the agency in different cultures (Cavazzoni </w:t>
      </w:r>
      <w:r w:rsidR="00652DF2" w:rsidRPr="00652DF2">
        <w:rPr>
          <w:rFonts w:ascii="Arial" w:hAnsi="Arial" w:cs="Arial"/>
          <w:i/>
          <w:iCs/>
          <w:sz w:val="22"/>
          <w:szCs w:val="20"/>
        </w:rPr>
        <w:t>et al</w:t>
      </w:r>
      <w:r w:rsidRPr="00D115A5">
        <w:rPr>
          <w:rFonts w:ascii="Arial" w:hAnsi="Arial" w:cs="Arial"/>
          <w:sz w:val="22"/>
          <w:szCs w:val="20"/>
        </w:rPr>
        <w:t>., 2021). The model is directly linked with the progress indicators of SDG 5, which emphasize economic empowerment.</w:t>
      </w:r>
    </w:p>
    <w:p w14:paraId="7F36253B" w14:textId="2CD1FF38" w:rsidR="001420BD" w:rsidRPr="00D115A5" w:rsidRDefault="001420BD" w:rsidP="001420BD">
      <w:pPr>
        <w:rPr>
          <w:rFonts w:ascii="Arial" w:hAnsi="Arial" w:cs="Arial"/>
          <w:sz w:val="22"/>
          <w:szCs w:val="20"/>
        </w:rPr>
      </w:pPr>
      <w:r w:rsidRPr="00D115A5">
        <w:rPr>
          <w:rFonts w:ascii="Arial" w:hAnsi="Arial" w:cs="Arial"/>
          <w:sz w:val="22"/>
          <w:szCs w:val="20"/>
        </w:rPr>
        <w:t>The Cultural Dimensions Theory of Hofstede investigates the values of the workplace and society in view of the impact that the national culture has. It is the masculinity/femininity index that is most important for gender studies (Kirwa, 2025).</w:t>
      </w:r>
      <w:r w:rsidR="009D0F83">
        <w:rPr>
          <w:rFonts w:ascii="Arial" w:hAnsi="Arial" w:cs="Arial"/>
          <w:sz w:val="22"/>
          <w:szCs w:val="20"/>
        </w:rPr>
        <w:t xml:space="preserve"> </w:t>
      </w:r>
      <w:r w:rsidR="009D0F83" w:rsidRPr="009D0F83">
        <w:rPr>
          <w:rFonts w:ascii="Arial" w:hAnsi="Arial" w:cs="Arial"/>
          <w:sz w:val="22"/>
          <w:szCs w:val="20"/>
        </w:rPr>
        <w:t>Masculinity/femininity index incorporation came via explanation of persistence of occupational segregation in the UK, caused by cultural perception of competitiveness over caretaking.</w:t>
      </w:r>
      <w:r w:rsidR="009D0F83">
        <w:rPr>
          <w:rFonts w:ascii="Arial" w:hAnsi="Arial" w:cs="Arial"/>
          <w:sz w:val="22"/>
          <w:szCs w:val="20"/>
        </w:rPr>
        <w:t xml:space="preserve"> </w:t>
      </w:r>
      <w:r w:rsidRPr="00D115A5">
        <w:rPr>
          <w:rFonts w:ascii="Arial" w:hAnsi="Arial" w:cs="Arial"/>
          <w:sz w:val="22"/>
          <w:szCs w:val="20"/>
        </w:rPr>
        <w:t xml:space="preserve">But its drawback is to reduce cultures to a single numerical value. This model is related to SDG 5, by depicting some cultural obstacles facing Gender Equality in the world (Valduga </w:t>
      </w:r>
      <w:r w:rsidR="00652DF2" w:rsidRPr="00652DF2">
        <w:rPr>
          <w:rFonts w:ascii="Arial" w:hAnsi="Arial" w:cs="Arial"/>
          <w:i/>
          <w:iCs/>
          <w:sz w:val="22"/>
          <w:szCs w:val="20"/>
        </w:rPr>
        <w:t>et al</w:t>
      </w:r>
      <w:r w:rsidRPr="00D115A5">
        <w:rPr>
          <w:rFonts w:ascii="Arial" w:hAnsi="Arial" w:cs="Arial"/>
          <w:i/>
          <w:iCs/>
          <w:sz w:val="22"/>
          <w:szCs w:val="20"/>
        </w:rPr>
        <w:t>.</w:t>
      </w:r>
      <w:r w:rsidRPr="00D115A5">
        <w:rPr>
          <w:rFonts w:ascii="Arial" w:hAnsi="Arial" w:cs="Arial"/>
          <w:sz w:val="22"/>
          <w:szCs w:val="20"/>
        </w:rPr>
        <w:t>, 2023).</w:t>
      </w:r>
    </w:p>
    <w:p w14:paraId="5B3F3F91" w14:textId="77777777" w:rsidR="001420BD" w:rsidRPr="00D115A5" w:rsidRDefault="001420BD" w:rsidP="001420BD">
      <w:pPr>
        <w:pStyle w:val="Heading2"/>
        <w:rPr>
          <w:rFonts w:ascii="Arial" w:hAnsi="Arial" w:cs="Arial"/>
        </w:rPr>
      </w:pPr>
      <w:bookmarkStart w:id="12" w:name="_Toc234505541"/>
      <w:r w:rsidRPr="00D115A5">
        <w:rPr>
          <w:rFonts w:ascii="Arial" w:hAnsi="Arial" w:cs="Arial"/>
        </w:rPr>
        <w:t>3.5 Recommendations</w:t>
      </w:r>
      <w:bookmarkEnd w:id="12"/>
    </w:p>
    <w:p w14:paraId="0E0D1B5D" w14:textId="3B789DC9" w:rsidR="00BF547D" w:rsidRPr="00BF547D" w:rsidRDefault="00BF547D" w:rsidP="00BF547D">
      <w:pPr>
        <w:pStyle w:val="ListParagraph"/>
        <w:numPr>
          <w:ilvl w:val="0"/>
          <w:numId w:val="3"/>
        </w:numPr>
        <w:rPr>
          <w:rFonts w:ascii="Arial" w:hAnsi="Arial" w:cs="Arial"/>
          <w:sz w:val="22"/>
          <w:szCs w:val="20"/>
        </w:rPr>
      </w:pPr>
      <w:r w:rsidRPr="00BF547D">
        <w:rPr>
          <w:rFonts w:ascii="Arial" w:hAnsi="Arial" w:cs="Arial"/>
          <w:sz w:val="22"/>
          <w:szCs w:val="20"/>
        </w:rPr>
        <w:t>Binding compliance systems may possibly serve to substitute for the voluntary system used by CEDAW</w:t>
      </w:r>
      <w:r>
        <w:rPr>
          <w:rFonts w:ascii="Arial" w:hAnsi="Arial" w:cs="Arial"/>
          <w:sz w:val="22"/>
          <w:szCs w:val="20"/>
        </w:rPr>
        <w:t xml:space="preserve"> </w:t>
      </w:r>
      <w:r w:rsidRPr="00BF547D">
        <w:rPr>
          <w:rFonts w:ascii="Arial" w:hAnsi="Arial" w:cs="Arial"/>
          <w:sz w:val="22"/>
          <w:szCs w:val="20"/>
        </w:rPr>
        <w:t>(Connley, 2026)</w:t>
      </w:r>
    </w:p>
    <w:p w14:paraId="27DF6B85" w14:textId="77777777" w:rsidR="00BF547D" w:rsidRPr="00BF547D" w:rsidRDefault="00BF547D" w:rsidP="00BF547D">
      <w:pPr>
        <w:pStyle w:val="ListParagraph"/>
        <w:numPr>
          <w:ilvl w:val="0"/>
          <w:numId w:val="3"/>
        </w:numPr>
        <w:rPr>
          <w:rFonts w:ascii="Arial" w:hAnsi="Arial" w:cs="Arial"/>
          <w:sz w:val="22"/>
          <w:szCs w:val="20"/>
        </w:rPr>
      </w:pPr>
      <w:r w:rsidRPr="00BF547D">
        <w:rPr>
          <w:rFonts w:ascii="Arial" w:hAnsi="Arial" w:cs="Arial"/>
          <w:sz w:val="22"/>
          <w:szCs w:val="20"/>
        </w:rPr>
        <w:t>However, binding compliance systems may be counterproductive because some governments may choose to back out than comply with the rules.</w:t>
      </w:r>
    </w:p>
    <w:p w14:paraId="412C91A7" w14:textId="77777777" w:rsidR="00BF547D" w:rsidRPr="00BF547D" w:rsidRDefault="00BF547D" w:rsidP="00BF547D">
      <w:pPr>
        <w:pStyle w:val="ListParagraph"/>
        <w:numPr>
          <w:ilvl w:val="0"/>
          <w:numId w:val="3"/>
        </w:numPr>
        <w:rPr>
          <w:rFonts w:ascii="Arial" w:hAnsi="Arial" w:cs="Arial"/>
          <w:sz w:val="22"/>
          <w:szCs w:val="20"/>
        </w:rPr>
      </w:pPr>
      <w:r w:rsidRPr="00BF547D">
        <w:rPr>
          <w:rFonts w:ascii="Arial" w:hAnsi="Arial" w:cs="Arial"/>
          <w:sz w:val="22"/>
          <w:szCs w:val="20"/>
        </w:rPr>
        <w:t>Compulsory laws on pay transparency will help close the existing 18% gender pay gap in the world.</w:t>
      </w:r>
    </w:p>
    <w:p w14:paraId="65DC8051" w14:textId="4B7E3EE3" w:rsidR="00BF547D" w:rsidRPr="00BF547D" w:rsidRDefault="00BF547D" w:rsidP="00BF547D">
      <w:pPr>
        <w:pStyle w:val="ListParagraph"/>
        <w:numPr>
          <w:ilvl w:val="0"/>
          <w:numId w:val="3"/>
        </w:numPr>
        <w:rPr>
          <w:rFonts w:ascii="Arial" w:hAnsi="Arial" w:cs="Arial"/>
          <w:sz w:val="22"/>
          <w:szCs w:val="20"/>
        </w:rPr>
      </w:pPr>
      <w:r w:rsidRPr="00BF547D">
        <w:rPr>
          <w:rFonts w:ascii="Arial" w:hAnsi="Arial" w:cs="Arial"/>
          <w:sz w:val="22"/>
          <w:szCs w:val="20"/>
        </w:rPr>
        <w:t>On the contrary, pay transparency may not achieve anything significant since funds will not be put towards solving the problem</w:t>
      </w:r>
      <w:r>
        <w:rPr>
          <w:rFonts w:ascii="Arial" w:hAnsi="Arial" w:cs="Arial"/>
          <w:sz w:val="22"/>
          <w:szCs w:val="20"/>
        </w:rPr>
        <w:t xml:space="preserve"> </w:t>
      </w:r>
      <w:r w:rsidRPr="00BF547D">
        <w:rPr>
          <w:rFonts w:ascii="Arial" w:hAnsi="Arial" w:cs="Arial"/>
          <w:sz w:val="22"/>
          <w:szCs w:val="20"/>
        </w:rPr>
        <w:t>(Quisumbing, 2025).</w:t>
      </w:r>
    </w:p>
    <w:p w14:paraId="6FD9BD3B" w14:textId="57339CA9" w:rsidR="00BF547D" w:rsidRPr="00BF547D" w:rsidRDefault="00BF547D" w:rsidP="00BF547D">
      <w:pPr>
        <w:pStyle w:val="ListParagraph"/>
        <w:numPr>
          <w:ilvl w:val="0"/>
          <w:numId w:val="3"/>
        </w:numPr>
        <w:rPr>
          <w:rFonts w:ascii="Arial" w:hAnsi="Arial" w:cs="Arial"/>
          <w:sz w:val="22"/>
          <w:szCs w:val="20"/>
        </w:rPr>
      </w:pPr>
      <w:r w:rsidRPr="00BF547D">
        <w:rPr>
          <w:rFonts w:ascii="Arial" w:hAnsi="Arial" w:cs="Arial"/>
          <w:sz w:val="22"/>
          <w:szCs w:val="20"/>
        </w:rPr>
        <w:t>Flexible working systems may help to lower occupational segregation in the UK in line with SDG 5.</w:t>
      </w:r>
    </w:p>
    <w:p w14:paraId="6702D6D6" w14:textId="77777777" w:rsidR="001420BD" w:rsidRPr="00D115A5" w:rsidRDefault="001420BD" w:rsidP="001420BD">
      <w:pPr>
        <w:pStyle w:val="Heading1"/>
        <w:spacing w:before="100" w:after="100"/>
        <w:rPr>
          <w:rFonts w:ascii="Arial" w:hAnsi="Arial" w:cs="Arial"/>
        </w:rPr>
      </w:pPr>
      <w:bookmarkStart w:id="13" w:name="_Toc234505542"/>
      <w:r w:rsidRPr="00D115A5">
        <w:rPr>
          <w:rFonts w:ascii="Arial" w:hAnsi="Arial" w:cs="Arial"/>
        </w:rPr>
        <w:t>4. Conclusion</w:t>
      </w:r>
      <w:bookmarkEnd w:id="13"/>
    </w:p>
    <w:p w14:paraId="72F8AD2D"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This report looked at, critically engaged and reflected SDG3 and SDG5 both at the global, national, and local levels with the use of examples. The worldwide statistics indicated that 4.6 </w:t>
      </w:r>
      <w:r w:rsidRPr="00D115A5">
        <w:rPr>
          <w:rFonts w:ascii="Arial" w:hAnsi="Arial" w:cs="Arial"/>
          <w:sz w:val="22"/>
          <w:szCs w:val="20"/>
        </w:rPr>
        <w:lastRenderedPageBreak/>
        <w:t>billion people did not have access to good health facilities and that there was a global gender pay gap of 18%. The staff at the local level at the NHS was found to be not satisfactory with 51% dissatisfaction ratings from the public and the staff at the NHS in the UK had a gender pay gap of 6.9%.</w:t>
      </w:r>
    </w:p>
    <w:p w14:paraId="49188498" w14:textId="77777777" w:rsidR="001420BD" w:rsidRPr="00D115A5" w:rsidRDefault="001420BD" w:rsidP="001420BD">
      <w:pPr>
        <w:rPr>
          <w:rFonts w:ascii="Arial" w:hAnsi="Arial" w:cs="Arial"/>
          <w:sz w:val="22"/>
          <w:szCs w:val="20"/>
        </w:rPr>
      </w:pPr>
      <w:r w:rsidRPr="00D115A5">
        <w:rPr>
          <w:rFonts w:ascii="Arial" w:hAnsi="Arial" w:cs="Arial"/>
          <w:sz w:val="22"/>
          <w:szCs w:val="20"/>
        </w:rPr>
        <w:t>Insufficient funding, cultural norms and structural inequality are both cited as barriers, albeit interconnected, in achieving both of these goals. Theoretical frameworks, such as Kabeer's Framework and Hofstede's Cultural Dimensions (1980's) emphasized the reasons for the lack of unfolding of progress around the world. Limitations found in each model confirmed the importance of making policy decisions that were sensitive to local contexts.</w:t>
      </w:r>
    </w:p>
    <w:p w14:paraId="2851DEE1" w14:textId="4484D102" w:rsidR="001420BD" w:rsidRPr="00D115A5" w:rsidRDefault="001420BD">
      <w:pPr>
        <w:rPr>
          <w:rFonts w:ascii="Arial" w:hAnsi="Arial" w:cs="Arial"/>
          <w:sz w:val="22"/>
          <w:szCs w:val="20"/>
        </w:rPr>
      </w:pPr>
      <w:r w:rsidRPr="00D115A5">
        <w:rPr>
          <w:rFonts w:ascii="Arial" w:hAnsi="Arial" w:cs="Arial"/>
          <w:sz w:val="22"/>
          <w:szCs w:val="20"/>
        </w:rPr>
        <w:t xml:space="preserve">Overall, these results indicate that a synergistic effect among the various categories of sustainable development (health and gender equality) is needed in order to foster sustainable development. Their implementation is twofold and no one can be separate from the other, as both are embedded in the 2030 Agenda. </w:t>
      </w:r>
    </w:p>
    <w:p w14:paraId="0D1B619F" w14:textId="77777777" w:rsidR="001420BD" w:rsidRPr="00D115A5" w:rsidRDefault="001420BD">
      <w:pPr>
        <w:rPr>
          <w:rFonts w:ascii="Arial" w:hAnsi="Arial" w:cs="Arial"/>
          <w:sz w:val="22"/>
          <w:szCs w:val="20"/>
        </w:rPr>
      </w:pPr>
      <w:r w:rsidRPr="00D115A5">
        <w:rPr>
          <w:rFonts w:ascii="Arial" w:hAnsi="Arial" w:cs="Arial"/>
          <w:sz w:val="22"/>
          <w:szCs w:val="20"/>
        </w:rPr>
        <w:br w:type="page"/>
      </w:r>
    </w:p>
    <w:p w14:paraId="16654F28" w14:textId="2FE0BECD" w:rsidR="0018111A" w:rsidRPr="00D115A5" w:rsidRDefault="001420BD" w:rsidP="001420BD">
      <w:pPr>
        <w:pStyle w:val="Heading1"/>
        <w:rPr>
          <w:rFonts w:ascii="Arial" w:hAnsi="Arial" w:cs="Arial"/>
        </w:rPr>
      </w:pPr>
      <w:bookmarkStart w:id="14" w:name="_Toc234505543"/>
      <w:r w:rsidRPr="00D115A5">
        <w:rPr>
          <w:rFonts w:ascii="Arial" w:hAnsi="Arial" w:cs="Arial"/>
        </w:rPr>
        <w:lastRenderedPageBreak/>
        <w:t>References</w:t>
      </w:r>
      <w:bookmarkEnd w:id="14"/>
    </w:p>
    <w:p w14:paraId="53F3A7B3"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Andrew, L., Hassan, S.S., Ibrahim, W.M.F.W., Abidin, R.A.Z. and Nor, N.H.M. (2026) “Unshackling the Feet: A Narrative Synthesis of Women’s Empowerment and Entrepreneurship Through Kabeer’s Triadic Framework,” </w:t>
      </w:r>
      <w:r w:rsidRPr="00D115A5">
        <w:rPr>
          <w:rFonts w:ascii="Arial" w:hAnsi="Arial" w:cs="Arial"/>
          <w:i/>
          <w:iCs/>
          <w:sz w:val="22"/>
          <w:szCs w:val="20"/>
        </w:rPr>
        <w:t>International Journal of Research and Innovation in Social Science</w:t>
      </w:r>
      <w:r w:rsidRPr="00D115A5">
        <w:rPr>
          <w:rFonts w:ascii="Arial" w:hAnsi="Arial" w:cs="Arial"/>
          <w:sz w:val="22"/>
          <w:szCs w:val="20"/>
        </w:rPr>
        <w:t>, 10(5), pp. 9057–9071. Available at: https://doi.org/10.47772/IJRISS.2026.100500607.</w:t>
      </w:r>
    </w:p>
    <w:p w14:paraId="45755D69"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Anokye, R., Jackson, B., Dimmock, J., Dickson, J.M., Kennedy, M.A., Schultz, C.J., Blekkenhorst, L.C., Hodgson, J.M., Stanley, M. and Lewis, J.R. (2023) “Impact of vascular screening interventions on perceived threat, efficacy beliefs and behavioural intentions: A systematic narrative review,” </w:t>
      </w:r>
      <w:r w:rsidRPr="00D115A5">
        <w:rPr>
          <w:rFonts w:ascii="Arial" w:hAnsi="Arial" w:cs="Arial"/>
          <w:i/>
          <w:iCs/>
          <w:sz w:val="22"/>
          <w:szCs w:val="20"/>
        </w:rPr>
        <w:t>Health Promotion International</w:t>
      </w:r>
      <w:r w:rsidRPr="00D115A5">
        <w:rPr>
          <w:rFonts w:ascii="Arial" w:hAnsi="Arial" w:cs="Arial"/>
          <w:sz w:val="22"/>
          <w:szCs w:val="20"/>
        </w:rPr>
        <w:t>, 38(3). Available at: https://academic.oup.com/heapro/article-abstract/38/3/daad040/7189931 (Accessed: July 9, 2026).</w:t>
      </w:r>
    </w:p>
    <w:p w14:paraId="428D67C0"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Ben-Arye, E., Lopez, G., Rassouli, M., Ortiz, M., Cramer, H. and Samuels, N. (2024) “Cross-Cultural Patient Counseling and Communication in the Integrative Medicine Setting: Respecting the Patient’s Health Belief Model of Care,” </w:t>
      </w:r>
      <w:r w:rsidRPr="00D115A5">
        <w:rPr>
          <w:rFonts w:ascii="Arial" w:hAnsi="Arial" w:cs="Arial"/>
          <w:i/>
          <w:iCs/>
          <w:sz w:val="22"/>
          <w:szCs w:val="20"/>
        </w:rPr>
        <w:t>Current psycchiatry reports/Current psychiatry reports</w:t>
      </w:r>
      <w:r w:rsidRPr="00D115A5">
        <w:rPr>
          <w:rFonts w:ascii="Arial" w:hAnsi="Arial" w:cs="Arial"/>
          <w:sz w:val="22"/>
          <w:szCs w:val="20"/>
        </w:rPr>
        <w:t>, 26(8). Available at: https://doi.org/10.1007/s11920-024-01515-2.</w:t>
      </w:r>
    </w:p>
    <w:p w14:paraId="45D20C16"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Bird, C., Harper, L., Muslim, S., Yates, D. and Litchfield, I. (2025) “Exploring the design and impact of integrated health and social care services for children and young people living in underserved populations: A systematic review,” </w:t>
      </w:r>
      <w:r w:rsidRPr="00D115A5">
        <w:rPr>
          <w:rFonts w:ascii="Arial" w:hAnsi="Arial" w:cs="Arial"/>
          <w:i/>
          <w:iCs/>
          <w:sz w:val="22"/>
          <w:szCs w:val="20"/>
        </w:rPr>
        <w:t>BMC Public Health</w:t>
      </w:r>
      <w:r w:rsidRPr="00D115A5">
        <w:rPr>
          <w:rFonts w:ascii="Arial" w:hAnsi="Arial" w:cs="Arial"/>
          <w:sz w:val="22"/>
          <w:szCs w:val="20"/>
        </w:rPr>
        <w:t>, 25(1). Available at: https://doi.org/10.1186/s12889-025-22508-7.</w:t>
      </w:r>
    </w:p>
    <w:p w14:paraId="262691F1"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Bruch, N., Knodt, M. and Ringel, M. (2024) “Advocating harder soft governance for the European Green Deal. Stakeholder perspectives on the revision of the EU governance regulation,” </w:t>
      </w:r>
      <w:r w:rsidRPr="00D115A5">
        <w:rPr>
          <w:rFonts w:ascii="Arial" w:hAnsi="Arial" w:cs="Arial"/>
          <w:i/>
          <w:iCs/>
          <w:sz w:val="22"/>
          <w:szCs w:val="20"/>
        </w:rPr>
        <w:t>Energy Policy</w:t>
      </w:r>
      <w:r w:rsidRPr="00D115A5">
        <w:rPr>
          <w:rFonts w:ascii="Arial" w:hAnsi="Arial" w:cs="Arial"/>
          <w:sz w:val="22"/>
          <w:szCs w:val="20"/>
        </w:rPr>
        <w:t>, 192, p. 114255. Available at: https://doi.org/10.1016/j.enpol.2024.114255.</w:t>
      </w:r>
    </w:p>
    <w:p w14:paraId="30B99E3F"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Cavazzoni, F., Fiorini, A. and Veronese, G. (2021) “How Do We Assess How Agentic We Are? A Literature Review of Existing Instruments to Evaluate and Measure Individuals’ Agency,” </w:t>
      </w:r>
      <w:r w:rsidRPr="00D115A5">
        <w:rPr>
          <w:rFonts w:ascii="Arial" w:hAnsi="Arial" w:cs="Arial"/>
          <w:i/>
          <w:iCs/>
          <w:sz w:val="22"/>
          <w:szCs w:val="20"/>
        </w:rPr>
        <w:t>Social Indicators Research</w:t>
      </w:r>
      <w:r w:rsidRPr="00D115A5">
        <w:rPr>
          <w:rFonts w:ascii="Arial" w:hAnsi="Arial" w:cs="Arial"/>
          <w:sz w:val="22"/>
          <w:szCs w:val="20"/>
        </w:rPr>
        <w:t xml:space="preserve"> [Preprint]. Available at: https://doi.org/10.1007/s11205-021-02791-8.</w:t>
      </w:r>
    </w:p>
    <w:p w14:paraId="5BF8AC9A"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Chaudhry, T., Tum, P., Morrow, F., Hargreaves, S., Kielmann, K., Kunst, H., Griffiths, C., Campbell, N.J.C. and Zenner, D. (2025) “Facilitators to strengthening vaccine uptake post-pandemic amongst underserved populations considering social norms and health beliefs: A </w:t>
      </w:r>
      <w:r w:rsidRPr="00D115A5">
        <w:rPr>
          <w:rFonts w:ascii="Arial" w:hAnsi="Arial" w:cs="Arial"/>
          <w:sz w:val="22"/>
          <w:szCs w:val="20"/>
        </w:rPr>
        <w:lastRenderedPageBreak/>
        <w:t xml:space="preserve">global systematic review,” </w:t>
      </w:r>
      <w:r w:rsidRPr="00D115A5">
        <w:rPr>
          <w:rFonts w:ascii="Arial" w:hAnsi="Arial" w:cs="Arial"/>
          <w:i/>
          <w:iCs/>
          <w:sz w:val="22"/>
          <w:szCs w:val="20"/>
        </w:rPr>
        <w:t>Vaccine</w:t>
      </w:r>
      <w:r w:rsidRPr="00D115A5">
        <w:rPr>
          <w:rFonts w:ascii="Arial" w:hAnsi="Arial" w:cs="Arial"/>
          <w:sz w:val="22"/>
          <w:szCs w:val="20"/>
        </w:rPr>
        <w:t>, 65, p. 127769. Available at: https://doi.org/10.1016/j.vaccine.2025.127769.</w:t>
      </w:r>
    </w:p>
    <w:p w14:paraId="6E02885A"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Connley, C. (2026) </w:t>
      </w:r>
      <w:r w:rsidRPr="00D115A5">
        <w:rPr>
          <w:rFonts w:ascii="Arial" w:hAnsi="Arial" w:cs="Arial"/>
          <w:i/>
          <w:iCs/>
          <w:sz w:val="22"/>
          <w:szCs w:val="20"/>
        </w:rPr>
        <w:t>Why the gender pay gap still exists 55 years after the Equal Pay Act was signed</w:t>
      </w:r>
      <w:r w:rsidRPr="00D115A5">
        <w:rPr>
          <w:rFonts w:ascii="Arial" w:hAnsi="Arial" w:cs="Arial"/>
          <w:sz w:val="22"/>
          <w:szCs w:val="20"/>
        </w:rPr>
        <w:t xml:space="preserve">, </w:t>
      </w:r>
      <w:r w:rsidRPr="00D115A5">
        <w:rPr>
          <w:rFonts w:ascii="Arial" w:hAnsi="Arial" w:cs="Arial"/>
          <w:i/>
          <w:iCs/>
          <w:sz w:val="22"/>
          <w:szCs w:val="20"/>
        </w:rPr>
        <w:t>CNBC</w:t>
      </w:r>
      <w:r w:rsidRPr="00D115A5">
        <w:rPr>
          <w:rFonts w:ascii="Arial" w:hAnsi="Arial" w:cs="Arial"/>
          <w:sz w:val="22"/>
          <w:szCs w:val="20"/>
        </w:rPr>
        <w:t>. CNBC. Available at: https://www.cnbc.com/2018/06/08/why-the-gender-pay-gap-still-exists-55-years-after-the-equal-pay-act.html (Accessed: July 9, 2026).</w:t>
      </w:r>
    </w:p>
    <w:p w14:paraId="7235E0EC"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Frieden, T.R., Lee, C.T., Lamorde, M., Nielsen, M., McClelland, A. and Tangcharoensathien, V. (2023) “The road to achieving epidemic-ready primary health care,” </w:t>
      </w:r>
      <w:r w:rsidRPr="00D115A5">
        <w:rPr>
          <w:rFonts w:ascii="Arial" w:hAnsi="Arial" w:cs="Arial"/>
          <w:i/>
          <w:iCs/>
          <w:sz w:val="22"/>
          <w:szCs w:val="20"/>
        </w:rPr>
        <w:t>The Lancet</w:t>
      </w:r>
      <w:r w:rsidRPr="00D115A5">
        <w:rPr>
          <w:rFonts w:ascii="Arial" w:hAnsi="Arial" w:cs="Arial"/>
          <w:sz w:val="22"/>
          <w:szCs w:val="20"/>
        </w:rPr>
        <w:t>, 8(5). Available at: https://doi.org/https://doi.org/10.1016/S2468-2667(23)00060-9.</w:t>
      </w:r>
    </w:p>
    <w:p w14:paraId="1802C43C"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Kirwa, J. (2025) “Applying Hofstede’s Cultural Dimensions in Education: Insights, Critiques, and Implications for Diverse Classrooms,” </w:t>
      </w:r>
      <w:r w:rsidRPr="00D115A5">
        <w:rPr>
          <w:rFonts w:ascii="Arial" w:hAnsi="Arial" w:cs="Arial"/>
          <w:i/>
          <w:iCs/>
          <w:sz w:val="22"/>
          <w:szCs w:val="20"/>
        </w:rPr>
        <w:t>Open Journal of Social Sciences</w:t>
      </w:r>
      <w:r w:rsidRPr="00D115A5">
        <w:rPr>
          <w:rFonts w:ascii="Arial" w:hAnsi="Arial" w:cs="Arial"/>
          <w:sz w:val="22"/>
          <w:szCs w:val="20"/>
        </w:rPr>
        <w:t>, 13(05), pp. 94–110. Available at: https://doi.org/10.4236/jss.2025.135007.</w:t>
      </w:r>
    </w:p>
    <w:p w14:paraId="3D2EE712"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Leon, N. and Xu, H. (2023) “Implementation considerations for non-communicable disease-related integration in primary health care: A rapid review of qualitative evidence,” </w:t>
      </w:r>
      <w:r w:rsidRPr="00D115A5">
        <w:rPr>
          <w:rFonts w:ascii="Arial" w:hAnsi="Arial" w:cs="Arial"/>
          <w:i/>
          <w:iCs/>
          <w:sz w:val="22"/>
          <w:szCs w:val="20"/>
        </w:rPr>
        <w:t>BMC Health Services Research</w:t>
      </w:r>
      <w:r w:rsidRPr="00D115A5">
        <w:rPr>
          <w:rFonts w:ascii="Arial" w:hAnsi="Arial" w:cs="Arial"/>
          <w:sz w:val="22"/>
          <w:szCs w:val="20"/>
        </w:rPr>
        <w:t>, 23(1). Available at: https://doi.org/10.1186/s12913-023-09151-x.</w:t>
      </w:r>
    </w:p>
    <w:p w14:paraId="4B637CFF"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Matthes, B., Kumar, P., Dance, S., Hird, T., Angela Carriedo Lutzenkirchen and Gilmore, A. (2023) “Advocacy counterstrategies to tobacco industry interference in policymaking: A scoping review of peer-reviewed literature,” </w:t>
      </w:r>
      <w:r w:rsidRPr="00D115A5">
        <w:rPr>
          <w:rFonts w:ascii="Arial" w:hAnsi="Arial" w:cs="Arial"/>
          <w:i/>
          <w:iCs/>
          <w:sz w:val="22"/>
          <w:szCs w:val="20"/>
        </w:rPr>
        <w:t>Globalization and Health</w:t>
      </w:r>
      <w:r w:rsidRPr="00D115A5">
        <w:rPr>
          <w:rFonts w:ascii="Arial" w:hAnsi="Arial" w:cs="Arial"/>
          <w:sz w:val="22"/>
          <w:szCs w:val="20"/>
        </w:rPr>
        <w:t>, 19(1). Available at: https://doi.org/10.1186/s12992-023-00936-7.</w:t>
      </w:r>
    </w:p>
    <w:p w14:paraId="42BF2C36"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ONS (2025a) </w:t>
      </w:r>
      <w:r w:rsidRPr="00D115A5">
        <w:rPr>
          <w:rFonts w:ascii="Arial" w:hAnsi="Arial" w:cs="Arial"/>
          <w:i/>
          <w:iCs/>
          <w:sz w:val="22"/>
          <w:szCs w:val="20"/>
        </w:rPr>
        <w:t>Gender pay gap in the UK</w:t>
      </w:r>
      <w:r w:rsidRPr="00D115A5">
        <w:rPr>
          <w:rFonts w:ascii="Arial" w:hAnsi="Arial" w:cs="Arial"/>
          <w:sz w:val="22"/>
          <w:szCs w:val="20"/>
        </w:rPr>
        <w:t xml:space="preserve">, </w:t>
      </w:r>
      <w:r w:rsidRPr="00D115A5">
        <w:rPr>
          <w:rFonts w:ascii="Arial" w:hAnsi="Arial" w:cs="Arial"/>
          <w:i/>
          <w:iCs/>
          <w:sz w:val="22"/>
          <w:szCs w:val="20"/>
        </w:rPr>
        <w:t>Ons.gov.uk</w:t>
      </w:r>
      <w:r w:rsidRPr="00D115A5">
        <w:rPr>
          <w:rFonts w:ascii="Arial" w:hAnsi="Arial" w:cs="Arial"/>
          <w:sz w:val="22"/>
          <w:szCs w:val="20"/>
        </w:rPr>
        <w:t>. Office for National Statistics. Available at: https://www.ons.gov.uk/employmentandlabourmarket/peopleinwork/earningsandworkinghours/bulletins/genderpaygapintheuk/2025 (Accessed: July 9, 2026).</w:t>
      </w:r>
    </w:p>
    <w:p w14:paraId="3B0FEAD6"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ONS (2025b) </w:t>
      </w:r>
      <w:r w:rsidRPr="00D115A5">
        <w:rPr>
          <w:rFonts w:ascii="Arial" w:hAnsi="Arial" w:cs="Arial"/>
          <w:i/>
          <w:iCs/>
          <w:sz w:val="22"/>
          <w:szCs w:val="20"/>
        </w:rPr>
        <w:t>Healthcare expenditure, UK Health Accounts</w:t>
      </w:r>
      <w:r w:rsidRPr="00D115A5">
        <w:rPr>
          <w:rFonts w:ascii="Arial" w:hAnsi="Arial" w:cs="Arial"/>
          <w:sz w:val="22"/>
          <w:szCs w:val="20"/>
        </w:rPr>
        <w:t xml:space="preserve">, </w:t>
      </w:r>
      <w:r w:rsidRPr="00D115A5">
        <w:rPr>
          <w:rFonts w:ascii="Arial" w:hAnsi="Arial" w:cs="Arial"/>
          <w:i/>
          <w:iCs/>
          <w:sz w:val="22"/>
          <w:szCs w:val="20"/>
        </w:rPr>
        <w:t>Ons.gov.uk</w:t>
      </w:r>
      <w:r w:rsidRPr="00D115A5">
        <w:rPr>
          <w:rFonts w:ascii="Arial" w:hAnsi="Arial" w:cs="Arial"/>
          <w:sz w:val="22"/>
          <w:szCs w:val="20"/>
        </w:rPr>
        <w:t>. Office for National Statistics. Available at: https://www.ons.gov.uk/peoplepopulationandcommunity/healthandsocialcare/healthcaresystem/bulletins/ukhealthaccounts/2023and2024 (Accessed: July 9, 2026).</w:t>
      </w:r>
    </w:p>
    <w:p w14:paraId="6CB0D7B3"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Payscale (2025) </w:t>
      </w:r>
      <w:r w:rsidRPr="00D115A5">
        <w:rPr>
          <w:rFonts w:ascii="Arial" w:hAnsi="Arial" w:cs="Arial"/>
          <w:i/>
          <w:iCs/>
          <w:sz w:val="22"/>
          <w:szCs w:val="20"/>
        </w:rPr>
        <w:t>2025 Gender Pay Gap Report (GPGR) | Payscale Research</w:t>
      </w:r>
      <w:r w:rsidRPr="00D115A5">
        <w:rPr>
          <w:rFonts w:ascii="Arial" w:hAnsi="Arial" w:cs="Arial"/>
          <w:sz w:val="22"/>
          <w:szCs w:val="20"/>
        </w:rPr>
        <w:t xml:space="preserve">, </w:t>
      </w:r>
      <w:r w:rsidRPr="00D115A5">
        <w:rPr>
          <w:rFonts w:ascii="Arial" w:hAnsi="Arial" w:cs="Arial"/>
          <w:i/>
          <w:iCs/>
          <w:sz w:val="22"/>
          <w:szCs w:val="20"/>
        </w:rPr>
        <w:t>Payscale.com</w:t>
      </w:r>
      <w:r w:rsidRPr="00D115A5">
        <w:rPr>
          <w:rFonts w:ascii="Arial" w:hAnsi="Arial" w:cs="Arial"/>
          <w:sz w:val="22"/>
          <w:szCs w:val="20"/>
        </w:rPr>
        <w:t>. Available at: https://www.payscale.com/featured-content/gender-pay-gap (Accessed: July 9, 2026).</w:t>
      </w:r>
    </w:p>
    <w:p w14:paraId="574FE490" w14:textId="77777777" w:rsidR="001420BD" w:rsidRPr="00D115A5" w:rsidRDefault="001420BD" w:rsidP="001420BD">
      <w:pPr>
        <w:rPr>
          <w:rFonts w:ascii="Arial" w:hAnsi="Arial" w:cs="Arial"/>
          <w:sz w:val="22"/>
          <w:szCs w:val="20"/>
        </w:rPr>
      </w:pPr>
      <w:r w:rsidRPr="00D115A5">
        <w:rPr>
          <w:rFonts w:ascii="Arial" w:hAnsi="Arial" w:cs="Arial"/>
          <w:sz w:val="22"/>
          <w:szCs w:val="20"/>
        </w:rPr>
        <w:lastRenderedPageBreak/>
        <w:t xml:space="preserve">Quisumbing, A.R. (2025) “From Bargaining Power to Empowerment: Measuring the Unmeasurable,” </w:t>
      </w:r>
      <w:r w:rsidRPr="00D115A5">
        <w:rPr>
          <w:rFonts w:ascii="Arial" w:hAnsi="Arial" w:cs="Arial"/>
          <w:i/>
          <w:iCs/>
          <w:sz w:val="22"/>
          <w:szCs w:val="20"/>
        </w:rPr>
        <w:t>Agricultural Economics</w:t>
      </w:r>
      <w:r w:rsidRPr="00D115A5">
        <w:rPr>
          <w:rFonts w:ascii="Arial" w:hAnsi="Arial" w:cs="Arial"/>
          <w:sz w:val="22"/>
          <w:szCs w:val="20"/>
        </w:rPr>
        <w:t xml:space="preserve"> [Preprint]. Available at: https://doi.org/10.1111/agec.70022.</w:t>
      </w:r>
    </w:p>
    <w:p w14:paraId="2F004FF1"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Rocha-Meneses, L., Luna-delRisco, M., González, C.A., Moncada, S.V., Moreno, A., Sierra-Del Rio, J. and Castillo-Meza, L.E. (2023) “An Overview of the Socio-Economic, Technological, and Environmental Opportunities and Challenges for Renewable Energy Generation from Residual Biomass: A Case Study of Biogas Production in Colombia,” </w:t>
      </w:r>
      <w:r w:rsidRPr="00D115A5">
        <w:rPr>
          <w:rFonts w:ascii="Arial" w:hAnsi="Arial" w:cs="Arial"/>
          <w:i/>
          <w:iCs/>
          <w:sz w:val="22"/>
          <w:szCs w:val="20"/>
        </w:rPr>
        <w:t>Energies</w:t>
      </w:r>
      <w:r w:rsidRPr="00D115A5">
        <w:rPr>
          <w:rFonts w:ascii="Arial" w:hAnsi="Arial" w:cs="Arial"/>
          <w:sz w:val="22"/>
          <w:szCs w:val="20"/>
        </w:rPr>
        <w:t>, 16(16), p. 5901. Available at: https://doi.org/10.3390/en16165901.</w:t>
      </w:r>
    </w:p>
    <w:p w14:paraId="3A078C0B"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Schürer, D. (2025) “Seven questions on agency in sustainability transformations research: Insights from a systematic-narrative review,” </w:t>
      </w:r>
      <w:r w:rsidRPr="00D115A5">
        <w:rPr>
          <w:rFonts w:ascii="Arial" w:hAnsi="Arial" w:cs="Arial"/>
          <w:i/>
          <w:iCs/>
          <w:sz w:val="22"/>
          <w:szCs w:val="20"/>
        </w:rPr>
        <w:t>Sustainability Science</w:t>
      </w:r>
      <w:r w:rsidRPr="00D115A5">
        <w:rPr>
          <w:rFonts w:ascii="Arial" w:hAnsi="Arial" w:cs="Arial"/>
          <w:sz w:val="22"/>
          <w:szCs w:val="20"/>
        </w:rPr>
        <w:t>, 21(2), pp. 839–862. Available at: https://doi.org/10.1007/s11625-025-01758-9.</w:t>
      </w:r>
    </w:p>
    <w:p w14:paraId="4E946460"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Singh, R., Singh, H., Singh, A., Prashar, N. and Lachyan, A. (2025) “Advancing Maternal and Child Health : A Comprehensive Analysis of United Nations’ Sustainable Development Goals,” </w:t>
      </w:r>
      <w:r w:rsidRPr="00D115A5">
        <w:rPr>
          <w:rFonts w:ascii="Arial" w:hAnsi="Arial" w:cs="Arial"/>
          <w:i/>
          <w:iCs/>
          <w:sz w:val="22"/>
          <w:szCs w:val="20"/>
        </w:rPr>
        <w:t>Majmaah Journal of Health Sciences</w:t>
      </w:r>
      <w:r w:rsidRPr="00D115A5">
        <w:rPr>
          <w:rFonts w:ascii="Arial" w:hAnsi="Arial" w:cs="Arial"/>
          <w:sz w:val="22"/>
          <w:szCs w:val="20"/>
        </w:rPr>
        <w:t>, 13(1), p. 88. Available at: https://doi.org/10.5455/mjhs.2025.01.009.</w:t>
      </w:r>
    </w:p>
    <w:p w14:paraId="2DDBA3AC"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UN Women (2026a) </w:t>
      </w:r>
      <w:r w:rsidRPr="00D115A5">
        <w:rPr>
          <w:rFonts w:ascii="Arial" w:hAnsi="Arial" w:cs="Arial"/>
          <w:i/>
          <w:iCs/>
          <w:sz w:val="22"/>
          <w:szCs w:val="20"/>
        </w:rPr>
        <w:t>Partnerships: Government partners</w:t>
      </w:r>
      <w:r w:rsidRPr="00D115A5">
        <w:rPr>
          <w:rFonts w:ascii="Arial" w:hAnsi="Arial" w:cs="Arial"/>
          <w:sz w:val="22"/>
          <w:szCs w:val="20"/>
        </w:rPr>
        <w:t xml:space="preserve">, </w:t>
      </w:r>
      <w:r w:rsidRPr="00D115A5">
        <w:rPr>
          <w:rFonts w:ascii="Arial" w:hAnsi="Arial" w:cs="Arial"/>
          <w:i/>
          <w:iCs/>
          <w:sz w:val="22"/>
          <w:szCs w:val="20"/>
        </w:rPr>
        <w:t>UN Women</w:t>
      </w:r>
      <w:r w:rsidRPr="00D115A5">
        <w:rPr>
          <w:rFonts w:ascii="Arial" w:hAnsi="Arial" w:cs="Arial"/>
          <w:sz w:val="22"/>
          <w:szCs w:val="20"/>
        </w:rPr>
        <w:t>. Available at: https://www.unwomen.org/en/partnerships/donor-countries (Accessed: July 9, 2026).</w:t>
      </w:r>
    </w:p>
    <w:p w14:paraId="5E22CD6E"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UN Women (2026b) </w:t>
      </w:r>
      <w:r w:rsidRPr="00D115A5">
        <w:rPr>
          <w:rFonts w:ascii="Arial" w:hAnsi="Arial" w:cs="Arial"/>
          <w:i/>
          <w:iCs/>
          <w:sz w:val="22"/>
          <w:szCs w:val="20"/>
        </w:rPr>
        <w:t>UNITE to End Violence against Women Campaign</w:t>
      </w:r>
      <w:r w:rsidRPr="00D115A5">
        <w:rPr>
          <w:rFonts w:ascii="Arial" w:hAnsi="Arial" w:cs="Arial"/>
          <w:sz w:val="22"/>
          <w:szCs w:val="20"/>
        </w:rPr>
        <w:t xml:space="preserve">, </w:t>
      </w:r>
      <w:r w:rsidRPr="00D115A5">
        <w:rPr>
          <w:rFonts w:ascii="Arial" w:hAnsi="Arial" w:cs="Arial"/>
          <w:i/>
          <w:iCs/>
          <w:sz w:val="22"/>
          <w:szCs w:val="20"/>
        </w:rPr>
        <w:t>UN Women – Headquarters</w:t>
      </w:r>
      <w:r w:rsidRPr="00D115A5">
        <w:rPr>
          <w:rFonts w:ascii="Arial" w:hAnsi="Arial" w:cs="Arial"/>
          <w:sz w:val="22"/>
          <w:szCs w:val="20"/>
        </w:rPr>
        <w:t>. Available at: https://www.unwomen.org/en/what-we-do/ending-violence-against-women/unite (Accessed: July 9, 2026).</w:t>
      </w:r>
    </w:p>
    <w:p w14:paraId="782FEDE4"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UNAIDS (2023) </w:t>
      </w:r>
      <w:r w:rsidRPr="00D115A5">
        <w:rPr>
          <w:rFonts w:ascii="Arial" w:hAnsi="Arial" w:cs="Arial"/>
          <w:i/>
          <w:iCs/>
          <w:sz w:val="22"/>
          <w:szCs w:val="20"/>
        </w:rPr>
        <w:t>About UNAIDS</w:t>
      </w:r>
      <w:r w:rsidRPr="00D115A5">
        <w:rPr>
          <w:rFonts w:ascii="Arial" w:hAnsi="Arial" w:cs="Arial"/>
          <w:sz w:val="22"/>
          <w:szCs w:val="20"/>
        </w:rPr>
        <w:t xml:space="preserve">, </w:t>
      </w:r>
      <w:r w:rsidRPr="00D115A5">
        <w:rPr>
          <w:rFonts w:ascii="Arial" w:hAnsi="Arial" w:cs="Arial"/>
          <w:i/>
          <w:iCs/>
          <w:sz w:val="22"/>
          <w:szCs w:val="20"/>
        </w:rPr>
        <w:t>UNAIDS</w:t>
      </w:r>
      <w:r w:rsidRPr="00D115A5">
        <w:rPr>
          <w:rFonts w:ascii="Arial" w:hAnsi="Arial" w:cs="Arial"/>
          <w:sz w:val="22"/>
          <w:szCs w:val="20"/>
        </w:rPr>
        <w:t>. Available at: https://www.unaids.org/en/whoweare/about (Accessed: July 9, 2026).</w:t>
      </w:r>
    </w:p>
    <w:p w14:paraId="61C64A79"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United Nations (1995) </w:t>
      </w:r>
      <w:r w:rsidRPr="00D115A5">
        <w:rPr>
          <w:rFonts w:ascii="Arial" w:hAnsi="Arial" w:cs="Arial"/>
          <w:i/>
          <w:iCs/>
          <w:sz w:val="22"/>
          <w:szCs w:val="20"/>
        </w:rPr>
        <w:t>Beijing Declaration and Platform for Action</w:t>
      </w:r>
      <w:r w:rsidRPr="00D115A5">
        <w:rPr>
          <w:rFonts w:ascii="Arial" w:hAnsi="Arial" w:cs="Arial"/>
          <w:sz w:val="22"/>
          <w:szCs w:val="20"/>
        </w:rPr>
        <w:t>. Available at: https://www.un.org/womenwatch/daw/beijing/pdf/BDPfA%20E.pdf (Accessed: July 9, 2026).</w:t>
      </w:r>
    </w:p>
    <w:p w14:paraId="0F23ED89"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United Nations (2026) </w:t>
      </w:r>
      <w:r w:rsidRPr="00D115A5">
        <w:rPr>
          <w:rFonts w:ascii="Arial" w:hAnsi="Arial" w:cs="Arial"/>
          <w:i/>
          <w:iCs/>
          <w:sz w:val="22"/>
          <w:szCs w:val="20"/>
        </w:rPr>
        <w:t>The 17 sustainable development goals</w:t>
      </w:r>
      <w:r w:rsidRPr="00D115A5">
        <w:rPr>
          <w:rFonts w:ascii="Arial" w:hAnsi="Arial" w:cs="Arial"/>
          <w:sz w:val="22"/>
          <w:szCs w:val="20"/>
        </w:rPr>
        <w:t xml:space="preserve">, </w:t>
      </w:r>
      <w:r w:rsidRPr="00D115A5">
        <w:rPr>
          <w:rFonts w:ascii="Arial" w:hAnsi="Arial" w:cs="Arial"/>
          <w:i/>
          <w:iCs/>
          <w:sz w:val="22"/>
          <w:szCs w:val="20"/>
        </w:rPr>
        <w:t>United Nations</w:t>
      </w:r>
      <w:r w:rsidRPr="00D115A5">
        <w:rPr>
          <w:rFonts w:ascii="Arial" w:hAnsi="Arial" w:cs="Arial"/>
          <w:sz w:val="22"/>
          <w:szCs w:val="20"/>
        </w:rPr>
        <w:t>. Available at: https://sdgs.un.org/goals (Accessed: July 9, 2026).</w:t>
      </w:r>
    </w:p>
    <w:p w14:paraId="705C519F" w14:textId="77777777" w:rsidR="001420BD" w:rsidRPr="00D115A5" w:rsidRDefault="001420BD" w:rsidP="001420BD">
      <w:pPr>
        <w:rPr>
          <w:rFonts w:ascii="Arial" w:hAnsi="Arial" w:cs="Arial"/>
          <w:sz w:val="22"/>
          <w:szCs w:val="20"/>
        </w:rPr>
      </w:pPr>
      <w:r w:rsidRPr="00D115A5">
        <w:rPr>
          <w:rFonts w:ascii="Arial" w:hAnsi="Arial" w:cs="Arial"/>
          <w:sz w:val="22"/>
          <w:szCs w:val="20"/>
        </w:rPr>
        <w:t xml:space="preserve">Valduga, I.B., Andrade, M., Caroline, B., Fuchs, P.G., Silva and Baltazar, J. (2023) “A Balanced Scorecard Proposal for Gender Equality and Sustainable Development,” </w:t>
      </w:r>
      <w:r w:rsidRPr="00D115A5">
        <w:rPr>
          <w:rFonts w:ascii="Arial" w:hAnsi="Arial" w:cs="Arial"/>
          <w:i/>
          <w:iCs/>
          <w:sz w:val="22"/>
          <w:szCs w:val="20"/>
        </w:rPr>
        <w:t>Sustainability</w:t>
      </w:r>
      <w:r w:rsidRPr="00D115A5">
        <w:rPr>
          <w:rFonts w:ascii="Arial" w:hAnsi="Arial" w:cs="Arial"/>
          <w:sz w:val="22"/>
          <w:szCs w:val="20"/>
        </w:rPr>
        <w:t>, 15(19), pp. 14384–14384. Available at: https://doi.org/10.3390/su151914384.</w:t>
      </w:r>
    </w:p>
    <w:p w14:paraId="20B42B16" w14:textId="77777777" w:rsidR="001420BD" w:rsidRPr="00D115A5" w:rsidRDefault="001420BD" w:rsidP="001420BD">
      <w:pPr>
        <w:rPr>
          <w:rFonts w:ascii="Arial" w:hAnsi="Arial" w:cs="Arial"/>
          <w:sz w:val="22"/>
          <w:szCs w:val="20"/>
        </w:rPr>
      </w:pPr>
      <w:r w:rsidRPr="00D115A5">
        <w:rPr>
          <w:rFonts w:ascii="Arial" w:hAnsi="Arial" w:cs="Arial"/>
          <w:sz w:val="22"/>
          <w:szCs w:val="20"/>
        </w:rPr>
        <w:lastRenderedPageBreak/>
        <w:t xml:space="preserve">Wilkins, N.J., Rasberry, C., Liddon, N., Szucs, L.E., Johns, M., Leonard, S., Goss, S.J. and Oglesby, H. (2022) “Addressing HIV/Sexually Transmitted Diseases and Pregnancy Prevention Through Schools: An Approach for Strengthening Education, Health Services, and School Environments That Promote Adolescent Sexual Health and Well-Being,” </w:t>
      </w:r>
      <w:r w:rsidRPr="00D115A5">
        <w:rPr>
          <w:rFonts w:ascii="Arial" w:hAnsi="Arial" w:cs="Arial"/>
          <w:i/>
          <w:iCs/>
          <w:sz w:val="22"/>
          <w:szCs w:val="20"/>
        </w:rPr>
        <w:t>Journal of Adolescent Health</w:t>
      </w:r>
      <w:r w:rsidRPr="00D115A5">
        <w:rPr>
          <w:rFonts w:ascii="Arial" w:hAnsi="Arial" w:cs="Arial"/>
          <w:sz w:val="22"/>
          <w:szCs w:val="20"/>
        </w:rPr>
        <w:t>, 70(4), pp. 540–549. Available at: https://doi.org/10.1016/j.jadohealth.2021.05.017.</w:t>
      </w:r>
    </w:p>
    <w:p w14:paraId="38149E12" w14:textId="557A71E6" w:rsidR="001420BD" w:rsidRPr="00D115A5" w:rsidRDefault="001420BD">
      <w:pPr>
        <w:rPr>
          <w:rFonts w:ascii="Arial" w:hAnsi="Arial" w:cs="Arial"/>
          <w:sz w:val="22"/>
          <w:szCs w:val="20"/>
        </w:rPr>
      </w:pPr>
      <w:r w:rsidRPr="00D115A5">
        <w:rPr>
          <w:rFonts w:ascii="Arial" w:hAnsi="Arial" w:cs="Arial"/>
          <w:sz w:val="22"/>
          <w:szCs w:val="20"/>
        </w:rPr>
        <w:t xml:space="preserve">World Health Organization (2025) </w:t>
      </w:r>
      <w:r w:rsidRPr="00D115A5">
        <w:rPr>
          <w:rFonts w:ascii="Arial" w:hAnsi="Arial" w:cs="Arial"/>
          <w:i/>
          <w:iCs/>
          <w:sz w:val="22"/>
          <w:szCs w:val="20"/>
        </w:rPr>
        <w:t>Universal Health Coverage (UHC)</w:t>
      </w:r>
      <w:r w:rsidRPr="00D115A5">
        <w:rPr>
          <w:rFonts w:ascii="Arial" w:hAnsi="Arial" w:cs="Arial"/>
          <w:sz w:val="22"/>
          <w:szCs w:val="20"/>
        </w:rPr>
        <w:t xml:space="preserve">, </w:t>
      </w:r>
      <w:r w:rsidRPr="00D115A5">
        <w:rPr>
          <w:rFonts w:ascii="Arial" w:hAnsi="Arial" w:cs="Arial"/>
          <w:i/>
          <w:iCs/>
          <w:sz w:val="22"/>
          <w:szCs w:val="20"/>
        </w:rPr>
        <w:t>World Health Organization</w:t>
      </w:r>
      <w:r w:rsidRPr="00D115A5">
        <w:rPr>
          <w:rFonts w:ascii="Arial" w:hAnsi="Arial" w:cs="Arial"/>
          <w:sz w:val="22"/>
          <w:szCs w:val="20"/>
        </w:rPr>
        <w:t>. Available at: https://www.who.int/news-room/fact-sheets/detail/universal-health-coverage-(uhc) (Accessed: July 9, 2026).</w:t>
      </w:r>
    </w:p>
    <w:sectPr w:rsidR="001420BD" w:rsidRPr="00D115A5" w:rsidSect="00D115A5">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E512F" w14:textId="77777777" w:rsidR="003F2CDB" w:rsidRDefault="003F2CDB" w:rsidP="00D115A5">
      <w:pPr>
        <w:spacing w:before="0" w:after="0" w:line="240" w:lineRule="auto"/>
      </w:pPr>
      <w:r>
        <w:separator/>
      </w:r>
    </w:p>
  </w:endnote>
  <w:endnote w:type="continuationSeparator" w:id="0">
    <w:p w14:paraId="011BA1A5" w14:textId="77777777" w:rsidR="003F2CDB" w:rsidRDefault="003F2CDB" w:rsidP="00D115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890076829"/>
      <w:docPartObj>
        <w:docPartGallery w:val="Page Numbers (Bottom of Page)"/>
        <w:docPartUnique/>
      </w:docPartObj>
    </w:sdtPr>
    <w:sdtEndPr>
      <w:rPr>
        <w:color w:val="7F7F7F" w:themeColor="background1" w:themeShade="7F"/>
        <w:spacing w:val="60"/>
      </w:rPr>
    </w:sdtEndPr>
    <w:sdtContent>
      <w:p w14:paraId="5EC25983" w14:textId="4D07DAB4" w:rsidR="00D115A5" w:rsidRPr="00652DF2" w:rsidRDefault="00D115A5" w:rsidP="00D115A5">
        <w:pPr>
          <w:pStyle w:val="Footer"/>
          <w:pBdr>
            <w:top w:val="single" w:sz="4" w:space="1" w:color="D9D9D9" w:themeColor="background1" w:themeShade="D9"/>
          </w:pBdr>
          <w:jc w:val="right"/>
          <w:rPr>
            <w:rFonts w:ascii="Arial" w:hAnsi="Arial" w:cs="Arial"/>
          </w:rPr>
        </w:pPr>
        <w:r w:rsidRPr="00652DF2">
          <w:rPr>
            <w:rFonts w:ascii="Arial" w:hAnsi="Arial" w:cs="Arial"/>
            <w:sz w:val="18"/>
            <w:szCs w:val="16"/>
          </w:rPr>
          <w:fldChar w:fldCharType="begin"/>
        </w:r>
        <w:r w:rsidRPr="00652DF2">
          <w:rPr>
            <w:rFonts w:ascii="Arial" w:hAnsi="Arial" w:cs="Arial"/>
            <w:sz w:val="18"/>
            <w:szCs w:val="16"/>
          </w:rPr>
          <w:instrText>PAGE   \* MERGEFORMAT</w:instrText>
        </w:r>
        <w:r w:rsidRPr="00652DF2">
          <w:rPr>
            <w:rFonts w:ascii="Arial" w:hAnsi="Arial" w:cs="Arial"/>
            <w:sz w:val="18"/>
            <w:szCs w:val="16"/>
          </w:rPr>
          <w:fldChar w:fldCharType="separate"/>
        </w:r>
        <w:r w:rsidRPr="00652DF2">
          <w:rPr>
            <w:rFonts w:ascii="Arial" w:hAnsi="Arial" w:cs="Arial"/>
            <w:sz w:val="18"/>
            <w:szCs w:val="16"/>
          </w:rPr>
          <w:t>2</w:t>
        </w:r>
        <w:r w:rsidRPr="00652DF2">
          <w:rPr>
            <w:rFonts w:ascii="Arial" w:hAnsi="Arial" w:cs="Arial"/>
            <w:sz w:val="18"/>
            <w:szCs w:val="16"/>
          </w:rPr>
          <w:fldChar w:fldCharType="end"/>
        </w:r>
        <w:r w:rsidRPr="00652DF2">
          <w:rPr>
            <w:rFonts w:ascii="Arial" w:hAnsi="Arial" w:cs="Arial"/>
            <w:sz w:val="18"/>
            <w:szCs w:val="16"/>
          </w:rPr>
          <w:t xml:space="preserve"> | </w:t>
        </w:r>
        <w:r w:rsidRPr="00652DF2">
          <w:rPr>
            <w:rFonts w:ascii="Arial" w:hAnsi="Arial" w:cs="Arial"/>
            <w:color w:val="7F7F7F" w:themeColor="background1" w:themeShade="7F"/>
            <w:spacing w:val="60"/>
            <w:sz w:val="18"/>
            <w:szCs w:val="16"/>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62991" w14:textId="77777777" w:rsidR="003F2CDB" w:rsidRDefault="003F2CDB" w:rsidP="00D115A5">
      <w:pPr>
        <w:spacing w:before="0" w:after="0" w:line="240" w:lineRule="auto"/>
      </w:pPr>
      <w:r>
        <w:separator/>
      </w:r>
    </w:p>
  </w:footnote>
  <w:footnote w:type="continuationSeparator" w:id="0">
    <w:p w14:paraId="50D3FC59" w14:textId="77777777" w:rsidR="003F2CDB" w:rsidRDefault="003F2CDB" w:rsidP="00D115A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F33AF"/>
    <w:multiLevelType w:val="hybridMultilevel"/>
    <w:tmpl w:val="E05E2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E3682C"/>
    <w:multiLevelType w:val="multilevel"/>
    <w:tmpl w:val="51E2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8E0DBD"/>
    <w:multiLevelType w:val="multilevel"/>
    <w:tmpl w:val="6E7E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0594753">
    <w:abstractNumId w:val="1"/>
  </w:num>
  <w:num w:numId="2" w16cid:durableId="1426807386">
    <w:abstractNumId w:val="2"/>
  </w:num>
  <w:num w:numId="3" w16cid:durableId="742338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0BD"/>
    <w:rsid w:val="000435D6"/>
    <w:rsid w:val="001420BD"/>
    <w:rsid w:val="0018111A"/>
    <w:rsid w:val="001A644E"/>
    <w:rsid w:val="002953CD"/>
    <w:rsid w:val="003131E9"/>
    <w:rsid w:val="00352234"/>
    <w:rsid w:val="003C1C4B"/>
    <w:rsid w:val="003D095E"/>
    <w:rsid w:val="003F2CDB"/>
    <w:rsid w:val="004B5842"/>
    <w:rsid w:val="00550DF4"/>
    <w:rsid w:val="00553229"/>
    <w:rsid w:val="005F069D"/>
    <w:rsid w:val="00652DF2"/>
    <w:rsid w:val="006E7C30"/>
    <w:rsid w:val="007E3925"/>
    <w:rsid w:val="008932E3"/>
    <w:rsid w:val="008D5FD7"/>
    <w:rsid w:val="009078FD"/>
    <w:rsid w:val="009422F0"/>
    <w:rsid w:val="00956E9D"/>
    <w:rsid w:val="00964D51"/>
    <w:rsid w:val="009A3769"/>
    <w:rsid w:val="009B2B5E"/>
    <w:rsid w:val="009D0F83"/>
    <w:rsid w:val="009D3303"/>
    <w:rsid w:val="00A2635E"/>
    <w:rsid w:val="00A3178F"/>
    <w:rsid w:val="00AD2DFD"/>
    <w:rsid w:val="00AF7A1D"/>
    <w:rsid w:val="00B117A5"/>
    <w:rsid w:val="00B4311D"/>
    <w:rsid w:val="00B60423"/>
    <w:rsid w:val="00BB1E58"/>
    <w:rsid w:val="00BB7E3D"/>
    <w:rsid w:val="00BC4679"/>
    <w:rsid w:val="00BF547D"/>
    <w:rsid w:val="00C17D42"/>
    <w:rsid w:val="00C2067F"/>
    <w:rsid w:val="00C326D6"/>
    <w:rsid w:val="00CB53A3"/>
    <w:rsid w:val="00D115A5"/>
    <w:rsid w:val="00DA3E7F"/>
    <w:rsid w:val="00DF2F48"/>
    <w:rsid w:val="00FD60B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922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5D6"/>
    <w:rPr>
      <w:noProof/>
    </w:rPr>
  </w:style>
  <w:style w:type="paragraph" w:styleId="Heading1">
    <w:name w:val="heading 1"/>
    <w:basedOn w:val="Normal"/>
    <w:next w:val="Normal"/>
    <w:link w:val="Heading1Char"/>
    <w:autoRedefine/>
    <w:uiPriority w:val="9"/>
    <w:qFormat/>
    <w:rsid w:val="004B5842"/>
    <w:pPr>
      <w:keepNext/>
      <w:keepLines/>
      <w:spacing w:before="120" w:after="120"/>
      <w:outlineLvl w:val="0"/>
    </w:pPr>
    <w:rPr>
      <w:b/>
      <w:color w:val="222222"/>
      <w:kern w:val="2"/>
      <w:sz w:val="28"/>
      <w:szCs w:val="40"/>
      <w:lang w:val="en-IN"/>
      <w14:ligatures w14:val="standardContextual"/>
    </w:rPr>
  </w:style>
  <w:style w:type="paragraph" w:styleId="Heading2">
    <w:name w:val="heading 2"/>
    <w:basedOn w:val="Normal"/>
    <w:next w:val="Normal"/>
    <w:link w:val="Heading2Char"/>
    <w:autoRedefine/>
    <w:uiPriority w:val="9"/>
    <w:unhideWhenUsed/>
    <w:qFormat/>
    <w:rsid w:val="000435D6"/>
    <w:pPr>
      <w:keepNext/>
      <w:keepLines/>
      <w:outlineLvl w:val="1"/>
    </w:pPr>
    <w:rPr>
      <w:b/>
      <w:sz w:val="26"/>
      <w:szCs w:val="32"/>
    </w:rPr>
  </w:style>
  <w:style w:type="paragraph" w:styleId="Heading3">
    <w:name w:val="heading 3"/>
    <w:basedOn w:val="Normal"/>
    <w:next w:val="Normal"/>
    <w:link w:val="Heading3Char"/>
    <w:uiPriority w:val="9"/>
    <w:semiHidden/>
    <w:unhideWhenUsed/>
    <w:qFormat/>
    <w:rsid w:val="001420B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20B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420B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420B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420B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420BD"/>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420B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842"/>
    <w:rPr>
      <w:b/>
      <w:sz w:val="28"/>
      <w:szCs w:val="40"/>
    </w:rPr>
  </w:style>
  <w:style w:type="character" w:customStyle="1" w:styleId="Heading2Char">
    <w:name w:val="Heading 2 Char"/>
    <w:basedOn w:val="DefaultParagraphFont"/>
    <w:link w:val="Heading2"/>
    <w:uiPriority w:val="9"/>
    <w:rsid w:val="000435D6"/>
    <w:rPr>
      <w:b/>
      <w:color w:val="auto"/>
      <w:kern w:val="0"/>
      <w:sz w:val="26"/>
      <w:szCs w:val="32"/>
      <w:lang w:val="en" w:eastAsia="en-IN"/>
      <w14:ligatures w14:val="none"/>
    </w:rPr>
  </w:style>
  <w:style w:type="paragraph" w:styleId="Title">
    <w:name w:val="Title"/>
    <w:basedOn w:val="Normal"/>
    <w:next w:val="Normal"/>
    <w:link w:val="TitleChar"/>
    <w:autoRedefine/>
    <w:uiPriority w:val="10"/>
    <w:qFormat/>
    <w:rsid w:val="00964D51"/>
    <w:pPr>
      <w:keepNext/>
      <w:keepLines/>
      <w:pBdr>
        <w:bottom w:val="single" w:sz="4" w:space="1" w:color="auto"/>
      </w:pBdr>
      <w:jc w:val="center"/>
    </w:pPr>
    <w:rPr>
      <w:b/>
      <w:caps/>
      <w:sz w:val="36"/>
      <w:szCs w:val="52"/>
    </w:rPr>
  </w:style>
  <w:style w:type="character" w:customStyle="1" w:styleId="TitleChar">
    <w:name w:val="Title Char"/>
    <w:basedOn w:val="DefaultParagraphFont"/>
    <w:link w:val="Title"/>
    <w:uiPriority w:val="10"/>
    <w:rsid w:val="00964D51"/>
    <w:rPr>
      <w:b/>
      <w:caps/>
      <w:color w:val="auto"/>
      <w:kern w:val="0"/>
      <w:sz w:val="36"/>
      <w:szCs w:val="52"/>
      <w:lang w:val="en" w:eastAsia="en-IN"/>
      <w14:ligatures w14:val="none"/>
    </w:rPr>
  </w:style>
  <w:style w:type="character" w:customStyle="1" w:styleId="Heading3Char">
    <w:name w:val="Heading 3 Char"/>
    <w:basedOn w:val="DefaultParagraphFont"/>
    <w:link w:val="Heading3"/>
    <w:uiPriority w:val="9"/>
    <w:semiHidden/>
    <w:rsid w:val="001420BD"/>
    <w:rPr>
      <w:rFonts w:asciiTheme="minorHAnsi" w:eastAsiaTheme="majorEastAsia" w:hAnsiTheme="minorHAnsi"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1420BD"/>
    <w:rPr>
      <w:rFonts w:asciiTheme="minorHAnsi" w:eastAsiaTheme="majorEastAsia" w:hAnsiTheme="minorHAnsi" w:cstheme="majorBidi"/>
      <w:i/>
      <w:iCs/>
      <w:noProof/>
      <w:color w:val="2F5496" w:themeColor="accent1" w:themeShade="BF"/>
    </w:rPr>
  </w:style>
  <w:style w:type="character" w:customStyle="1" w:styleId="Heading5Char">
    <w:name w:val="Heading 5 Char"/>
    <w:basedOn w:val="DefaultParagraphFont"/>
    <w:link w:val="Heading5"/>
    <w:uiPriority w:val="9"/>
    <w:semiHidden/>
    <w:rsid w:val="001420BD"/>
    <w:rPr>
      <w:rFonts w:asciiTheme="minorHAnsi" w:eastAsiaTheme="majorEastAsia" w:hAnsiTheme="minorHAnsi" w:cstheme="majorBidi"/>
      <w:noProof/>
      <w:color w:val="2F5496" w:themeColor="accent1" w:themeShade="BF"/>
    </w:rPr>
  </w:style>
  <w:style w:type="character" w:customStyle="1" w:styleId="Heading6Char">
    <w:name w:val="Heading 6 Char"/>
    <w:basedOn w:val="DefaultParagraphFont"/>
    <w:link w:val="Heading6"/>
    <w:uiPriority w:val="9"/>
    <w:semiHidden/>
    <w:rsid w:val="001420BD"/>
    <w:rPr>
      <w:rFonts w:asciiTheme="minorHAnsi" w:eastAsiaTheme="majorEastAsia" w:hAnsiTheme="minorHAnsi" w:cstheme="majorBidi"/>
      <w:i/>
      <w:iCs/>
      <w:noProof/>
      <w:color w:val="595959" w:themeColor="text1" w:themeTint="A6"/>
    </w:rPr>
  </w:style>
  <w:style w:type="character" w:customStyle="1" w:styleId="Heading7Char">
    <w:name w:val="Heading 7 Char"/>
    <w:basedOn w:val="DefaultParagraphFont"/>
    <w:link w:val="Heading7"/>
    <w:uiPriority w:val="9"/>
    <w:semiHidden/>
    <w:rsid w:val="001420BD"/>
    <w:rPr>
      <w:rFonts w:asciiTheme="minorHAnsi" w:eastAsiaTheme="majorEastAsia" w:hAnsiTheme="minorHAnsi" w:cstheme="majorBidi"/>
      <w:noProof/>
      <w:color w:val="595959" w:themeColor="text1" w:themeTint="A6"/>
    </w:rPr>
  </w:style>
  <w:style w:type="character" w:customStyle="1" w:styleId="Heading8Char">
    <w:name w:val="Heading 8 Char"/>
    <w:basedOn w:val="DefaultParagraphFont"/>
    <w:link w:val="Heading8"/>
    <w:uiPriority w:val="9"/>
    <w:semiHidden/>
    <w:rsid w:val="001420BD"/>
    <w:rPr>
      <w:rFonts w:asciiTheme="minorHAnsi" w:eastAsiaTheme="majorEastAsia" w:hAnsiTheme="minorHAnsi" w:cstheme="majorBidi"/>
      <w:i/>
      <w:iCs/>
      <w:noProof/>
      <w:color w:val="272727" w:themeColor="text1" w:themeTint="D8"/>
    </w:rPr>
  </w:style>
  <w:style w:type="character" w:customStyle="1" w:styleId="Heading9Char">
    <w:name w:val="Heading 9 Char"/>
    <w:basedOn w:val="DefaultParagraphFont"/>
    <w:link w:val="Heading9"/>
    <w:uiPriority w:val="9"/>
    <w:semiHidden/>
    <w:rsid w:val="001420BD"/>
    <w:rPr>
      <w:rFonts w:asciiTheme="minorHAnsi" w:eastAsiaTheme="majorEastAsia" w:hAnsiTheme="minorHAnsi" w:cstheme="majorBidi"/>
      <w:noProof/>
      <w:color w:val="272727" w:themeColor="text1" w:themeTint="D8"/>
    </w:rPr>
  </w:style>
  <w:style w:type="paragraph" w:styleId="Subtitle">
    <w:name w:val="Subtitle"/>
    <w:basedOn w:val="Normal"/>
    <w:next w:val="Normal"/>
    <w:link w:val="SubtitleChar"/>
    <w:uiPriority w:val="11"/>
    <w:qFormat/>
    <w:rsid w:val="001420B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0BD"/>
    <w:rPr>
      <w:rFonts w:asciiTheme="minorHAnsi" w:eastAsiaTheme="majorEastAsia" w:hAnsiTheme="minorHAnsi" w:cstheme="majorBidi"/>
      <w:noProof/>
      <w:color w:val="595959" w:themeColor="text1" w:themeTint="A6"/>
      <w:spacing w:val="15"/>
      <w:sz w:val="28"/>
      <w:szCs w:val="28"/>
    </w:rPr>
  </w:style>
  <w:style w:type="paragraph" w:styleId="Quote">
    <w:name w:val="Quote"/>
    <w:basedOn w:val="Normal"/>
    <w:next w:val="Normal"/>
    <w:link w:val="QuoteChar"/>
    <w:uiPriority w:val="29"/>
    <w:qFormat/>
    <w:rsid w:val="001420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420BD"/>
    <w:rPr>
      <w:i/>
      <w:iCs/>
      <w:noProof/>
      <w:color w:val="404040" w:themeColor="text1" w:themeTint="BF"/>
    </w:rPr>
  </w:style>
  <w:style w:type="paragraph" w:styleId="ListParagraph">
    <w:name w:val="List Paragraph"/>
    <w:basedOn w:val="Normal"/>
    <w:uiPriority w:val="34"/>
    <w:qFormat/>
    <w:rsid w:val="001420BD"/>
    <w:pPr>
      <w:ind w:left="720"/>
      <w:contextualSpacing/>
    </w:pPr>
  </w:style>
  <w:style w:type="character" w:styleId="IntenseEmphasis">
    <w:name w:val="Intense Emphasis"/>
    <w:basedOn w:val="DefaultParagraphFont"/>
    <w:uiPriority w:val="21"/>
    <w:qFormat/>
    <w:rsid w:val="001420BD"/>
    <w:rPr>
      <w:i/>
      <w:iCs/>
      <w:color w:val="2F5496" w:themeColor="accent1" w:themeShade="BF"/>
    </w:rPr>
  </w:style>
  <w:style w:type="paragraph" w:styleId="IntenseQuote">
    <w:name w:val="Intense Quote"/>
    <w:basedOn w:val="Normal"/>
    <w:next w:val="Normal"/>
    <w:link w:val="IntenseQuoteChar"/>
    <w:uiPriority w:val="30"/>
    <w:qFormat/>
    <w:rsid w:val="001420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20BD"/>
    <w:rPr>
      <w:i/>
      <w:iCs/>
      <w:noProof/>
      <w:color w:val="2F5496" w:themeColor="accent1" w:themeShade="BF"/>
    </w:rPr>
  </w:style>
  <w:style w:type="character" w:styleId="IntenseReference">
    <w:name w:val="Intense Reference"/>
    <w:basedOn w:val="DefaultParagraphFont"/>
    <w:uiPriority w:val="32"/>
    <w:qFormat/>
    <w:rsid w:val="001420BD"/>
    <w:rPr>
      <w:b/>
      <w:bCs/>
      <w:smallCaps/>
      <w:color w:val="2F5496" w:themeColor="accent1" w:themeShade="BF"/>
      <w:spacing w:val="5"/>
    </w:rPr>
  </w:style>
  <w:style w:type="paragraph" w:styleId="TOCHeading">
    <w:name w:val="TOC Heading"/>
    <w:basedOn w:val="Heading1"/>
    <w:next w:val="Normal"/>
    <w:uiPriority w:val="39"/>
    <w:unhideWhenUsed/>
    <w:qFormat/>
    <w:rsid w:val="001420BD"/>
    <w:pPr>
      <w:spacing w:before="240" w:beforeAutospacing="0" w:after="0" w:afterAutospacing="0" w:line="259" w:lineRule="auto"/>
      <w:jc w:val="left"/>
      <w:outlineLvl w:val="9"/>
    </w:pPr>
    <w:rPr>
      <w:rFonts w:asciiTheme="majorHAnsi" w:eastAsiaTheme="majorEastAsia" w:hAnsiTheme="majorHAnsi" w:cstheme="majorBidi"/>
      <w:b w:val="0"/>
      <w:noProof w:val="0"/>
      <w:color w:val="2F5496" w:themeColor="accent1" w:themeShade="BF"/>
      <w:kern w:val="0"/>
      <w:sz w:val="32"/>
      <w:szCs w:val="32"/>
      <w:lang w:val="en-GB" w:eastAsia="en-GB"/>
      <w14:ligatures w14:val="none"/>
    </w:rPr>
  </w:style>
  <w:style w:type="paragraph" w:styleId="TOC1">
    <w:name w:val="toc 1"/>
    <w:basedOn w:val="Normal"/>
    <w:next w:val="Normal"/>
    <w:autoRedefine/>
    <w:uiPriority w:val="39"/>
    <w:unhideWhenUsed/>
    <w:rsid w:val="001420BD"/>
  </w:style>
  <w:style w:type="paragraph" w:styleId="TOC2">
    <w:name w:val="toc 2"/>
    <w:basedOn w:val="Normal"/>
    <w:next w:val="Normal"/>
    <w:autoRedefine/>
    <w:uiPriority w:val="39"/>
    <w:unhideWhenUsed/>
    <w:rsid w:val="001420BD"/>
    <w:pPr>
      <w:ind w:left="240"/>
    </w:pPr>
  </w:style>
  <w:style w:type="character" w:styleId="Hyperlink">
    <w:name w:val="Hyperlink"/>
    <w:basedOn w:val="DefaultParagraphFont"/>
    <w:uiPriority w:val="99"/>
    <w:unhideWhenUsed/>
    <w:rsid w:val="001420BD"/>
    <w:rPr>
      <w:color w:val="0563C1" w:themeColor="hyperlink"/>
      <w:u w:val="single"/>
    </w:rPr>
  </w:style>
  <w:style w:type="paragraph" w:styleId="Header">
    <w:name w:val="header"/>
    <w:basedOn w:val="Normal"/>
    <w:link w:val="HeaderChar"/>
    <w:uiPriority w:val="99"/>
    <w:unhideWhenUsed/>
    <w:rsid w:val="00D115A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115A5"/>
    <w:rPr>
      <w:noProof/>
    </w:rPr>
  </w:style>
  <w:style w:type="paragraph" w:styleId="Footer">
    <w:name w:val="footer"/>
    <w:basedOn w:val="Normal"/>
    <w:link w:val="FooterChar"/>
    <w:uiPriority w:val="99"/>
    <w:unhideWhenUsed/>
    <w:rsid w:val="00D115A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115A5"/>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3374</Words>
  <Characters>19238</Characters>
  <Application>Microsoft Office Word</Application>
  <DocSecurity>0</DocSecurity>
  <Lines>160</Lines>
  <Paragraphs>45</Paragraphs>
  <ScaleCrop>false</ScaleCrop>
  <Company/>
  <LinksUpToDate>false</LinksUpToDate>
  <CharactersWithSpaces>22567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2026-07-22T22:04:00Z</dcterms:created>
  <dcterms:modified xsi:type="dcterms:W3CDTF">2026-07-22T22:04:00Z</dcterms:modified>
</cp:coreProperties>
</file>