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4F351355" w14:textId="77777777" w:rsidR="00E84532" w:rsidRDefault="00E84532">
      <w:pPr>
        <w:jc w:val="center"/>
        <w:rPr>
          <w:b/>
          <w:bCs/>
          <w:sz w:val="34"/>
          <w:szCs w:val="34"/>
        </w:rPr>
      </w:pPr>
    </w:p>
    <w:p w14:paraId="4F351356" w14:textId="77777777" w:rsidR="00E84532" w:rsidRDefault="00E84532">
      <w:pPr>
        <w:jc w:val="center"/>
        <w:rPr>
          <w:b/>
          <w:bCs/>
          <w:sz w:val="34"/>
          <w:szCs w:val="34"/>
        </w:rPr>
      </w:pPr>
    </w:p>
    <w:p w14:paraId="4F351357" w14:textId="77777777" w:rsidR="00E84532" w:rsidRDefault="00E90F46">
      <w:pPr>
        <w:jc w:val="center"/>
        <w:rPr>
          <w:b/>
          <w:bCs/>
          <w:sz w:val="34"/>
          <w:szCs w:val="34"/>
        </w:rPr>
      </w:pPr>
      <w:r>
        <w:rPr>
          <w:b/>
          <w:bCs/>
          <w:noProof/>
          <w:sz w:val="34"/>
          <w:szCs w:val="34"/>
        </w:rPr>
        <w:drawing>
          <wp:inline distT="114300" distB="114300" distL="114300" distR="114300" wp14:anchorId="4F351732" wp14:editId="4F351733">
            <wp:extent cx="1895475" cy="742950"/>
            <wp:effectExtent l="0" t="0" r="0" b="0"/>
            <wp:docPr id="4" name="image34.png"/>
            <wp:cNvGraphicFramePr/>
            <a:graphic xmlns:a="http://schemas.openxmlformats.org/drawingml/2006/main">
              <a:graphicData uri="http://schemas.openxmlformats.org/drawingml/2006/picture">
                <pic:pic xmlns:pic="http://schemas.openxmlformats.org/drawingml/2006/picture">
                  <pic:nvPicPr>
                    <pic:cNvPr id="0" name="image34.png"/>
                    <pic:cNvPicPr preferRelativeResize="0"/>
                  </pic:nvPicPr>
                  <pic:blipFill>
                    <a:blip r:embed="rId7"/>
                    <a:srcRect/>
                    <a:stretch>
                      <a:fillRect/>
                    </a:stretch>
                  </pic:blipFill>
                  <pic:spPr>
                    <a:xfrm>
                      <a:off x="0" y="0"/>
                      <a:ext cx="1895475" cy="742950"/>
                    </a:xfrm>
                    <a:prstGeom prst="rect">
                      <a:avLst/>
                    </a:prstGeom>
                    <a:ln/>
                  </pic:spPr>
                </pic:pic>
              </a:graphicData>
            </a:graphic>
          </wp:inline>
        </w:drawing>
      </w:r>
    </w:p>
    <w:p w14:paraId="4F351358" w14:textId="77777777" w:rsidR="00E84532" w:rsidRDefault="00E84532">
      <w:pPr>
        <w:jc w:val="center"/>
        <w:rPr>
          <w:b/>
          <w:bCs/>
          <w:sz w:val="34"/>
          <w:szCs w:val="34"/>
        </w:rPr>
      </w:pPr>
    </w:p>
    <w:p w14:paraId="4F351359" w14:textId="77777777" w:rsidR="00E84532" w:rsidRDefault="00E84532">
      <w:pPr>
        <w:jc w:val="center"/>
        <w:rPr>
          <w:b/>
          <w:bCs/>
          <w:sz w:val="34"/>
          <w:szCs w:val="34"/>
        </w:rPr>
      </w:pPr>
    </w:p>
    <w:p w14:paraId="4F35135A" w14:textId="30D818A1" w:rsidR="00E84532" w:rsidRDefault="00E90F46">
      <w:pPr>
        <w:jc w:val="center"/>
        <w:rPr>
          <w:b/>
          <w:bCs/>
          <w:sz w:val="34"/>
          <w:szCs w:val="34"/>
        </w:rPr>
      </w:pPr>
      <w:proofErr w:type="spellStart"/>
      <w:r>
        <w:rPr>
          <w:b/>
          <w:bCs/>
          <w:sz w:val="34"/>
          <w:szCs w:val="34"/>
        </w:rPr>
        <w:t>Program</w:t>
      </w:r>
      <w:r w:rsidR="00601CCA">
        <w:rPr>
          <w:b/>
          <w:bCs/>
          <w:sz w:val="34"/>
          <w:szCs w:val="34"/>
        </w:rPr>
        <w:t>me</w:t>
      </w:r>
      <w:proofErr w:type="spellEnd"/>
      <w:r>
        <w:rPr>
          <w:b/>
          <w:bCs/>
          <w:sz w:val="34"/>
          <w:szCs w:val="34"/>
        </w:rPr>
        <w:t>: Master of Business Administration</w:t>
      </w:r>
    </w:p>
    <w:p w14:paraId="4F35135B" w14:textId="77777777" w:rsidR="00E84532" w:rsidRDefault="00E90F46">
      <w:pPr>
        <w:jc w:val="center"/>
        <w:rPr>
          <w:b/>
          <w:bCs/>
          <w:sz w:val="34"/>
          <w:szCs w:val="34"/>
        </w:rPr>
      </w:pPr>
      <w:r>
        <w:rPr>
          <w:b/>
          <w:bCs/>
          <w:sz w:val="34"/>
          <w:szCs w:val="34"/>
        </w:rPr>
        <w:t>Module Title: Financial Management</w:t>
      </w:r>
    </w:p>
    <w:p w14:paraId="4F35135C" w14:textId="77777777" w:rsidR="00E84532" w:rsidRDefault="00E90F46">
      <w:pPr>
        <w:jc w:val="center"/>
        <w:rPr>
          <w:b/>
          <w:bCs/>
          <w:sz w:val="34"/>
          <w:szCs w:val="34"/>
        </w:rPr>
      </w:pPr>
      <w:r>
        <w:rPr>
          <w:b/>
          <w:bCs/>
          <w:sz w:val="34"/>
          <w:szCs w:val="34"/>
        </w:rPr>
        <w:t>Module Code: LCMB7002</w:t>
      </w:r>
    </w:p>
    <w:p w14:paraId="4F35135D" w14:textId="77777777" w:rsidR="00E84532" w:rsidRDefault="00E84532">
      <w:pPr>
        <w:jc w:val="center"/>
        <w:rPr>
          <w:b/>
          <w:bCs/>
          <w:sz w:val="34"/>
          <w:szCs w:val="34"/>
        </w:rPr>
      </w:pPr>
    </w:p>
    <w:p w14:paraId="09F367A1" w14:textId="41ECB32B" w:rsidR="00601CCA" w:rsidRPr="00601CCA" w:rsidRDefault="00601CCA" w:rsidP="00601CCA">
      <w:pPr>
        <w:jc w:val="center"/>
        <w:rPr>
          <w:b/>
          <w:bCs/>
          <w:sz w:val="34"/>
          <w:szCs w:val="34"/>
          <w:lang w:val="en-IN"/>
        </w:rPr>
      </w:pPr>
      <w:r w:rsidRPr="00601CCA">
        <w:rPr>
          <w:b/>
          <w:bCs/>
          <w:sz w:val="34"/>
          <w:szCs w:val="34"/>
        </w:rPr>
        <w:t>LECTURER</w:t>
      </w:r>
      <w:r>
        <w:rPr>
          <w:b/>
          <w:bCs/>
          <w:sz w:val="34"/>
          <w:szCs w:val="34"/>
        </w:rPr>
        <w:t xml:space="preserve">: </w:t>
      </w:r>
      <w:r w:rsidRPr="00601CCA">
        <w:rPr>
          <w:b/>
          <w:bCs/>
          <w:sz w:val="34"/>
          <w:szCs w:val="34"/>
          <w:lang w:val="en-IN"/>
        </w:rPr>
        <w:t>MD KALAM</w:t>
      </w:r>
    </w:p>
    <w:p w14:paraId="4F35135F" w14:textId="77777777" w:rsidR="00E84532" w:rsidRDefault="00E84532" w:rsidP="00601CCA">
      <w:pPr>
        <w:rPr>
          <w:b/>
          <w:bCs/>
          <w:sz w:val="34"/>
          <w:szCs w:val="34"/>
        </w:rPr>
      </w:pPr>
    </w:p>
    <w:p w14:paraId="4F351360" w14:textId="77777777" w:rsidR="00E84532" w:rsidRDefault="00E84532">
      <w:pPr>
        <w:jc w:val="center"/>
        <w:rPr>
          <w:b/>
          <w:bCs/>
          <w:sz w:val="34"/>
          <w:szCs w:val="34"/>
        </w:rPr>
      </w:pPr>
    </w:p>
    <w:p w14:paraId="4F351361" w14:textId="5307FA7C" w:rsidR="00E84532" w:rsidRPr="00601CCA" w:rsidRDefault="00601CCA">
      <w:pPr>
        <w:jc w:val="center"/>
        <w:rPr>
          <w:b/>
          <w:bCs/>
          <w:sz w:val="36"/>
          <w:szCs w:val="36"/>
        </w:rPr>
      </w:pPr>
      <w:r w:rsidRPr="00601CCA">
        <w:rPr>
          <w:b/>
          <w:bCs/>
          <w:sz w:val="36"/>
          <w:szCs w:val="36"/>
        </w:rPr>
        <w:t>STUDENT NAME: BANSARI RAMESH BHAI SHETH</w:t>
      </w:r>
    </w:p>
    <w:p w14:paraId="4F351362" w14:textId="660CFE65" w:rsidR="00E84532" w:rsidRPr="00601CCA" w:rsidRDefault="00601CCA">
      <w:pPr>
        <w:jc w:val="center"/>
        <w:rPr>
          <w:b/>
          <w:bCs/>
          <w:sz w:val="36"/>
          <w:szCs w:val="36"/>
        </w:rPr>
      </w:pPr>
      <w:r w:rsidRPr="00601CCA">
        <w:rPr>
          <w:b/>
          <w:bCs/>
          <w:sz w:val="36"/>
          <w:szCs w:val="36"/>
        </w:rPr>
        <w:t>STUDENT ID NUMBER: 2545069</w:t>
      </w:r>
      <w:r w:rsidRPr="00601CCA">
        <w:rPr>
          <w:sz w:val="28"/>
          <w:szCs w:val="28"/>
        </w:rPr>
        <w:br w:type="page"/>
      </w:r>
    </w:p>
    <w:p w14:paraId="4F351363" w14:textId="77777777" w:rsidR="00E84532" w:rsidRDefault="00E90F46">
      <w:pPr>
        <w:jc w:val="center"/>
        <w:rPr>
          <w:b/>
          <w:bCs/>
          <w:sz w:val="28"/>
          <w:szCs w:val="28"/>
        </w:rPr>
      </w:pPr>
      <w:r>
        <w:rPr>
          <w:b/>
          <w:bCs/>
          <w:sz w:val="28"/>
          <w:szCs w:val="28"/>
        </w:rPr>
        <w:lastRenderedPageBreak/>
        <w:t xml:space="preserve">Table of content </w:t>
      </w:r>
    </w:p>
    <w:sdt>
      <w:sdtPr>
        <w:id w:val="852995748"/>
        <w:docPartObj>
          <w:docPartGallery w:val="Table of Contents"/>
          <w:docPartUnique/>
        </w:docPartObj>
      </w:sdtPr>
      <w:sdtContent>
        <w:p w14:paraId="054088EC" w14:textId="069B64DF" w:rsidR="00EB5528" w:rsidRDefault="00E90F46">
          <w:pPr>
            <w:pStyle w:val="TOC1"/>
            <w:tabs>
              <w:tab w:val="right" w:pos="9350"/>
            </w:tabs>
            <w:rPr>
              <w:rFonts w:asciiTheme="minorHAnsi" w:eastAsiaTheme="minorEastAsia" w:hAnsiTheme="minorHAnsi" w:cstheme="minorBidi"/>
              <w:noProof/>
              <w:sz w:val="22"/>
              <w:szCs w:val="22"/>
              <w:lang w:val="en-IN"/>
            </w:rPr>
          </w:pPr>
          <w:r>
            <w:fldChar w:fldCharType="begin"/>
          </w:r>
          <w:r>
            <w:instrText xml:space="preserve"> TOC \h \u \z \t "Heading 1,1,Heading 2,2,Heading 3,3,Heading 4,4,Heading 5,5,Heading 6,6,"</w:instrText>
          </w:r>
          <w:r>
            <w:fldChar w:fldCharType="separate"/>
          </w:r>
          <w:hyperlink w:anchor="_Toc235029497" w:history="1">
            <w:r w:rsidR="00EB5528" w:rsidRPr="009D57FE">
              <w:rPr>
                <w:rStyle w:val="Hyperlink"/>
                <w:noProof/>
              </w:rPr>
              <w:t>1. Financial Health Check</w:t>
            </w:r>
            <w:r w:rsidR="00EB5528">
              <w:rPr>
                <w:noProof/>
                <w:webHidden/>
              </w:rPr>
              <w:tab/>
            </w:r>
            <w:r w:rsidR="00EB5528">
              <w:rPr>
                <w:noProof/>
                <w:webHidden/>
              </w:rPr>
              <w:fldChar w:fldCharType="begin"/>
            </w:r>
            <w:r w:rsidR="00EB5528">
              <w:rPr>
                <w:noProof/>
                <w:webHidden/>
              </w:rPr>
              <w:instrText xml:space="preserve"> PAGEREF _Toc235029497 \h </w:instrText>
            </w:r>
            <w:r w:rsidR="00EB5528">
              <w:rPr>
                <w:noProof/>
                <w:webHidden/>
              </w:rPr>
            </w:r>
            <w:r w:rsidR="00EB5528">
              <w:rPr>
                <w:noProof/>
                <w:webHidden/>
              </w:rPr>
              <w:fldChar w:fldCharType="separate"/>
            </w:r>
            <w:r w:rsidR="00F4698C">
              <w:rPr>
                <w:noProof/>
                <w:webHidden/>
              </w:rPr>
              <w:t>4</w:t>
            </w:r>
            <w:r w:rsidR="00EB5528">
              <w:rPr>
                <w:noProof/>
                <w:webHidden/>
              </w:rPr>
              <w:fldChar w:fldCharType="end"/>
            </w:r>
          </w:hyperlink>
        </w:p>
        <w:p w14:paraId="17D16EDF" w14:textId="4500D728" w:rsidR="00EB5528" w:rsidRDefault="00EB5528">
          <w:pPr>
            <w:pStyle w:val="TOC2"/>
            <w:tabs>
              <w:tab w:val="right" w:pos="9350"/>
            </w:tabs>
            <w:rPr>
              <w:rFonts w:asciiTheme="minorHAnsi" w:eastAsiaTheme="minorEastAsia" w:hAnsiTheme="minorHAnsi" w:cstheme="minorBidi"/>
              <w:noProof/>
              <w:sz w:val="22"/>
              <w:szCs w:val="22"/>
              <w:lang w:val="en-IN"/>
            </w:rPr>
          </w:pPr>
          <w:hyperlink w:anchor="_Toc235029498" w:history="1">
            <w:r w:rsidRPr="009D57FE">
              <w:rPr>
                <w:rStyle w:val="Hyperlink"/>
                <w:noProof/>
              </w:rPr>
              <w:t>1.1 Five-Year Financial Performance of Compass Group Plc</w:t>
            </w:r>
            <w:r>
              <w:rPr>
                <w:noProof/>
                <w:webHidden/>
              </w:rPr>
              <w:tab/>
            </w:r>
            <w:r>
              <w:rPr>
                <w:noProof/>
                <w:webHidden/>
              </w:rPr>
              <w:fldChar w:fldCharType="begin"/>
            </w:r>
            <w:r>
              <w:rPr>
                <w:noProof/>
                <w:webHidden/>
              </w:rPr>
              <w:instrText xml:space="preserve"> PAGEREF _Toc235029498 \h </w:instrText>
            </w:r>
            <w:r>
              <w:rPr>
                <w:noProof/>
                <w:webHidden/>
              </w:rPr>
            </w:r>
            <w:r>
              <w:rPr>
                <w:noProof/>
                <w:webHidden/>
              </w:rPr>
              <w:fldChar w:fldCharType="separate"/>
            </w:r>
            <w:r w:rsidR="00F4698C">
              <w:rPr>
                <w:noProof/>
                <w:webHidden/>
              </w:rPr>
              <w:t>4</w:t>
            </w:r>
            <w:r>
              <w:rPr>
                <w:noProof/>
                <w:webHidden/>
              </w:rPr>
              <w:fldChar w:fldCharType="end"/>
            </w:r>
          </w:hyperlink>
        </w:p>
        <w:p w14:paraId="58973023" w14:textId="0F4EC661" w:rsidR="00EB5528" w:rsidRDefault="00EB5528">
          <w:pPr>
            <w:pStyle w:val="TOC3"/>
            <w:tabs>
              <w:tab w:val="right" w:pos="9350"/>
            </w:tabs>
            <w:rPr>
              <w:rFonts w:asciiTheme="minorHAnsi" w:eastAsiaTheme="minorEastAsia" w:hAnsiTheme="minorHAnsi" w:cstheme="minorBidi"/>
              <w:noProof/>
              <w:sz w:val="22"/>
              <w:szCs w:val="22"/>
              <w:lang w:val="en-IN"/>
            </w:rPr>
          </w:pPr>
          <w:hyperlink w:anchor="_Toc235029499" w:history="1">
            <w:r w:rsidRPr="009D57FE">
              <w:rPr>
                <w:rStyle w:val="Hyperlink"/>
                <w:noProof/>
              </w:rPr>
              <w:t>1.1.1 Income statement analysis</w:t>
            </w:r>
            <w:r>
              <w:rPr>
                <w:noProof/>
                <w:webHidden/>
              </w:rPr>
              <w:tab/>
            </w:r>
            <w:r>
              <w:rPr>
                <w:noProof/>
                <w:webHidden/>
              </w:rPr>
              <w:fldChar w:fldCharType="begin"/>
            </w:r>
            <w:r>
              <w:rPr>
                <w:noProof/>
                <w:webHidden/>
              </w:rPr>
              <w:instrText xml:space="preserve"> PAGEREF _Toc235029499 \h </w:instrText>
            </w:r>
            <w:r>
              <w:rPr>
                <w:noProof/>
                <w:webHidden/>
              </w:rPr>
            </w:r>
            <w:r>
              <w:rPr>
                <w:noProof/>
                <w:webHidden/>
              </w:rPr>
              <w:fldChar w:fldCharType="separate"/>
            </w:r>
            <w:r w:rsidR="00F4698C">
              <w:rPr>
                <w:noProof/>
                <w:webHidden/>
              </w:rPr>
              <w:t>4</w:t>
            </w:r>
            <w:r>
              <w:rPr>
                <w:noProof/>
                <w:webHidden/>
              </w:rPr>
              <w:fldChar w:fldCharType="end"/>
            </w:r>
          </w:hyperlink>
        </w:p>
        <w:p w14:paraId="3B1E815D" w14:textId="77B4BDCC" w:rsidR="00EB5528" w:rsidRDefault="00EB5528">
          <w:pPr>
            <w:pStyle w:val="TOC3"/>
            <w:tabs>
              <w:tab w:val="right" w:pos="9350"/>
            </w:tabs>
            <w:rPr>
              <w:rFonts w:asciiTheme="minorHAnsi" w:eastAsiaTheme="minorEastAsia" w:hAnsiTheme="minorHAnsi" w:cstheme="minorBidi"/>
              <w:noProof/>
              <w:sz w:val="22"/>
              <w:szCs w:val="22"/>
              <w:lang w:val="en-IN"/>
            </w:rPr>
          </w:pPr>
          <w:hyperlink w:anchor="_Toc235029500" w:history="1">
            <w:r w:rsidRPr="009D57FE">
              <w:rPr>
                <w:rStyle w:val="Hyperlink"/>
                <w:noProof/>
              </w:rPr>
              <w:t>1.1.2 Balance sheet analysis</w:t>
            </w:r>
            <w:r>
              <w:rPr>
                <w:noProof/>
                <w:webHidden/>
              </w:rPr>
              <w:tab/>
            </w:r>
            <w:r>
              <w:rPr>
                <w:noProof/>
                <w:webHidden/>
              </w:rPr>
              <w:fldChar w:fldCharType="begin"/>
            </w:r>
            <w:r>
              <w:rPr>
                <w:noProof/>
                <w:webHidden/>
              </w:rPr>
              <w:instrText xml:space="preserve"> PAGEREF _Toc235029500 \h </w:instrText>
            </w:r>
            <w:r>
              <w:rPr>
                <w:noProof/>
                <w:webHidden/>
              </w:rPr>
            </w:r>
            <w:r>
              <w:rPr>
                <w:noProof/>
                <w:webHidden/>
              </w:rPr>
              <w:fldChar w:fldCharType="separate"/>
            </w:r>
            <w:r w:rsidR="00F4698C">
              <w:rPr>
                <w:noProof/>
                <w:webHidden/>
              </w:rPr>
              <w:t>4</w:t>
            </w:r>
            <w:r>
              <w:rPr>
                <w:noProof/>
                <w:webHidden/>
              </w:rPr>
              <w:fldChar w:fldCharType="end"/>
            </w:r>
          </w:hyperlink>
        </w:p>
        <w:p w14:paraId="1C558DAD" w14:textId="6F5490C3" w:rsidR="00EB5528" w:rsidRDefault="00EB5528">
          <w:pPr>
            <w:pStyle w:val="TOC2"/>
            <w:tabs>
              <w:tab w:val="right" w:pos="9350"/>
            </w:tabs>
            <w:rPr>
              <w:rFonts w:asciiTheme="minorHAnsi" w:eastAsiaTheme="minorEastAsia" w:hAnsiTheme="minorHAnsi" w:cstheme="minorBidi"/>
              <w:noProof/>
              <w:sz w:val="22"/>
              <w:szCs w:val="22"/>
              <w:lang w:val="en-IN"/>
            </w:rPr>
          </w:pPr>
          <w:hyperlink w:anchor="_Toc235029501" w:history="1">
            <w:r w:rsidRPr="009D57FE">
              <w:rPr>
                <w:rStyle w:val="Hyperlink"/>
                <w:noProof/>
              </w:rPr>
              <w:t>1.2 Liquidity Ratios</w:t>
            </w:r>
            <w:r>
              <w:rPr>
                <w:noProof/>
                <w:webHidden/>
              </w:rPr>
              <w:tab/>
            </w:r>
            <w:r>
              <w:rPr>
                <w:noProof/>
                <w:webHidden/>
              </w:rPr>
              <w:fldChar w:fldCharType="begin"/>
            </w:r>
            <w:r>
              <w:rPr>
                <w:noProof/>
                <w:webHidden/>
              </w:rPr>
              <w:instrText xml:space="preserve"> PAGEREF _Toc235029501 \h </w:instrText>
            </w:r>
            <w:r>
              <w:rPr>
                <w:noProof/>
                <w:webHidden/>
              </w:rPr>
            </w:r>
            <w:r>
              <w:rPr>
                <w:noProof/>
                <w:webHidden/>
              </w:rPr>
              <w:fldChar w:fldCharType="separate"/>
            </w:r>
            <w:r w:rsidR="00F4698C">
              <w:rPr>
                <w:noProof/>
                <w:webHidden/>
              </w:rPr>
              <w:t>5</w:t>
            </w:r>
            <w:r>
              <w:rPr>
                <w:noProof/>
                <w:webHidden/>
              </w:rPr>
              <w:fldChar w:fldCharType="end"/>
            </w:r>
          </w:hyperlink>
        </w:p>
        <w:p w14:paraId="1928E4DD" w14:textId="48699CD8" w:rsidR="00EB5528" w:rsidRDefault="00EB5528">
          <w:pPr>
            <w:pStyle w:val="TOC2"/>
            <w:tabs>
              <w:tab w:val="right" w:pos="9350"/>
            </w:tabs>
            <w:rPr>
              <w:rFonts w:asciiTheme="minorHAnsi" w:eastAsiaTheme="minorEastAsia" w:hAnsiTheme="minorHAnsi" w:cstheme="minorBidi"/>
              <w:noProof/>
              <w:sz w:val="22"/>
              <w:szCs w:val="22"/>
              <w:lang w:val="en-IN"/>
            </w:rPr>
          </w:pPr>
          <w:hyperlink w:anchor="_Toc235029502" w:history="1">
            <w:r w:rsidRPr="009D57FE">
              <w:rPr>
                <w:rStyle w:val="Hyperlink"/>
                <w:noProof/>
              </w:rPr>
              <w:t>1.3 Efficiency Ratios</w:t>
            </w:r>
            <w:r>
              <w:rPr>
                <w:noProof/>
                <w:webHidden/>
              </w:rPr>
              <w:tab/>
            </w:r>
            <w:r>
              <w:rPr>
                <w:noProof/>
                <w:webHidden/>
              </w:rPr>
              <w:fldChar w:fldCharType="begin"/>
            </w:r>
            <w:r>
              <w:rPr>
                <w:noProof/>
                <w:webHidden/>
              </w:rPr>
              <w:instrText xml:space="preserve"> PAGEREF _Toc235029502 \h </w:instrText>
            </w:r>
            <w:r>
              <w:rPr>
                <w:noProof/>
                <w:webHidden/>
              </w:rPr>
            </w:r>
            <w:r>
              <w:rPr>
                <w:noProof/>
                <w:webHidden/>
              </w:rPr>
              <w:fldChar w:fldCharType="separate"/>
            </w:r>
            <w:r w:rsidR="00F4698C">
              <w:rPr>
                <w:noProof/>
                <w:webHidden/>
              </w:rPr>
              <w:t>6</w:t>
            </w:r>
            <w:r>
              <w:rPr>
                <w:noProof/>
                <w:webHidden/>
              </w:rPr>
              <w:fldChar w:fldCharType="end"/>
            </w:r>
          </w:hyperlink>
        </w:p>
        <w:p w14:paraId="50E0C2E8" w14:textId="38E0102C" w:rsidR="00EB5528" w:rsidRDefault="00EB5528">
          <w:pPr>
            <w:pStyle w:val="TOC2"/>
            <w:tabs>
              <w:tab w:val="right" w:pos="9350"/>
            </w:tabs>
            <w:rPr>
              <w:rFonts w:asciiTheme="minorHAnsi" w:eastAsiaTheme="minorEastAsia" w:hAnsiTheme="minorHAnsi" w:cstheme="minorBidi"/>
              <w:noProof/>
              <w:sz w:val="22"/>
              <w:szCs w:val="22"/>
              <w:lang w:val="en-IN"/>
            </w:rPr>
          </w:pPr>
          <w:hyperlink w:anchor="_Toc235029503" w:history="1">
            <w:r w:rsidRPr="009D57FE">
              <w:rPr>
                <w:rStyle w:val="Hyperlink"/>
                <w:noProof/>
              </w:rPr>
              <w:t>1.4 Profitability Ratios</w:t>
            </w:r>
            <w:r>
              <w:rPr>
                <w:noProof/>
                <w:webHidden/>
              </w:rPr>
              <w:tab/>
            </w:r>
            <w:r>
              <w:rPr>
                <w:noProof/>
                <w:webHidden/>
              </w:rPr>
              <w:fldChar w:fldCharType="begin"/>
            </w:r>
            <w:r>
              <w:rPr>
                <w:noProof/>
                <w:webHidden/>
              </w:rPr>
              <w:instrText xml:space="preserve"> PAGEREF _Toc235029503 \h </w:instrText>
            </w:r>
            <w:r>
              <w:rPr>
                <w:noProof/>
                <w:webHidden/>
              </w:rPr>
            </w:r>
            <w:r>
              <w:rPr>
                <w:noProof/>
                <w:webHidden/>
              </w:rPr>
              <w:fldChar w:fldCharType="separate"/>
            </w:r>
            <w:r w:rsidR="00F4698C">
              <w:rPr>
                <w:noProof/>
                <w:webHidden/>
              </w:rPr>
              <w:t>7</w:t>
            </w:r>
            <w:r>
              <w:rPr>
                <w:noProof/>
                <w:webHidden/>
              </w:rPr>
              <w:fldChar w:fldCharType="end"/>
            </w:r>
          </w:hyperlink>
        </w:p>
        <w:p w14:paraId="59A22934" w14:textId="1D8EF1BD" w:rsidR="00EB5528" w:rsidRDefault="00EB5528">
          <w:pPr>
            <w:pStyle w:val="TOC2"/>
            <w:tabs>
              <w:tab w:val="right" w:pos="9350"/>
            </w:tabs>
            <w:rPr>
              <w:rFonts w:asciiTheme="minorHAnsi" w:eastAsiaTheme="minorEastAsia" w:hAnsiTheme="minorHAnsi" w:cstheme="minorBidi"/>
              <w:noProof/>
              <w:sz w:val="22"/>
              <w:szCs w:val="22"/>
              <w:lang w:val="en-IN"/>
            </w:rPr>
          </w:pPr>
          <w:hyperlink w:anchor="_Toc235029504" w:history="1">
            <w:r w:rsidRPr="009D57FE">
              <w:rPr>
                <w:rStyle w:val="Hyperlink"/>
                <w:noProof/>
              </w:rPr>
              <w:t>1.5 Gearing Ratios</w:t>
            </w:r>
            <w:r>
              <w:rPr>
                <w:noProof/>
                <w:webHidden/>
              </w:rPr>
              <w:tab/>
            </w:r>
            <w:r>
              <w:rPr>
                <w:noProof/>
                <w:webHidden/>
              </w:rPr>
              <w:fldChar w:fldCharType="begin"/>
            </w:r>
            <w:r>
              <w:rPr>
                <w:noProof/>
                <w:webHidden/>
              </w:rPr>
              <w:instrText xml:space="preserve"> PAGEREF _Toc235029504 \h </w:instrText>
            </w:r>
            <w:r>
              <w:rPr>
                <w:noProof/>
                <w:webHidden/>
              </w:rPr>
            </w:r>
            <w:r>
              <w:rPr>
                <w:noProof/>
                <w:webHidden/>
              </w:rPr>
              <w:fldChar w:fldCharType="separate"/>
            </w:r>
            <w:r w:rsidR="00F4698C">
              <w:rPr>
                <w:noProof/>
                <w:webHidden/>
              </w:rPr>
              <w:t>9</w:t>
            </w:r>
            <w:r>
              <w:rPr>
                <w:noProof/>
                <w:webHidden/>
              </w:rPr>
              <w:fldChar w:fldCharType="end"/>
            </w:r>
          </w:hyperlink>
        </w:p>
        <w:p w14:paraId="3D139173" w14:textId="00977D05" w:rsidR="00EB5528" w:rsidRDefault="00EB5528">
          <w:pPr>
            <w:pStyle w:val="TOC2"/>
            <w:tabs>
              <w:tab w:val="right" w:pos="9350"/>
            </w:tabs>
            <w:rPr>
              <w:rFonts w:asciiTheme="minorHAnsi" w:eastAsiaTheme="minorEastAsia" w:hAnsiTheme="minorHAnsi" w:cstheme="minorBidi"/>
              <w:noProof/>
              <w:sz w:val="22"/>
              <w:szCs w:val="22"/>
              <w:lang w:val="en-IN"/>
            </w:rPr>
          </w:pPr>
          <w:hyperlink w:anchor="_Toc235029505" w:history="1">
            <w:r w:rsidRPr="009D57FE">
              <w:rPr>
                <w:rStyle w:val="Hyperlink"/>
                <w:noProof/>
              </w:rPr>
              <w:t>1.6 Investment Ratios</w:t>
            </w:r>
            <w:r>
              <w:rPr>
                <w:noProof/>
                <w:webHidden/>
              </w:rPr>
              <w:tab/>
            </w:r>
            <w:r>
              <w:rPr>
                <w:noProof/>
                <w:webHidden/>
              </w:rPr>
              <w:fldChar w:fldCharType="begin"/>
            </w:r>
            <w:r>
              <w:rPr>
                <w:noProof/>
                <w:webHidden/>
              </w:rPr>
              <w:instrText xml:space="preserve"> PAGEREF _Toc235029505 \h </w:instrText>
            </w:r>
            <w:r>
              <w:rPr>
                <w:noProof/>
                <w:webHidden/>
              </w:rPr>
            </w:r>
            <w:r>
              <w:rPr>
                <w:noProof/>
                <w:webHidden/>
              </w:rPr>
              <w:fldChar w:fldCharType="separate"/>
            </w:r>
            <w:r w:rsidR="00F4698C">
              <w:rPr>
                <w:noProof/>
                <w:webHidden/>
              </w:rPr>
              <w:t>10</w:t>
            </w:r>
            <w:r>
              <w:rPr>
                <w:noProof/>
                <w:webHidden/>
              </w:rPr>
              <w:fldChar w:fldCharType="end"/>
            </w:r>
          </w:hyperlink>
        </w:p>
        <w:p w14:paraId="32BFAF49" w14:textId="799844CC" w:rsidR="00EB5528" w:rsidRDefault="00EB5528">
          <w:pPr>
            <w:pStyle w:val="TOC2"/>
            <w:tabs>
              <w:tab w:val="right" w:pos="9350"/>
            </w:tabs>
            <w:rPr>
              <w:rFonts w:asciiTheme="minorHAnsi" w:eastAsiaTheme="minorEastAsia" w:hAnsiTheme="minorHAnsi" w:cstheme="minorBidi"/>
              <w:noProof/>
              <w:sz w:val="22"/>
              <w:szCs w:val="22"/>
              <w:lang w:val="en-IN"/>
            </w:rPr>
          </w:pPr>
          <w:hyperlink w:anchor="_Toc235029506" w:history="1">
            <w:r w:rsidRPr="009D57FE">
              <w:rPr>
                <w:rStyle w:val="Hyperlink"/>
                <w:noProof/>
              </w:rPr>
              <w:t>1.7 Cash Flow Ratios</w:t>
            </w:r>
            <w:r>
              <w:rPr>
                <w:noProof/>
                <w:webHidden/>
              </w:rPr>
              <w:tab/>
            </w:r>
            <w:r>
              <w:rPr>
                <w:noProof/>
                <w:webHidden/>
              </w:rPr>
              <w:fldChar w:fldCharType="begin"/>
            </w:r>
            <w:r>
              <w:rPr>
                <w:noProof/>
                <w:webHidden/>
              </w:rPr>
              <w:instrText xml:space="preserve"> PAGEREF _Toc235029506 \h </w:instrText>
            </w:r>
            <w:r>
              <w:rPr>
                <w:noProof/>
                <w:webHidden/>
              </w:rPr>
            </w:r>
            <w:r>
              <w:rPr>
                <w:noProof/>
                <w:webHidden/>
              </w:rPr>
              <w:fldChar w:fldCharType="separate"/>
            </w:r>
            <w:r w:rsidR="00F4698C">
              <w:rPr>
                <w:noProof/>
                <w:webHidden/>
              </w:rPr>
              <w:t>11</w:t>
            </w:r>
            <w:r>
              <w:rPr>
                <w:noProof/>
                <w:webHidden/>
              </w:rPr>
              <w:fldChar w:fldCharType="end"/>
            </w:r>
          </w:hyperlink>
        </w:p>
        <w:p w14:paraId="7EB45A6F" w14:textId="35F7153D" w:rsidR="00EB5528" w:rsidRDefault="00EB5528">
          <w:pPr>
            <w:pStyle w:val="TOC2"/>
            <w:tabs>
              <w:tab w:val="right" w:pos="9350"/>
            </w:tabs>
            <w:rPr>
              <w:rFonts w:asciiTheme="minorHAnsi" w:eastAsiaTheme="minorEastAsia" w:hAnsiTheme="minorHAnsi" w:cstheme="minorBidi"/>
              <w:noProof/>
              <w:sz w:val="22"/>
              <w:szCs w:val="22"/>
              <w:lang w:val="en-IN"/>
            </w:rPr>
          </w:pPr>
          <w:hyperlink w:anchor="_Toc235029507" w:history="1">
            <w:r w:rsidRPr="009D57FE">
              <w:rPr>
                <w:rStyle w:val="Hyperlink"/>
                <w:noProof/>
              </w:rPr>
              <w:t>1.8 Liquidity ratio comparison</w:t>
            </w:r>
            <w:r>
              <w:rPr>
                <w:noProof/>
                <w:webHidden/>
              </w:rPr>
              <w:tab/>
            </w:r>
            <w:r>
              <w:rPr>
                <w:noProof/>
                <w:webHidden/>
              </w:rPr>
              <w:fldChar w:fldCharType="begin"/>
            </w:r>
            <w:r>
              <w:rPr>
                <w:noProof/>
                <w:webHidden/>
              </w:rPr>
              <w:instrText xml:space="preserve"> PAGEREF _Toc235029507 \h </w:instrText>
            </w:r>
            <w:r>
              <w:rPr>
                <w:noProof/>
                <w:webHidden/>
              </w:rPr>
            </w:r>
            <w:r>
              <w:rPr>
                <w:noProof/>
                <w:webHidden/>
              </w:rPr>
              <w:fldChar w:fldCharType="separate"/>
            </w:r>
            <w:r w:rsidR="00F4698C">
              <w:rPr>
                <w:noProof/>
                <w:webHidden/>
              </w:rPr>
              <w:t>12</w:t>
            </w:r>
            <w:r>
              <w:rPr>
                <w:noProof/>
                <w:webHidden/>
              </w:rPr>
              <w:fldChar w:fldCharType="end"/>
            </w:r>
          </w:hyperlink>
        </w:p>
        <w:p w14:paraId="67FE4923" w14:textId="311AB21F" w:rsidR="00EB5528" w:rsidRDefault="00EB5528">
          <w:pPr>
            <w:pStyle w:val="TOC3"/>
            <w:tabs>
              <w:tab w:val="right" w:pos="9350"/>
            </w:tabs>
            <w:rPr>
              <w:rFonts w:asciiTheme="minorHAnsi" w:eastAsiaTheme="minorEastAsia" w:hAnsiTheme="minorHAnsi" w:cstheme="minorBidi"/>
              <w:noProof/>
              <w:sz w:val="22"/>
              <w:szCs w:val="22"/>
              <w:lang w:val="en-IN"/>
            </w:rPr>
          </w:pPr>
          <w:hyperlink w:anchor="_Toc235029508" w:history="1">
            <w:r w:rsidRPr="009D57FE">
              <w:rPr>
                <w:rStyle w:val="Hyperlink"/>
                <w:noProof/>
              </w:rPr>
              <w:t>1.8.1 Evaluation with Liquidity ratio with industry benchmark</w:t>
            </w:r>
            <w:r>
              <w:rPr>
                <w:noProof/>
                <w:webHidden/>
              </w:rPr>
              <w:tab/>
            </w:r>
            <w:r>
              <w:rPr>
                <w:noProof/>
                <w:webHidden/>
              </w:rPr>
              <w:fldChar w:fldCharType="begin"/>
            </w:r>
            <w:r>
              <w:rPr>
                <w:noProof/>
                <w:webHidden/>
              </w:rPr>
              <w:instrText xml:space="preserve"> PAGEREF _Toc235029508 \h </w:instrText>
            </w:r>
            <w:r>
              <w:rPr>
                <w:noProof/>
                <w:webHidden/>
              </w:rPr>
            </w:r>
            <w:r>
              <w:rPr>
                <w:noProof/>
                <w:webHidden/>
              </w:rPr>
              <w:fldChar w:fldCharType="separate"/>
            </w:r>
            <w:r w:rsidR="00F4698C">
              <w:rPr>
                <w:noProof/>
                <w:webHidden/>
              </w:rPr>
              <w:t>12</w:t>
            </w:r>
            <w:r>
              <w:rPr>
                <w:noProof/>
                <w:webHidden/>
              </w:rPr>
              <w:fldChar w:fldCharType="end"/>
            </w:r>
          </w:hyperlink>
        </w:p>
        <w:p w14:paraId="2148A473" w14:textId="760CFF2B" w:rsidR="00EB5528" w:rsidRDefault="00EB5528">
          <w:pPr>
            <w:pStyle w:val="TOC3"/>
            <w:tabs>
              <w:tab w:val="right" w:pos="9350"/>
            </w:tabs>
            <w:rPr>
              <w:rFonts w:asciiTheme="minorHAnsi" w:eastAsiaTheme="minorEastAsia" w:hAnsiTheme="minorHAnsi" w:cstheme="minorBidi"/>
              <w:noProof/>
              <w:sz w:val="22"/>
              <w:szCs w:val="22"/>
              <w:lang w:val="en-IN"/>
            </w:rPr>
          </w:pPr>
          <w:hyperlink w:anchor="_Toc235029509" w:history="1">
            <w:r w:rsidRPr="009D57FE">
              <w:rPr>
                <w:rStyle w:val="Hyperlink"/>
                <w:noProof/>
              </w:rPr>
              <w:t>1.8.2 Impact of firm performance based on liquidity ratio</w:t>
            </w:r>
            <w:r>
              <w:rPr>
                <w:noProof/>
                <w:webHidden/>
              </w:rPr>
              <w:tab/>
            </w:r>
            <w:r>
              <w:rPr>
                <w:noProof/>
                <w:webHidden/>
              </w:rPr>
              <w:fldChar w:fldCharType="begin"/>
            </w:r>
            <w:r>
              <w:rPr>
                <w:noProof/>
                <w:webHidden/>
              </w:rPr>
              <w:instrText xml:space="preserve"> PAGEREF _Toc235029509 \h </w:instrText>
            </w:r>
            <w:r>
              <w:rPr>
                <w:noProof/>
                <w:webHidden/>
              </w:rPr>
            </w:r>
            <w:r>
              <w:rPr>
                <w:noProof/>
                <w:webHidden/>
              </w:rPr>
              <w:fldChar w:fldCharType="separate"/>
            </w:r>
            <w:r w:rsidR="00F4698C">
              <w:rPr>
                <w:noProof/>
                <w:webHidden/>
              </w:rPr>
              <w:t>13</w:t>
            </w:r>
            <w:r>
              <w:rPr>
                <w:noProof/>
                <w:webHidden/>
              </w:rPr>
              <w:fldChar w:fldCharType="end"/>
            </w:r>
          </w:hyperlink>
        </w:p>
        <w:p w14:paraId="7AD9965B" w14:textId="78222CF5" w:rsidR="00EB5528" w:rsidRDefault="00EB5528">
          <w:pPr>
            <w:pStyle w:val="TOC1"/>
            <w:tabs>
              <w:tab w:val="right" w:pos="9350"/>
            </w:tabs>
            <w:rPr>
              <w:rFonts w:asciiTheme="minorHAnsi" w:eastAsiaTheme="minorEastAsia" w:hAnsiTheme="minorHAnsi" w:cstheme="minorBidi"/>
              <w:noProof/>
              <w:sz w:val="22"/>
              <w:szCs w:val="22"/>
              <w:lang w:val="en-IN"/>
            </w:rPr>
          </w:pPr>
          <w:hyperlink w:anchor="_Toc235029510" w:history="1">
            <w:r w:rsidRPr="009D57FE">
              <w:rPr>
                <w:rStyle w:val="Hyperlink"/>
                <w:noProof/>
              </w:rPr>
              <w:t>2. Working Capital Management Analysis</w:t>
            </w:r>
            <w:r>
              <w:rPr>
                <w:noProof/>
                <w:webHidden/>
              </w:rPr>
              <w:tab/>
            </w:r>
            <w:r>
              <w:rPr>
                <w:noProof/>
                <w:webHidden/>
              </w:rPr>
              <w:fldChar w:fldCharType="begin"/>
            </w:r>
            <w:r>
              <w:rPr>
                <w:noProof/>
                <w:webHidden/>
              </w:rPr>
              <w:instrText xml:space="preserve"> PAGEREF _Toc235029510 \h </w:instrText>
            </w:r>
            <w:r>
              <w:rPr>
                <w:noProof/>
                <w:webHidden/>
              </w:rPr>
            </w:r>
            <w:r>
              <w:rPr>
                <w:noProof/>
                <w:webHidden/>
              </w:rPr>
              <w:fldChar w:fldCharType="separate"/>
            </w:r>
            <w:r w:rsidR="00F4698C">
              <w:rPr>
                <w:noProof/>
                <w:webHidden/>
              </w:rPr>
              <w:t>14</w:t>
            </w:r>
            <w:r>
              <w:rPr>
                <w:noProof/>
                <w:webHidden/>
              </w:rPr>
              <w:fldChar w:fldCharType="end"/>
            </w:r>
          </w:hyperlink>
        </w:p>
        <w:p w14:paraId="086A2550" w14:textId="7C060F12" w:rsidR="00EB5528" w:rsidRDefault="00EB5528">
          <w:pPr>
            <w:pStyle w:val="TOC2"/>
            <w:tabs>
              <w:tab w:val="right" w:pos="9350"/>
            </w:tabs>
            <w:rPr>
              <w:rFonts w:asciiTheme="minorHAnsi" w:eastAsiaTheme="minorEastAsia" w:hAnsiTheme="minorHAnsi" w:cstheme="minorBidi"/>
              <w:noProof/>
              <w:sz w:val="22"/>
              <w:szCs w:val="22"/>
              <w:lang w:val="en-IN"/>
            </w:rPr>
          </w:pPr>
          <w:hyperlink w:anchor="_Toc235029511" w:history="1">
            <w:r w:rsidRPr="009D57FE">
              <w:rPr>
                <w:rStyle w:val="Hyperlink"/>
                <w:noProof/>
              </w:rPr>
              <w:t>2.1 Cash Operating Cycle analysis</w:t>
            </w:r>
            <w:r>
              <w:rPr>
                <w:noProof/>
                <w:webHidden/>
              </w:rPr>
              <w:tab/>
            </w:r>
            <w:r>
              <w:rPr>
                <w:noProof/>
                <w:webHidden/>
              </w:rPr>
              <w:fldChar w:fldCharType="begin"/>
            </w:r>
            <w:r>
              <w:rPr>
                <w:noProof/>
                <w:webHidden/>
              </w:rPr>
              <w:instrText xml:space="preserve"> PAGEREF _Toc235029511 \h </w:instrText>
            </w:r>
            <w:r>
              <w:rPr>
                <w:noProof/>
                <w:webHidden/>
              </w:rPr>
            </w:r>
            <w:r>
              <w:rPr>
                <w:noProof/>
                <w:webHidden/>
              </w:rPr>
              <w:fldChar w:fldCharType="separate"/>
            </w:r>
            <w:r w:rsidR="00F4698C">
              <w:rPr>
                <w:noProof/>
                <w:webHidden/>
              </w:rPr>
              <w:t>14</w:t>
            </w:r>
            <w:r>
              <w:rPr>
                <w:noProof/>
                <w:webHidden/>
              </w:rPr>
              <w:fldChar w:fldCharType="end"/>
            </w:r>
          </w:hyperlink>
        </w:p>
        <w:p w14:paraId="6B26121A" w14:textId="5EE3EF97" w:rsidR="00EB5528" w:rsidRDefault="00EB5528">
          <w:pPr>
            <w:pStyle w:val="TOC2"/>
            <w:tabs>
              <w:tab w:val="right" w:pos="9350"/>
            </w:tabs>
            <w:rPr>
              <w:rFonts w:asciiTheme="minorHAnsi" w:eastAsiaTheme="minorEastAsia" w:hAnsiTheme="minorHAnsi" w:cstheme="minorBidi"/>
              <w:noProof/>
              <w:sz w:val="22"/>
              <w:szCs w:val="22"/>
              <w:lang w:val="en-IN"/>
            </w:rPr>
          </w:pPr>
          <w:hyperlink w:anchor="_Toc235029512" w:history="1">
            <w:r w:rsidRPr="009D57FE">
              <w:rPr>
                <w:rStyle w:val="Hyperlink"/>
                <w:noProof/>
              </w:rPr>
              <w:t>2.2 Working Capital Challenges</w:t>
            </w:r>
            <w:r>
              <w:rPr>
                <w:noProof/>
                <w:webHidden/>
              </w:rPr>
              <w:tab/>
            </w:r>
            <w:r>
              <w:rPr>
                <w:noProof/>
                <w:webHidden/>
              </w:rPr>
              <w:fldChar w:fldCharType="begin"/>
            </w:r>
            <w:r>
              <w:rPr>
                <w:noProof/>
                <w:webHidden/>
              </w:rPr>
              <w:instrText xml:space="preserve"> PAGEREF _Toc235029512 \h </w:instrText>
            </w:r>
            <w:r>
              <w:rPr>
                <w:noProof/>
                <w:webHidden/>
              </w:rPr>
            </w:r>
            <w:r>
              <w:rPr>
                <w:noProof/>
                <w:webHidden/>
              </w:rPr>
              <w:fldChar w:fldCharType="separate"/>
            </w:r>
            <w:r w:rsidR="00F4698C">
              <w:rPr>
                <w:noProof/>
                <w:webHidden/>
              </w:rPr>
              <w:t>15</w:t>
            </w:r>
            <w:r>
              <w:rPr>
                <w:noProof/>
                <w:webHidden/>
              </w:rPr>
              <w:fldChar w:fldCharType="end"/>
            </w:r>
          </w:hyperlink>
        </w:p>
        <w:p w14:paraId="2E915772" w14:textId="6F37DC4C" w:rsidR="00EB5528" w:rsidRDefault="00EB5528">
          <w:pPr>
            <w:pStyle w:val="TOC2"/>
            <w:tabs>
              <w:tab w:val="right" w:pos="9350"/>
            </w:tabs>
            <w:rPr>
              <w:rFonts w:asciiTheme="minorHAnsi" w:eastAsiaTheme="minorEastAsia" w:hAnsiTheme="minorHAnsi" w:cstheme="minorBidi"/>
              <w:noProof/>
              <w:sz w:val="22"/>
              <w:szCs w:val="22"/>
              <w:lang w:val="en-IN"/>
            </w:rPr>
          </w:pPr>
          <w:hyperlink w:anchor="_Toc235029513" w:history="1">
            <w:r w:rsidRPr="009D57FE">
              <w:rPr>
                <w:rStyle w:val="Hyperlink"/>
                <w:noProof/>
              </w:rPr>
              <w:t>2.3 Recommendation to improve liquidity of working capital</w:t>
            </w:r>
            <w:r>
              <w:rPr>
                <w:noProof/>
                <w:webHidden/>
              </w:rPr>
              <w:tab/>
            </w:r>
            <w:r>
              <w:rPr>
                <w:noProof/>
                <w:webHidden/>
              </w:rPr>
              <w:fldChar w:fldCharType="begin"/>
            </w:r>
            <w:r>
              <w:rPr>
                <w:noProof/>
                <w:webHidden/>
              </w:rPr>
              <w:instrText xml:space="preserve"> PAGEREF _Toc235029513 \h </w:instrText>
            </w:r>
            <w:r>
              <w:rPr>
                <w:noProof/>
                <w:webHidden/>
              </w:rPr>
            </w:r>
            <w:r>
              <w:rPr>
                <w:noProof/>
                <w:webHidden/>
              </w:rPr>
              <w:fldChar w:fldCharType="separate"/>
            </w:r>
            <w:r w:rsidR="00F4698C">
              <w:rPr>
                <w:noProof/>
                <w:webHidden/>
              </w:rPr>
              <w:t>16</w:t>
            </w:r>
            <w:r>
              <w:rPr>
                <w:noProof/>
                <w:webHidden/>
              </w:rPr>
              <w:fldChar w:fldCharType="end"/>
            </w:r>
          </w:hyperlink>
        </w:p>
        <w:p w14:paraId="18D48EC0" w14:textId="0CE7192C" w:rsidR="00EB5528" w:rsidRDefault="00EB5528">
          <w:pPr>
            <w:pStyle w:val="TOC3"/>
            <w:tabs>
              <w:tab w:val="right" w:pos="9350"/>
            </w:tabs>
            <w:rPr>
              <w:rFonts w:asciiTheme="minorHAnsi" w:eastAsiaTheme="minorEastAsia" w:hAnsiTheme="minorHAnsi" w:cstheme="minorBidi"/>
              <w:noProof/>
              <w:sz w:val="22"/>
              <w:szCs w:val="22"/>
              <w:lang w:val="en-IN"/>
            </w:rPr>
          </w:pPr>
          <w:hyperlink w:anchor="_Toc235029514" w:history="1">
            <w:r w:rsidRPr="009D57FE">
              <w:rPr>
                <w:rStyle w:val="Hyperlink"/>
                <w:noProof/>
              </w:rPr>
              <w:t>2.3.1 Enhance inventory maintenance</w:t>
            </w:r>
            <w:r>
              <w:rPr>
                <w:noProof/>
                <w:webHidden/>
              </w:rPr>
              <w:tab/>
            </w:r>
            <w:r>
              <w:rPr>
                <w:noProof/>
                <w:webHidden/>
              </w:rPr>
              <w:fldChar w:fldCharType="begin"/>
            </w:r>
            <w:r>
              <w:rPr>
                <w:noProof/>
                <w:webHidden/>
              </w:rPr>
              <w:instrText xml:space="preserve"> PAGEREF _Toc235029514 \h </w:instrText>
            </w:r>
            <w:r>
              <w:rPr>
                <w:noProof/>
                <w:webHidden/>
              </w:rPr>
            </w:r>
            <w:r>
              <w:rPr>
                <w:noProof/>
                <w:webHidden/>
              </w:rPr>
              <w:fldChar w:fldCharType="separate"/>
            </w:r>
            <w:r w:rsidR="00F4698C">
              <w:rPr>
                <w:noProof/>
                <w:webHidden/>
              </w:rPr>
              <w:t>16</w:t>
            </w:r>
            <w:r>
              <w:rPr>
                <w:noProof/>
                <w:webHidden/>
              </w:rPr>
              <w:fldChar w:fldCharType="end"/>
            </w:r>
          </w:hyperlink>
        </w:p>
        <w:p w14:paraId="2D752987" w14:textId="2CB7BB4F" w:rsidR="00EB5528" w:rsidRDefault="00EB5528">
          <w:pPr>
            <w:pStyle w:val="TOC3"/>
            <w:tabs>
              <w:tab w:val="right" w:pos="9350"/>
            </w:tabs>
            <w:rPr>
              <w:rFonts w:asciiTheme="minorHAnsi" w:eastAsiaTheme="minorEastAsia" w:hAnsiTheme="minorHAnsi" w:cstheme="minorBidi"/>
              <w:noProof/>
              <w:sz w:val="22"/>
              <w:szCs w:val="22"/>
              <w:lang w:val="en-IN"/>
            </w:rPr>
          </w:pPr>
          <w:hyperlink w:anchor="_Toc235029515" w:history="1">
            <w:r w:rsidRPr="009D57FE">
              <w:rPr>
                <w:rStyle w:val="Hyperlink"/>
                <w:noProof/>
              </w:rPr>
              <w:t>2.3.2 Streamline improvement in Accounts Payable</w:t>
            </w:r>
            <w:r>
              <w:rPr>
                <w:noProof/>
                <w:webHidden/>
              </w:rPr>
              <w:tab/>
            </w:r>
            <w:r>
              <w:rPr>
                <w:noProof/>
                <w:webHidden/>
              </w:rPr>
              <w:fldChar w:fldCharType="begin"/>
            </w:r>
            <w:r>
              <w:rPr>
                <w:noProof/>
                <w:webHidden/>
              </w:rPr>
              <w:instrText xml:space="preserve"> PAGEREF _Toc235029515 \h </w:instrText>
            </w:r>
            <w:r>
              <w:rPr>
                <w:noProof/>
                <w:webHidden/>
              </w:rPr>
            </w:r>
            <w:r>
              <w:rPr>
                <w:noProof/>
                <w:webHidden/>
              </w:rPr>
              <w:fldChar w:fldCharType="separate"/>
            </w:r>
            <w:r w:rsidR="00F4698C">
              <w:rPr>
                <w:noProof/>
                <w:webHidden/>
              </w:rPr>
              <w:t>16</w:t>
            </w:r>
            <w:r>
              <w:rPr>
                <w:noProof/>
                <w:webHidden/>
              </w:rPr>
              <w:fldChar w:fldCharType="end"/>
            </w:r>
          </w:hyperlink>
        </w:p>
        <w:p w14:paraId="02C6E85A" w14:textId="771E72EF" w:rsidR="00EB5528" w:rsidRDefault="00EB5528">
          <w:pPr>
            <w:pStyle w:val="TOC2"/>
            <w:tabs>
              <w:tab w:val="right" w:pos="9350"/>
            </w:tabs>
            <w:rPr>
              <w:rFonts w:asciiTheme="minorHAnsi" w:eastAsiaTheme="minorEastAsia" w:hAnsiTheme="minorHAnsi" w:cstheme="minorBidi"/>
              <w:noProof/>
              <w:sz w:val="22"/>
              <w:szCs w:val="22"/>
              <w:lang w:val="en-IN"/>
            </w:rPr>
          </w:pPr>
          <w:hyperlink w:anchor="_Toc235029516" w:history="1">
            <w:r w:rsidRPr="009D57FE">
              <w:rPr>
                <w:rStyle w:val="Hyperlink"/>
                <w:noProof/>
              </w:rPr>
              <w:t>2.4 Comparison of financing option</w:t>
            </w:r>
            <w:r>
              <w:rPr>
                <w:noProof/>
                <w:webHidden/>
              </w:rPr>
              <w:tab/>
            </w:r>
            <w:r>
              <w:rPr>
                <w:noProof/>
                <w:webHidden/>
              </w:rPr>
              <w:fldChar w:fldCharType="begin"/>
            </w:r>
            <w:r>
              <w:rPr>
                <w:noProof/>
                <w:webHidden/>
              </w:rPr>
              <w:instrText xml:space="preserve"> PAGEREF _Toc235029516 \h </w:instrText>
            </w:r>
            <w:r>
              <w:rPr>
                <w:noProof/>
                <w:webHidden/>
              </w:rPr>
            </w:r>
            <w:r>
              <w:rPr>
                <w:noProof/>
                <w:webHidden/>
              </w:rPr>
              <w:fldChar w:fldCharType="separate"/>
            </w:r>
            <w:r w:rsidR="00F4698C">
              <w:rPr>
                <w:noProof/>
                <w:webHidden/>
              </w:rPr>
              <w:t>16</w:t>
            </w:r>
            <w:r>
              <w:rPr>
                <w:noProof/>
                <w:webHidden/>
              </w:rPr>
              <w:fldChar w:fldCharType="end"/>
            </w:r>
          </w:hyperlink>
        </w:p>
        <w:p w14:paraId="23CC830A" w14:textId="7A867568" w:rsidR="00EB5528" w:rsidRDefault="00EB5528">
          <w:pPr>
            <w:pStyle w:val="TOC3"/>
            <w:tabs>
              <w:tab w:val="right" w:pos="9350"/>
            </w:tabs>
            <w:rPr>
              <w:rFonts w:asciiTheme="minorHAnsi" w:eastAsiaTheme="minorEastAsia" w:hAnsiTheme="minorHAnsi" w:cstheme="minorBidi"/>
              <w:noProof/>
              <w:sz w:val="22"/>
              <w:szCs w:val="22"/>
              <w:lang w:val="en-IN"/>
            </w:rPr>
          </w:pPr>
          <w:hyperlink w:anchor="_Toc235029517" w:history="1">
            <w:r w:rsidRPr="009D57FE">
              <w:rPr>
                <w:rStyle w:val="Hyperlink"/>
                <w:noProof/>
              </w:rPr>
              <w:t>2.4.1 Short-Term Financing Options</w:t>
            </w:r>
            <w:r>
              <w:rPr>
                <w:noProof/>
                <w:webHidden/>
              </w:rPr>
              <w:tab/>
            </w:r>
            <w:r>
              <w:rPr>
                <w:noProof/>
                <w:webHidden/>
              </w:rPr>
              <w:fldChar w:fldCharType="begin"/>
            </w:r>
            <w:r>
              <w:rPr>
                <w:noProof/>
                <w:webHidden/>
              </w:rPr>
              <w:instrText xml:space="preserve"> PAGEREF _Toc235029517 \h </w:instrText>
            </w:r>
            <w:r>
              <w:rPr>
                <w:noProof/>
                <w:webHidden/>
              </w:rPr>
            </w:r>
            <w:r>
              <w:rPr>
                <w:noProof/>
                <w:webHidden/>
              </w:rPr>
              <w:fldChar w:fldCharType="separate"/>
            </w:r>
            <w:r w:rsidR="00F4698C">
              <w:rPr>
                <w:noProof/>
                <w:webHidden/>
              </w:rPr>
              <w:t>16</w:t>
            </w:r>
            <w:r>
              <w:rPr>
                <w:noProof/>
                <w:webHidden/>
              </w:rPr>
              <w:fldChar w:fldCharType="end"/>
            </w:r>
          </w:hyperlink>
        </w:p>
        <w:p w14:paraId="77CBCEE7" w14:textId="672D875A" w:rsidR="00EB5528" w:rsidRDefault="00EB5528">
          <w:pPr>
            <w:pStyle w:val="TOC3"/>
            <w:tabs>
              <w:tab w:val="right" w:pos="9350"/>
            </w:tabs>
            <w:rPr>
              <w:rFonts w:asciiTheme="minorHAnsi" w:eastAsiaTheme="minorEastAsia" w:hAnsiTheme="minorHAnsi" w:cstheme="minorBidi"/>
              <w:noProof/>
              <w:sz w:val="22"/>
              <w:szCs w:val="22"/>
              <w:lang w:val="en-IN"/>
            </w:rPr>
          </w:pPr>
          <w:hyperlink w:anchor="_Toc235029518" w:history="1">
            <w:r w:rsidRPr="009D57FE">
              <w:rPr>
                <w:rStyle w:val="Hyperlink"/>
                <w:noProof/>
              </w:rPr>
              <w:t>2.4.2 Long-Term Financing Options</w:t>
            </w:r>
            <w:r>
              <w:rPr>
                <w:noProof/>
                <w:webHidden/>
              </w:rPr>
              <w:tab/>
            </w:r>
            <w:r>
              <w:rPr>
                <w:noProof/>
                <w:webHidden/>
              </w:rPr>
              <w:fldChar w:fldCharType="begin"/>
            </w:r>
            <w:r>
              <w:rPr>
                <w:noProof/>
                <w:webHidden/>
              </w:rPr>
              <w:instrText xml:space="preserve"> PAGEREF _Toc235029518 \h </w:instrText>
            </w:r>
            <w:r>
              <w:rPr>
                <w:noProof/>
                <w:webHidden/>
              </w:rPr>
            </w:r>
            <w:r>
              <w:rPr>
                <w:noProof/>
                <w:webHidden/>
              </w:rPr>
              <w:fldChar w:fldCharType="separate"/>
            </w:r>
            <w:r w:rsidR="00F4698C">
              <w:rPr>
                <w:noProof/>
                <w:webHidden/>
              </w:rPr>
              <w:t>17</w:t>
            </w:r>
            <w:r>
              <w:rPr>
                <w:noProof/>
                <w:webHidden/>
              </w:rPr>
              <w:fldChar w:fldCharType="end"/>
            </w:r>
          </w:hyperlink>
        </w:p>
        <w:p w14:paraId="60CD7491" w14:textId="430FD4A9" w:rsidR="00EB5528" w:rsidRDefault="00EB5528">
          <w:pPr>
            <w:pStyle w:val="TOC3"/>
            <w:tabs>
              <w:tab w:val="right" w:pos="9350"/>
            </w:tabs>
            <w:rPr>
              <w:rFonts w:asciiTheme="minorHAnsi" w:eastAsiaTheme="minorEastAsia" w:hAnsiTheme="minorHAnsi" w:cstheme="minorBidi"/>
              <w:noProof/>
              <w:sz w:val="22"/>
              <w:szCs w:val="22"/>
              <w:lang w:val="en-IN"/>
            </w:rPr>
          </w:pPr>
          <w:hyperlink w:anchor="_Toc235029519" w:history="1">
            <w:r w:rsidRPr="009D57FE">
              <w:rPr>
                <w:rStyle w:val="Hyperlink"/>
                <w:noProof/>
              </w:rPr>
              <w:t>2.4.3 Comparative Analysis</w:t>
            </w:r>
            <w:r>
              <w:rPr>
                <w:noProof/>
                <w:webHidden/>
              </w:rPr>
              <w:tab/>
            </w:r>
            <w:r>
              <w:rPr>
                <w:noProof/>
                <w:webHidden/>
              </w:rPr>
              <w:fldChar w:fldCharType="begin"/>
            </w:r>
            <w:r>
              <w:rPr>
                <w:noProof/>
                <w:webHidden/>
              </w:rPr>
              <w:instrText xml:space="preserve"> PAGEREF _Toc235029519 \h </w:instrText>
            </w:r>
            <w:r>
              <w:rPr>
                <w:noProof/>
                <w:webHidden/>
              </w:rPr>
            </w:r>
            <w:r>
              <w:rPr>
                <w:noProof/>
                <w:webHidden/>
              </w:rPr>
              <w:fldChar w:fldCharType="separate"/>
            </w:r>
            <w:r w:rsidR="00F4698C">
              <w:rPr>
                <w:noProof/>
                <w:webHidden/>
              </w:rPr>
              <w:t>18</w:t>
            </w:r>
            <w:r>
              <w:rPr>
                <w:noProof/>
                <w:webHidden/>
              </w:rPr>
              <w:fldChar w:fldCharType="end"/>
            </w:r>
          </w:hyperlink>
        </w:p>
        <w:p w14:paraId="44FDDA3C" w14:textId="202B9DE2" w:rsidR="00EB5528" w:rsidRDefault="00EB5528">
          <w:pPr>
            <w:pStyle w:val="TOC1"/>
            <w:tabs>
              <w:tab w:val="right" w:pos="9350"/>
            </w:tabs>
            <w:rPr>
              <w:rFonts w:asciiTheme="minorHAnsi" w:eastAsiaTheme="minorEastAsia" w:hAnsiTheme="minorHAnsi" w:cstheme="minorBidi"/>
              <w:noProof/>
              <w:sz w:val="22"/>
              <w:szCs w:val="22"/>
              <w:lang w:val="en-IN"/>
            </w:rPr>
          </w:pPr>
          <w:hyperlink w:anchor="_Toc235029520" w:history="1">
            <w:r w:rsidRPr="009D57FE">
              <w:rPr>
                <w:rStyle w:val="Hyperlink"/>
                <w:noProof/>
              </w:rPr>
              <w:t>3. Strategic Financial Restructuring Plan</w:t>
            </w:r>
            <w:r>
              <w:rPr>
                <w:noProof/>
                <w:webHidden/>
              </w:rPr>
              <w:tab/>
            </w:r>
            <w:r>
              <w:rPr>
                <w:noProof/>
                <w:webHidden/>
              </w:rPr>
              <w:fldChar w:fldCharType="begin"/>
            </w:r>
            <w:r>
              <w:rPr>
                <w:noProof/>
                <w:webHidden/>
              </w:rPr>
              <w:instrText xml:space="preserve"> PAGEREF _Toc235029520 \h </w:instrText>
            </w:r>
            <w:r>
              <w:rPr>
                <w:noProof/>
                <w:webHidden/>
              </w:rPr>
            </w:r>
            <w:r>
              <w:rPr>
                <w:noProof/>
                <w:webHidden/>
              </w:rPr>
              <w:fldChar w:fldCharType="separate"/>
            </w:r>
            <w:r w:rsidR="00F4698C">
              <w:rPr>
                <w:noProof/>
                <w:webHidden/>
              </w:rPr>
              <w:t>19</w:t>
            </w:r>
            <w:r>
              <w:rPr>
                <w:noProof/>
                <w:webHidden/>
              </w:rPr>
              <w:fldChar w:fldCharType="end"/>
            </w:r>
          </w:hyperlink>
        </w:p>
        <w:p w14:paraId="59A9F76D" w14:textId="6F517C24" w:rsidR="00EB5528" w:rsidRDefault="00EB5528">
          <w:pPr>
            <w:pStyle w:val="TOC2"/>
            <w:tabs>
              <w:tab w:val="right" w:pos="9350"/>
            </w:tabs>
            <w:rPr>
              <w:rFonts w:asciiTheme="minorHAnsi" w:eastAsiaTheme="minorEastAsia" w:hAnsiTheme="minorHAnsi" w:cstheme="minorBidi"/>
              <w:noProof/>
              <w:sz w:val="22"/>
              <w:szCs w:val="22"/>
              <w:lang w:val="en-IN"/>
            </w:rPr>
          </w:pPr>
          <w:hyperlink w:anchor="_Toc235029521" w:history="1">
            <w:r w:rsidRPr="009D57FE">
              <w:rPr>
                <w:rStyle w:val="Hyperlink"/>
                <w:noProof/>
              </w:rPr>
              <w:t>3.1 Recommended Financial Restructuring Options</w:t>
            </w:r>
            <w:r>
              <w:rPr>
                <w:noProof/>
                <w:webHidden/>
              </w:rPr>
              <w:tab/>
            </w:r>
            <w:r>
              <w:rPr>
                <w:noProof/>
                <w:webHidden/>
              </w:rPr>
              <w:fldChar w:fldCharType="begin"/>
            </w:r>
            <w:r>
              <w:rPr>
                <w:noProof/>
                <w:webHidden/>
              </w:rPr>
              <w:instrText xml:space="preserve"> PAGEREF _Toc235029521 \h </w:instrText>
            </w:r>
            <w:r>
              <w:rPr>
                <w:noProof/>
                <w:webHidden/>
              </w:rPr>
            </w:r>
            <w:r>
              <w:rPr>
                <w:noProof/>
                <w:webHidden/>
              </w:rPr>
              <w:fldChar w:fldCharType="separate"/>
            </w:r>
            <w:r w:rsidR="00F4698C">
              <w:rPr>
                <w:noProof/>
                <w:webHidden/>
              </w:rPr>
              <w:t>19</w:t>
            </w:r>
            <w:r>
              <w:rPr>
                <w:noProof/>
                <w:webHidden/>
              </w:rPr>
              <w:fldChar w:fldCharType="end"/>
            </w:r>
          </w:hyperlink>
        </w:p>
        <w:p w14:paraId="68860350" w14:textId="6752DAD1" w:rsidR="00EB5528" w:rsidRDefault="00EB5528">
          <w:pPr>
            <w:pStyle w:val="TOC3"/>
            <w:tabs>
              <w:tab w:val="right" w:pos="9350"/>
            </w:tabs>
            <w:rPr>
              <w:rFonts w:asciiTheme="minorHAnsi" w:eastAsiaTheme="minorEastAsia" w:hAnsiTheme="minorHAnsi" w:cstheme="minorBidi"/>
              <w:noProof/>
              <w:sz w:val="22"/>
              <w:szCs w:val="22"/>
              <w:lang w:val="en-IN"/>
            </w:rPr>
          </w:pPr>
          <w:hyperlink w:anchor="_Toc235029522" w:history="1">
            <w:r w:rsidRPr="009D57FE">
              <w:rPr>
                <w:rStyle w:val="Hyperlink"/>
                <w:noProof/>
              </w:rPr>
              <w:t>3.1.1 Divestiture</w:t>
            </w:r>
            <w:r>
              <w:rPr>
                <w:noProof/>
                <w:webHidden/>
              </w:rPr>
              <w:tab/>
            </w:r>
            <w:r>
              <w:rPr>
                <w:noProof/>
                <w:webHidden/>
              </w:rPr>
              <w:fldChar w:fldCharType="begin"/>
            </w:r>
            <w:r>
              <w:rPr>
                <w:noProof/>
                <w:webHidden/>
              </w:rPr>
              <w:instrText xml:space="preserve"> PAGEREF _Toc235029522 \h </w:instrText>
            </w:r>
            <w:r>
              <w:rPr>
                <w:noProof/>
                <w:webHidden/>
              </w:rPr>
            </w:r>
            <w:r>
              <w:rPr>
                <w:noProof/>
                <w:webHidden/>
              </w:rPr>
              <w:fldChar w:fldCharType="separate"/>
            </w:r>
            <w:r w:rsidR="00F4698C">
              <w:rPr>
                <w:noProof/>
                <w:webHidden/>
              </w:rPr>
              <w:t>19</w:t>
            </w:r>
            <w:r>
              <w:rPr>
                <w:noProof/>
                <w:webHidden/>
              </w:rPr>
              <w:fldChar w:fldCharType="end"/>
            </w:r>
          </w:hyperlink>
        </w:p>
        <w:p w14:paraId="7839F16C" w14:textId="419A39CB" w:rsidR="00EB5528" w:rsidRDefault="00EB5528">
          <w:pPr>
            <w:pStyle w:val="TOC3"/>
            <w:tabs>
              <w:tab w:val="right" w:pos="9350"/>
            </w:tabs>
            <w:rPr>
              <w:rFonts w:asciiTheme="minorHAnsi" w:eastAsiaTheme="minorEastAsia" w:hAnsiTheme="minorHAnsi" w:cstheme="minorBidi"/>
              <w:noProof/>
              <w:sz w:val="22"/>
              <w:szCs w:val="22"/>
              <w:lang w:val="en-IN"/>
            </w:rPr>
          </w:pPr>
          <w:hyperlink w:anchor="_Toc235029523" w:history="1">
            <w:r w:rsidRPr="009D57FE">
              <w:rPr>
                <w:rStyle w:val="Hyperlink"/>
                <w:noProof/>
              </w:rPr>
              <w:t>3.1.2 Equity Injection Strategy</w:t>
            </w:r>
            <w:r>
              <w:rPr>
                <w:noProof/>
                <w:webHidden/>
              </w:rPr>
              <w:tab/>
            </w:r>
            <w:r>
              <w:rPr>
                <w:noProof/>
                <w:webHidden/>
              </w:rPr>
              <w:fldChar w:fldCharType="begin"/>
            </w:r>
            <w:r>
              <w:rPr>
                <w:noProof/>
                <w:webHidden/>
              </w:rPr>
              <w:instrText xml:space="preserve"> PAGEREF _Toc235029523 \h </w:instrText>
            </w:r>
            <w:r>
              <w:rPr>
                <w:noProof/>
                <w:webHidden/>
              </w:rPr>
            </w:r>
            <w:r>
              <w:rPr>
                <w:noProof/>
                <w:webHidden/>
              </w:rPr>
              <w:fldChar w:fldCharType="separate"/>
            </w:r>
            <w:r w:rsidR="00F4698C">
              <w:rPr>
                <w:noProof/>
                <w:webHidden/>
              </w:rPr>
              <w:t>19</w:t>
            </w:r>
            <w:r>
              <w:rPr>
                <w:noProof/>
                <w:webHidden/>
              </w:rPr>
              <w:fldChar w:fldCharType="end"/>
            </w:r>
          </w:hyperlink>
        </w:p>
        <w:p w14:paraId="61EFA282" w14:textId="462457D9" w:rsidR="00EB5528" w:rsidRDefault="00EB5528">
          <w:pPr>
            <w:pStyle w:val="TOC3"/>
            <w:tabs>
              <w:tab w:val="right" w:pos="9350"/>
            </w:tabs>
            <w:rPr>
              <w:rFonts w:asciiTheme="minorHAnsi" w:eastAsiaTheme="minorEastAsia" w:hAnsiTheme="minorHAnsi" w:cstheme="minorBidi"/>
              <w:noProof/>
              <w:sz w:val="22"/>
              <w:szCs w:val="22"/>
              <w:lang w:val="en-IN"/>
            </w:rPr>
          </w:pPr>
          <w:hyperlink w:anchor="_Toc235029524" w:history="1">
            <w:r w:rsidRPr="009D57FE">
              <w:rPr>
                <w:rStyle w:val="Hyperlink"/>
                <w:noProof/>
              </w:rPr>
              <w:t>3.1.3 Merger and Acquisition</w:t>
            </w:r>
            <w:r>
              <w:rPr>
                <w:noProof/>
                <w:webHidden/>
              </w:rPr>
              <w:tab/>
            </w:r>
            <w:r>
              <w:rPr>
                <w:noProof/>
                <w:webHidden/>
              </w:rPr>
              <w:fldChar w:fldCharType="begin"/>
            </w:r>
            <w:r>
              <w:rPr>
                <w:noProof/>
                <w:webHidden/>
              </w:rPr>
              <w:instrText xml:space="preserve"> PAGEREF _Toc235029524 \h </w:instrText>
            </w:r>
            <w:r>
              <w:rPr>
                <w:noProof/>
                <w:webHidden/>
              </w:rPr>
            </w:r>
            <w:r>
              <w:rPr>
                <w:noProof/>
                <w:webHidden/>
              </w:rPr>
              <w:fldChar w:fldCharType="separate"/>
            </w:r>
            <w:r w:rsidR="00F4698C">
              <w:rPr>
                <w:noProof/>
                <w:webHidden/>
              </w:rPr>
              <w:t>20</w:t>
            </w:r>
            <w:r>
              <w:rPr>
                <w:noProof/>
                <w:webHidden/>
              </w:rPr>
              <w:fldChar w:fldCharType="end"/>
            </w:r>
          </w:hyperlink>
        </w:p>
        <w:p w14:paraId="413A532E" w14:textId="2B1993BD" w:rsidR="00EB5528" w:rsidRDefault="00EB5528">
          <w:pPr>
            <w:pStyle w:val="TOC2"/>
            <w:tabs>
              <w:tab w:val="right" w:pos="9350"/>
            </w:tabs>
            <w:rPr>
              <w:rFonts w:asciiTheme="minorHAnsi" w:eastAsiaTheme="minorEastAsia" w:hAnsiTheme="minorHAnsi" w:cstheme="minorBidi"/>
              <w:noProof/>
              <w:sz w:val="22"/>
              <w:szCs w:val="22"/>
              <w:lang w:val="en-IN"/>
            </w:rPr>
          </w:pPr>
          <w:hyperlink w:anchor="_Toc235029525" w:history="1">
            <w:r w:rsidRPr="009D57FE">
              <w:rPr>
                <w:rStyle w:val="Hyperlink"/>
                <w:noProof/>
              </w:rPr>
              <w:t>3.2 Impact on financial restructuring</w:t>
            </w:r>
            <w:r>
              <w:rPr>
                <w:noProof/>
                <w:webHidden/>
              </w:rPr>
              <w:tab/>
            </w:r>
            <w:r>
              <w:rPr>
                <w:noProof/>
                <w:webHidden/>
              </w:rPr>
              <w:fldChar w:fldCharType="begin"/>
            </w:r>
            <w:r>
              <w:rPr>
                <w:noProof/>
                <w:webHidden/>
              </w:rPr>
              <w:instrText xml:space="preserve"> PAGEREF _Toc235029525 \h </w:instrText>
            </w:r>
            <w:r>
              <w:rPr>
                <w:noProof/>
                <w:webHidden/>
              </w:rPr>
            </w:r>
            <w:r>
              <w:rPr>
                <w:noProof/>
                <w:webHidden/>
              </w:rPr>
              <w:fldChar w:fldCharType="separate"/>
            </w:r>
            <w:r w:rsidR="00F4698C">
              <w:rPr>
                <w:noProof/>
                <w:webHidden/>
              </w:rPr>
              <w:t>20</w:t>
            </w:r>
            <w:r>
              <w:rPr>
                <w:noProof/>
                <w:webHidden/>
              </w:rPr>
              <w:fldChar w:fldCharType="end"/>
            </w:r>
          </w:hyperlink>
        </w:p>
        <w:p w14:paraId="7595F282" w14:textId="33EC5780" w:rsidR="00EB5528" w:rsidRDefault="00EB5528">
          <w:pPr>
            <w:pStyle w:val="TOC3"/>
            <w:tabs>
              <w:tab w:val="right" w:pos="9350"/>
            </w:tabs>
            <w:rPr>
              <w:rFonts w:asciiTheme="minorHAnsi" w:eastAsiaTheme="minorEastAsia" w:hAnsiTheme="minorHAnsi" w:cstheme="minorBidi"/>
              <w:noProof/>
              <w:sz w:val="22"/>
              <w:szCs w:val="22"/>
              <w:lang w:val="en-IN"/>
            </w:rPr>
          </w:pPr>
          <w:hyperlink w:anchor="_Toc235029526" w:history="1">
            <w:r w:rsidRPr="009D57FE">
              <w:rPr>
                <w:rStyle w:val="Hyperlink"/>
                <w:noProof/>
              </w:rPr>
              <w:t>3.2.1 Significance on Shareholder Value</w:t>
            </w:r>
            <w:r>
              <w:rPr>
                <w:noProof/>
                <w:webHidden/>
              </w:rPr>
              <w:tab/>
            </w:r>
            <w:r>
              <w:rPr>
                <w:noProof/>
                <w:webHidden/>
              </w:rPr>
              <w:fldChar w:fldCharType="begin"/>
            </w:r>
            <w:r>
              <w:rPr>
                <w:noProof/>
                <w:webHidden/>
              </w:rPr>
              <w:instrText xml:space="preserve"> PAGEREF _Toc235029526 \h </w:instrText>
            </w:r>
            <w:r>
              <w:rPr>
                <w:noProof/>
                <w:webHidden/>
              </w:rPr>
            </w:r>
            <w:r>
              <w:rPr>
                <w:noProof/>
                <w:webHidden/>
              </w:rPr>
              <w:fldChar w:fldCharType="separate"/>
            </w:r>
            <w:r w:rsidR="00F4698C">
              <w:rPr>
                <w:noProof/>
                <w:webHidden/>
              </w:rPr>
              <w:t>20</w:t>
            </w:r>
            <w:r>
              <w:rPr>
                <w:noProof/>
                <w:webHidden/>
              </w:rPr>
              <w:fldChar w:fldCharType="end"/>
            </w:r>
          </w:hyperlink>
        </w:p>
        <w:p w14:paraId="14856D86" w14:textId="2413B46E" w:rsidR="00EB5528" w:rsidRDefault="00EB5528">
          <w:pPr>
            <w:pStyle w:val="TOC3"/>
            <w:tabs>
              <w:tab w:val="right" w:pos="9350"/>
            </w:tabs>
            <w:rPr>
              <w:rFonts w:asciiTheme="minorHAnsi" w:eastAsiaTheme="minorEastAsia" w:hAnsiTheme="minorHAnsi" w:cstheme="minorBidi"/>
              <w:noProof/>
              <w:sz w:val="22"/>
              <w:szCs w:val="22"/>
              <w:lang w:val="en-IN"/>
            </w:rPr>
          </w:pPr>
          <w:hyperlink w:anchor="_Toc235029527" w:history="1">
            <w:r w:rsidRPr="009D57FE">
              <w:rPr>
                <w:rStyle w:val="Hyperlink"/>
                <w:noProof/>
              </w:rPr>
              <w:t>3.2.2 Significance of Debt Structure</w:t>
            </w:r>
            <w:r>
              <w:rPr>
                <w:noProof/>
                <w:webHidden/>
              </w:rPr>
              <w:tab/>
            </w:r>
            <w:r>
              <w:rPr>
                <w:noProof/>
                <w:webHidden/>
              </w:rPr>
              <w:fldChar w:fldCharType="begin"/>
            </w:r>
            <w:r>
              <w:rPr>
                <w:noProof/>
                <w:webHidden/>
              </w:rPr>
              <w:instrText xml:space="preserve"> PAGEREF _Toc235029527 \h </w:instrText>
            </w:r>
            <w:r>
              <w:rPr>
                <w:noProof/>
                <w:webHidden/>
              </w:rPr>
            </w:r>
            <w:r>
              <w:rPr>
                <w:noProof/>
                <w:webHidden/>
              </w:rPr>
              <w:fldChar w:fldCharType="separate"/>
            </w:r>
            <w:r w:rsidR="00F4698C">
              <w:rPr>
                <w:noProof/>
                <w:webHidden/>
              </w:rPr>
              <w:t>21</w:t>
            </w:r>
            <w:r>
              <w:rPr>
                <w:noProof/>
                <w:webHidden/>
              </w:rPr>
              <w:fldChar w:fldCharType="end"/>
            </w:r>
          </w:hyperlink>
        </w:p>
        <w:p w14:paraId="5DC770BD" w14:textId="0464A5EB" w:rsidR="00EB5528" w:rsidRDefault="00EB5528">
          <w:pPr>
            <w:pStyle w:val="TOC3"/>
            <w:tabs>
              <w:tab w:val="right" w:pos="9350"/>
            </w:tabs>
            <w:rPr>
              <w:rFonts w:asciiTheme="minorHAnsi" w:eastAsiaTheme="minorEastAsia" w:hAnsiTheme="minorHAnsi" w:cstheme="minorBidi"/>
              <w:noProof/>
              <w:sz w:val="22"/>
              <w:szCs w:val="22"/>
              <w:lang w:val="en-IN"/>
            </w:rPr>
          </w:pPr>
          <w:hyperlink w:anchor="_Toc235029528" w:history="1">
            <w:r w:rsidRPr="009D57FE">
              <w:rPr>
                <w:rStyle w:val="Hyperlink"/>
                <w:noProof/>
              </w:rPr>
              <w:t>3.2.3 Significance of Operational Flexibility</w:t>
            </w:r>
            <w:r>
              <w:rPr>
                <w:noProof/>
                <w:webHidden/>
              </w:rPr>
              <w:tab/>
            </w:r>
            <w:r>
              <w:rPr>
                <w:noProof/>
                <w:webHidden/>
              </w:rPr>
              <w:fldChar w:fldCharType="begin"/>
            </w:r>
            <w:r>
              <w:rPr>
                <w:noProof/>
                <w:webHidden/>
              </w:rPr>
              <w:instrText xml:space="preserve"> PAGEREF _Toc235029528 \h </w:instrText>
            </w:r>
            <w:r>
              <w:rPr>
                <w:noProof/>
                <w:webHidden/>
              </w:rPr>
            </w:r>
            <w:r>
              <w:rPr>
                <w:noProof/>
                <w:webHidden/>
              </w:rPr>
              <w:fldChar w:fldCharType="separate"/>
            </w:r>
            <w:r w:rsidR="00F4698C">
              <w:rPr>
                <w:noProof/>
                <w:webHidden/>
              </w:rPr>
              <w:t>21</w:t>
            </w:r>
            <w:r>
              <w:rPr>
                <w:noProof/>
                <w:webHidden/>
              </w:rPr>
              <w:fldChar w:fldCharType="end"/>
            </w:r>
          </w:hyperlink>
        </w:p>
        <w:p w14:paraId="473CF24E" w14:textId="12B353BA" w:rsidR="00EB5528" w:rsidRDefault="00EB5528">
          <w:pPr>
            <w:pStyle w:val="TOC2"/>
            <w:tabs>
              <w:tab w:val="right" w:pos="9350"/>
            </w:tabs>
            <w:rPr>
              <w:rFonts w:asciiTheme="minorHAnsi" w:eastAsiaTheme="minorEastAsia" w:hAnsiTheme="minorHAnsi" w:cstheme="minorBidi"/>
              <w:noProof/>
              <w:sz w:val="22"/>
              <w:szCs w:val="22"/>
              <w:lang w:val="en-IN"/>
            </w:rPr>
          </w:pPr>
          <w:hyperlink w:anchor="_Toc235029529" w:history="1">
            <w:r w:rsidRPr="009D57FE">
              <w:rPr>
                <w:rStyle w:val="Hyperlink"/>
                <w:noProof/>
              </w:rPr>
              <w:t>3.3 International Financial Considerations</w:t>
            </w:r>
            <w:r>
              <w:rPr>
                <w:noProof/>
                <w:webHidden/>
              </w:rPr>
              <w:tab/>
            </w:r>
            <w:r>
              <w:rPr>
                <w:noProof/>
                <w:webHidden/>
              </w:rPr>
              <w:fldChar w:fldCharType="begin"/>
            </w:r>
            <w:r>
              <w:rPr>
                <w:noProof/>
                <w:webHidden/>
              </w:rPr>
              <w:instrText xml:space="preserve"> PAGEREF _Toc235029529 \h </w:instrText>
            </w:r>
            <w:r>
              <w:rPr>
                <w:noProof/>
                <w:webHidden/>
              </w:rPr>
            </w:r>
            <w:r>
              <w:rPr>
                <w:noProof/>
                <w:webHidden/>
              </w:rPr>
              <w:fldChar w:fldCharType="separate"/>
            </w:r>
            <w:r w:rsidR="00F4698C">
              <w:rPr>
                <w:noProof/>
                <w:webHidden/>
              </w:rPr>
              <w:t>22</w:t>
            </w:r>
            <w:r>
              <w:rPr>
                <w:noProof/>
                <w:webHidden/>
              </w:rPr>
              <w:fldChar w:fldCharType="end"/>
            </w:r>
          </w:hyperlink>
        </w:p>
        <w:p w14:paraId="0828668B" w14:textId="4AA9C049" w:rsidR="00EB5528" w:rsidRDefault="00EB5528">
          <w:pPr>
            <w:pStyle w:val="TOC3"/>
            <w:tabs>
              <w:tab w:val="right" w:pos="9350"/>
            </w:tabs>
            <w:rPr>
              <w:rFonts w:asciiTheme="minorHAnsi" w:eastAsiaTheme="minorEastAsia" w:hAnsiTheme="minorHAnsi" w:cstheme="minorBidi"/>
              <w:noProof/>
              <w:sz w:val="22"/>
              <w:szCs w:val="22"/>
              <w:lang w:val="en-IN"/>
            </w:rPr>
          </w:pPr>
          <w:hyperlink w:anchor="_Toc235029530" w:history="1">
            <w:r w:rsidRPr="009D57FE">
              <w:rPr>
                <w:rStyle w:val="Hyperlink"/>
                <w:noProof/>
              </w:rPr>
              <w:t>3.3.1 Taxation Considerations</w:t>
            </w:r>
            <w:r>
              <w:rPr>
                <w:noProof/>
                <w:webHidden/>
              </w:rPr>
              <w:tab/>
            </w:r>
            <w:r>
              <w:rPr>
                <w:noProof/>
                <w:webHidden/>
              </w:rPr>
              <w:fldChar w:fldCharType="begin"/>
            </w:r>
            <w:r>
              <w:rPr>
                <w:noProof/>
                <w:webHidden/>
              </w:rPr>
              <w:instrText xml:space="preserve"> PAGEREF _Toc235029530 \h </w:instrText>
            </w:r>
            <w:r>
              <w:rPr>
                <w:noProof/>
                <w:webHidden/>
              </w:rPr>
            </w:r>
            <w:r>
              <w:rPr>
                <w:noProof/>
                <w:webHidden/>
              </w:rPr>
              <w:fldChar w:fldCharType="separate"/>
            </w:r>
            <w:r w:rsidR="00F4698C">
              <w:rPr>
                <w:noProof/>
                <w:webHidden/>
              </w:rPr>
              <w:t>22</w:t>
            </w:r>
            <w:r>
              <w:rPr>
                <w:noProof/>
                <w:webHidden/>
              </w:rPr>
              <w:fldChar w:fldCharType="end"/>
            </w:r>
          </w:hyperlink>
        </w:p>
        <w:p w14:paraId="10F28B8F" w14:textId="26097C44" w:rsidR="00EB5528" w:rsidRDefault="00EB5528">
          <w:pPr>
            <w:pStyle w:val="TOC3"/>
            <w:tabs>
              <w:tab w:val="right" w:pos="9350"/>
            </w:tabs>
            <w:rPr>
              <w:rFonts w:asciiTheme="minorHAnsi" w:eastAsiaTheme="minorEastAsia" w:hAnsiTheme="minorHAnsi" w:cstheme="minorBidi"/>
              <w:noProof/>
              <w:sz w:val="22"/>
              <w:szCs w:val="22"/>
              <w:lang w:val="en-IN"/>
            </w:rPr>
          </w:pPr>
          <w:hyperlink w:anchor="_Toc235029531" w:history="1">
            <w:r w:rsidRPr="009D57FE">
              <w:rPr>
                <w:rStyle w:val="Hyperlink"/>
                <w:noProof/>
              </w:rPr>
              <w:t>3.3.2 Currency Risk</w:t>
            </w:r>
            <w:r>
              <w:rPr>
                <w:noProof/>
                <w:webHidden/>
              </w:rPr>
              <w:tab/>
            </w:r>
            <w:r>
              <w:rPr>
                <w:noProof/>
                <w:webHidden/>
              </w:rPr>
              <w:fldChar w:fldCharType="begin"/>
            </w:r>
            <w:r>
              <w:rPr>
                <w:noProof/>
                <w:webHidden/>
              </w:rPr>
              <w:instrText xml:space="preserve"> PAGEREF _Toc235029531 \h </w:instrText>
            </w:r>
            <w:r>
              <w:rPr>
                <w:noProof/>
                <w:webHidden/>
              </w:rPr>
            </w:r>
            <w:r>
              <w:rPr>
                <w:noProof/>
                <w:webHidden/>
              </w:rPr>
              <w:fldChar w:fldCharType="separate"/>
            </w:r>
            <w:r w:rsidR="00F4698C">
              <w:rPr>
                <w:noProof/>
                <w:webHidden/>
              </w:rPr>
              <w:t>22</w:t>
            </w:r>
            <w:r>
              <w:rPr>
                <w:noProof/>
                <w:webHidden/>
              </w:rPr>
              <w:fldChar w:fldCharType="end"/>
            </w:r>
          </w:hyperlink>
        </w:p>
        <w:p w14:paraId="43E0B51B" w14:textId="793FC5DC" w:rsidR="00EB5528" w:rsidRDefault="00EB5528">
          <w:pPr>
            <w:pStyle w:val="TOC3"/>
            <w:tabs>
              <w:tab w:val="right" w:pos="9350"/>
            </w:tabs>
            <w:rPr>
              <w:rFonts w:asciiTheme="minorHAnsi" w:eastAsiaTheme="minorEastAsia" w:hAnsiTheme="minorHAnsi" w:cstheme="minorBidi"/>
              <w:noProof/>
              <w:sz w:val="22"/>
              <w:szCs w:val="22"/>
              <w:lang w:val="en-IN"/>
            </w:rPr>
          </w:pPr>
          <w:hyperlink w:anchor="_Toc235029532" w:history="1">
            <w:r w:rsidRPr="009D57FE">
              <w:rPr>
                <w:rStyle w:val="Hyperlink"/>
                <w:noProof/>
              </w:rPr>
              <w:t>3.3.3 Inflation Risk</w:t>
            </w:r>
            <w:r>
              <w:rPr>
                <w:noProof/>
                <w:webHidden/>
              </w:rPr>
              <w:tab/>
            </w:r>
            <w:r>
              <w:rPr>
                <w:noProof/>
                <w:webHidden/>
              </w:rPr>
              <w:fldChar w:fldCharType="begin"/>
            </w:r>
            <w:r>
              <w:rPr>
                <w:noProof/>
                <w:webHidden/>
              </w:rPr>
              <w:instrText xml:space="preserve"> PAGEREF _Toc235029532 \h </w:instrText>
            </w:r>
            <w:r>
              <w:rPr>
                <w:noProof/>
                <w:webHidden/>
              </w:rPr>
            </w:r>
            <w:r>
              <w:rPr>
                <w:noProof/>
                <w:webHidden/>
              </w:rPr>
              <w:fldChar w:fldCharType="separate"/>
            </w:r>
            <w:r w:rsidR="00F4698C">
              <w:rPr>
                <w:noProof/>
                <w:webHidden/>
              </w:rPr>
              <w:t>23</w:t>
            </w:r>
            <w:r>
              <w:rPr>
                <w:noProof/>
                <w:webHidden/>
              </w:rPr>
              <w:fldChar w:fldCharType="end"/>
            </w:r>
          </w:hyperlink>
        </w:p>
        <w:p w14:paraId="1E90A394" w14:textId="5F964962" w:rsidR="00EB5528" w:rsidRDefault="00EB5528">
          <w:pPr>
            <w:pStyle w:val="TOC2"/>
            <w:tabs>
              <w:tab w:val="right" w:pos="9350"/>
            </w:tabs>
            <w:rPr>
              <w:rFonts w:asciiTheme="minorHAnsi" w:eastAsiaTheme="minorEastAsia" w:hAnsiTheme="minorHAnsi" w:cstheme="minorBidi"/>
              <w:noProof/>
              <w:sz w:val="22"/>
              <w:szCs w:val="22"/>
              <w:lang w:val="en-IN"/>
            </w:rPr>
          </w:pPr>
          <w:hyperlink w:anchor="_Toc235029533" w:history="1">
            <w:r w:rsidRPr="009D57FE">
              <w:rPr>
                <w:rStyle w:val="Hyperlink"/>
                <w:noProof/>
              </w:rPr>
              <w:t>3.4 Discussion on the Ethical and ESG Operations</w:t>
            </w:r>
            <w:r>
              <w:rPr>
                <w:noProof/>
                <w:webHidden/>
              </w:rPr>
              <w:tab/>
            </w:r>
            <w:r>
              <w:rPr>
                <w:noProof/>
                <w:webHidden/>
              </w:rPr>
              <w:fldChar w:fldCharType="begin"/>
            </w:r>
            <w:r>
              <w:rPr>
                <w:noProof/>
                <w:webHidden/>
              </w:rPr>
              <w:instrText xml:space="preserve"> PAGEREF _Toc235029533 \h </w:instrText>
            </w:r>
            <w:r>
              <w:rPr>
                <w:noProof/>
                <w:webHidden/>
              </w:rPr>
            </w:r>
            <w:r>
              <w:rPr>
                <w:noProof/>
                <w:webHidden/>
              </w:rPr>
              <w:fldChar w:fldCharType="separate"/>
            </w:r>
            <w:r w:rsidR="00F4698C">
              <w:rPr>
                <w:noProof/>
                <w:webHidden/>
              </w:rPr>
              <w:t>24</w:t>
            </w:r>
            <w:r>
              <w:rPr>
                <w:noProof/>
                <w:webHidden/>
              </w:rPr>
              <w:fldChar w:fldCharType="end"/>
            </w:r>
          </w:hyperlink>
        </w:p>
        <w:p w14:paraId="2DE02548" w14:textId="68BEA0E0" w:rsidR="00EB5528" w:rsidRDefault="00EB5528">
          <w:pPr>
            <w:pStyle w:val="TOC3"/>
            <w:tabs>
              <w:tab w:val="right" w:pos="9350"/>
            </w:tabs>
            <w:rPr>
              <w:rFonts w:asciiTheme="minorHAnsi" w:eastAsiaTheme="minorEastAsia" w:hAnsiTheme="minorHAnsi" w:cstheme="minorBidi"/>
              <w:noProof/>
              <w:sz w:val="22"/>
              <w:szCs w:val="22"/>
              <w:lang w:val="en-IN"/>
            </w:rPr>
          </w:pPr>
          <w:hyperlink w:anchor="_Toc235029534" w:history="1">
            <w:r w:rsidRPr="009D57FE">
              <w:rPr>
                <w:rStyle w:val="Hyperlink"/>
                <w:noProof/>
              </w:rPr>
              <w:t>3.4.1 Corporate Social Responsibility</w:t>
            </w:r>
            <w:r>
              <w:rPr>
                <w:noProof/>
                <w:webHidden/>
              </w:rPr>
              <w:tab/>
            </w:r>
            <w:r>
              <w:rPr>
                <w:noProof/>
                <w:webHidden/>
              </w:rPr>
              <w:fldChar w:fldCharType="begin"/>
            </w:r>
            <w:r>
              <w:rPr>
                <w:noProof/>
                <w:webHidden/>
              </w:rPr>
              <w:instrText xml:space="preserve"> PAGEREF _Toc235029534 \h </w:instrText>
            </w:r>
            <w:r>
              <w:rPr>
                <w:noProof/>
                <w:webHidden/>
              </w:rPr>
            </w:r>
            <w:r>
              <w:rPr>
                <w:noProof/>
                <w:webHidden/>
              </w:rPr>
              <w:fldChar w:fldCharType="separate"/>
            </w:r>
            <w:r w:rsidR="00F4698C">
              <w:rPr>
                <w:noProof/>
                <w:webHidden/>
              </w:rPr>
              <w:t>24</w:t>
            </w:r>
            <w:r>
              <w:rPr>
                <w:noProof/>
                <w:webHidden/>
              </w:rPr>
              <w:fldChar w:fldCharType="end"/>
            </w:r>
          </w:hyperlink>
        </w:p>
        <w:p w14:paraId="0B02FDB2" w14:textId="794A0CBE" w:rsidR="00EB5528" w:rsidRDefault="00EB5528">
          <w:pPr>
            <w:pStyle w:val="TOC3"/>
            <w:tabs>
              <w:tab w:val="right" w:pos="9350"/>
            </w:tabs>
            <w:rPr>
              <w:rFonts w:asciiTheme="minorHAnsi" w:eastAsiaTheme="minorEastAsia" w:hAnsiTheme="minorHAnsi" w:cstheme="minorBidi"/>
              <w:noProof/>
              <w:sz w:val="22"/>
              <w:szCs w:val="22"/>
              <w:lang w:val="en-IN"/>
            </w:rPr>
          </w:pPr>
          <w:hyperlink w:anchor="_Toc235029535" w:history="1">
            <w:r w:rsidRPr="009D57FE">
              <w:rPr>
                <w:rStyle w:val="Hyperlink"/>
                <w:noProof/>
              </w:rPr>
              <w:t>3.4.2 Environmental Sustainability</w:t>
            </w:r>
            <w:r>
              <w:rPr>
                <w:noProof/>
                <w:webHidden/>
              </w:rPr>
              <w:tab/>
            </w:r>
            <w:r>
              <w:rPr>
                <w:noProof/>
                <w:webHidden/>
              </w:rPr>
              <w:fldChar w:fldCharType="begin"/>
            </w:r>
            <w:r>
              <w:rPr>
                <w:noProof/>
                <w:webHidden/>
              </w:rPr>
              <w:instrText xml:space="preserve"> PAGEREF _Toc235029535 \h </w:instrText>
            </w:r>
            <w:r>
              <w:rPr>
                <w:noProof/>
                <w:webHidden/>
              </w:rPr>
            </w:r>
            <w:r>
              <w:rPr>
                <w:noProof/>
                <w:webHidden/>
              </w:rPr>
              <w:fldChar w:fldCharType="separate"/>
            </w:r>
            <w:r w:rsidR="00F4698C">
              <w:rPr>
                <w:noProof/>
                <w:webHidden/>
              </w:rPr>
              <w:t>24</w:t>
            </w:r>
            <w:r>
              <w:rPr>
                <w:noProof/>
                <w:webHidden/>
              </w:rPr>
              <w:fldChar w:fldCharType="end"/>
            </w:r>
          </w:hyperlink>
        </w:p>
        <w:p w14:paraId="0CCB5488" w14:textId="65AEBCB5" w:rsidR="00EB5528" w:rsidRDefault="00EB5528">
          <w:pPr>
            <w:pStyle w:val="TOC3"/>
            <w:tabs>
              <w:tab w:val="right" w:pos="9350"/>
            </w:tabs>
            <w:rPr>
              <w:rFonts w:asciiTheme="minorHAnsi" w:eastAsiaTheme="minorEastAsia" w:hAnsiTheme="minorHAnsi" w:cstheme="minorBidi"/>
              <w:noProof/>
              <w:sz w:val="22"/>
              <w:szCs w:val="22"/>
              <w:lang w:val="en-IN"/>
            </w:rPr>
          </w:pPr>
          <w:hyperlink w:anchor="_Toc235029536" w:history="1">
            <w:r w:rsidRPr="009D57FE">
              <w:rPr>
                <w:rStyle w:val="Hyperlink"/>
                <w:noProof/>
              </w:rPr>
              <w:t>3.4.3 ESG Performance and Reporting</w:t>
            </w:r>
            <w:r>
              <w:rPr>
                <w:noProof/>
                <w:webHidden/>
              </w:rPr>
              <w:tab/>
            </w:r>
            <w:r>
              <w:rPr>
                <w:noProof/>
                <w:webHidden/>
              </w:rPr>
              <w:fldChar w:fldCharType="begin"/>
            </w:r>
            <w:r>
              <w:rPr>
                <w:noProof/>
                <w:webHidden/>
              </w:rPr>
              <w:instrText xml:space="preserve"> PAGEREF _Toc235029536 \h </w:instrText>
            </w:r>
            <w:r>
              <w:rPr>
                <w:noProof/>
                <w:webHidden/>
              </w:rPr>
            </w:r>
            <w:r>
              <w:rPr>
                <w:noProof/>
                <w:webHidden/>
              </w:rPr>
              <w:fldChar w:fldCharType="separate"/>
            </w:r>
            <w:r w:rsidR="00F4698C">
              <w:rPr>
                <w:noProof/>
                <w:webHidden/>
              </w:rPr>
              <w:t>24</w:t>
            </w:r>
            <w:r>
              <w:rPr>
                <w:noProof/>
                <w:webHidden/>
              </w:rPr>
              <w:fldChar w:fldCharType="end"/>
            </w:r>
          </w:hyperlink>
        </w:p>
        <w:p w14:paraId="6F76A817" w14:textId="6E544890" w:rsidR="00EB5528" w:rsidRDefault="00EB5528">
          <w:pPr>
            <w:pStyle w:val="TOC1"/>
            <w:tabs>
              <w:tab w:val="right" w:pos="9350"/>
            </w:tabs>
            <w:rPr>
              <w:rFonts w:asciiTheme="minorHAnsi" w:eastAsiaTheme="minorEastAsia" w:hAnsiTheme="minorHAnsi" w:cstheme="minorBidi"/>
              <w:noProof/>
              <w:sz w:val="22"/>
              <w:szCs w:val="22"/>
              <w:lang w:val="en-IN"/>
            </w:rPr>
          </w:pPr>
          <w:hyperlink w:anchor="_Toc235029537" w:history="1">
            <w:r w:rsidRPr="009D57FE">
              <w:rPr>
                <w:rStyle w:val="Hyperlink"/>
                <w:noProof/>
              </w:rPr>
              <w:t>4. Investment Appraisal and Capital Budgeting</w:t>
            </w:r>
            <w:r>
              <w:rPr>
                <w:noProof/>
                <w:webHidden/>
              </w:rPr>
              <w:tab/>
            </w:r>
            <w:r>
              <w:rPr>
                <w:noProof/>
                <w:webHidden/>
              </w:rPr>
              <w:fldChar w:fldCharType="begin"/>
            </w:r>
            <w:r>
              <w:rPr>
                <w:noProof/>
                <w:webHidden/>
              </w:rPr>
              <w:instrText xml:space="preserve"> PAGEREF _Toc235029537 \h </w:instrText>
            </w:r>
            <w:r>
              <w:rPr>
                <w:noProof/>
                <w:webHidden/>
              </w:rPr>
            </w:r>
            <w:r>
              <w:rPr>
                <w:noProof/>
                <w:webHidden/>
              </w:rPr>
              <w:fldChar w:fldCharType="separate"/>
            </w:r>
            <w:r w:rsidR="00F4698C">
              <w:rPr>
                <w:noProof/>
                <w:webHidden/>
              </w:rPr>
              <w:t>25</w:t>
            </w:r>
            <w:r>
              <w:rPr>
                <w:noProof/>
                <w:webHidden/>
              </w:rPr>
              <w:fldChar w:fldCharType="end"/>
            </w:r>
          </w:hyperlink>
        </w:p>
        <w:p w14:paraId="361B6D85" w14:textId="74C305D6" w:rsidR="00EB5528" w:rsidRDefault="00EB5528">
          <w:pPr>
            <w:pStyle w:val="TOC2"/>
            <w:tabs>
              <w:tab w:val="right" w:pos="9350"/>
            </w:tabs>
            <w:rPr>
              <w:rFonts w:asciiTheme="minorHAnsi" w:eastAsiaTheme="minorEastAsia" w:hAnsiTheme="minorHAnsi" w:cstheme="minorBidi"/>
              <w:noProof/>
              <w:sz w:val="22"/>
              <w:szCs w:val="22"/>
              <w:lang w:val="en-IN"/>
            </w:rPr>
          </w:pPr>
          <w:hyperlink w:anchor="_Toc235029538" w:history="1">
            <w:r w:rsidRPr="009D57FE">
              <w:rPr>
                <w:rStyle w:val="Hyperlink"/>
                <w:noProof/>
              </w:rPr>
              <w:t>4.1 Project Overview</w:t>
            </w:r>
            <w:r>
              <w:rPr>
                <w:noProof/>
                <w:webHidden/>
              </w:rPr>
              <w:tab/>
            </w:r>
            <w:r>
              <w:rPr>
                <w:noProof/>
                <w:webHidden/>
              </w:rPr>
              <w:fldChar w:fldCharType="begin"/>
            </w:r>
            <w:r>
              <w:rPr>
                <w:noProof/>
                <w:webHidden/>
              </w:rPr>
              <w:instrText xml:space="preserve"> PAGEREF _Toc235029538 \h </w:instrText>
            </w:r>
            <w:r>
              <w:rPr>
                <w:noProof/>
                <w:webHidden/>
              </w:rPr>
            </w:r>
            <w:r>
              <w:rPr>
                <w:noProof/>
                <w:webHidden/>
              </w:rPr>
              <w:fldChar w:fldCharType="separate"/>
            </w:r>
            <w:r w:rsidR="00F4698C">
              <w:rPr>
                <w:noProof/>
                <w:webHidden/>
              </w:rPr>
              <w:t>25</w:t>
            </w:r>
            <w:r>
              <w:rPr>
                <w:noProof/>
                <w:webHidden/>
              </w:rPr>
              <w:fldChar w:fldCharType="end"/>
            </w:r>
          </w:hyperlink>
        </w:p>
        <w:p w14:paraId="55456833" w14:textId="4E7DFDCA" w:rsidR="00EB5528" w:rsidRDefault="00EB5528">
          <w:pPr>
            <w:pStyle w:val="TOC2"/>
            <w:tabs>
              <w:tab w:val="right" w:pos="9350"/>
            </w:tabs>
            <w:rPr>
              <w:rFonts w:asciiTheme="minorHAnsi" w:eastAsiaTheme="minorEastAsia" w:hAnsiTheme="minorHAnsi" w:cstheme="minorBidi"/>
              <w:noProof/>
              <w:sz w:val="22"/>
              <w:szCs w:val="22"/>
              <w:lang w:val="en-IN"/>
            </w:rPr>
          </w:pPr>
          <w:hyperlink w:anchor="_Toc235029539" w:history="1">
            <w:r w:rsidRPr="009D57FE">
              <w:rPr>
                <w:rStyle w:val="Hyperlink"/>
                <w:noProof/>
              </w:rPr>
              <w:t>4.2 Discuss Project Viability</w:t>
            </w:r>
            <w:r>
              <w:rPr>
                <w:noProof/>
                <w:webHidden/>
              </w:rPr>
              <w:tab/>
            </w:r>
            <w:r>
              <w:rPr>
                <w:noProof/>
                <w:webHidden/>
              </w:rPr>
              <w:fldChar w:fldCharType="begin"/>
            </w:r>
            <w:r>
              <w:rPr>
                <w:noProof/>
                <w:webHidden/>
              </w:rPr>
              <w:instrText xml:space="preserve"> PAGEREF _Toc235029539 \h </w:instrText>
            </w:r>
            <w:r>
              <w:rPr>
                <w:noProof/>
                <w:webHidden/>
              </w:rPr>
            </w:r>
            <w:r>
              <w:rPr>
                <w:noProof/>
                <w:webHidden/>
              </w:rPr>
              <w:fldChar w:fldCharType="separate"/>
            </w:r>
            <w:r w:rsidR="00F4698C">
              <w:rPr>
                <w:noProof/>
                <w:webHidden/>
              </w:rPr>
              <w:t>25</w:t>
            </w:r>
            <w:r>
              <w:rPr>
                <w:noProof/>
                <w:webHidden/>
              </w:rPr>
              <w:fldChar w:fldCharType="end"/>
            </w:r>
          </w:hyperlink>
        </w:p>
        <w:p w14:paraId="62BB410B" w14:textId="08A06E6A" w:rsidR="00EB5528" w:rsidRDefault="00EB5528">
          <w:pPr>
            <w:pStyle w:val="TOC3"/>
            <w:tabs>
              <w:tab w:val="right" w:pos="9350"/>
            </w:tabs>
            <w:rPr>
              <w:rFonts w:asciiTheme="minorHAnsi" w:eastAsiaTheme="minorEastAsia" w:hAnsiTheme="minorHAnsi" w:cstheme="minorBidi"/>
              <w:noProof/>
              <w:sz w:val="22"/>
              <w:szCs w:val="22"/>
              <w:lang w:val="en-IN"/>
            </w:rPr>
          </w:pPr>
          <w:hyperlink w:anchor="_Toc235029540" w:history="1">
            <w:r w:rsidRPr="009D57FE">
              <w:rPr>
                <w:rStyle w:val="Hyperlink"/>
                <w:noProof/>
              </w:rPr>
              <w:t>4.2.1 Project A Appraisal</w:t>
            </w:r>
            <w:r>
              <w:rPr>
                <w:noProof/>
                <w:webHidden/>
              </w:rPr>
              <w:tab/>
            </w:r>
            <w:r>
              <w:rPr>
                <w:noProof/>
                <w:webHidden/>
              </w:rPr>
              <w:fldChar w:fldCharType="begin"/>
            </w:r>
            <w:r>
              <w:rPr>
                <w:noProof/>
                <w:webHidden/>
              </w:rPr>
              <w:instrText xml:space="preserve"> PAGEREF _Toc235029540 \h </w:instrText>
            </w:r>
            <w:r>
              <w:rPr>
                <w:noProof/>
                <w:webHidden/>
              </w:rPr>
            </w:r>
            <w:r>
              <w:rPr>
                <w:noProof/>
                <w:webHidden/>
              </w:rPr>
              <w:fldChar w:fldCharType="separate"/>
            </w:r>
            <w:r w:rsidR="00F4698C">
              <w:rPr>
                <w:noProof/>
                <w:webHidden/>
              </w:rPr>
              <w:t>25</w:t>
            </w:r>
            <w:r>
              <w:rPr>
                <w:noProof/>
                <w:webHidden/>
              </w:rPr>
              <w:fldChar w:fldCharType="end"/>
            </w:r>
          </w:hyperlink>
        </w:p>
        <w:p w14:paraId="44BB3F01" w14:textId="40274C3E" w:rsidR="00EB5528" w:rsidRDefault="00EB5528">
          <w:pPr>
            <w:pStyle w:val="TOC3"/>
            <w:tabs>
              <w:tab w:val="right" w:pos="9350"/>
            </w:tabs>
            <w:rPr>
              <w:rFonts w:asciiTheme="minorHAnsi" w:eastAsiaTheme="minorEastAsia" w:hAnsiTheme="minorHAnsi" w:cstheme="minorBidi"/>
              <w:noProof/>
              <w:sz w:val="22"/>
              <w:szCs w:val="22"/>
              <w:lang w:val="en-IN"/>
            </w:rPr>
          </w:pPr>
          <w:hyperlink w:anchor="_Toc235029541" w:history="1">
            <w:r w:rsidRPr="009D57FE">
              <w:rPr>
                <w:rStyle w:val="Hyperlink"/>
                <w:noProof/>
              </w:rPr>
              <w:t>4.2.2 Project B Appraisal</w:t>
            </w:r>
            <w:r>
              <w:rPr>
                <w:noProof/>
                <w:webHidden/>
              </w:rPr>
              <w:tab/>
            </w:r>
            <w:r>
              <w:rPr>
                <w:noProof/>
                <w:webHidden/>
              </w:rPr>
              <w:fldChar w:fldCharType="begin"/>
            </w:r>
            <w:r>
              <w:rPr>
                <w:noProof/>
                <w:webHidden/>
              </w:rPr>
              <w:instrText xml:space="preserve"> PAGEREF _Toc235029541 \h </w:instrText>
            </w:r>
            <w:r>
              <w:rPr>
                <w:noProof/>
                <w:webHidden/>
              </w:rPr>
            </w:r>
            <w:r>
              <w:rPr>
                <w:noProof/>
                <w:webHidden/>
              </w:rPr>
              <w:fldChar w:fldCharType="separate"/>
            </w:r>
            <w:r w:rsidR="00F4698C">
              <w:rPr>
                <w:noProof/>
                <w:webHidden/>
              </w:rPr>
              <w:t>28</w:t>
            </w:r>
            <w:r>
              <w:rPr>
                <w:noProof/>
                <w:webHidden/>
              </w:rPr>
              <w:fldChar w:fldCharType="end"/>
            </w:r>
          </w:hyperlink>
        </w:p>
        <w:p w14:paraId="5E6CD471" w14:textId="627970C0" w:rsidR="00EB5528" w:rsidRDefault="00EB5528">
          <w:pPr>
            <w:pStyle w:val="TOC3"/>
            <w:tabs>
              <w:tab w:val="right" w:pos="9350"/>
            </w:tabs>
            <w:rPr>
              <w:rFonts w:asciiTheme="minorHAnsi" w:eastAsiaTheme="minorEastAsia" w:hAnsiTheme="minorHAnsi" w:cstheme="minorBidi"/>
              <w:noProof/>
              <w:sz w:val="22"/>
              <w:szCs w:val="22"/>
              <w:lang w:val="en-IN"/>
            </w:rPr>
          </w:pPr>
          <w:hyperlink w:anchor="_Toc235029542" w:history="1">
            <w:r w:rsidRPr="009D57FE">
              <w:rPr>
                <w:rStyle w:val="Hyperlink"/>
                <w:noProof/>
              </w:rPr>
              <w:t>4.2.3 Project C Appraisal</w:t>
            </w:r>
            <w:r>
              <w:rPr>
                <w:noProof/>
                <w:webHidden/>
              </w:rPr>
              <w:tab/>
            </w:r>
            <w:r>
              <w:rPr>
                <w:noProof/>
                <w:webHidden/>
              </w:rPr>
              <w:fldChar w:fldCharType="begin"/>
            </w:r>
            <w:r>
              <w:rPr>
                <w:noProof/>
                <w:webHidden/>
              </w:rPr>
              <w:instrText xml:space="preserve"> PAGEREF _Toc235029542 \h </w:instrText>
            </w:r>
            <w:r>
              <w:rPr>
                <w:noProof/>
                <w:webHidden/>
              </w:rPr>
            </w:r>
            <w:r>
              <w:rPr>
                <w:noProof/>
                <w:webHidden/>
              </w:rPr>
              <w:fldChar w:fldCharType="separate"/>
            </w:r>
            <w:r w:rsidR="00F4698C">
              <w:rPr>
                <w:noProof/>
                <w:webHidden/>
              </w:rPr>
              <w:t>31</w:t>
            </w:r>
            <w:r>
              <w:rPr>
                <w:noProof/>
                <w:webHidden/>
              </w:rPr>
              <w:fldChar w:fldCharType="end"/>
            </w:r>
          </w:hyperlink>
        </w:p>
        <w:p w14:paraId="101ECD0B" w14:textId="29E81ECE" w:rsidR="00EB5528" w:rsidRDefault="00EB5528">
          <w:pPr>
            <w:pStyle w:val="TOC2"/>
            <w:tabs>
              <w:tab w:val="right" w:pos="9350"/>
            </w:tabs>
            <w:rPr>
              <w:rFonts w:asciiTheme="minorHAnsi" w:eastAsiaTheme="minorEastAsia" w:hAnsiTheme="minorHAnsi" w:cstheme="minorBidi"/>
              <w:noProof/>
              <w:sz w:val="22"/>
              <w:szCs w:val="22"/>
              <w:lang w:val="en-IN"/>
            </w:rPr>
          </w:pPr>
          <w:hyperlink w:anchor="_Toc235029543" w:history="1">
            <w:r w:rsidRPr="009D57FE">
              <w:rPr>
                <w:rStyle w:val="Hyperlink"/>
                <w:noProof/>
              </w:rPr>
              <w:t>4.3 Recommendation based on the company's financial performance</w:t>
            </w:r>
            <w:r>
              <w:rPr>
                <w:noProof/>
                <w:webHidden/>
              </w:rPr>
              <w:tab/>
            </w:r>
            <w:r>
              <w:rPr>
                <w:noProof/>
                <w:webHidden/>
              </w:rPr>
              <w:fldChar w:fldCharType="begin"/>
            </w:r>
            <w:r>
              <w:rPr>
                <w:noProof/>
                <w:webHidden/>
              </w:rPr>
              <w:instrText xml:space="preserve"> PAGEREF _Toc235029543 \h </w:instrText>
            </w:r>
            <w:r>
              <w:rPr>
                <w:noProof/>
                <w:webHidden/>
              </w:rPr>
            </w:r>
            <w:r>
              <w:rPr>
                <w:noProof/>
                <w:webHidden/>
              </w:rPr>
              <w:fldChar w:fldCharType="separate"/>
            </w:r>
            <w:r w:rsidR="00F4698C">
              <w:rPr>
                <w:noProof/>
                <w:webHidden/>
              </w:rPr>
              <w:t>34</w:t>
            </w:r>
            <w:r>
              <w:rPr>
                <w:noProof/>
                <w:webHidden/>
              </w:rPr>
              <w:fldChar w:fldCharType="end"/>
            </w:r>
          </w:hyperlink>
        </w:p>
        <w:p w14:paraId="08ACD83F" w14:textId="724DA97E" w:rsidR="00EB5528" w:rsidRDefault="00EB5528">
          <w:pPr>
            <w:pStyle w:val="TOC3"/>
            <w:tabs>
              <w:tab w:val="right" w:pos="9350"/>
            </w:tabs>
            <w:rPr>
              <w:rFonts w:asciiTheme="minorHAnsi" w:eastAsiaTheme="minorEastAsia" w:hAnsiTheme="minorHAnsi" w:cstheme="minorBidi"/>
              <w:noProof/>
              <w:sz w:val="22"/>
              <w:szCs w:val="22"/>
              <w:lang w:val="en-IN"/>
            </w:rPr>
          </w:pPr>
          <w:hyperlink w:anchor="_Toc235029544" w:history="1">
            <w:r w:rsidRPr="009D57FE">
              <w:rPr>
                <w:rStyle w:val="Hyperlink"/>
                <w:noProof/>
              </w:rPr>
              <w:t>4.3.1 Selection of project</w:t>
            </w:r>
            <w:r>
              <w:rPr>
                <w:noProof/>
                <w:webHidden/>
              </w:rPr>
              <w:tab/>
            </w:r>
            <w:r>
              <w:rPr>
                <w:noProof/>
                <w:webHidden/>
              </w:rPr>
              <w:fldChar w:fldCharType="begin"/>
            </w:r>
            <w:r>
              <w:rPr>
                <w:noProof/>
                <w:webHidden/>
              </w:rPr>
              <w:instrText xml:space="preserve"> PAGEREF _Toc235029544 \h </w:instrText>
            </w:r>
            <w:r>
              <w:rPr>
                <w:noProof/>
                <w:webHidden/>
              </w:rPr>
            </w:r>
            <w:r>
              <w:rPr>
                <w:noProof/>
                <w:webHidden/>
              </w:rPr>
              <w:fldChar w:fldCharType="separate"/>
            </w:r>
            <w:r w:rsidR="00F4698C">
              <w:rPr>
                <w:noProof/>
                <w:webHidden/>
              </w:rPr>
              <w:t>34</w:t>
            </w:r>
            <w:r>
              <w:rPr>
                <w:noProof/>
                <w:webHidden/>
              </w:rPr>
              <w:fldChar w:fldCharType="end"/>
            </w:r>
          </w:hyperlink>
        </w:p>
        <w:p w14:paraId="69F093AB" w14:textId="70975F0D" w:rsidR="00EB5528" w:rsidRDefault="00EB5528">
          <w:pPr>
            <w:pStyle w:val="TOC3"/>
            <w:tabs>
              <w:tab w:val="right" w:pos="9350"/>
            </w:tabs>
            <w:rPr>
              <w:rFonts w:asciiTheme="minorHAnsi" w:eastAsiaTheme="minorEastAsia" w:hAnsiTheme="minorHAnsi" w:cstheme="minorBidi"/>
              <w:noProof/>
              <w:sz w:val="22"/>
              <w:szCs w:val="22"/>
              <w:lang w:val="en-IN"/>
            </w:rPr>
          </w:pPr>
          <w:hyperlink w:anchor="_Toc235029545" w:history="1">
            <w:r w:rsidRPr="009D57FE">
              <w:rPr>
                <w:rStyle w:val="Hyperlink"/>
                <w:noProof/>
              </w:rPr>
              <w:t>4.3.2 Financial performance</w:t>
            </w:r>
            <w:r>
              <w:rPr>
                <w:noProof/>
                <w:webHidden/>
              </w:rPr>
              <w:tab/>
            </w:r>
            <w:r>
              <w:rPr>
                <w:noProof/>
                <w:webHidden/>
              </w:rPr>
              <w:fldChar w:fldCharType="begin"/>
            </w:r>
            <w:r>
              <w:rPr>
                <w:noProof/>
                <w:webHidden/>
              </w:rPr>
              <w:instrText xml:space="preserve"> PAGEREF _Toc235029545 \h </w:instrText>
            </w:r>
            <w:r>
              <w:rPr>
                <w:noProof/>
                <w:webHidden/>
              </w:rPr>
            </w:r>
            <w:r>
              <w:rPr>
                <w:noProof/>
                <w:webHidden/>
              </w:rPr>
              <w:fldChar w:fldCharType="separate"/>
            </w:r>
            <w:r w:rsidR="00F4698C">
              <w:rPr>
                <w:noProof/>
                <w:webHidden/>
              </w:rPr>
              <w:t>34</w:t>
            </w:r>
            <w:r>
              <w:rPr>
                <w:noProof/>
                <w:webHidden/>
              </w:rPr>
              <w:fldChar w:fldCharType="end"/>
            </w:r>
          </w:hyperlink>
        </w:p>
        <w:p w14:paraId="4D5DFC75" w14:textId="293E52B4" w:rsidR="00EB5528" w:rsidRDefault="00EB5528">
          <w:pPr>
            <w:pStyle w:val="TOC3"/>
            <w:tabs>
              <w:tab w:val="right" w:pos="9350"/>
            </w:tabs>
            <w:rPr>
              <w:rFonts w:asciiTheme="minorHAnsi" w:eastAsiaTheme="minorEastAsia" w:hAnsiTheme="minorHAnsi" w:cstheme="minorBidi"/>
              <w:noProof/>
              <w:sz w:val="22"/>
              <w:szCs w:val="22"/>
              <w:lang w:val="en-IN"/>
            </w:rPr>
          </w:pPr>
          <w:hyperlink w:anchor="_Toc235029546" w:history="1">
            <w:r w:rsidRPr="009D57FE">
              <w:rPr>
                <w:rStyle w:val="Hyperlink"/>
                <w:noProof/>
              </w:rPr>
              <w:t>4.3.3 Non-Financial Risk</w:t>
            </w:r>
            <w:r>
              <w:rPr>
                <w:noProof/>
                <w:webHidden/>
              </w:rPr>
              <w:tab/>
            </w:r>
            <w:r>
              <w:rPr>
                <w:noProof/>
                <w:webHidden/>
              </w:rPr>
              <w:fldChar w:fldCharType="begin"/>
            </w:r>
            <w:r>
              <w:rPr>
                <w:noProof/>
                <w:webHidden/>
              </w:rPr>
              <w:instrText xml:space="preserve"> PAGEREF _Toc235029546 \h </w:instrText>
            </w:r>
            <w:r>
              <w:rPr>
                <w:noProof/>
                <w:webHidden/>
              </w:rPr>
            </w:r>
            <w:r>
              <w:rPr>
                <w:noProof/>
                <w:webHidden/>
              </w:rPr>
              <w:fldChar w:fldCharType="separate"/>
            </w:r>
            <w:r w:rsidR="00F4698C">
              <w:rPr>
                <w:noProof/>
                <w:webHidden/>
              </w:rPr>
              <w:t>35</w:t>
            </w:r>
            <w:r>
              <w:rPr>
                <w:noProof/>
                <w:webHidden/>
              </w:rPr>
              <w:fldChar w:fldCharType="end"/>
            </w:r>
          </w:hyperlink>
        </w:p>
        <w:p w14:paraId="29AAFF94" w14:textId="20094A4A" w:rsidR="00EB5528" w:rsidRDefault="00EB5528">
          <w:pPr>
            <w:pStyle w:val="TOC2"/>
            <w:tabs>
              <w:tab w:val="right" w:pos="9350"/>
            </w:tabs>
            <w:rPr>
              <w:rFonts w:asciiTheme="minorHAnsi" w:eastAsiaTheme="minorEastAsia" w:hAnsiTheme="minorHAnsi" w:cstheme="minorBidi"/>
              <w:noProof/>
              <w:sz w:val="22"/>
              <w:szCs w:val="22"/>
              <w:lang w:val="en-IN"/>
            </w:rPr>
          </w:pPr>
          <w:hyperlink w:anchor="_Toc235029547" w:history="1">
            <w:r w:rsidRPr="009D57FE">
              <w:rPr>
                <w:rStyle w:val="Hyperlink"/>
                <w:noProof/>
              </w:rPr>
              <w:t>4.4 Capital Rationing Analysis (£100 Million Limit)</w:t>
            </w:r>
            <w:r>
              <w:rPr>
                <w:noProof/>
                <w:webHidden/>
              </w:rPr>
              <w:tab/>
            </w:r>
            <w:r>
              <w:rPr>
                <w:noProof/>
                <w:webHidden/>
              </w:rPr>
              <w:fldChar w:fldCharType="begin"/>
            </w:r>
            <w:r>
              <w:rPr>
                <w:noProof/>
                <w:webHidden/>
              </w:rPr>
              <w:instrText xml:space="preserve"> PAGEREF _Toc235029547 \h </w:instrText>
            </w:r>
            <w:r>
              <w:rPr>
                <w:noProof/>
                <w:webHidden/>
              </w:rPr>
            </w:r>
            <w:r>
              <w:rPr>
                <w:noProof/>
                <w:webHidden/>
              </w:rPr>
              <w:fldChar w:fldCharType="separate"/>
            </w:r>
            <w:r w:rsidR="00F4698C">
              <w:rPr>
                <w:noProof/>
                <w:webHidden/>
              </w:rPr>
              <w:t>36</w:t>
            </w:r>
            <w:r>
              <w:rPr>
                <w:noProof/>
                <w:webHidden/>
              </w:rPr>
              <w:fldChar w:fldCharType="end"/>
            </w:r>
          </w:hyperlink>
        </w:p>
        <w:p w14:paraId="201B99E6" w14:textId="703EFBEC" w:rsidR="00EB5528" w:rsidRDefault="00EB5528">
          <w:pPr>
            <w:pStyle w:val="TOC1"/>
            <w:tabs>
              <w:tab w:val="right" w:pos="9350"/>
            </w:tabs>
            <w:rPr>
              <w:rFonts w:asciiTheme="minorHAnsi" w:eastAsiaTheme="minorEastAsia" w:hAnsiTheme="minorHAnsi" w:cstheme="minorBidi"/>
              <w:noProof/>
              <w:sz w:val="22"/>
              <w:szCs w:val="22"/>
              <w:lang w:val="en-IN"/>
            </w:rPr>
          </w:pPr>
          <w:hyperlink w:anchor="_Toc235029548" w:history="1">
            <w:r w:rsidRPr="009D57FE">
              <w:rPr>
                <w:rStyle w:val="Hyperlink"/>
                <w:noProof/>
              </w:rPr>
              <w:t>5. Critical Reflection on Artificial Intelligence Usage</w:t>
            </w:r>
            <w:r>
              <w:rPr>
                <w:noProof/>
                <w:webHidden/>
              </w:rPr>
              <w:tab/>
            </w:r>
            <w:r>
              <w:rPr>
                <w:noProof/>
                <w:webHidden/>
              </w:rPr>
              <w:fldChar w:fldCharType="begin"/>
            </w:r>
            <w:r>
              <w:rPr>
                <w:noProof/>
                <w:webHidden/>
              </w:rPr>
              <w:instrText xml:space="preserve"> PAGEREF _Toc235029548 \h </w:instrText>
            </w:r>
            <w:r>
              <w:rPr>
                <w:noProof/>
                <w:webHidden/>
              </w:rPr>
            </w:r>
            <w:r>
              <w:rPr>
                <w:noProof/>
                <w:webHidden/>
              </w:rPr>
              <w:fldChar w:fldCharType="separate"/>
            </w:r>
            <w:r w:rsidR="00F4698C">
              <w:rPr>
                <w:noProof/>
                <w:webHidden/>
              </w:rPr>
              <w:t>37</w:t>
            </w:r>
            <w:r>
              <w:rPr>
                <w:noProof/>
                <w:webHidden/>
              </w:rPr>
              <w:fldChar w:fldCharType="end"/>
            </w:r>
          </w:hyperlink>
        </w:p>
        <w:p w14:paraId="5DEBCAD2" w14:textId="3D167470" w:rsidR="00EB5528" w:rsidRDefault="00EB5528">
          <w:pPr>
            <w:pStyle w:val="TOC2"/>
            <w:tabs>
              <w:tab w:val="right" w:pos="9350"/>
            </w:tabs>
            <w:rPr>
              <w:rFonts w:asciiTheme="minorHAnsi" w:eastAsiaTheme="minorEastAsia" w:hAnsiTheme="minorHAnsi" w:cstheme="minorBidi"/>
              <w:noProof/>
              <w:sz w:val="22"/>
              <w:szCs w:val="22"/>
              <w:lang w:val="en-IN"/>
            </w:rPr>
          </w:pPr>
          <w:hyperlink w:anchor="_Toc235029549" w:history="1">
            <w:r w:rsidRPr="009D57FE">
              <w:rPr>
                <w:rStyle w:val="Hyperlink"/>
                <w:noProof/>
              </w:rPr>
              <w:t>5.1 AI tools and Acknowledgement</w:t>
            </w:r>
            <w:r>
              <w:rPr>
                <w:noProof/>
                <w:webHidden/>
              </w:rPr>
              <w:tab/>
            </w:r>
            <w:r>
              <w:rPr>
                <w:noProof/>
                <w:webHidden/>
              </w:rPr>
              <w:fldChar w:fldCharType="begin"/>
            </w:r>
            <w:r>
              <w:rPr>
                <w:noProof/>
                <w:webHidden/>
              </w:rPr>
              <w:instrText xml:space="preserve"> PAGEREF _Toc235029549 \h </w:instrText>
            </w:r>
            <w:r>
              <w:rPr>
                <w:noProof/>
                <w:webHidden/>
              </w:rPr>
            </w:r>
            <w:r>
              <w:rPr>
                <w:noProof/>
                <w:webHidden/>
              </w:rPr>
              <w:fldChar w:fldCharType="separate"/>
            </w:r>
            <w:r w:rsidR="00F4698C">
              <w:rPr>
                <w:noProof/>
                <w:webHidden/>
              </w:rPr>
              <w:t>37</w:t>
            </w:r>
            <w:r>
              <w:rPr>
                <w:noProof/>
                <w:webHidden/>
              </w:rPr>
              <w:fldChar w:fldCharType="end"/>
            </w:r>
          </w:hyperlink>
        </w:p>
        <w:p w14:paraId="39D0B1F5" w14:textId="009B593D" w:rsidR="00EB5528" w:rsidRDefault="00EB5528">
          <w:pPr>
            <w:pStyle w:val="TOC2"/>
            <w:tabs>
              <w:tab w:val="right" w:pos="9350"/>
            </w:tabs>
            <w:rPr>
              <w:rFonts w:asciiTheme="minorHAnsi" w:eastAsiaTheme="minorEastAsia" w:hAnsiTheme="minorHAnsi" w:cstheme="minorBidi"/>
              <w:noProof/>
              <w:sz w:val="22"/>
              <w:szCs w:val="22"/>
              <w:lang w:val="en-IN"/>
            </w:rPr>
          </w:pPr>
          <w:hyperlink w:anchor="_Toc235029550" w:history="1">
            <w:r w:rsidRPr="009D57FE">
              <w:rPr>
                <w:rStyle w:val="Hyperlink"/>
                <w:noProof/>
              </w:rPr>
              <w:t>5.2 Evaluation of AI Outputs</w:t>
            </w:r>
            <w:r>
              <w:rPr>
                <w:noProof/>
                <w:webHidden/>
              </w:rPr>
              <w:tab/>
            </w:r>
            <w:r>
              <w:rPr>
                <w:noProof/>
                <w:webHidden/>
              </w:rPr>
              <w:fldChar w:fldCharType="begin"/>
            </w:r>
            <w:r>
              <w:rPr>
                <w:noProof/>
                <w:webHidden/>
              </w:rPr>
              <w:instrText xml:space="preserve"> PAGEREF _Toc235029550 \h </w:instrText>
            </w:r>
            <w:r>
              <w:rPr>
                <w:noProof/>
                <w:webHidden/>
              </w:rPr>
            </w:r>
            <w:r>
              <w:rPr>
                <w:noProof/>
                <w:webHidden/>
              </w:rPr>
              <w:fldChar w:fldCharType="separate"/>
            </w:r>
            <w:r w:rsidR="00F4698C">
              <w:rPr>
                <w:noProof/>
                <w:webHidden/>
              </w:rPr>
              <w:t>37</w:t>
            </w:r>
            <w:r>
              <w:rPr>
                <w:noProof/>
                <w:webHidden/>
              </w:rPr>
              <w:fldChar w:fldCharType="end"/>
            </w:r>
          </w:hyperlink>
        </w:p>
        <w:p w14:paraId="1647CB6A" w14:textId="3AA073A9" w:rsidR="00EB5528" w:rsidRDefault="00EB5528">
          <w:pPr>
            <w:pStyle w:val="TOC2"/>
            <w:tabs>
              <w:tab w:val="right" w:pos="9350"/>
            </w:tabs>
            <w:rPr>
              <w:rFonts w:asciiTheme="minorHAnsi" w:eastAsiaTheme="minorEastAsia" w:hAnsiTheme="minorHAnsi" w:cstheme="minorBidi"/>
              <w:noProof/>
              <w:sz w:val="22"/>
              <w:szCs w:val="22"/>
              <w:lang w:val="en-IN"/>
            </w:rPr>
          </w:pPr>
          <w:hyperlink w:anchor="_Toc235029551" w:history="1">
            <w:r w:rsidRPr="009D57FE">
              <w:rPr>
                <w:rStyle w:val="Hyperlink"/>
                <w:noProof/>
              </w:rPr>
              <w:t>5.3 Contribution Analysis</w:t>
            </w:r>
            <w:r>
              <w:rPr>
                <w:noProof/>
                <w:webHidden/>
              </w:rPr>
              <w:tab/>
            </w:r>
            <w:r>
              <w:rPr>
                <w:noProof/>
                <w:webHidden/>
              </w:rPr>
              <w:fldChar w:fldCharType="begin"/>
            </w:r>
            <w:r>
              <w:rPr>
                <w:noProof/>
                <w:webHidden/>
              </w:rPr>
              <w:instrText xml:space="preserve"> PAGEREF _Toc235029551 \h </w:instrText>
            </w:r>
            <w:r>
              <w:rPr>
                <w:noProof/>
                <w:webHidden/>
              </w:rPr>
            </w:r>
            <w:r>
              <w:rPr>
                <w:noProof/>
                <w:webHidden/>
              </w:rPr>
              <w:fldChar w:fldCharType="separate"/>
            </w:r>
            <w:r w:rsidR="00F4698C">
              <w:rPr>
                <w:noProof/>
                <w:webHidden/>
              </w:rPr>
              <w:t>37</w:t>
            </w:r>
            <w:r>
              <w:rPr>
                <w:noProof/>
                <w:webHidden/>
              </w:rPr>
              <w:fldChar w:fldCharType="end"/>
            </w:r>
          </w:hyperlink>
        </w:p>
        <w:p w14:paraId="5B5358F4" w14:textId="2617A9C5" w:rsidR="00EB5528" w:rsidRDefault="00EB5528">
          <w:pPr>
            <w:pStyle w:val="TOC3"/>
            <w:tabs>
              <w:tab w:val="right" w:pos="9350"/>
            </w:tabs>
            <w:rPr>
              <w:rFonts w:asciiTheme="minorHAnsi" w:eastAsiaTheme="minorEastAsia" w:hAnsiTheme="minorHAnsi" w:cstheme="minorBidi"/>
              <w:noProof/>
              <w:sz w:val="22"/>
              <w:szCs w:val="22"/>
              <w:lang w:val="en-IN"/>
            </w:rPr>
          </w:pPr>
          <w:hyperlink w:anchor="_Toc235029552" w:history="1">
            <w:r w:rsidRPr="009D57FE">
              <w:rPr>
                <w:rStyle w:val="Hyperlink"/>
                <w:noProof/>
              </w:rPr>
              <w:t>5.3.1 AI-Generated Contributions</w:t>
            </w:r>
            <w:r>
              <w:rPr>
                <w:noProof/>
                <w:webHidden/>
              </w:rPr>
              <w:tab/>
            </w:r>
            <w:r>
              <w:rPr>
                <w:noProof/>
                <w:webHidden/>
              </w:rPr>
              <w:fldChar w:fldCharType="begin"/>
            </w:r>
            <w:r>
              <w:rPr>
                <w:noProof/>
                <w:webHidden/>
              </w:rPr>
              <w:instrText xml:space="preserve"> PAGEREF _Toc235029552 \h </w:instrText>
            </w:r>
            <w:r>
              <w:rPr>
                <w:noProof/>
                <w:webHidden/>
              </w:rPr>
            </w:r>
            <w:r>
              <w:rPr>
                <w:noProof/>
                <w:webHidden/>
              </w:rPr>
              <w:fldChar w:fldCharType="separate"/>
            </w:r>
            <w:r w:rsidR="00F4698C">
              <w:rPr>
                <w:noProof/>
                <w:webHidden/>
              </w:rPr>
              <w:t>37</w:t>
            </w:r>
            <w:r>
              <w:rPr>
                <w:noProof/>
                <w:webHidden/>
              </w:rPr>
              <w:fldChar w:fldCharType="end"/>
            </w:r>
          </w:hyperlink>
        </w:p>
        <w:p w14:paraId="2788725E" w14:textId="41969A84" w:rsidR="00EB5528" w:rsidRDefault="00EB5528">
          <w:pPr>
            <w:pStyle w:val="TOC3"/>
            <w:tabs>
              <w:tab w:val="right" w:pos="9350"/>
            </w:tabs>
            <w:rPr>
              <w:rFonts w:asciiTheme="minorHAnsi" w:eastAsiaTheme="minorEastAsia" w:hAnsiTheme="minorHAnsi" w:cstheme="minorBidi"/>
              <w:noProof/>
              <w:sz w:val="22"/>
              <w:szCs w:val="22"/>
              <w:lang w:val="en-IN"/>
            </w:rPr>
          </w:pPr>
          <w:hyperlink w:anchor="_Toc235029553" w:history="1">
            <w:r w:rsidRPr="009D57FE">
              <w:rPr>
                <w:rStyle w:val="Hyperlink"/>
                <w:noProof/>
              </w:rPr>
              <w:t>5.3.2 Independent Critical Analysis</w:t>
            </w:r>
            <w:r>
              <w:rPr>
                <w:noProof/>
                <w:webHidden/>
              </w:rPr>
              <w:tab/>
            </w:r>
            <w:r>
              <w:rPr>
                <w:noProof/>
                <w:webHidden/>
              </w:rPr>
              <w:fldChar w:fldCharType="begin"/>
            </w:r>
            <w:r>
              <w:rPr>
                <w:noProof/>
                <w:webHidden/>
              </w:rPr>
              <w:instrText xml:space="preserve"> PAGEREF _Toc235029553 \h </w:instrText>
            </w:r>
            <w:r>
              <w:rPr>
                <w:noProof/>
                <w:webHidden/>
              </w:rPr>
            </w:r>
            <w:r>
              <w:rPr>
                <w:noProof/>
                <w:webHidden/>
              </w:rPr>
              <w:fldChar w:fldCharType="separate"/>
            </w:r>
            <w:r w:rsidR="00F4698C">
              <w:rPr>
                <w:noProof/>
                <w:webHidden/>
              </w:rPr>
              <w:t>38</w:t>
            </w:r>
            <w:r>
              <w:rPr>
                <w:noProof/>
                <w:webHidden/>
              </w:rPr>
              <w:fldChar w:fldCharType="end"/>
            </w:r>
          </w:hyperlink>
        </w:p>
        <w:p w14:paraId="38983EF0" w14:textId="435960B4" w:rsidR="00EB5528" w:rsidRDefault="00EB5528">
          <w:pPr>
            <w:pStyle w:val="TOC2"/>
            <w:tabs>
              <w:tab w:val="right" w:pos="9350"/>
            </w:tabs>
            <w:rPr>
              <w:rFonts w:asciiTheme="minorHAnsi" w:eastAsiaTheme="minorEastAsia" w:hAnsiTheme="minorHAnsi" w:cstheme="minorBidi"/>
              <w:noProof/>
              <w:sz w:val="22"/>
              <w:szCs w:val="22"/>
              <w:lang w:val="en-IN"/>
            </w:rPr>
          </w:pPr>
          <w:hyperlink w:anchor="_Toc235029554" w:history="1">
            <w:r w:rsidRPr="009D57FE">
              <w:rPr>
                <w:rStyle w:val="Hyperlink"/>
                <w:noProof/>
              </w:rPr>
              <w:t>5.4 Ethical and Professional Reflection</w:t>
            </w:r>
            <w:r>
              <w:rPr>
                <w:noProof/>
                <w:webHidden/>
              </w:rPr>
              <w:tab/>
            </w:r>
            <w:r>
              <w:rPr>
                <w:noProof/>
                <w:webHidden/>
              </w:rPr>
              <w:fldChar w:fldCharType="begin"/>
            </w:r>
            <w:r>
              <w:rPr>
                <w:noProof/>
                <w:webHidden/>
              </w:rPr>
              <w:instrText xml:space="preserve"> PAGEREF _Toc235029554 \h </w:instrText>
            </w:r>
            <w:r>
              <w:rPr>
                <w:noProof/>
                <w:webHidden/>
              </w:rPr>
            </w:r>
            <w:r>
              <w:rPr>
                <w:noProof/>
                <w:webHidden/>
              </w:rPr>
              <w:fldChar w:fldCharType="separate"/>
            </w:r>
            <w:r w:rsidR="00F4698C">
              <w:rPr>
                <w:noProof/>
                <w:webHidden/>
              </w:rPr>
              <w:t>38</w:t>
            </w:r>
            <w:r>
              <w:rPr>
                <w:noProof/>
                <w:webHidden/>
              </w:rPr>
              <w:fldChar w:fldCharType="end"/>
            </w:r>
          </w:hyperlink>
        </w:p>
        <w:p w14:paraId="43B35F45" w14:textId="12C1B837" w:rsidR="00EB5528" w:rsidRDefault="00EB5528">
          <w:pPr>
            <w:pStyle w:val="TOC1"/>
            <w:tabs>
              <w:tab w:val="right" w:pos="9350"/>
            </w:tabs>
            <w:rPr>
              <w:rFonts w:asciiTheme="minorHAnsi" w:eastAsiaTheme="minorEastAsia" w:hAnsiTheme="minorHAnsi" w:cstheme="minorBidi"/>
              <w:noProof/>
              <w:sz w:val="22"/>
              <w:szCs w:val="22"/>
              <w:lang w:val="en-IN"/>
            </w:rPr>
          </w:pPr>
          <w:hyperlink w:anchor="_Toc235029555" w:history="1">
            <w:r w:rsidRPr="009D57FE">
              <w:rPr>
                <w:rStyle w:val="Hyperlink"/>
                <w:noProof/>
              </w:rPr>
              <w:t>References</w:t>
            </w:r>
            <w:r>
              <w:rPr>
                <w:noProof/>
                <w:webHidden/>
              </w:rPr>
              <w:tab/>
            </w:r>
            <w:r>
              <w:rPr>
                <w:noProof/>
                <w:webHidden/>
              </w:rPr>
              <w:fldChar w:fldCharType="begin"/>
            </w:r>
            <w:r>
              <w:rPr>
                <w:noProof/>
                <w:webHidden/>
              </w:rPr>
              <w:instrText xml:space="preserve"> PAGEREF _Toc235029555 \h </w:instrText>
            </w:r>
            <w:r>
              <w:rPr>
                <w:noProof/>
                <w:webHidden/>
              </w:rPr>
            </w:r>
            <w:r>
              <w:rPr>
                <w:noProof/>
                <w:webHidden/>
              </w:rPr>
              <w:fldChar w:fldCharType="separate"/>
            </w:r>
            <w:r w:rsidR="00F4698C">
              <w:rPr>
                <w:noProof/>
                <w:webHidden/>
              </w:rPr>
              <w:t>39</w:t>
            </w:r>
            <w:r>
              <w:rPr>
                <w:noProof/>
                <w:webHidden/>
              </w:rPr>
              <w:fldChar w:fldCharType="end"/>
            </w:r>
          </w:hyperlink>
        </w:p>
        <w:p w14:paraId="535AAAFD" w14:textId="0671F28F" w:rsidR="00EB5528" w:rsidRDefault="00EB5528">
          <w:pPr>
            <w:pStyle w:val="TOC1"/>
            <w:tabs>
              <w:tab w:val="right" w:pos="9350"/>
            </w:tabs>
            <w:rPr>
              <w:rFonts w:asciiTheme="minorHAnsi" w:eastAsiaTheme="minorEastAsia" w:hAnsiTheme="minorHAnsi" w:cstheme="minorBidi"/>
              <w:noProof/>
              <w:sz w:val="22"/>
              <w:szCs w:val="22"/>
              <w:lang w:val="en-IN"/>
            </w:rPr>
          </w:pPr>
          <w:hyperlink w:anchor="_Toc235029556" w:history="1">
            <w:r w:rsidRPr="009D57FE">
              <w:rPr>
                <w:rStyle w:val="Hyperlink"/>
                <w:noProof/>
              </w:rPr>
              <w:t>Appendices</w:t>
            </w:r>
            <w:r>
              <w:rPr>
                <w:noProof/>
                <w:webHidden/>
              </w:rPr>
              <w:tab/>
            </w:r>
            <w:r>
              <w:rPr>
                <w:noProof/>
                <w:webHidden/>
              </w:rPr>
              <w:fldChar w:fldCharType="begin"/>
            </w:r>
            <w:r>
              <w:rPr>
                <w:noProof/>
                <w:webHidden/>
              </w:rPr>
              <w:instrText xml:space="preserve"> PAGEREF _Toc235029556 \h </w:instrText>
            </w:r>
            <w:r>
              <w:rPr>
                <w:noProof/>
                <w:webHidden/>
              </w:rPr>
            </w:r>
            <w:r>
              <w:rPr>
                <w:noProof/>
                <w:webHidden/>
              </w:rPr>
              <w:fldChar w:fldCharType="separate"/>
            </w:r>
            <w:r w:rsidR="00F4698C">
              <w:rPr>
                <w:noProof/>
                <w:webHidden/>
              </w:rPr>
              <w:t>45</w:t>
            </w:r>
            <w:r>
              <w:rPr>
                <w:noProof/>
                <w:webHidden/>
              </w:rPr>
              <w:fldChar w:fldCharType="end"/>
            </w:r>
          </w:hyperlink>
        </w:p>
        <w:p w14:paraId="585E8C57" w14:textId="48F9E8DC" w:rsidR="00EB5528" w:rsidRDefault="00EB5528">
          <w:pPr>
            <w:pStyle w:val="TOC2"/>
            <w:tabs>
              <w:tab w:val="right" w:pos="9350"/>
            </w:tabs>
            <w:rPr>
              <w:rFonts w:asciiTheme="minorHAnsi" w:eastAsiaTheme="minorEastAsia" w:hAnsiTheme="minorHAnsi" w:cstheme="minorBidi"/>
              <w:noProof/>
              <w:sz w:val="22"/>
              <w:szCs w:val="22"/>
              <w:lang w:val="en-IN"/>
            </w:rPr>
          </w:pPr>
          <w:hyperlink w:anchor="_Toc235029557" w:history="1">
            <w:r w:rsidRPr="009D57FE">
              <w:rPr>
                <w:rStyle w:val="Hyperlink"/>
                <w:noProof/>
              </w:rPr>
              <w:t>Appendix 1: Ratio Analysis</w:t>
            </w:r>
            <w:r>
              <w:rPr>
                <w:noProof/>
                <w:webHidden/>
              </w:rPr>
              <w:tab/>
            </w:r>
            <w:r>
              <w:rPr>
                <w:noProof/>
                <w:webHidden/>
              </w:rPr>
              <w:fldChar w:fldCharType="begin"/>
            </w:r>
            <w:r>
              <w:rPr>
                <w:noProof/>
                <w:webHidden/>
              </w:rPr>
              <w:instrText xml:space="preserve"> PAGEREF _Toc235029557 \h </w:instrText>
            </w:r>
            <w:r>
              <w:rPr>
                <w:noProof/>
                <w:webHidden/>
              </w:rPr>
            </w:r>
            <w:r>
              <w:rPr>
                <w:noProof/>
                <w:webHidden/>
              </w:rPr>
              <w:fldChar w:fldCharType="separate"/>
            </w:r>
            <w:r w:rsidR="00F4698C">
              <w:rPr>
                <w:noProof/>
                <w:webHidden/>
              </w:rPr>
              <w:t>45</w:t>
            </w:r>
            <w:r>
              <w:rPr>
                <w:noProof/>
                <w:webHidden/>
              </w:rPr>
              <w:fldChar w:fldCharType="end"/>
            </w:r>
          </w:hyperlink>
        </w:p>
        <w:p w14:paraId="3E3ADD0B" w14:textId="5F668DE2" w:rsidR="00EB5528" w:rsidRDefault="00EB5528">
          <w:pPr>
            <w:pStyle w:val="TOC2"/>
            <w:tabs>
              <w:tab w:val="right" w:pos="9350"/>
            </w:tabs>
            <w:rPr>
              <w:rFonts w:asciiTheme="minorHAnsi" w:eastAsiaTheme="minorEastAsia" w:hAnsiTheme="minorHAnsi" w:cstheme="minorBidi"/>
              <w:noProof/>
              <w:sz w:val="22"/>
              <w:szCs w:val="22"/>
              <w:lang w:val="en-IN"/>
            </w:rPr>
          </w:pPr>
          <w:hyperlink w:anchor="_Toc235029558" w:history="1">
            <w:r w:rsidRPr="009D57FE">
              <w:rPr>
                <w:rStyle w:val="Hyperlink"/>
                <w:noProof/>
              </w:rPr>
              <w:t>Appendix 2: Capital Rationing Analysis</w:t>
            </w:r>
            <w:r>
              <w:rPr>
                <w:noProof/>
                <w:webHidden/>
              </w:rPr>
              <w:tab/>
            </w:r>
            <w:r>
              <w:rPr>
                <w:noProof/>
                <w:webHidden/>
              </w:rPr>
              <w:fldChar w:fldCharType="begin"/>
            </w:r>
            <w:r>
              <w:rPr>
                <w:noProof/>
                <w:webHidden/>
              </w:rPr>
              <w:instrText xml:space="preserve"> PAGEREF _Toc235029558 \h </w:instrText>
            </w:r>
            <w:r>
              <w:rPr>
                <w:noProof/>
                <w:webHidden/>
              </w:rPr>
            </w:r>
            <w:r>
              <w:rPr>
                <w:noProof/>
                <w:webHidden/>
              </w:rPr>
              <w:fldChar w:fldCharType="separate"/>
            </w:r>
            <w:r w:rsidR="00F4698C">
              <w:rPr>
                <w:noProof/>
                <w:webHidden/>
              </w:rPr>
              <w:t>49</w:t>
            </w:r>
            <w:r>
              <w:rPr>
                <w:noProof/>
                <w:webHidden/>
              </w:rPr>
              <w:fldChar w:fldCharType="end"/>
            </w:r>
          </w:hyperlink>
        </w:p>
        <w:p w14:paraId="733EB700" w14:textId="08362004" w:rsidR="00EB5528" w:rsidRDefault="00EB5528">
          <w:pPr>
            <w:pStyle w:val="TOC2"/>
            <w:tabs>
              <w:tab w:val="right" w:pos="9350"/>
            </w:tabs>
            <w:rPr>
              <w:rFonts w:asciiTheme="minorHAnsi" w:eastAsiaTheme="minorEastAsia" w:hAnsiTheme="minorHAnsi" w:cstheme="minorBidi"/>
              <w:noProof/>
              <w:sz w:val="22"/>
              <w:szCs w:val="22"/>
              <w:lang w:val="en-IN"/>
            </w:rPr>
          </w:pPr>
          <w:hyperlink w:anchor="_Toc235029559" w:history="1">
            <w:r w:rsidRPr="009D57FE">
              <w:rPr>
                <w:rStyle w:val="Hyperlink"/>
                <w:noProof/>
              </w:rPr>
              <w:t>Appendix 3: : Income Statement of 2021 and 2022</w:t>
            </w:r>
            <w:r>
              <w:rPr>
                <w:noProof/>
                <w:webHidden/>
              </w:rPr>
              <w:tab/>
            </w:r>
            <w:r>
              <w:rPr>
                <w:noProof/>
                <w:webHidden/>
              </w:rPr>
              <w:fldChar w:fldCharType="begin"/>
            </w:r>
            <w:r>
              <w:rPr>
                <w:noProof/>
                <w:webHidden/>
              </w:rPr>
              <w:instrText xml:space="preserve"> PAGEREF _Toc235029559 \h </w:instrText>
            </w:r>
            <w:r>
              <w:rPr>
                <w:noProof/>
                <w:webHidden/>
              </w:rPr>
            </w:r>
            <w:r>
              <w:rPr>
                <w:noProof/>
                <w:webHidden/>
              </w:rPr>
              <w:fldChar w:fldCharType="separate"/>
            </w:r>
            <w:r w:rsidR="00F4698C">
              <w:rPr>
                <w:noProof/>
                <w:webHidden/>
              </w:rPr>
              <w:t>50</w:t>
            </w:r>
            <w:r>
              <w:rPr>
                <w:noProof/>
                <w:webHidden/>
              </w:rPr>
              <w:fldChar w:fldCharType="end"/>
            </w:r>
          </w:hyperlink>
        </w:p>
        <w:p w14:paraId="47FF6A32" w14:textId="40D2FB41" w:rsidR="00EB5528" w:rsidRDefault="00EB5528">
          <w:pPr>
            <w:pStyle w:val="TOC2"/>
            <w:tabs>
              <w:tab w:val="right" w:pos="9350"/>
            </w:tabs>
            <w:rPr>
              <w:rFonts w:asciiTheme="minorHAnsi" w:eastAsiaTheme="minorEastAsia" w:hAnsiTheme="minorHAnsi" w:cstheme="minorBidi"/>
              <w:noProof/>
              <w:sz w:val="22"/>
              <w:szCs w:val="22"/>
              <w:lang w:val="en-IN"/>
            </w:rPr>
          </w:pPr>
          <w:hyperlink w:anchor="_Toc235029560" w:history="1">
            <w:r w:rsidRPr="009D57FE">
              <w:rPr>
                <w:rStyle w:val="Hyperlink"/>
                <w:noProof/>
              </w:rPr>
              <w:t>Appendix 4: : Income Statement of 2023 and 2024</w:t>
            </w:r>
            <w:r>
              <w:rPr>
                <w:noProof/>
                <w:webHidden/>
              </w:rPr>
              <w:tab/>
            </w:r>
            <w:r>
              <w:rPr>
                <w:noProof/>
                <w:webHidden/>
              </w:rPr>
              <w:fldChar w:fldCharType="begin"/>
            </w:r>
            <w:r>
              <w:rPr>
                <w:noProof/>
                <w:webHidden/>
              </w:rPr>
              <w:instrText xml:space="preserve"> PAGEREF _Toc235029560 \h </w:instrText>
            </w:r>
            <w:r>
              <w:rPr>
                <w:noProof/>
                <w:webHidden/>
              </w:rPr>
            </w:r>
            <w:r>
              <w:rPr>
                <w:noProof/>
                <w:webHidden/>
              </w:rPr>
              <w:fldChar w:fldCharType="separate"/>
            </w:r>
            <w:r w:rsidR="00F4698C">
              <w:rPr>
                <w:noProof/>
                <w:webHidden/>
              </w:rPr>
              <w:t>51</w:t>
            </w:r>
            <w:r>
              <w:rPr>
                <w:noProof/>
                <w:webHidden/>
              </w:rPr>
              <w:fldChar w:fldCharType="end"/>
            </w:r>
          </w:hyperlink>
        </w:p>
        <w:p w14:paraId="2C99C8EC" w14:textId="69570B3D" w:rsidR="00EB5528" w:rsidRDefault="00EB5528">
          <w:pPr>
            <w:pStyle w:val="TOC2"/>
            <w:tabs>
              <w:tab w:val="right" w:pos="9350"/>
            </w:tabs>
            <w:rPr>
              <w:rFonts w:asciiTheme="minorHAnsi" w:eastAsiaTheme="minorEastAsia" w:hAnsiTheme="minorHAnsi" w:cstheme="minorBidi"/>
              <w:noProof/>
              <w:sz w:val="22"/>
              <w:szCs w:val="22"/>
              <w:lang w:val="en-IN"/>
            </w:rPr>
          </w:pPr>
          <w:hyperlink w:anchor="_Toc235029561" w:history="1">
            <w:r w:rsidRPr="009D57FE">
              <w:rPr>
                <w:rStyle w:val="Hyperlink"/>
                <w:noProof/>
              </w:rPr>
              <w:t>Appendix 5: Income Statement of 2025</w:t>
            </w:r>
            <w:r>
              <w:rPr>
                <w:noProof/>
                <w:webHidden/>
              </w:rPr>
              <w:tab/>
            </w:r>
            <w:r>
              <w:rPr>
                <w:noProof/>
                <w:webHidden/>
              </w:rPr>
              <w:fldChar w:fldCharType="begin"/>
            </w:r>
            <w:r>
              <w:rPr>
                <w:noProof/>
                <w:webHidden/>
              </w:rPr>
              <w:instrText xml:space="preserve"> PAGEREF _Toc235029561 \h </w:instrText>
            </w:r>
            <w:r>
              <w:rPr>
                <w:noProof/>
                <w:webHidden/>
              </w:rPr>
            </w:r>
            <w:r>
              <w:rPr>
                <w:noProof/>
                <w:webHidden/>
              </w:rPr>
              <w:fldChar w:fldCharType="separate"/>
            </w:r>
            <w:r w:rsidR="00F4698C">
              <w:rPr>
                <w:noProof/>
                <w:webHidden/>
              </w:rPr>
              <w:t>52</w:t>
            </w:r>
            <w:r>
              <w:rPr>
                <w:noProof/>
                <w:webHidden/>
              </w:rPr>
              <w:fldChar w:fldCharType="end"/>
            </w:r>
          </w:hyperlink>
        </w:p>
        <w:p w14:paraId="4F3513A4" w14:textId="22BDC786" w:rsidR="00E84532" w:rsidRDefault="00E90F46">
          <w:pPr>
            <w:widowControl w:val="0"/>
            <w:tabs>
              <w:tab w:val="right" w:pos="12000"/>
            </w:tabs>
            <w:spacing w:before="60" w:line="240" w:lineRule="auto"/>
            <w:ind w:left="360"/>
            <w:jc w:val="left"/>
            <w:rPr>
              <w:color w:val="000000"/>
            </w:rPr>
          </w:pPr>
          <w:r>
            <w:fldChar w:fldCharType="end"/>
          </w:r>
        </w:p>
      </w:sdtContent>
    </w:sdt>
    <w:p w14:paraId="4F3513A5" w14:textId="77777777" w:rsidR="00E84532" w:rsidRDefault="00E84532"/>
    <w:p w14:paraId="4F3513A6" w14:textId="77777777" w:rsidR="00E84532" w:rsidRDefault="00E84532">
      <w:pPr>
        <w:pStyle w:val="Heading1"/>
      </w:pPr>
      <w:bookmarkStart w:id="0" w:name="_1pnxnoaz4ccd" w:colFirst="0" w:colLast="0"/>
      <w:bookmarkEnd w:id="0"/>
    </w:p>
    <w:p w14:paraId="4F3513A7" w14:textId="77777777" w:rsidR="00E84532" w:rsidRDefault="00E90F46">
      <w:pPr>
        <w:pStyle w:val="Heading1"/>
      </w:pPr>
      <w:bookmarkStart w:id="1" w:name="_w9hbs26o5mh8" w:colFirst="0" w:colLast="0"/>
      <w:bookmarkEnd w:id="1"/>
      <w:r>
        <w:br w:type="page"/>
      </w:r>
    </w:p>
    <w:p w14:paraId="4F3513A8" w14:textId="77777777" w:rsidR="00E84532" w:rsidRDefault="00E90F46">
      <w:pPr>
        <w:pStyle w:val="Heading1"/>
      </w:pPr>
      <w:bookmarkStart w:id="2" w:name="_Toc235029497"/>
      <w:r>
        <w:lastRenderedPageBreak/>
        <w:t>1. Financial Health Check</w:t>
      </w:r>
      <w:bookmarkEnd w:id="2"/>
      <w:r>
        <w:t xml:space="preserve"> </w:t>
      </w:r>
    </w:p>
    <w:p w14:paraId="4F3513A9" w14:textId="77777777" w:rsidR="00E84532" w:rsidRDefault="00E90F46">
      <w:pPr>
        <w:pStyle w:val="Heading2"/>
      </w:pPr>
      <w:bookmarkStart w:id="3" w:name="_Toc235029498"/>
      <w:r>
        <w:t>1.1 Five-Year Financial Performance of Compass Group Plc</w:t>
      </w:r>
      <w:bookmarkEnd w:id="3"/>
    </w:p>
    <w:p w14:paraId="4F3513AA" w14:textId="77777777" w:rsidR="00E84532" w:rsidRDefault="00E90F46">
      <w:pPr>
        <w:pStyle w:val="Heading3"/>
      </w:pPr>
      <w:bookmarkStart w:id="4" w:name="_Toc235029499"/>
      <w:r>
        <w:t>1.1.1 Income statement analysis</w:t>
      </w:r>
      <w:bookmarkEnd w:id="4"/>
    </w:p>
    <w:p w14:paraId="4F3513AB" w14:textId="77777777" w:rsidR="00E84532" w:rsidRDefault="00E90F46">
      <w:pPr>
        <w:jc w:val="center"/>
      </w:pPr>
      <w:r>
        <w:rPr>
          <w:noProof/>
        </w:rPr>
        <w:drawing>
          <wp:inline distT="114300" distB="114300" distL="114300" distR="114300" wp14:anchorId="4F351734" wp14:editId="4F351735">
            <wp:extent cx="5943600" cy="2057400"/>
            <wp:effectExtent l="0" t="0" r="0" b="0"/>
            <wp:docPr id="27" name="image30.png"/>
            <wp:cNvGraphicFramePr/>
            <a:graphic xmlns:a="http://schemas.openxmlformats.org/drawingml/2006/main">
              <a:graphicData uri="http://schemas.openxmlformats.org/drawingml/2006/picture">
                <pic:pic xmlns:pic="http://schemas.openxmlformats.org/drawingml/2006/picture">
                  <pic:nvPicPr>
                    <pic:cNvPr id="0" name="image30.png"/>
                    <pic:cNvPicPr preferRelativeResize="0"/>
                  </pic:nvPicPr>
                  <pic:blipFill>
                    <a:blip r:embed="rId8"/>
                    <a:srcRect/>
                    <a:stretch>
                      <a:fillRect/>
                    </a:stretch>
                  </pic:blipFill>
                  <pic:spPr>
                    <a:xfrm>
                      <a:off x="0" y="0"/>
                      <a:ext cx="5943600" cy="2057400"/>
                    </a:xfrm>
                    <a:prstGeom prst="rect">
                      <a:avLst/>
                    </a:prstGeom>
                    <a:ln/>
                  </pic:spPr>
                </pic:pic>
              </a:graphicData>
            </a:graphic>
          </wp:inline>
        </w:drawing>
      </w:r>
    </w:p>
    <w:p w14:paraId="4F3513AC" w14:textId="77777777" w:rsidR="00E84532" w:rsidRDefault="00E90F46">
      <w:pPr>
        <w:jc w:val="center"/>
        <w:rPr>
          <w:b/>
          <w:bCs/>
        </w:rPr>
      </w:pPr>
      <w:r>
        <w:rPr>
          <w:b/>
          <w:bCs/>
        </w:rPr>
        <w:t xml:space="preserve"> Figure 1: Income statement of Compass Group </w:t>
      </w:r>
    </w:p>
    <w:p w14:paraId="4F3513AD" w14:textId="77777777" w:rsidR="00E84532" w:rsidRDefault="00E90F46">
      <w:pPr>
        <w:jc w:val="center"/>
      </w:pPr>
      <w:r>
        <w:t xml:space="preserve">(Source: Compass Group, 2025) </w:t>
      </w:r>
    </w:p>
    <w:p w14:paraId="4F3513AE" w14:textId="77777777" w:rsidR="00E84532" w:rsidRDefault="00E90F46">
      <w:r>
        <w:t xml:space="preserve">Compass Group in the competitive era showcases its statutory revenue in 2021 of about $24.8 billion, to a rise to $46.1 billion in 2025, with its growth rate 85.89% (Compass Group, 2025). Compass Group has raised its net income by $0.50B in 2021, with $1.84bn in 2025, as it is GAGR 268% (Compass Group, 2025). Although the company accesses significant growth in Europe and North America through regional food services providers. </w:t>
      </w:r>
    </w:p>
    <w:p w14:paraId="4F3513AF" w14:textId="77777777" w:rsidR="00E84532" w:rsidRDefault="00E90F46">
      <w:pPr>
        <w:pStyle w:val="Heading3"/>
      </w:pPr>
      <w:bookmarkStart w:id="5" w:name="_Toc235029500"/>
      <w:r>
        <w:t>1.1.2 Balance sheet analysis</w:t>
      </w:r>
      <w:bookmarkEnd w:id="5"/>
    </w:p>
    <w:p w14:paraId="4F3513B0" w14:textId="77777777" w:rsidR="00E84532" w:rsidRDefault="00E90F46">
      <w:r>
        <w:t xml:space="preserve">As per the financial performance, Compass Group has showcased growth in its inventory value by 156.5% from $327m in 2021 (Compass Group PLC, 2021). Improving supply chain operations has also increased the product quality of the organization. In addition, Compass Group has also achieved a higher borrowing value of $4383m in 2025 as compared to other financial years (Compass Group Plc, 2025). The availability of high external loans signifies global expansion of the </w:t>
      </w:r>
      <w:proofErr w:type="spellStart"/>
      <w:r>
        <w:t>organisation</w:t>
      </w:r>
      <w:proofErr w:type="spellEnd"/>
      <w:r>
        <w:t xml:space="preserve">. As an instance, Compass Group has collaborated with Mill Plc for providing dining infrastructure in office campuses and hospitals in 2026 (Mill, 2026). </w:t>
      </w:r>
    </w:p>
    <w:p w14:paraId="4F3513B1" w14:textId="77777777" w:rsidR="00E84532" w:rsidRDefault="00E90F46">
      <w:pPr>
        <w:pStyle w:val="Heading2"/>
      </w:pPr>
      <w:bookmarkStart w:id="6" w:name="_Toc235029501"/>
      <w:r>
        <w:lastRenderedPageBreak/>
        <w:t>1.2 Liquidity Ratios</w:t>
      </w:r>
      <w:bookmarkEnd w:id="6"/>
    </w:p>
    <w:p w14:paraId="4F3513B2" w14:textId="77777777" w:rsidR="00E84532" w:rsidRDefault="00E90F46">
      <w:r>
        <w:rPr>
          <w:noProof/>
        </w:rPr>
        <w:drawing>
          <wp:inline distT="114300" distB="114300" distL="114300" distR="114300" wp14:anchorId="4F351736" wp14:editId="4F351737">
            <wp:extent cx="5943600" cy="1079500"/>
            <wp:effectExtent l="0" t="0" r="0" b="0"/>
            <wp:docPr id="39"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9"/>
                    <a:srcRect/>
                    <a:stretch>
                      <a:fillRect/>
                    </a:stretch>
                  </pic:blipFill>
                  <pic:spPr>
                    <a:xfrm>
                      <a:off x="0" y="0"/>
                      <a:ext cx="5943600" cy="1079500"/>
                    </a:xfrm>
                    <a:prstGeom prst="rect">
                      <a:avLst/>
                    </a:prstGeom>
                    <a:ln/>
                  </pic:spPr>
                </pic:pic>
              </a:graphicData>
            </a:graphic>
          </wp:inline>
        </w:drawing>
      </w:r>
    </w:p>
    <w:p w14:paraId="4F3513B3" w14:textId="77777777" w:rsidR="00E84532" w:rsidRDefault="00E90F46">
      <w:pPr>
        <w:jc w:val="center"/>
      </w:pPr>
      <w:r>
        <w:rPr>
          <w:noProof/>
        </w:rPr>
        <w:drawing>
          <wp:inline distT="114300" distB="114300" distL="114300" distR="114300" wp14:anchorId="4F351738" wp14:editId="4F351739">
            <wp:extent cx="5005388" cy="3008045"/>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005388" cy="3008045"/>
                    </a:xfrm>
                    <a:prstGeom prst="rect">
                      <a:avLst/>
                    </a:prstGeom>
                    <a:ln/>
                  </pic:spPr>
                </pic:pic>
              </a:graphicData>
            </a:graphic>
          </wp:inline>
        </w:drawing>
      </w:r>
    </w:p>
    <w:p w14:paraId="4F3513B4" w14:textId="77777777" w:rsidR="00E84532" w:rsidRDefault="00E90F46">
      <w:pPr>
        <w:jc w:val="center"/>
        <w:rPr>
          <w:b/>
          <w:bCs/>
        </w:rPr>
      </w:pPr>
      <w:r>
        <w:rPr>
          <w:b/>
          <w:bCs/>
        </w:rPr>
        <w:t>Figure 2: Liquidity Ratios</w:t>
      </w:r>
    </w:p>
    <w:p w14:paraId="4F3513B5" w14:textId="77777777" w:rsidR="00E84532" w:rsidRDefault="00E90F46">
      <w:pPr>
        <w:jc w:val="center"/>
      </w:pPr>
      <w:r>
        <w:t>(Source: Compass Group PLC, 2021; Compass Group Plc, 2023; Compass Group Plc, 2025)</w:t>
      </w:r>
    </w:p>
    <w:p w14:paraId="4F3513B6" w14:textId="77777777" w:rsidR="00E84532" w:rsidRDefault="00E90F46">
      <w:pPr>
        <w:rPr>
          <w:b/>
          <w:bCs/>
        </w:rPr>
      </w:pPr>
      <w:r>
        <w:rPr>
          <w:b/>
          <w:bCs/>
        </w:rPr>
        <w:t>Trend Analysis</w:t>
      </w:r>
    </w:p>
    <w:p w14:paraId="4F3513B7" w14:textId="77777777" w:rsidR="00E84532" w:rsidRDefault="00E90F46">
      <w:r>
        <w:t xml:space="preserve">Compass Group has achieved a downtrend in its quick ratios “(Current Assets - Inventory) ÷ Current Liabilities” by 27.7% due to high inventory cost in 2025 (Compass Group Plc, 2025). The decline in the supply chain efficiency has also reduced the product popularity of the </w:t>
      </w:r>
      <w:proofErr w:type="spellStart"/>
      <w:r>
        <w:t>organisation</w:t>
      </w:r>
      <w:proofErr w:type="spellEnd"/>
      <w:r>
        <w:t xml:space="preserve"> among customers. As an example, the management fees of Compass Group have increased by 2% due to the rise in raw material price in 2025 (Investing News, 2026). In addition, the </w:t>
      </w:r>
      <w:proofErr w:type="spellStart"/>
      <w:r>
        <w:t>organisation</w:t>
      </w:r>
      <w:proofErr w:type="spellEnd"/>
      <w:r>
        <w:t xml:space="preserve"> has also reduced its cash ratios “(Cash ÷ Current Liability)” to 0.05 due to the lowering of business investments within the company. The performance of the restaurant has also declined in its current ratios “Current Assets ÷ Current Liability” to 0.73 due to sales of assets in 2025. </w:t>
      </w:r>
    </w:p>
    <w:p w14:paraId="4F3513B8" w14:textId="77777777" w:rsidR="00E84532" w:rsidRDefault="00E90F46">
      <w:pPr>
        <w:rPr>
          <w:b/>
          <w:bCs/>
        </w:rPr>
      </w:pPr>
      <w:r>
        <w:rPr>
          <w:b/>
          <w:bCs/>
        </w:rPr>
        <w:t>Opportunity</w:t>
      </w:r>
    </w:p>
    <w:p w14:paraId="4F3513B9" w14:textId="77777777" w:rsidR="00E84532" w:rsidRDefault="00E90F46">
      <w:r>
        <w:lastRenderedPageBreak/>
        <w:t xml:space="preserve">The availability of high supply chain cost also signifies the increase in demand for products manufactured by the </w:t>
      </w:r>
      <w:proofErr w:type="spellStart"/>
      <w:r>
        <w:t>organisation</w:t>
      </w:r>
      <w:proofErr w:type="spellEnd"/>
      <w:r>
        <w:t>.</w:t>
      </w:r>
    </w:p>
    <w:p w14:paraId="4F3513BA" w14:textId="77777777" w:rsidR="00E84532" w:rsidRDefault="00E90F46">
      <w:pPr>
        <w:rPr>
          <w:b/>
          <w:bCs/>
        </w:rPr>
      </w:pPr>
      <w:r>
        <w:rPr>
          <w:b/>
          <w:bCs/>
        </w:rPr>
        <w:t>Threat</w:t>
      </w:r>
      <w:r>
        <w:rPr>
          <w:b/>
          <w:bCs/>
        </w:rPr>
        <w:tab/>
      </w:r>
    </w:p>
    <w:p w14:paraId="4F3513BB" w14:textId="77777777" w:rsidR="00E84532" w:rsidRDefault="00E90F46">
      <w:r>
        <w:t>The lowering of the current asset and cash value has also hampered the working capital requirement of Compass Group.</w:t>
      </w:r>
    </w:p>
    <w:p w14:paraId="4F3513BC" w14:textId="77777777" w:rsidR="00E84532" w:rsidRDefault="00E90F46">
      <w:pPr>
        <w:pStyle w:val="Heading2"/>
      </w:pPr>
      <w:bookmarkStart w:id="7" w:name="_Toc235029502"/>
      <w:r>
        <w:t>1.3 Efficiency Ratios</w:t>
      </w:r>
      <w:bookmarkEnd w:id="7"/>
    </w:p>
    <w:p w14:paraId="4F3513BD" w14:textId="77777777" w:rsidR="00E84532" w:rsidRDefault="00E90F46">
      <w:r>
        <w:rPr>
          <w:noProof/>
        </w:rPr>
        <w:drawing>
          <wp:inline distT="114300" distB="114300" distL="114300" distR="114300" wp14:anchorId="4F35173A" wp14:editId="4F35173B">
            <wp:extent cx="5943600" cy="2032000"/>
            <wp:effectExtent l="0" t="0" r="0" b="0"/>
            <wp:docPr id="20" name="image38.png"/>
            <wp:cNvGraphicFramePr/>
            <a:graphic xmlns:a="http://schemas.openxmlformats.org/drawingml/2006/main">
              <a:graphicData uri="http://schemas.openxmlformats.org/drawingml/2006/picture">
                <pic:pic xmlns:pic="http://schemas.openxmlformats.org/drawingml/2006/picture">
                  <pic:nvPicPr>
                    <pic:cNvPr id="0" name="image38.png"/>
                    <pic:cNvPicPr preferRelativeResize="0"/>
                  </pic:nvPicPr>
                  <pic:blipFill>
                    <a:blip r:embed="rId11"/>
                    <a:srcRect/>
                    <a:stretch>
                      <a:fillRect/>
                    </a:stretch>
                  </pic:blipFill>
                  <pic:spPr>
                    <a:xfrm>
                      <a:off x="0" y="0"/>
                      <a:ext cx="5943600" cy="2032000"/>
                    </a:xfrm>
                    <a:prstGeom prst="rect">
                      <a:avLst/>
                    </a:prstGeom>
                    <a:ln/>
                  </pic:spPr>
                </pic:pic>
              </a:graphicData>
            </a:graphic>
          </wp:inline>
        </w:drawing>
      </w:r>
    </w:p>
    <w:p w14:paraId="4F3513BE" w14:textId="77777777" w:rsidR="00E84532" w:rsidRDefault="00E90F46">
      <w:pPr>
        <w:jc w:val="center"/>
      </w:pPr>
      <w:r>
        <w:rPr>
          <w:noProof/>
        </w:rPr>
        <w:drawing>
          <wp:inline distT="114300" distB="114300" distL="114300" distR="114300" wp14:anchorId="4F35173C" wp14:editId="4F35173D">
            <wp:extent cx="4681538" cy="2813424"/>
            <wp:effectExtent l="0" t="0" r="0" b="0"/>
            <wp:docPr id="29"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12"/>
                    <a:srcRect/>
                    <a:stretch>
                      <a:fillRect/>
                    </a:stretch>
                  </pic:blipFill>
                  <pic:spPr>
                    <a:xfrm>
                      <a:off x="0" y="0"/>
                      <a:ext cx="4681538" cy="2813424"/>
                    </a:xfrm>
                    <a:prstGeom prst="rect">
                      <a:avLst/>
                    </a:prstGeom>
                    <a:ln/>
                  </pic:spPr>
                </pic:pic>
              </a:graphicData>
            </a:graphic>
          </wp:inline>
        </w:drawing>
      </w:r>
    </w:p>
    <w:p w14:paraId="4F3513BF" w14:textId="77777777" w:rsidR="00E84532" w:rsidRDefault="00E90F46">
      <w:pPr>
        <w:jc w:val="center"/>
        <w:rPr>
          <w:b/>
          <w:bCs/>
        </w:rPr>
      </w:pPr>
      <w:r>
        <w:rPr>
          <w:b/>
          <w:bCs/>
        </w:rPr>
        <w:t>Figure 3: Efficiency Ratios</w:t>
      </w:r>
    </w:p>
    <w:p w14:paraId="4F3513C0" w14:textId="77777777" w:rsidR="00E84532" w:rsidRDefault="00E90F46">
      <w:pPr>
        <w:jc w:val="center"/>
      </w:pPr>
      <w:r>
        <w:t>(Source: Compass Group PLC, 2021; Compass Group Plc, 2023; Compass Group Plc, 2025)</w:t>
      </w:r>
    </w:p>
    <w:p w14:paraId="4F3513C1" w14:textId="77777777" w:rsidR="00E84532" w:rsidRDefault="00E90F46">
      <w:pPr>
        <w:rPr>
          <w:b/>
          <w:bCs/>
        </w:rPr>
      </w:pPr>
      <w:r>
        <w:rPr>
          <w:b/>
          <w:bCs/>
        </w:rPr>
        <w:t>Trend Analysis</w:t>
      </w:r>
    </w:p>
    <w:p w14:paraId="4F3513C2" w14:textId="77777777" w:rsidR="00E84532" w:rsidRDefault="00E90F46">
      <w:r>
        <w:t>Efficiency ratio has its ability to manage business through utilization of resources and assets to generate revenue (</w:t>
      </w:r>
      <w:proofErr w:type="spellStart"/>
      <w:r>
        <w:t>Alarussi</w:t>
      </w:r>
      <w:proofErr w:type="spellEnd"/>
      <w:r>
        <w:t xml:space="preserve">, 2021). Inventory turnover days is determined </w:t>
      </w:r>
      <w:r>
        <w:lastRenderedPageBreak/>
        <w:t xml:space="preserve">through “(Average Inventory ÷ Cost of Sales × 365)” which increases 40% leading to an improvement in cash flow. Compass Group manages its “Revolving Credit Facility” about £1,309m which will be achieved by 2027 and $3,200m by 2030 (Compass Group, 2025). Receivable turnover day is determined through “Average Trade Receivables ÷ Cost of Sales × 365” decreased 5.88% due to aggressive collection of cash and strict credit policies. Compass Group showcases its FCF about $1,975 million which increased by about 13.5% due to the offering of high-quality “dining services” (Compass Group, 2025). Payable turnover day is determined through "(Average Trade Payables ÷ Cost of Sales × 365)" decreased 12.35%, leading to missing business investment. </w:t>
      </w:r>
    </w:p>
    <w:p w14:paraId="4F3513C3" w14:textId="77777777" w:rsidR="00E84532" w:rsidRDefault="00E90F46">
      <w:pPr>
        <w:rPr>
          <w:b/>
          <w:bCs/>
        </w:rPr>
      </w:pPr>
      <w:r>
        <w:rPr>
          <w:b/>
          <w:bCs/>
        </w:rPr>
        <w:t>Opportunity</w:t>
      </w:r>
    </w:p>
    <w:p w14:paraId="4F3513C4" w14:textId="77777777" w:rsidR="00E84532" w:rsidRDefault="00E90F46">
      <w:r>
        <w:t xml:space="preserve">Compass Group converts its cash through significant acquisitions and improvement in business growth through popularity of “dining services”. </w:t>
      </w:r>
    </w:p>
    <w:p w14:paraId="4F3513C5" w14:textId="77777777" w:rsidR="00E84532" w:rsidRDefault="00E90F46">
      <w:pPr>
        <w:rPr>
          <w:b/>
          <w:bCs/>
        </w:rPr>
      </w:pPr>
      <w:r>
        <w:rPr>
          <w:b/>
          <w:bCs/>
        </w:rPr>
        <w:t>Threat</w:t>
      </w:r>
    </w:p>
    <w:p w14:paraId="4F3513C6" w14:textId="77777777" w:rsidR="00E84532" w:rsidRDefault="00E90F46">
      <w:r>
        <w:t xml:space="preserve">Compass Group was affected due to inflation which led to reduced overall spending in profit margin. </w:t>
      </w:r>
      <w:r>
        <w:tab/>
      </w:r>
    </w:p>
    <w:p w14:paraId="4F3513C7" w14:textId="77777777" w:rsidR="00E84532" w:rsidRDefault="00E90F46">
      <w:pPr>
        <w:pStyle w:val="Heading2"/>
      </w:pPr>
      <w:bookmarkStart w:id="8" w:name="_Toc235029503"/>
      <w:r>
        <w:t>1.4 Profitability Ratios</w:t>
      </w:r>
      <w:bookmarkEnd w:id="8"/>
    </w:p>
    <w:p w14:paraId="4F3513C8" w14:textId="77777777" w:rsidR="00E84532" w:rsidRDefault="00E90F46">
      <w:r>
        <w:rPr>
          <w:noProof/>
        </w:rPr>
        <w:drawing>
          <wp:inline distT="114300" distB="114300" distL="114300" distR="114300" wp14:anchorId="4F35173E" wp14:editId="4F35173F">
            <wp:extent cx="5943600" cy="1333500"/>
            <wp:effectExtent l="0" t="0" r="0" b="0"/>
            <wp:docPr id="12"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3"/>
                    <a:srcRect/>
                    <a:stretch>
                      <a:fillRect/>
                    </a:stretch>
                  </pic:blipFill>
                  <pic:spPr>
                    <a:xfrm>
                      <a:off x="0" y="0"/>
                      <a:ext cx="5943600" cy="1333500"/>
                    </a:xfrm>
                    <a:prstGeom prst="rect">
                      <a:avLst/>
                    </a:prstGeom>
                    <a:ln/>
                  </pic:spPr>
                </pic:pic>
              </a:graphicData>
            </a:graphic>
          </wp:inline>
        </w:drawing>
      </w:r>
    </w:p>
    <w:p w14:paraId="4F3513C9" w14:textId="77777777" w:rsidR="00E84532" w:rsidRDefault="00E90F46">
      <w:pPr>
        <w:jc w:val="center"/>
      </w:pPr>
      <w:r>
        <w:rPr>
          <w:noProof/>
        </w:rPr>
        <w:lastRenderedPageBreak/>
        <w:drawing>
          <wp:inline distT="114300" distB="114300" distL="114300" distR="114300" wp14:anchorId="4F351740" wp14:editId="4F351741">
            <wp:extent cx="5005388" cy="3008045"/>
            <wp:effectExtent l="0" t="0" r="0" b="0"/>
            <wp:docPr id="40" name="image46.png"/>
            <wp:cNvGraphicFramePr/>
            <a:graphic xmlns:a="http://schemas.openxmlformats.org/drawingml/2006/main">
              <a:graphicData uri="http://schemas.openxmlformats.org/drawingml/2006/picture">
                <pic:pic xmlns:pic="http://schemas.openxmlformats.org/drawingml/2006/picture">
                  <pic:nvPicPr>
                    <pic:cNvPr id="0" name="image46.png"/>
                    <pic:cNvPicPr preferRelativeResize="0"/>
                  </pic:nvPicPr>
                  <pic:blipFill>
                    <a:blip r:embed="rId14"/>
                    <a:srcRect/>
                    <a:stretch>
                      <a:fillRect/>
                    </a:stretch>
                  </pic:blipFill>
                  <pic:spPr>
                    <a:xfrm>
                      <a:off x="0" y="0"/>
                      <a:ext cx="5005388" cy="3008045"/>
                    </a:xfrm>
                    <a:prstGeom prst="rect">
                      <a:avLst/>
                    </a:prstGeom>
                    <a:ln/>
                  </pic:spPr>
                </pic:pic>
              </a:graphicData>
            </a:graphic>
          </wp:inline>
        </w:drawing>
      </w:r>
    </w:p>
    <w:p w14:paraId="4F3513CA" w14:textId="77777777" w:rsidR="00E84532" w:rsidRDefault="00E90F46">
      <w:pPr>
        <w:jc w:val="center"/>
        <w:rPr>
          <w:b/>
          <w:bCs/>
        </w:rPr>
      </w:pPr>
      <w:r>
        <w:rPr>
          <w:b/>
          <w:bCs/>
        </w:rPr>
        <w:t>Figure 4: Profitability Ratios</w:t>
      </w:r>
    </w:p>
    <w:p w14:paraId="4F3513CB" w14:textId="77777777" w:rsidR="00E84532" w:rsidRDefault="00E90F46">
      <w:pPr>
        <w:jc w:val="center"/>
      </w:pPr>
      <w:r>
        <w:t>(Source: Compass Group PLC, 2021; Compass Group Plc, 2023; Compass Group Plc, 2025)</w:t>
      </w:r>
    </w:p>
    <w:p w14:paraId="4F3513CC" w14:textId="77777777" w:rsidR="00E84532" w:rsidRDefault="00E90F46">
      <w:pPr>
        <w:rPr>
          <w:b/>
          <w:bCs/>
        </w:rPr>
      </w:pPr>
      <w:r>
        <w:rPr>
          <w:b/>
          <w:bCs/>
        </w:rPr>
        <w:t>Trend Analysis</w:t>
      </w:r>
    </w:p>
    <w:p w14:paraId="4F3513CD" w14:textId="77777777" w:rsidR="00E84532" w:rsidRDefault="00E90F46">
      <w:r>
        <w:rPr>
          <w:rFonts w:ascii="Arial Unicode MS" w:eastAsia="Arial Unicode MS" w:hAnsi="Arial Unicode MS" w:cs="Arial Unicode MS"/>
        </w:rPr>
        <w:t xml:space="preserve">In the current era, the </w:t>
      </w:r>
      <w:proofErr w:type="spellStart"/>
      <w:r>
        <w:rPr>
          <w:rFonts w:ascii="Arial Unicode MS" w:eastAsia="Arial Unicode MS" w:hAnsi="Arial Unicode MS" w:cs="Arial Unicode MS"/>
        </w:rPr>
        <w:t>organisations</w:t>
      </w:r>
      <w:proofErr w:type="spellEnd"/>
      <w:r>
        <w:rPr>
          <w:rFonts w:ascii="Arial Unicode MS" w:eastAsia="Arial Unicode MS" w:hAnsi="Arial Unicode MS" w:cs="Arial Unicode MS"/>
        </w:rPr>
        <w:t xml:space="preserve"> have utilized profitability ratios for developing a proper understanding regarding its financial efficiency. Compass Group has consistently improved its net margin “(Net Profit ÷ Revenue) × 100” to 4.08% due to higher product demand in 2025. The enhancement in the income has also strengthened the expansion capacity of the </w:t>
      </w:r>
      <w:proofErr w:type="spellStart"/>
      <w:r>
        <w:rPr>
          <w:rFonts w:ascii="Arial Unicode MS" w:eastAsia="Arial Unicode MS" w:hAnsi="Arial Unicode MS" w:cs="Arial Unicode MS"/>
        </w:rPr>
        <w:t>organisation</w:t>
      </w:r>
      <w:proofErr w:type="spellEnd"/>
      <w:r>
        <w:rPr>
          <w:rFonts w:ascii="Arial Unicode MS" w:eastAsia="Arial Unicode MS" w:hAnsi="Arial Unicode MS" w:cs="Arial Unicode MS"/>
        </w:rPr>
        <w:t xml:space="preserve">. For instance, Compass Group has increased its sales value to $4.1bn from its “first time clients” in 2025 (Compass Group, 2026). In addition, the company has also observed growth in its ROE value “Net Profit ÷ Shareholders' Equity) × 100” to 24.23%, signifying high business investments in 2025. The </w:t>
      </w:r>
      <w:proofErr w:type="spellStart"/>
      <w:r>
        <w:rPr>
          <w:rFonts w:ascii="Arial Unicode MS" w:eastAsia="Arial Unicode MS" w:hAnsi="Arial Unicode MS" w:cs="Arial Unicode MS"/>
        </w:rPr>
        <w:t>organisation</w:t>
      </w:r>
      <w:proofErr w:type="spellEnd"/>
      <w:r>
        <w:rPr>
          <w:rFonts w:ascii="Arial Unicode MS" w:eastAsia="Arial Unicode MS" w:hAnsi="Arial Unicode MS" w:cs="Arial Unicode MS"/>
        </w:rPr>
        <w:t xml:space="preserve"> has also strengthened its ROCE “Operating Profit ÷ (Total Assets − Current Liabilities) × 100” by 18.47% due to enhancement in its operating income in 2025. </w:t>
      </w:r>
    </w:p>
    <w:p w14:paraId="4F3513CE" w14:textId="77777777" w:rsidR="00E84532" w:rsidRDefault="00E90F46">
      <w:pPr>
        <w:rPr>
          <w:b/>
          <w:bCs/>
        </w:rPr>
      </w:pPr>
      <w:r>
        <w:rPr>
          <w:b/>
          <w:bCs/>
        </w:rPr>
        <w:lastRenderedPageBreak/>
        <w:t>Opportunity</w:t>
      </w:r>
    </w:p>
    <w:p w14:paraId="4F3513CF" w14:textId="77777777" w:rsidR="00E84532" w:rsidRDefault="00E90F46">
      <w:r>
        <w:t>The improvement in the net income has strengthened the market position of Compass Group Plc.</w:t>
      </w:r>
    </w:p>
    <w:p w14:paraId="4F3513D0" w14:textId="77777777" w:rsidR="00E84532" w:rsidRDefault="00E90F46">
      <w:pPr>
        <w:rPr>
          <w:b/>
          <w:bCs/>
        </w:rPr>
      </w:pPr>
      <w:r>
        <w:rPr>
          <w:b/>
          <w:bCs/>
        </w:rPr>
        <w:t>Threat</w:t>
      </w:r>
    </w:p>
    <w:p w14:paraId="4F3513D1" w14:textId="77777777" w:rsidR="00E84532" w:rsidRDefault="00E90F46">
      <w:r>
        <w:t>The downtrend observed in the ROCE value has hampered the internal capital resources of the company.</w:t>
      </w:r>
    </w:p>
    <w:p w14:paraId="4F3513D2" w14:textId="77777777" w:rsidR="00E84532" w:rsidRDefault="00E90F46">
      <w:pPr>
        <w:pStyle w:val="Heading2"/>
      </w:pPr>
      <w:bookmarkStart w:id="9" w:name="_Toc235029504"/>
      <w:r>
        <w:t>1.5 Gearing Ratios</w:t>
      </w:r>
      <w:bookmarkEnd w:id="9"/>
    </w:p>
    <w:p w14:paraId="4F3513D3" w14:textId="77777777" w:rsidR="00E84532" w:rsidRDefault="00E90F46">
      <w:r>
        <w:rPr>
          <w:noProof/>
        </w:rPr>
        <w:drawing>
          <wp:inline distT="114300" distB="114300" distL="114300" distR="114300" wp14:anchorId="4F351742" wp14:editId="4F351743">
            <wp:extent cx="5943600" cy="1358900"/>
            <wp:effectExtent l="0" t="0" r="0" b="0"/>
            <wp:docPr id="5"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5"/>
                    <a:srcRect/>
                    <a:stretch>
                      <a:fillRect/>
                    </a:stretch>
                  </pic:blipFill>
                  <pic:spPr>
                    <a:xfrm>
                      <a:off x="0" y="0"/>
                      <a:ext cx="5943600" cy="1358900"/>
                    </a:xfrm>
                    <a:prstGeom prst="rect">
                      <a:avLst/>
                    </a:prstGeom>
                    <a:ln/>
                  </pic:spPr>
                </pic:pic>
              </a:graphicData>
            </a:graphic>
          </wp:inline>
        </w:drawing>
      </w:r>
    </w:p>
    <w:p w14:paraId="4F3513D4" w14:textId="77777777" w:rsidR="00E84532" w:rsidRDefault="00E90F46">
      <w:pPr>
        <w:jc w:val="center"/>
      </w:pPr>
      <w:r>
        <w:rPr>
          <w:noProof/>
        </w:rPr>
        <w:drawing>
          <wp:inline distT="114300" distB="114300" distL="114300" distR="114300" wp14:anchorId="4F351744" wp14:editId="4F351745">
            <wp:extent cx="4481513" cy="2693217"/>
            <wp:effectExtent l="0" t="0" r="0" b="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6"/>
                    <a:srcRect/>
                    <a:stretch>
                      <a:fillRect/>
                    </a:stretch>
                  </pic:blipFill>
                  <pic:spPr>
                    <a:xfrm>
                      <a:off x="0" y="0"/>
                      <a:ext cx="4481513" cy="2693217"/>
                    </a:xfrm>
                    <a:prstGeom prst="rect">
                      <a:avLst/>
                    </a:prstGeom>
                    <a:ln/>
                  </pic:spPr>
                </pic:pic>
              </a:graphicData>
            </a:graphic>
          </wp:inline>
        </w:drawing>
      </w:r>
    </w:p>
    <w:p w14:paraId="4F3513D5" w14:textId="77777777" w:rsidR="00E84532" w:rsidRDefault="00E90F46">
      <w:pPr>
        <w:jc w:val="center"/>
        <w:rPr>
          <w:b/>
          <w:bCs/>
        </w:rPr>
      </w:pPr>
      <w:r>
        <w:rPr>
          <w:b/>
          <w:bCs/>
        </w:rPr>
        <w:t>Figure 5: Gearing Ratios</w:t>
      </w:r>
    </w:p>
    <w:p w14:paraId="4F3513D6" w14:textId="77777777" w:rsidR="00E84532" w:rsidRDefault="00E90F46">
      <w:pPr>
        <w:jc w:val="center"/>
      </w:pPr>
      <w:r>
        <w:t>(Source: Compass Group PLC, 2021; Compass Group Plc, 2023; Compass Group Plc, 2025)</w:t>
      </w:r>
    </w:p>
    <w:p w14:paraId="4F3513D7" w14:textId="77777777" w:rsidR="00E84532" w:rsidRDefault="00E90F46">
      <w:pPr>
        <w:rPr>
          <w:b/>
          <w:bCs/>
        </w:rPr>
      </w:pPr>
      <w:r>
        <w:rPr>
          <w:b/>
          <w:bCs/>
        </w:rPr>
        <w:t>Trend Analysis</w:t>
      </w:r>
    </w:p>
    <w:p w14:paraId="4F3513D8" w14:textId="77777777" w:rsidR="00E84532" w:rsidRDefault="00E90F46">
      <w:r>
        <w:t xml:space="preserve">Gearing Ratios have the ability to measure the debt of the company through borrowing funds, leading to economic downturn. D/E ratio is determined through “(Total Liabilities ÷ Total Equity)” an increase of 20.79% leads to an accumulated loss through buybacks. Interest coverage rate is determined through “(Operating Profit ÷ Interest Expense)” </w:t>
      </w:r>
      <w:r>
        <w:lastRenderedPageBreak/>
        <w:t xml:space="preserve">increases 123.07%. The company repurchases its 3,224,030 shares with a reliable cost of about $107 million (Compass Group, 2025). The repurchasing of the shares has been addressed through significant acquisition and buyback initiatives, which enhance the rise of capital expenditure. D/C ratio is determined through “Total debt ÷ (Total Debt + Shareholder capital)” increases 300% due to the strain on its cash flow through reliable capital adjustment. </w:t>
      </w:r>
    </w:p>
    <w:p w14:paraId="4F3513D9" w14:textId="77777777" w:rsidR="00E84532" w:rsidRDefault="00E90F46">
      <w:pPr>
        <w:rPr>
          <w:b/>
          <w:bCs/>
        </w:rPr>
      </w:pPr>
      <w:r>
        <w:rPr>
          <w:b/>
          <w:bCs/>
        </w:rPr>
        <w:t>Opportunity</w:t>
      </w:r>
    </w:p>
    <w:p w14:paraId="4F3513DA" w14:textId="77777777" w:rsidR="00E84532" w:rsidRDefault="00E90F46">
      <w:r>
        <w:t xml:space="preserve">Compass Group Plc showcases its significant growth through “regional purchases” that lead to significant expansion of M&amp;A. </w:t>
      </w:r>
    </w:p>
    <w:p w14:paraId="4F3513DB" w14:textId="77777777" w:rsidR="00E84532" w:rsidRDefault="00E90F46">
      <w:pPr>
        <w:rPr>
          <w:b/>
          <w:bCs/>
        </w:rPr>
      </w:pPr>
      <w:r>
        <w:rPr>
          <w:b/>
          <w:bCs/>
        </w:rPr>
        <w:t>Threat</w:t>
      </w:r>
    </w:p>
    <w:p w14:paraId="4F3513DC" w14:textId="77777777" w:rsidR="00E84532" w:rsidRDefault="00E90F46">
      <w:r>
        <w:t>Compass Group Plc reduces its overall spending by ability to cut food waste and enhancing sustainability.</w:t>
      </w:r>
    </w:p>
    <w:p w14:paraId="4F3513DD" w14:textId="77777777" w:rsidR="00E84532" w:rsidRDefault="00E90F46">
      <w:pPr>
        <w:pStyle w:val="Heading2"/>
      </w:pPr>
      <w:bookmarkStart w:id="10" w:name="_Toc235029505"/>
      <w:r>
        <w:t>1.6 Investment Ratios</w:t>
      </w:r>
      <w:bookmarkEnd w:id="10"/>
    </w:p>
    <w:p w14:paraId="4F3513DE" w14:textId="77777777" w:rsidR="00E84532" w:rsidRDefault="00E90F46">
      <w:r>
        <w:rPr>
          <w:noProof/>
        </w:rPr>
        <w:drawing>
          <wp:inline distT="114300" distB="114300" distL="114300" distR="114300" wp14:anchorId="4F351746" wp14:editId="4F351747">
            <wp:extent cx="5943600" cy="558800"/>
            <wp:effectExtent l="0" t="0" r="0" b="0"/>
            <wp:docPr id="26"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7"/>
                    <a:srcRect/>
                    <a:stretch>
                      <a:fillRect/>
                    </a:stretch>
                  </pic:blipFill>
                  <pic:spPr>
                    <a:xfrm>
                      <a:off x="0" y="0"/>
                      <a:ext cx="5943600" cy="558800"/>
                    </a:xfrm>
                    <a:prstGeom prst="rect">
                      <a:avLst/>
                    </a:prstGeom>
                    <a:ln/>
                  </pic:spPr>
                </pic:pic>
              </a:graphicData>
            </a:graphic>
          </wp:inline>
        </w:drawing>
      </w:r>
    </w:p>
    <w:p w14:paraId="4F3513DF" w14:textId="77777777" w:rsidR="00E84532" w:rsidRDefault="00E90F46">
      <w:pPr>
        <w:jc w:val="center"/>
      </w:pPr>
      <w:r>
        <w:rPr>
          <w:noProof/>
        </w:rPr>
        <w:drawing>
          <wp:inline distT="114300" distB="114300" distL="114300" distR="114300" wp14:anchorId="4F351748" wp14:editId="4F351749">
            <wp:extent cx="4043363" cy="2429905"/>
            <wp:effectExtent l="0" t="0" r="0" b="0"/>
            <wp:docPr id="21"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18"/>
                    <a:srcRect/>
                    <a:stretch>
                      <a:fillRect/>
                    </a:stretch>
                  </pic:blipFill>
                  <pic:spPr>
                    <a:xfrm>
                      <a:off x="0" y="0"/>
                      <a:ext cx="4043363" cy="2429905"/>
                    </a:xfrm>
                    <a:prstGeom prst="rect">
                      <a:avLst/>
                    </a:prstGeom>
                    <a:ln/>
                  </pic:spPr>
                </pic:pic>
              </a:graphicData>
            </a:graphic>
          </wp:inline>
        </w:drawing>
      </w:r>
    </w:p>
    <w:p w14:paraId="4F3513E0" w14:textId="77777777" w:rsidR="00E84532" w:rsidRDefault="00E90F46">
      <w:pPr>
        <w:jc w:val="center"/>
        <w:rPr>
          <w:b/>
          <w:bCs/>
        </w:rPr>
      </w:pPr>
      <w:r>
        <w:rPr>
          <w:b/>
          <w:bCs/>
        </w:rPr>
        <w:t>Figure 6: Investment Ratios</w:t>
      </w:r>
    </w:p>
    <w:p w14:paraId="4F3513E1" w14:textId="77777777" w:rsidR="00E84532" w:rsidRDefault="00E90F46">
      <w:pPr>
        <w:jc w:val="center"/>
      </w:pPr>
      <w:r>
        <w:t>(Source: Compass Group PLC, 2021; Compass Group Plc, 2023; Compass Group Plc, 2025)</w:t>
      </w:r>
    </w:p>
    <w:p w14:paraId="4F3513E2" w14:textId="77777777" w:rsidR="00E84532" w:rsidRDefault="00E90F46">
      <w:pPr>
        <w:rPr>
          <w:b/>
          <w:bCs/>
        </w:rPr>
      </w:pPr>
      <w:r>
        <w:rPr>
          <w:b/>
          <w:bCs/>
        </w:rPr>
        <w:t>Trend Analysis</w:t>
      </w:r>
    </w:p>
    <w:p w14:paraId="4F3513E3" w14:textId="5F788A73" w:rsidR="00E84532" w:rsidRDefault="00E90F46">
      <w:r>
        <w:t xml:space="preserve">The Investment Ratios reveal the financial health by the ability to evaluate market value. The selling of shares affects the overall profitability of the business. The “EPS” is </w:t>
      </w:r>
      <w:r>
        <w:lastRenderedPageBreak/>
        <w:t>determined through “(Net Income ÷ Outstanding Shares)” which increases about 455% due to reliable increases in net income. Compass Group streamlines operational improvement with its profit margin 12%, addressed through constant changes in currency (Compass Group, 2025). The company invested $107m for share buyback with a growth rate of 80.8% and paid a dividend of $1,047m in 2025 (Compass Group, 2025). Compass Group was acquired by the Dutch food operator “Vermaat Gro</w:t>
      </w:r>
      <w:r w:rsidR="00C44CEA">
        <w:t>u</w:t>
      </w:r>
      <w:r>
        <w:t xml:space="preserve">p” to raise its enterprise value to about €1.5 billion (Compass Group, 2025). </w:t>
      </w:r>
    </w:p>
    <w:p w14:paraId="4F3513E4" w14:textId="77777777" w:rsidR="00E84532" w:rsidRDefault="00E90F46">
      <w:pPr>
        <w:rPr>
          <w:b/>
          <w:bCs/>
        </w:rPr>
      </w:pPr>
      <w:r>
        <w:rPr>
          <w:b/>
          <w:bCs/>
        </w:rPr>
        <w:t>Opportunity</w:t>
      </w:r>
    </w:p>
    <w:p w14:paraId="4F3513E5" w14:textId="77777777" w:rsidR="00E84532" w:rsidRDefault="00E90F46">
      <w:r>
        <w:t>Compass Group highlights its extensive cash generation through share buybacks and investing on organic growth.</w:t>
      </w:r>
    </w:p>
    <w:p w14:paraId="4F3513E6" w14:textId="77777777" w:rsidR="00E84532" w:rsidRDefault="00E90F46">
      <w:pPr>
        <w:rPr>
          <w:b/>
          <w:bCs/>
        </w:rPr>
      </w:pPr>
      <w:r>
        <w:rPr>
          <w:b/>
          <w:bCs/>
        </w:rPr>
        <w:t>Threat</w:t>
      </w:r>
    </w:p>
    <w:p w14:paraId="4F3513E7" w14:textId="77777777" w:rsidR="00E84532" w:rsidRDefault="00E90F46">
      <w:r>
        <w:t xml:space="preserve">Compass Group encountered improvement in business operations through the reduction of EPS, which decreases net income. </w:t>
      </w:r>
    </w:p>
    <w:p w14:paraId="4F3513E8" w14:textId="77777777" w:rsidR="00E84532" w:rsidRDefault="00E90F46">
      <w:pPr>
        <w:pStyle w:val="Heading2"/>
      </w:pPr>
      <w:bookmarkStart w:id="11" w:name="_Toc235029506"/>
      <w:r>
        <w:t>1.7 Cash Flow Ratios</w:t>
      </w:r>
      <w:bookmarkEnd w:id="11"/>
    </w:p>
    <w:p w14:paraId="4F3513E9" w14:textId="77777777" w:rsidR="00E84532" w:rsidRDefault="00E90F46">
      <w:r>
        <w:rPr>
          <w:noProof/>
        </w:rPr>
        <w:drawing>
          <wp:inline distT="114300" distB="114300" distL="114300" distR="114300" wp14:anchorId="4F35174A" wp14:editId="4F35174B">
            <wp:extent cx="5943600" cy="825500"/>
            <wp:effectExtent l="0" t="0" r="0" b="0"/>
            <wp:docPr id="33" name="image43.png"/>
            <wp:cNvGraphicFramePr/>
            <a:graphic xmlns:a="http://schemas.openxmlformats.org/drawingml/2006/main">
              <a:graphicData uri="http://schemas.openxmlformats.org/drawingml/2006/picture">
                <pic:pic xmlns:pic="http://schemas.openxmlformats.org/drawingml/2006/picture">
                  <pic:nvPicPr>
                    <pic:cNvPr id="0" name="image43.png"/>
                    <pic:cNvPicPr preferRelativeResize="0"/>
                  </pic:nvPicPr>
                  <pic:blipFill>
                    <a:blip r:embed="rId19"/>
                    <a:srcRect/>
                    <a:stretch>
                      <a:fillRect/>
                    </a:stretch>
                  </pic:blipFill>
                  <pic:spPr>
                    <a:xfrm>
                      <a:off x="0" y="0"/>
                      <a:ext cx="5943600" cy="825500"/>
                    </a:xfrm>
                    <a:prstGeom prst="rect">
                      <a:avLst/>
                    </a:prstGeom>
                    <a:ln/>
                  </pic:spPr>
                </pic:pic>
              </a:graphicData>
            </a:graphic>
          </wp:inline>
        </w:drawing>
      </w:r>
    </w:p>
    <w:p w14:paraId="4F3513EA" w14:textId="77777777" w:rsidR="00E84532" w:rsidRDefault="00E90F46">
      <w:pPr>
        <w:jc w:val="center"/>
      </w:pPr>
      <w:r>
        <w:rPr>
          <w:noProof/>
        </w:rPr>
        <w:drawing>
          <wp:inline distT="114300" distB="114300" distL="114300" distR="114300" wp14:anchorId="4F35174C" wp14:editId="4F35174D">
            <wp:extent cx="4376738" cy="2630251"/>
            <wp:effectExtent l="0" t="0" r="0" b="0"/>
            <wp:docPr id="25" name="image42.png"/>
            <wp:cNvGraphicFramePr/>
            <a:graphic xmlns:a="http://schemas.openxmlformats.org/drawingml/2006/main">
              <a:graphicData uri="http://schemas.openxmlformats.org/drawingml/2006/picture">
                <pic:pic xmlns:pic="http://schemas.openxmlformats.org/drawingml/2006/picture">
                  <pic:nvPicPr>
                    <pic:cNvPr id="0" name="image42.png"/>
                    <pic:cNvPicPr preferRelativeResize="0"/>
                  </pic:nvPicPr>
                  <pic:blipFill>
                    <a:blip r:embed="rId20"/>
                    <a:srcRect/>
                    <a:stretch>
                      <a:fillRect/>
                    </a:stretch>
                  </pic:blipFill>
                  <pic:spPr>
                    <a:xfrm>
                      <a:off x="0" y="0"/>
                      <a:ext cx="4376738" cy="2630251"/>
                    </a:xfrm>
                    <a:prstGeom prst="rect">
                      <a:avLst/>
                    </a:prstGeom>
                    <a:ln/>
                  </pic:spPr>
                </pic:pic>
              </a:graphicData>
            </a:graphic>
          </wp:inline>
        </w:drawing>
      </w:r>
      <w:r>
        <w:tab/>
      </w:r>
    </w:p>
    <w:p w14:paraId="4F3513EB" w14:textId="77777777" w:rsidR="00E84532" w:rsidRDefault="00E90F46">
      <w:pPr>
        <w:jc w:val="center"/>
        <w:rPr>
          <w:b/>
          <w:bCs/>
        </w:rPr>
      </w:pPr>
      <w:r>
        <w:rPr>
          <w:b/>
          <w:bCs/>
        </w:rPr>
        <w:t>Figure 7: Cash flow Ratios</w:t>
      </w:r>
    </w:p>
    <w:p w14:paraId="4F3513EC" w14:textId="77777777" w:rsidR="00E84532" w:rsidRDefault="00E90F46">
      <w:pPr>
        <w:jc w:val="center"/>
        <w:rPr>
          <w:b/>
          <w:bCs/>
        </w:rPr>
      </w:pPr>
      <w:r>
        <w:t>(Source: Compass Group PLC, 2021; Compass Group Plc, 2023; Compass Group Plc, 2025)</w:t>
      </w:r>
    </w:p>
    <w:p w14:paraId="4F3513ED" w14:textId="77777777" w:rsidR="00E84532" w:rsidRDefault="00E90F46">
      <w:pPr>
        <w:rPr>
          <w:b/>
          <w:bCs/>
        </w:rPr>
      </w:pPr>
      <w:r>
        <w:rPr>
          <w:b/>
          <w:bCs/>
        </w:rPr>
        <w:lastRenderedPageBreak/>
        <w:t>Trend Analysis</w:t>
      </w:r>
    </w:p>
    <w:p w14:paraId="5A84D9B8" w14:textId="77777777" w:rsidR="00C44CEA" w:rsidRDefault="00E90F46">
      <w:r>
        <w:t xml:space="preserve">Compass Group has increased its operating cash flow value “(Cash Flow from Operations ÷ Current Liabilities)” from 0.22 in 2021 to 0.32 in 2025. The improvement of the ratio by 45.5% signified the adoption of the fund expansion strategy by the </w:t>
      </w:r>
      <w:proofErr w:type="spellStart"/>
      <w:r>
        <w:t>organisation</w:t>
      </w:r>
      <w:proofErr w:type="spellEnd"/>
      <w:r>
        <w:t xml:space="preserve">. As an example, Compass Group Plc has enhanced its cash reserves by $1324m due to the achievement of higher operating revenue in 2025. The improvement in the fund value has assisted the hotel company in meeting the growing expenses of its business operations. In addition, Compass Group has also observed growth in its asset return ratio “Cash Flow from Operations ÷ Total Assets)” by 62.5% in 2025. </w:t>
      </w:r>
    </w:p>
    <w:p w14:paraId="4F3513EE" w14:textId="2E6457B0" w:rsidR="00E84532" w:rsidRDefault="00E90F46">
      <w:pPr>
        <w:rPr>
          <w:b/>
          <w:bCs/>
        </w:rPr>
      </w:pPr>
      <w:r>
        <w:rPr>
          <w:b/>
          <w:bCs/>
        </w:rPr>
        <w:t xml:space="preserve">Opportunity </w:t>
      </w:r>
    </w:p>
    <w:p w14:paraId="4F3513EF" w14:textId="77777777" w:rsidR="00E84532" w:rsidRDefault="00E90F46">
      <w:r>
        <w:t>The improvement in the operating cash value has assisted Compass Group in meeting the short-term expense demand of its business operations.</w:t>
      </w:r>
    </w:p>
    <w:p w14:paraId="4F3513F0" w14:textId="77777777" w:rsidR="00E84532" w:rsidRDefault="00E90F46">
      <w:pPr>
        <w:rPr>
          <w:b/>
          <w:bCs/>
        </w:rPr>
      </w:pPr>
      <w:r>
        <w:rPr>
          <w:b/>
          <w:bCs/>
        </w:rPr>
        <w:t>Threat</w:t>
      </w:r>
    </w:p>
    <w:p w14:paraId="4F3513F1" w14:textId="77777777" w:rsidR="00E84532" w:rsidRDefault="00E90F46">
      <w:pPr>
        <w:rPr>
          <w:b/>
          <w:bCs/>
        </w:rPr>
      </w:pPr>
      <w:r>
        <w:t>The enhancement in the futility of the assets has lowered the replacement activities and hampered the quality of the inventory services.</w:t>
      </w:r>
    </w:p>
    <w:p w14:paraId="4F3513F2" w14:textId="77777777" w:rsidR="00E84532" w:rsidRDefault="00E90F46">
      <w:pPr>
        <w:pStyle w:val="Heading2"/>
      </w:pPr>
      <w:bookmarkStart w:id="12" w:name="_Toc235029507"/>
      <w:r>
        <w:t>1.8 Liquidity ratio comparison</w:t>
      </w:r>
      <w:bookmarkEnd w:id="12"/>
      <w:r>
        <w:t xml:space="preserve"> </w:t>
      </w:r>
      <w:r>
        <w:tab/>
      </w:r>
    </w:p>
    <w:p w14:paraId="4F3513F3" w14:textId="77777777" w:rsidR="00E84532" w:rsidRDefault="00E90F46">
      <w:pPr>
        <w:pStyle w:val="Heading3"/>
      </w:pPr>
      <w:bookmarkStart w:id="13" w:name="_Toc235029508"/>
      <w:r>
        <w:t>1.8.1 Evaluation with Liquidity ratio with industry benchmark</w:t>
      </w:r>
      <w:bookmarkEnd w:id="13"/>
    </w:p>
    <w:p w14:paraId="4F3513F4" w14:textId="77777777" w:rsidR="00E84532" w:rsidRDefault="00E90F46">
      <w:r>
        <w:t xml:space="preserve">The industry benchmark of the liquidity ratio for the hospitality sector is around 2.0 that has not been surpassed by Compass Group. On the other hand, the industry has observed significant operational improvements due to high service demand among customers. For instance, the sector will achieve a market growth of 4.43% due to service expansion in 2034. The improvement in the revenue will also provide opportunities for the </w:t>
      </w:r>
      <w:proofErr w:type="spellStart"/>
      <w:r>
        <w:t>organisations</w:t>
      </w:r>
      <w:proofErr w:type="spellEnd"/>
      <w:r>
        <w:t xml:space="preserve"> in strengthening its customer base and enhancing brand loyalty. </w:t>
      </w:r>
    </w:p>
    <w:p w14:paraId="4F3513F5" w14:textId="77777777" w:rsidR="00E84532" w:rsidRDefault="00E90F46">
      <w:r>
        <w:rPr>
          <w:noProof/>
        </w:rPr>
        <w:lastRenderedPageBreak/>
        <w:drawing>
          <wp:inline distT="114300" distB="114300" distL="114300" distR="114300" wp14:anchorId="4F35174E" wp14:editId="4F35174F">
            <wp:extent cx="4662488" cy="2622649"/>
            <wp:effectExtent l="0" t="0" r="0" b="0"/>
            <wp:docPr id="47" name="image35.png"/>
            <wp:cNvGraphicFramePr/>
            <a:graphic xmlns:a="http://schemas.openxmlformats.org/drawingml/2006/main">
              <a:graphicData uri="http://schemas.openxmlformats.org/drawingml/2006/picture">
                <pic:pic xmlns:pic="http://schemas.openxmlformats.org/drawingml/2006/picture">
                  <pic:nvPicPr>
                    <pic:cNvPr id="0" name="image35.png"/>
                    <pic:cNvPicPr preferRelativeResize="0"/>
                  </pic:nvPicPr>
                  <pic:blipFill>
                    <a:blip r:embed="rId21"/>
                    <a:srcRect/>
                    <a:stretch>
                      <a:fillRect/>
                    </a:stretch>
                  </pic:blipFill>
                  <pic:spPr>
                    <a:xfrm>
                      <a:off x="0" y="0"/>
                      <a:ext cx="4662488" cy="2622649"/>
                    </a:xfrm>
                    <a:prstGeom prst="rect">
                      <a:avLst/>
                    </a:prstGeom>
                    <a:ln/>
                  </pic:spPr>
                </pic:pic>
              </a:graphicData>
            </a:graphic>
          </wp:inline>
        </w:drawing>
      </w:r>
    </w:p>
    <w:p w14:paraId="4F3513F6" w14:textId="77777777" w:rsidR="00E84532" w:rsidRDefault="00E90F46">
      <w:pPr>
        <w:jc w:val="center"/>
        <w:rPr>
          <w:b/>
          <w:bCs/>
        </w:rPr>
      </w:pPr>
      <w:r>
        <w:rPr>
          <w:b/>
          <w:bCs/>
        </w:rPr>
        <w:t>Figure 8: Market Growth of the UK Hospitality Industry</w:t>
      </w:r>
    </w:p>
    <w:p w14:paraId="4F3513F7" w14:textId="77777777" w:rsidR="00E84532" w:rsidRDefault="00E90F46">
      <w:pPr>
        <w:jc w:val="center"/>
      </w:pPr>
      <w:r>
        <w:t>(Source: Market Data Forecast, 2026)</w:t>
      </w:r>
    </w:p>
    <w:p w14:paraId="4F3513F8" w14:textId="77777777" w:rsidR="00E84532" w:rsidRDefault="00E90F46">
      <w:pPr>
        <w:pStyle w:val="Heading3"/>
      </w:pPr>
      <w:bookmarkStart w:id="14" w:name="_Toc235029509"/>
      <w:r>
        <w:t>1.8.2 Impact of firm performance based on liquidity ratio</w:t>
      </w:r>
      <w:bookmarkEnd w:id="14"/>
      <w:r>
        <w:t xml:space="preserve"> </w:t>
      </w:r>
      <w:r>
        <w:tab/>
      </w:r>
    </w:p>
    <w:p w14:paraId="4F3513F9" w14:textId="77777777" w:rsidR="00E84532" w:rsidRDefault="00E90F46">
      <w:r>
        <w:t>Compass Group's liquidity ratio is about 0.62 which is due to high rises of inventory turnover affecting the overall operation of the business. The UK hospitality industry has a liquidity ratio 2.0, which indicates reliable management of short-term liabilities and assets. On the other hand, Compass Group underlined its cash flow conversion at about 72.0% in 2025, with its FCF about $825m (Compass Group, 2025). The firm generated its underlying cash through operating profit to support reliable acquisitions. Although the UK hospitality industry manages its "food contract services" through reliable collection of cash through “</w:t>
      </w:r>
      <w:proofErr w:type="spellStart"/>
      <w:r>
        <w:t>digitalised</w:t>
      </w:r>
      <w:proofErr w:type="spellEnd"/>
      <w:r>
        <w:t xml:space="preserve"> integration” enhances overall revenue of business. </w:t>
      </w:r>
      <w:r>
        <w:br w:type="page"/>
      </w:r>
    </w:p>
    <w:p w14:paraId="4F3513FA" w14:textId="77777777" w:rsidR="00E84532" w:rsidRDefault="00E90F46">
      <w:pPr>
        <w:pStyle w:val="Heading1"/>
      </w:pPr>
      <w:bookmarkStart w:id="15" w:name="_Toc235029510"/>
      <w:r>
        <w:lastRenderedPageBreak/>
        <w:t>2. Working Capital Management Analysis</w:t>
      </w:r>
      <w:bookmarkEnd w:id="15"/>
      <w:r>
        <w:t xml:space="preserve"> </w:t>
      </w:r>
      <w:r>
        <w:tab/>
      </w:r>
    </w:p>
    <w:p w14:paraId="4F3513FB" w14:textId="77777777" w:rsidR="00E84532" w:rsidRDefault="00E90F46">
      <w:pPr>
        <w:pStyle w:val="Heading2"/>
      </w:pPr>
      <w:bookmarkStart w:id="16" w:name="_Toc235029511"/>
      <w:r>
        <w:t>2.1 Cash Operating Cycle analysis</w:t>
      </w:r>
      <w:bookmarkEnd w:id="16"/>
      <w:r>
        <w:tab/>
      </w:r>
    </w:p>
    <w:p w14:paraId="4F3513FC" w14:textId="77777777" w:rsidR="00E84532" w:rsidRDefault="00E90F46" w:rsidP="00190458">
      <w:bookmarkStart w:id="17" w:name="_uz8mmypiinb9" w:colFirst="0" w:colLast="0"/>
      <w:bookmarkEnd w:id="17"/>
      <w:r>
        <w:rPr>
          <w:noProof/>
        </w:rPr>
        <w:drawing>
          <wp:inline distT="114300" distB="114300" distL="114300" distR="114300" wp14:anchorId="4F351750" wp14:editId="4F351751">
            <wp:extent cx="5772150" cy="1247775"/>
            <wp:effectExtent l="0" t="0" r="0" b="0"/>
            <wp:docPr id="35" name="image28.png"/>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a:blip r:embed="rId22"/>
                    <a:srcRect/>
                    <a:stretch>
                      <a:fillRect/>
                    </a:stretch>
                  </pic:blipFill>
                  <pic:spPr>
                    <a:xfrm>
                      <a:off x="0" y="0"/>
                      <a:ext cx="5772150" cy="1247775"/>
                    </a:xfrm>
                    <a:prstGeom prst="rect">
                      <a:avLst/>
                    </a:prstGeom>
                    <a:ln/>
                  </pic:spPr>
                </pic:pic>
              </a:graphicData>
            </a:graphic>
          </wp:inline>
        </w:drawing>
      </w:r>
      <w:r>
        <w:tab/>
      </w:r>
    </w:p>
    <w:p w14:paraId="4F3513FD" w14:textId="77777777" w:rsidR="00E84532" w:rsidRDefault="00E90F46">
      <w:pPr>
        <w:jc w:val="center"/>
        <w:rPr>
          <w:b/>
          <w:bCs/>
        </w:rPr>
      </w:pPr>
      <w:r>
        <w:rPr>
          <w:b/>
          <w:bCs/>
        </w:rPr>
        <w:t>Figure 9: Receivable collection period</w:t>
      </w:r>
    </w:p>
    <w:p w14:paraId="2903208C" w14:textId="77777777" w:rsidR="00CD7CB7" w:rsidRDefault="00CD7CB7" w:rsidP="00CD7CB7">
      <w:pPr>
        <w:jc w:val="center"/>
        <w:rPr>
          <w:b/>
          <w:bCs/>
        </w:rPr>
      </w:pPr>
      <w:r>
        <w:t>(Source: Compass Group PLC, 2021; Compass Group Plc, 2023; Compass Group Plc, 2025)</w:t>
      </w:r>
    </w:p>
    <w:p w14:paraId="4F3513FF" w14:textId="77777777" w:rsidR="00E84532" w:rsidRDefault="00E90F46">
      <w:r>
        <w:t>The receivable potential was also increasing by 15.6% in 2024 with its base year total 51 days in 2021. However, in 2025 slighted decline efficiency on managing receivable collection observed with a rise of 5 days associated with slower conversion of funds. As a new contract due to US office-canteen demand raises revenue $46.1 billion with pressure free cash flow management ensures a longer period (</w:t>
      </w:r>
      <w:proofErr w:type="spellStart"/>
      <w:r>
        <w:t>Yadarisa</w:t>
      </w:r>
      <w:proofErr w:type="spellEnd"/>
      <w:r>
        <w:t xml:space="preserve"> Shabong, 2025). </w:t>
      </w:r>
    </w:p>
    <w:p w14:paraId="4F351400" w14:textId="77777777" w:rsidR="00E84532" w:rsidRDefault="00E90F46">
      <w:r>
        <w:rPr>
          <w:noProof/>
        </w:rPr>
        <w:drawing>
          <wp:inline distT="114300" distB="114300" distL="114300" distR="114300" wp14:anchorId="4F351752" wp14:editId="4F351753">
            <wp:extent cx="5791200" cy="1304925"/>
            <wp:effectExtent l="0" t="0" r="0" b="0"/>
            <wp:docPr id="23" name="image29.png"/>
            <wp:cNvGraphicFramePr/>
            <a:graphic xmlns:a="http://schemas.openxmlformats.org/drawingml/2006/main">
              <a:graphicData uri="http://schemas.openxmlformats.org/drawingml/2006/picture">
                <pic:pic xmlns:pic="http://schemas.openxmlformats.org/drawingml/2006/picture">
                  <pic:nvPicPr>
                    <pic:cNvPr id="0" name="image29.png"/>
                    <pic:cNvPicPr preferRelativeResize="0"/>
                  </pic:nvPicPr>
                  <pic:blipFill>
                    <a:blip r:embed="rId23"/>
                    <a:srcRect/>
                    <a:stretch>
                      <a:fillRect/>
                    </a:stretch>
                  </pic:blipFill>
                  <pic:spPr>
                    <a:xfrm>
                      <a:off x="0" y="0"/>
                      <a:ext cx="5791200" cy="1304925"/>
                    </a:xfrm>
                    <a:prstGeom prst="rect">
                      <a:avLst/>
                    </a:prstGeom>
                    <a:ln/>
                  </pic:spPr>
                </pic:pic>
              </a:graphicData>
            </a:graphic>
          </wp:inline>
        </w:drawing>
      </w:r>
    </w:p>
    <w:p w14:paraId="4F351401" w14:textId="77777777" w:rsidR="00E84532" w:rsidRDefault="00E90F46">
      <w:pPr>
        <w:jc w:val="center"/>
        <w:rPr>
          <w:b/>
          <w:bCs/>
        </w:rPr>
      </w:pPr>
      <w:r>
        <w:rPr>
          <w:b/>
          <w:bCs/>
        </w:rPr>
        <w:t>Figure 10: Payable deferral period</w:t>
      </w:r>
    </w:p>
    <w:p w14:paraId="469944DD" w14:textId="77777777" w:rsidR="00CD7CB7" w:rsidRDefault="00CD7CB7" w:rsidP="00CD7CB7">
      <w:pPr>
        <w:jc w:val="center"/>
        <w:rPr>
          <w:b/>
          <w:bCs/>
        </w:rPr>
      </w:pPr>
      <w:r>
        <w:t>(Source: Compass Group PLC, 2021; Compass Group Plc, 2023; Compass Group Plc, 2025)</w:t>
      </w:r>
    </w:p>
    <w:p w14:paraId="4F351403" w14:textId="77777777" w:rsidR="00E84532" w:rsidRDefault="00E90F46">
      <w:r>
        <w:t xml:space="preserve">The payable period was also to be picked in 2024 with managed 65 days while its raise issue in 2025 with 71 days. For instance, liabilities position due to inefficiency supply chain management rose $1.205 billion in 2025 indicating short-term cash retention issue with higher payable period (Reuters Staff, 2024). </w:t>
      </w:r>
    </w:p>
    <w:p w14:paraId="4F351404" w14:textId="77777777" w:rsidR="00E84532" w:rsidRDefault="00E90F46">
      <w:pPr>
        <w:jc w:val="center"/>
      </w:pPr>
      <w:r>
        <w:rPr>
          <w:noProof/>
        </w:rPr>
        <w:lastRenderedPageBreak/>
        <w:drawing>
          <wp:inline distT="114300" distB="114300" distL="114300" distR="114300" wp14:anchorId="4F351754" wp14:editId="4F351755">
            <wp:extent cx="5910263" cy="1266825"/>
            <wp:effectExtent l="0" t="0" r="0" b="0"/>
            <wp:docPr id="1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4"/>
                    <a:srcRect/>
                    <a:stretch>
                      <a:fillRect/>
                    </a:stretch>
                  </pic:blipFill>
                  <pic:spPr>
                    <a:xfrm>
                      <a:off x="0" y="0"/>
                      <a:ext cx="5910263" cy="1266825"/>
                    </a:xfrm>
                    <a:prstGeom prst="rect">
                      <a:avLst/>
                    </a:prstGeom>
                    <a:ln/>
                  </pic:spPr>
                </pic:pic>
              </a:graphicData>
            </a:graphic>
          </wp:inline>
        </w:drawing>
      </w:r>
    </w:p>
    <w:p w14:paraId="4F351405" w14:textId="77777777" w:rsidR="00E84532" w:rsidRDefault="00E90F46">
      <w:pPr>
        <w:jc w:val="center"/>
        <w:rPr>
          <w:b/>
          <w:bCs/>
        </w:rPr>
      </w:pPr>
      <w:r>
        <w:rPr>
          <w:b/>
          <w:bCs/>
        </w:rPr>
        <w:t>Figure 11: Inventory collection period</w:t>
      </w:r>
    </w:p>
    <w:p w14:paraId="55A72702" w14:textId="77777777" w:rsidR="00CD7CB7" w:rsidRDefault="00CD7CB7" w:rsidP="00CD7CB7">
      <w:pPr>
        <w:jc w:val="center"/>
        <w:rPr>
          <w:b/>
          <w:bCs/>
        </w:rPr>
      </w:pPr>
      <w:r>
        <w:t>(Source: Compass Group PLC, 2021; Compass Group Plc, 2023; Compass Group Plc, 2025)</w:t>
      </w:r>
    </w:p>
    <w:p w14:paraId="4F351407" w14:textId="77777777" w:rsidR="00E84532" w:rsidRDefault="00E90F46">
      <w:r>
        <w:t>The stable inventory period slightly increasing with 7 days in 2025 indicated rapid inventory turnover and efficient food-stock management. Hence, an average inventory increase of $777 million due to food processing with 85% locally reduced import tariffs (</w:t>
      </w:r>
      <w:proofErr w:type="spellStart"/>
      <w:r>
        <w:t>Yadarisa</w:t>
      </w:r>
      <w:proofErr w:type="spellEnd"/>
      <w:r>
        <w:t xml:space="preserve"> </w:t>
      </w:r>
      <w:proofErr w:type="spellStart"/>
      <w:r>
        <w:t>Shabong</w:t>
      </w:r>
      <w:proofErr w:type="spellEnd"/>
      <w:r>
        <w:t xml:space="preserve">, 2025). As it is also to ensure control supply chain volatility and better stock </w:t>
      </w:r>
      <w:proofErr w:type="spellStart"/>
      <w:r>
        <w:t>optimisations</w:t>
      </w:r>
      <w:proofErr w:type="spellEnd"/>
      <w:r>
        <w:t>.</w:t>
      </w:r>
    </w:p>
    <w:p w14:paraId="4F351408" w14:textId="77777777" w:rsidR="00E84532" w:rsidRDefault="00E90F46">
      <w:r>
        <w:rPr>
          <w:noProof/>
        </w:rPr>
        <w:drawing>
          <wp:inline distT="114300" distB="114300" distL="114300" distR="114300" wp14:anchorId="4F351756" wp14:editId="4F351757">
            <wp:extent cx="5772150" cy="1466850"/>
            <wp:effectExtent l="0" t="0" r="0" b="0"/>
            <wp:docPr id="36"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25"/>
                    <a:srcRect/>
                    <a:stretch>
                      <a:fillRect/>
                    </a:stretch>
                  </pic:blipFill>
                  <pic:spPr>
                    <a:xfrm>
                      <a:off x="0" y="0"/>
                      <a:ext cx="5772150" cy="1466850"/>
                    </a:xfrm>
                    <a:prstGeom prst="rect">
                      <a:avLst/>
                    </a:prstGeom>
                    <a:ln/>
                  </pic:spPr>
                </pic:pic>
              </a:graphicData>
            </a:graphic>
          </wp:inline>
        </w:drawing>
      </w:r>
    </w:p>
    <w:p w14:paraId="4F351409" w14:textId="77777777" w:rsidR="00E84532" w:rsidRDefault="00E90F46">
      <w:pPr>
        <w:jc w:val="center"/>
        <w:rPr>
          <w:b/>
          <w:bCs/>
        </w:rPr>
      </w:pPr>
      <w:r>
        <w:rPr>
          <w:b/>
          <w:bCs/>
        </w:rPr>
        <w:t>Figure 12: Cash operating cycle</w:t>
      </w:r>
    </w:p>
    <w:p w14:paraId="0FC9FFE5" w14:textId="77777777" w:rsidR="00CD7CB7" w:rsidRDefault="00CD7CB7" w:rsidP="00CD7CB7">
      <w:pPr>
        <w:jc w:val="center"/>
        <w:rPr>
          <w:b/>
          <w:bCs/>
        </w:rPr>
      </w:pPr>
      <w:r>
        <w:t>(Source: Compass Group PLC, 2021; Compass Group Plc, 2023; Compass Group Plc, 2025)</w:t>
      </w:r>
    </w:p>
    <w:p w14:paraId="4F35140B" w14:textId="333513C9" w:rsidR="00E84532" w:rsidRDefault="00E90F46">
      <w:r>
        <w:t>The negative cas</w:t>
      </w:r>
      <w:r w:rsidR="00F02CF0">
        <w:t>h</w:t>
      </w:r>
      <w:r>
        <w:t xml:space="preserve"> operating cycle was also observed in Compass Group from -25 days in 2021 to -16 days in 2025. This indicated higher risk of </w:t>
      </w:r>
      <w:proofErr w:type="gramStart"/>
      <w:r>
        <w:t>short term</w:t>
      </w:r>
      <w:proofErr w:type="gramEnd"/>
      <w:r>
        <w:t xml:space="preserve"> liquidity influences with lack of management cash before paying its to supplier. As a it is also increasing the debenture value of organization $4,383 million in 2025.</w:t>
      </w:r>
    </w:p>
    <w:p w14:paraId="4F35140C" w14:textId="77777777" w:rsidR="00E84532" w:rsidRDefault="00E90F46">
      <w:pPr>
        <w:pStyle w:val="Heading2"/>
      </w:pPr>
      <w:bookmarkStart w:id="18" w:name="_Toc235029512"/>
      <w:r>
        <w:t>2.2 Working Capital Challenges</w:t>
      </w:r>
      <w:bookmarkEnd w:id="18"/>
      <w:r>
        <w:t xml:space="preserve"> </w:t>
      </w:r>
    </w:p>
    <w:p w14:paraId="4F35140D" w14:textId="77777777" w:rsidR="00E84532" w:rsidRDefault="00E90F46">
      <w:pPr>
        <w:numPr>
          <w:ilvl w:val="0"/>
          <w:numId w:val="1"/>
        </w:numPr>
      </w:pPr>
      <w:r>
        <w:t>The substantial cash flow deficiency was also observed in the receivable collection period that increased with average value $2,501.5m in 2021 to $6,018m in 2025 in efficient cash flow potentiality towards meeting short term obligation.</w:t>
      </w:r>
    </w:p>
    <w:p w14:paraId="4F35140E" w14:textId="77777777" w:rsidR="00E84532" w:rsidRDefault="00E90F46">
      <w:pPr>
        <w:numPr>
          <w:ilvl w:val="0"/>
          <w:numId w:val="1"/>
        </w:numPr>
      </w:pPr>
      <w:r>
        <w:lastRenderedPageBreak/>
        <w:t xml:space="preserve">The supplier financial pressures </w:t>
      </w:r>
      <w:proofErr w:type="spellStart"/>
      <w:r>
        <w:t>recognised</w:t>
      </w:r>
      <w:proofErr w:type="spellEnd"/>
      <w:r>
        <w:t xml:space="preserve"> in Compass Group due to its payable increase from $3,852.5m to $8,405.5m while reducing deferral period 71 days indicated higher future dependency on supplier payment credit systems.</w:t>
      </w:r>
    </w:p>
    <w:p w14:paraId="4F35140F" w14:textId="77777777" w:rsidR="00E84532" w:rsidRDefault="00E90F46">
      <w:pPr>
        <w:numPr>
          <w:ilvl w:val="0"/>
          <w:numId w:val="1"/>
        </w:numPr>
      </w:pPr>
      <w:r>
        <w:t xml:space="preserve">The liquidity buffering in the organization made increasing pressure among shareholders due to cash declined from $1,840m to $575m and. On the other hand, liabilities also increased $10,665m in 2025, indicating higher cash flow deficiency in the </w:t>
      </w:r>
      <w:proofErr w:type="spellStart"/>
      <w:r>
        <w:t>organisation</w:t>
      </w:r>
      <w:proofErr w:type="spellEnd"/>
      <w:r>
        <w:t xml:space="preserve">. </w:t>
      </w:r>
    </w:p>
    <w:p w14:paraId="4F351410" w14:textId="77777777" w:rsidR="00E84532" w:rsidRDefault="00E90F46">
      <w:pPr>
        <w:pStyle w:val="Heading2"/>
      </w:pPr>
      <w:bookmarkStart w:id="19" w:name="_Toc235029513"/>
      <w:r>
        <w:t>2.3 Recommendation to improve liquidity of working capital</w:t>
      </w:r>
      <w:bookmarkEnd w:id="19"/>
      <w:r>
        <w:t xml:space="preserve"> </w:t>
      </w:r>
    </w:p>
    <w:p w14:paraId="4F351411" w14:textId="77777777" w:rsidR="00E84532" w:rsidRDefault="00E90F46">
      <w:pPr>
        <w:pStyle w:val="Heading3"/>
      </w:pPr>
      <w:bookmarkStart w:id="20" w:name="_Toc235029514"/>
      <w:r>
        <w:t>2.3.1 Enhance inventory maintenance</w:t>
      </w:r>
      <w:bookmarkEnd w:id="20"/>
      <w:r>
        <w:t xml:space="preserve"> </w:t>
      </w:r>
    </w:p>
    <w:p w14:paraId="4F351412" w14:textId="77777777" w:rsidR="00E84532" w:rsidRDefault="00E90F46">
      <w:r>
        <w:t xml:space="preserve">Compass Group, through the adoption of “AWS and Anaplan”, a cloud platform that is reliable for managing inventory maintenance by tracking real-time stock, enhances improvement in the supply chain. This leads to a rise in statutory revenue $46.1 billion in 2025 in managing credit facilities (Compass Group, 2025). The company has the ability to reduce its carbon footprint through adoption of “Climate Intelligence” protocols to enhance operational efficiency. Thus, the company negotiates the prices of dining services through localized consumer demand in the market. </w:t>
      </w:r>
      <w:r>
        <w:tab/>
      </w:r>
    </w:p>
    <w:p w14:paraId="4F351413" w14:textId="77777777" w:rsidR="00E84532" w:rsidRDefault="00E90F46">
      <w:pPr>
        <w:pStyle w:val="Heading3"/>
      </w:pPr>
      <w:bookmarkStart w:id="21" w:name="_Toc235029515"/>
      <w:r>
        <w:t>2.3.2 Streamline improvement in Accounts Payable</w:t>
      </w:r>
      <w:bookmarkEnd w:id="21"/>
    </w:p>
    <w:p w14:paraId="4F351414" w14:textId="77777777" w:rsidR="00E84532" w:rsidRDefault="00E90F46">
      <w:r>
        <w:t xml:space="preserve">Compass Group drives its strategic investment for the supply chain through the adoption of the “Sustainable Financing Framework,” which is reliable for significant innovation in business. The company recently issued about “€500m and €750m” more reliable for achieving climatic targets for sustainable bonds in 2024 (Compass Group, 2023). This investment is more reliable for achieving sustainable commitment through responsible sourcing and reduction of food waste enhance improvement in business operations. </w:t>
      </w:r>
    </w:p>
    <w:p w14:paraId="4F351415" w14:textId="77777777" w:rsidR="00E84532" w:rsidRDefault="00E90F46">
      <w:pPr>
        <w:pStyle w:val="Heading2"/>
      </w:pPr>
      <w:bookmarkStart w:id="22" w:name="_Toc235029516"/>
      <w:r>
        <w:t>2.4 Comparison of financing option</w:t>
      </w:r>
      <w:bookmarkEnd w:id="22"/>
      <w:r>
        <w:t xml:space="preserve"> </w:t>
      </w:r>
      <w:r>
        <w:tab/>
      </w:r>
    </w:p>
    <w:p w14:paraId="4F351416" w14:textId="77777777" w:rsidR="00E84532" w:rsidRDefault="00E90F46">
      <w:pPr>
        <w:pStyle w:val="Heading3"/>
      </w:pPr>
      <w:bookmarkStart w:id="23" w:name="_Toc235029517"/>
      <w:r>
        <w:t>2.4.1 Short-Term Financing Options</w:t>
      </w:r>
      <w:bookmarkEnd w:id="23"/>
    </w:p>
    <w:p w14:paraId="4F351417" w14:textId="77777777" w:rsidR="00E84532" w:rsidRDefault="00E90F46">
      <w:pPr>
        <w:rPr>
          <w:b/>
          <w:bCs/>
        </w:rPr>
      </w:pPr>
      <w:r>
        <w:rPr>
          <w:b/>
          <w:bCs/>
        </w:rPr>
        <w:t xml:space="preserve">Trade credit </w:t>
      </w:r>
    </w:p>
    <w:p w14:paraId="4F351418" w14:textId="444E52CE" w:rsidR="00E84532" w:rsidRDefault="00E90F46">
      <w:r>
        <w:t>Compass Group has invested $3.2bn for “Revolving Credit Facility,” which will be committed to achieving by 2027, that has been addressed through acquisition by Vermaat Gro</w:t>
      </w:r>
      <w:r w:rsidR="00CD7CB7">
        <w:t>u</w:t>
      </w:r>
      <w:r>
        <w:t>p (Compass Group, 2025). The impact of this funding leads to developing its reliable credit profile through accessing shareholder returns showcase its significant expansion.</w:t>
      </w:r>
    </w:p>
    <w:p w14:paraId="4F351419" w14:textId="77777777" w:rsidR="00E84532" w:rsidRDefault="00E90F46">
      <w:pPr>
        <w:rPr>
          <w:b/>
          <w:bCs/>
        </w:rPr>
      </w:pPr>
      <w:r>
        <w:rPr>
          <w:b/>
          <w:bCs/>
        </w:rPr>
        <w:t>Loans</w:t>
      </w:r>
    </w:p>
    <w:p w14:paraId="4F35141A" w14:textId="77777777" w:rsidR="00E84532" w:rsidRDefault="00E90F46">
      <w:r>
        <w:lastRenderedPageBreak/>
        <w:t xml:space="preserve">Compass Group's ability to invest £6 billion in an “Euro Medium Term Note (EMTN) </w:t>
      </w:r>
      <w:proofErr w:type="spellStart"/>
      <w:r>
        <w:t>programme</w:t>
      </w:r>
      <w:proofErr w:type="spellEnd"/>
      <w:r>
        <w:t xml:space="preserve">” in order to raise "corporate debt” (Compass Group, 2025). Adoption of this program showcases strategic growth by the ability to manage cash through sustainable financing. </w:t>
      </w:r>
      <w:r>
        <w:tab/>
      </w:r>
    </w:p>
    <w:p w14:paraId="4F35141B" w14:textId="77777777" w:rsidR="00E84532" w:rsidRDefault="00E90F46">
      <w:pPr>
        <w:pStyle w:val="Heading3"/>
      </w:pPr>
      <w:bookmarkStart w:id="24" w:name="_Toc235029518"/>
      <w:r>
        <w:t>2.4.2 Long-Term Financing Options</w:t>
      </w:r>
      <w:bookmarkEnd w:id="24"/>
    </w:p>
    <w:p w14:paraId="4F35141C" w14:textId="77777777" w:rsidR="00E84532" w:rsidRDefault="00E90F46">
      <w:pPr>
        <w:rPr>
          <w:b/>
          <w:bCs/>
        </w:rPr>
      </w:pPr>
      <w:r>
        <w:rPr>
          <w:b/>
          <w:bCs/>
        </w:rPr>
        <w:t>Equity Financing</w:t>
      </w:r>
      <w:r>
        <w:rPr>
          <w:b/>
          <w:bCs/>
        </w:rPr>
        <w:tab/>
      </w:r>
    </w:p>
    <w:p w14:paraId="4F35141D" w14:textId="77777777" w:rsidR="00E84532" w:rsidRDefault="00E90F46">
      <w:r>
        <w:t xml:space="preserve">Compass Group has the ability to invest about $500 million in a buyback </w:t>
      </w:r>
      <w:proofErr w:type="spellStart"/>
      <w:r>
        <w:t>programme</w:t>
      </w:r>
      <w:proofErr w:type="spellEnd"/>
      <w:r>
        <w:t xml:space="preserve">, which has a direct impact in managing shareholder capital (Compass Group, 2024). The repurchase of the shares has been addressed through "employee share scheme" and a reduction of ordinary shares, which in turn support EPS. </w:t>
      </w:r>
    </w:p>
    <w:p w14:paraId="4F35141E" w14:textId="77777777" w:rsidR="00E84532" w:rsidRDefault="00E90F46">
      <w:pPr>
        <w:rPr>
          <w:b/>
          <w:bCs/>
        </w:rPr>
      </w:pPr>
      <w:r>
        <w:rPr>
          <w:b/>
          <w:bCs/>
        </w:rPr>
        <w:t>Debt Financing</w:t>
      </w:r>
    </w:p>
    <w:p w14:paraId="4F35141F" w14:textId="77777777" w:rsidR="00E84532" w:rsidRDefault="00E90F46">
      <w:r>
        <w:t xml:space="preserve">Compass Group's total debt in 2025 is about $5.611B, which increases 25.61% due to high rises of credit rating, which affect the capital return of the business (Macrotrends, 2025). The company affects the operational efficiency of the business in issuing of "Sustainable bonds” by ability to achieve its net zero emission that will be achieved by 2050. </w:t>
      </w:r>
    </w:p>
    <w:p w14:paraId="4F351420" w14:textId="77777777" w:rsidR="00E84532" w:rsidRDefault="00E90F46">
      <w:pPr>
        <w:jc w:val="center"/>
      </w:pPr>
      <w:r>
        <w:rPr>
          <w:noProof/>
        </w:rPr>
        <w:drawing>
          <wp:inline distT="114300" distB="114300" distL="114300" distR="114300" wp14:anchorId="4F351758" wp14:editId="4F351759">
            <wp:extent cx="5943600" cy="2984500"/>
            <wp:effectExtent l="0" t="0" r="0" b="0"/>
            <wp:docPr id="46" name="image33.png"/>
            <wp:cNvGraphicFramePr/>
            <a:graphic xmlns:a="http://schemas.openxmlformats.org/drawingml/2006/main">
              <a:graphicData uri="http://schemas.openxmlformats.org/drawingml/2006/picture">
                <pic:pic xmlns:pic="http://schemas.openxmlformats.org/drawingml/2006/picture">
                  <pic:nvPicPr>
                    <pic:cNvPr id="0" name="image33.png"/>
                    <pic:cNvPicPr preferRelativeResize="0"/>
                  </pic:nvPicPr>
                  <pic:blipFill>
                    <a:blip r:embed="rId26"/>
                    <a:srcRect/>
                    <a:stretch>
                      <a:fillRect/>
                    </a:stretch>
                  </pic:blipFill>
                  <pic:spPr>
                    <a:xfrm>
                      <a:off x="0" y="0"/>
                      <a:ext cx="5943600" cy="2984500"/>
                    </a:xfrm>
                    <a:prstGeom prst="rect">
                      <a:avLst/>
                    </a:prstGeom>
                    <a:ln/>
                  </pic:spPr>
                </pic:pic>
              </a:graphicData>
            </a:graphic>
          </wp:inline>
        </w:drawing>
      </w:r>
    </w:p>
    <w:p w14:paraId="4F351421" w14:textId="77777777" w:rsidR="00E84532" w:rsidRDefault="00E90F46">
      <w:pPr>
        <w:jc w:val="center"/>
        <w:rPr>
          <w:b/>
          <w:bCs/>
        </w:rPr>
      </w:pPr>
      <w:r>
        <w:rPr>
          <w:b/>
          <w:bCs/>
        </w:rPr>
        <w:t xml:space="preserve"> Figure 13: Long-term debt in 2025</w:t>
      </w:r>
    </w:p>
    <w:p w14:paraId="4F351422" w14:textId="77777777" w:rsidR="00E84532" w:rsidRDefault="00E90F46">
      <w:pPr>
        <w:jc w:val="center"/>
      </w:pPr>
      <w:r>
        <w:t>(Source: Macrotrends, 2025)</w:t>
      </w:r>
      <w:r>
        <w:tab/>
      </w:r>
    </w:p>
    <w:p w14:paraId="4F351423" w14:textId="77777777" w:rsidR="00E84532" w:rsidRDefault="00E90F46">
      <w:pPr>
        <w:pStyle w:val="Heading3"/>
      </w:pPr>
      <w:bookmarkStart w:id="25" w:name="_Toc235029519"/>
      <w:r>
        <w:lastRenderedPageBreak/>
        <w:t>2.4.3 Comparative Analysis</w:t>
      </w:r>
      <w:bookmarkEnd w:id="25"/>
      <w:r>
        <w:tab/>
      </w:r>
    </w:p>
    <w:p w14:paraId="4F351424" w14:textId="1FA794BD" w:rsidR="00E84532" w:rsidRDefault="00E90F46">
      <w:r>
        <w:t>The “short-term financing” of Compass Group is addressed through high rise of interest rate in fixing of debt affecting long term obligation. The company showcases its strategic growth through M&amp;A with Vermaat Gro</w:t>
      </w:r>
      <w:r w:rsidR="004D1D24">
        <w:t>u</w:t>
      </w:r>
      <w:r>
        <w:t>p by showcasing its significant flexibility in business. Although repurchasing of the shares has been accessed through “employee share scheme" and sustainable integration, which enhances shareholder value of customers. Thus,</w:t>
      </w:r>
      <w:r w:rsidR="00624AFA">
        <w:t xml:space="preserve"> </w:t>
      </w:r>
      <w:r>
        <w:t xml:space="preserve">“long term funding” showcases its predictability by its ability to manage long-term debt through reliable investment. </w:t>
      </w:r>
    </w:p>
    <w:p w14:paraId="4F351425" w14:textId="77777777" w:rsidR="00E84532" w:rsidRDefault="00E90F46">
      <w:r>
        <w:br w:type="page"/>
      </w:r>
    </w:p>
    <w:p w14:paraId="4F351426" w14:textId="77777777" w:rsidR="00E84532" w:rsidRDefault="00E90F46">
      <w:pPr>
        <w:pStyle w:val="Heading1"/>
      </w:pPr>
      <w:bookmarkStart w:id="26" w:name="_Toc235029520"/>
      <w:r>
        <w:lastRenderedPageBreak/>
        <w:t>3. Strategic Financial Restructuring Plan</w:t>
      </w:r>
      <w:bookmarkEnd w:id="26"/>
      <w:r>
        <w:t xml:space="preserve"> </w:t>
      </w:r>
      <w:r>
        <w:tab/>
      </w:r>
      <w:r>
        <w:tab/>
      </w:r>
    </w:p>
    <w:p w14:paraId="4F351427" w14:textId="77777777" w:rsidR="00E84532" w:rsidRDefault="00E90F46">
      <w:pPr>
        <w:pStyle w:val="Heading2"/>
      </w:pPr>
      <w:bookmarkStart w:id="27" w:name="_Toc235029521"/>
      <w:r>
        <w:t>3.1 Recommended Financial Restructuring Options</w:t>
      </w:r>
      <w:bookmarkEnd w:id="27"/>
      <w:r>
        <w:t xml:space="preserve"> </w:t>
      </w:r>
      <w:r>
        <w:tab/>
      </w:r>
    </w:p>
    <w:p w14:paraId="4F351428" w14:textId="77777777" w:rsidR="00E84532" w:rsidRDefault="00E90F46">
      <w:pPr>
        <w:pStyle w:val="Heading3"/>
      </w:pPr>
      <w:bookmarkStart w:id="28" w:name="_Toc235029522"/>
      <w:r>
        <w:t>3.1.1 Divestiture</w:t>
      </w:r>
      <w:bookmarkEnd w:id="28"/>
      <w:r>
        <w:t xml:space="preserve"> </w:t>
      </w:r>
    </w:p>
    <w:p w14:paraId="4F351429" w14:textId="77777777" w:rsidR="00E84532" w:rsidRDefault="00E90F46">
      <w:r>
        <w:t xml:space="preserve">Compass Group has adopted divestiture strategies for increasing its fund value to meet the expenditure of its business operations. The company has sold Kroll Consumer Ltd with an intent to strengthen its market value and expand its project in 2026 (Johnson, 2026). Thus, the adoption of disinvestment activities has assisted Compass Group in increasing its financial resources and ensuring smooth completion of its business operations. </w:t>
      </w:r>
    </w:p>
    <w:p w14:paraId="4F35142A" w14:textId="77777777" w:rsidR="00E84532" w:rsidRDefault="00E90F46">
      <w:pPr>
        <w:pStyle w:val="Heading3"/>
      </w:pPr>
      <w:bookmarkStart w:id="29" w:name="_Toc235029523"/>
      <w:r>
        <w:t>3.1.2 Equity Injection Strategy</w:t>
      </w:r>
      <w:bookmarkEnd w:id="29"/>
    </w:p>
    <w:p w14:paraId="4F35142B" w14:textId="77777777" w:rsidR="00E84532" w:rsidRDefault="00E90F46">
      <w:r>
        <w:t xml:space="preserve">The existence of the equity injection strategy has provided opportunities for the </w:t>
      </w:r>
      <w:proofErr w:type="spellStart"/>
      <w:r>
        <w:t>organisation</w:t>
      </w:r>
      <w:proofErr w:type="spellEnd"/>
      <w:r>
        <w:t xml:space="preserve"> in strengthening its capital structure. Compass Group has increased the value of its retained earnings to $1.86bn due to higher operating revenue in 2026 (Yahoo Finance, 2026). Hence, the improvement in the financial reserves has ensured enhancement in the fund supply for the business operations of the company.</w:t>
      </w:r>
    </w:p>
    <w:p w14:paraId="4F35142C" w14:textId="77777777" w:rsidR="00E84532" w:rsidRDefault="00E90F46">
      <w:pPr>
        <w:jc w:val="center"/>
      </w:pPr>
      <w:r>
        <w:rPr>
          <w:noProof/>
        </w:rPr>
        <w:drawing>
          <wp:inline distT="114300" distB="114300" distL="114300" distR="114300" wp14:anchorId="4F35175A" wp14:editId="4F35175B">
            <wp:extent cx="5943600" cy="4051300"/>
            <wp:effectExtent l="0" t="0" r="0" b="0"/>
            <wp:docPr id="37" name="image44.png"/>
            <wp:cNvGraphicFramePr/>
            <a:graphic xmlns:a="http://schemas.openxmlformats.org/drawingml/2006/main">
              <a:graphicData uri="http://schemas.openxmlformats.org/drawingml/2006/picture">
                <pic:pic xmlns:pic="http://schemas.openxmlformats.org/drawingml/2006/picture">
                  <pic:nvPicPr>
                    <pic:cNvPr id="0" name="image44.png"/>
                    <pic:cNvPicPr preferRelativeResize="0"/>
                  </pic:nvPicPr>
                  <pic:blipFill>
                    <a:blip r:embed="rId27"/>
                    <a:srcRect/>
                    <a:stretch>
                      <a:fillRect/>
                    </a:stretch>
                  </pic:blipFill>
                  <pic:spPr>
                    <a:xfrm>
                      <a:off x="0" y="0"/>
                      <a:ext cx="5943600" cy="4051300"/>
                    </a:xfrm>
                    <a:prstGeom prst="rect">
                      <a:avLst/>
                    </a:prstGeom>
                    <a:ln/>
                  </pic:spPr>
                </pic:pic>
              </a:graphicData>
            </a:graphic>
          </wp:inline>
        </w:drawing>
      </w:r>
    </w:p>
    <w:p w14:paraId="4F35142D" w14:textId="77777777" w:rsidR="00E84532" w:rsidRDefault="00E90F46">
      <w:pPr>
        <w:jc w:val="center"/>
        <w:rPr>
          <w:b/>
          <w:bCs/>
        </w:rPr>
      </w:pPr>
      <w:r>
        <w:rPr>
          <w:b/>
          <w:bCs/>
        </w:rPr>
        <w:lastRenderedPageBreak/>
        <w:t>Figure 14: Earning Value of Compass Group</w:t>
      </w:r>
    </w:p>
    <w:p w14:paraId="4F35142E" w14:textId="77777777" w:rsidR="00E84532" w:rsidRDefault="00E90F46">
      <w:pPr>
        <w:jc w:val="center"/>
      </w:pPr>
      <w:r>
        <w:t>(Source: Yahoo Finance, 2026)</w:t>
      </w:r>
    </w:p>
    <w:p w14:paraId="4F35142F" w14:textId="77777777" w:rsidR="00E84532" w:rsidRDefault="00E90F46">
      <w:pPr>
        <w:pStyle w:val="Heading3"/>
      </w:pPr>
      <w:bookmarkStart w:id="30" w:name="_Toc235029524"/>
      <w:r>
        <w:t>3.1.3 Merger and Acquisition</w:t>
      </w:r>
      <w:bookmarkEnd w:id="30"/>
    </w:p>
    <w:p w14:paraId="4F351430" w14:textId="7B01C796" w:rsidR="00E84532" w:rsidRDefault="00E90F46">
      <w:r>
        <w:t xml:space="preserve">The inclusion of the merger and acquisition strategy provides opportunities to </w:t>
      </w:r>
      <w:proofErr w:type="spellStart"/>
      <w:r>
        <w:t>organisations</w:t>
      </w:r>
      <w:proofErr w:type="spellEnd"/>
      <w:r>
        <w:t xml:space="preserve"> for expanding its product line and workforce volume. Compass Group has acquired Verma</w:t>
      </w:r>
      <w:r w:rsidR="00624AFA">
        <w:t>a</w:t>
      </w:r>
      <w:r>
        <w:t xml:space="preserve">t Group worth $1.75bn for expanding its operations </w:t>
      </w:r>
      <w:r>
        <w:tab/>
        <w:t>in North America in 2026. Overall, the acquisition has strengthened the market position of the company in foreign areas.</w:t>
      </w:r>
    </w:p>
    <w:p w14:paraId="4F351431" w14:textId="77777777" w:rsidR="00E84532" w:rsidRDefault="00E90F46">
      <w:pPr>
        <w:pStyle w:val="Heading2"/>
      </w:pPr>
      <w:bookmarkStart w:id="31" w:name="_Toc235029525"/>
      <w:r>
        <w:t>3.2 Impact on financial restructuring</w:t>
      </w:r>
      <w:bookmarkEnd w:id="31"/>
      <w:r>
        <w:t xml:space="preserve"> </w:t>
      </w:r>
    </w:p>
    <w:p w14:paraId="4F351432" w14:textId="77777777" w:rsidR="00E84532" w:rsidRDefault="00E90F46">
      <w:pPr>
        <w:pStyle w:val="Heading3"/>
      </w:pPr>
      <w:bookmarkStart w:id="32" w:name="_Toc235029526"/>
      <w:r>
        <w:t>3.2.1 Significance on Shareholder Value</w:t>
      </w:r>
      <w:bookmarkEnd w:id="32"/>
    </w:p>
    <w:p w14:paraId="4F351433" w14:textId="77777777" w:rsidR="00E84532" w:rsidRDefault="00E90F46">
      <w:r>
        <w:t>Compass Group has improved its investor relationship by understanding financial and operational requirements. The company has improved its EPS value to $1.01 due to a rise in operating income in 2025 (Wall Street, 2026). In addition, the company will also witness forecasted growth of $1.33 in its share value in 2028. Thus, the improvement in the income has assisted Compass Group in improving the participation level of its shareholders in its business operations.</w:t>
      </w:r>
    </w:p>
    <w:p w14:paraId="4F351434" w14:textId="77777777" w:rsidR="00E84532" w:rsidRDefault="00E90F46">
      <w:pPr>
        <w:jc w:val="center"/>
      </w:pPr>
      <w:r>
        <w:rPr>
          <w:noProof/>
        </w:rPr>
        <w:drawing>
          <wp:inline distT="114300" distB="114300" distL="114300" distR="114300" wp14:anchorId="4F35175C" wp14:editId="4F35175D">
            <wp:extent cx="5943600" cy="3759200"/>
            <wp:effectExtent l="0" t="0" r="0" b="0"/>
            <wp:docPr id="10"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8"/>
                    <a:srcRect/>
                    <a:stretch>
                      <a:fillRect/>
                    </a:stretch>
                  </pic:blipFill>
                  <pic:spPr>
                    <a:xfrm>
                      <a:off x="0" y="0"/>
                      <a:ext cx="5943600" cy="3759200"/>
                    </a:xfrm>
                    <a:prstGeom prst="rect">
                      <a:avLst/>
                    </a:prstGeom>
                    <a:ln/>
                  </pic:spPr>
                </pic:pic>
              </a:graphicData>
            </a:graphic>
          </wp:inline>
        </w:drawing>
      </w:r>
    </w:p>
    <w:p w14:paraId="4F351435" w14:textId="77777777" w:rsidR="00E84532" w:rsidRDefault="00E90F46">
      <w:pPr>
        <w:jc w:val="center"/>
        <w:rPr>
          <w:b/>
          <w:bCs/>
        </w:rPr>
      </w:pPr>
      <w:r>
        <w:rPr>
          <w:b/>
          <w:bCs/>
        </w:rPr>
        <w:lastRenderedPageBreak/>
        <w:t>Figure 15: EPS Growth of Compass Group</w:t>
      </w:r>
    </w:p>
    <w:p w14:paraId="4F351436" w14:textId="77777777" w:rsidR="00E84532" w:rsidRDefault="00E90F46">
      <w:pPr>
        <w:jc w:val="center"/>
      </w:pPr>
      <w:r>
        <w:t>(Source: Wall Street, 2026)</w:t>
      </w:r>
    </w:p>
    <w:p w14:paraId="4F351437" w14:textId="77777777" w:rsidR="00E84532" w:rsidRDefault="00E90F46">
      <w:pPr>
        <w:pStyle w:val="Heading3"/>
      </w:pPr>
      <w:bookmarkStart w:id="33" w:name="_Toc235029527"/>
      <w:r>
        <w:t>3.2.2 Significance of Debt Structure</w:t>
      </w:r>
      <w:bookmarkEnd w:id="33"/>
    </w:p>
    <w:p w14:paraId="4F351438" w14:textId="77777777" w:rsidR="00E84532" w:rsidRDefault="00E90F46">
      <w:r>
        <w:t>Compass Group has acquired loans for meeting the growing expenditure of its business operations. As an example, the company has increased its debt capital to $5.47bn in 2025 (Simply Wall Street, 2026). Overall, the existence of higher dependency on external financial sources by Compass Group have also increased the risk level within its business operations.</w:t>
      </w:r>
    </w:p>
    <w:p w14:paraId="4F351439" w14:textId="77777777" w:rsidR="00E84532" w:rsidRDefault="00E90F46">
      <w:pPr>
        <w:pStyle w:val="Heading3"/>
      </w:pPr>
      <w:bookmarkStart w:id="34" w:name="_Toc235029528"/>
      <w:r>
        <w:t>3.2.3 Significance of Operational Flexibility</w:t>
      </w:r>
      <w:bookmarkEnd w:id="34"/>
    </w:p>
    <w:p w14:paraId="4F35143A" w14:textId="77777777" w:rsidR="00E84532" w:rsidRDefault="00E90F46">
      <w:r>
        <w:t xml:space="preserve">The company has also stressed upon enhancing the flexibility level of its business operations to improve its service quality. Compass Group has developed the “Time2Eat Digital Platform” that has provided </w:t>
      </w:r>
      <w:proofErr w:type="spellStart"/>
      <w:r>
        <w:t>customised</w:t>
      </w:r>
      <w:proofErr w:type="spellEnd"/>
      <w:r>
        <w:t xml:space="preserve"> food service to consumers in 2025 (Foolproof, 2026). Thus, the inclusion of </w:t>
      </w:r>
      <w:proofErr w:type="spellStart"/>
      <w:r>
        <w:t>digitalisation</w:t>
      </w:r>
      <w:proofErr w:type="spellEnd"/>
      <w:r>
        <w:t xml:space="preserve"> has helped the Compass Group in overcoming market competition. </w:t>
      </w:r>
      <w:r>
        <w:tab/>
      </w:r>
    </w:p>
    <w:p w14:paraId="4F35143B" w14:textId="77777777" w:rsidR="00E84532" w:rsidRDefault="00E90F46">
      <w:pPr>
        <w:jc w:val="center"/>
      </w:pPr>
      <w:r>
        <w:rPr>
          <w:noProof/>
        </w:rPr>
        <w:drawing>
          <wp:inline distT="114300" distB="114300" distL="114300" distR="114300" wp14:anchorId="4F35175E" wp14:editId="4F35175F">
            <wp:extent cx="5943600" cy="3962400"/>
            <wp:effectExtent l="0" t="0" r="0" b="0"/>
            <wp:docPr id="44" name="image31.png"/>
            <wp:cNvGraphicFramePr/>
            <a:graphic xmlns:a="http://schemas.openxmlformats.org/drawingml/2006/main">
              <a:graphicData uri="http://schemas.openxmlformats.org/drawingml/2006/picture">
                <pic:pic xmlns:pic="http://schemas.openxmlformats.org/drawingml/2006/picture">
                  <pic:nvPicPr>
                    <pic:cNvPr id="0" name="image31.png"/>
                    <pic:cNvPicPr preferRelativeResize="0"/>
                  </pic:nvPicPr>
                  <pic:blipFill>
                    <a:blip r:embed="rId29"/>
                    <a:srcRect/>
                    <a:stretch>
                      <a:fillRect/>
                    </a:stretch>
                  </pic:blipFill>
                  <pic:spPr>
                    <a:xfrm>
                      <a:off x="0" y="0"/>
                      <a:ext cx="5943600" cy="3962400"/>
                    </a:xfrm>
                    <a:prstGeom prst="rect">
                      <a:avLst/>
                    </a:prstGeom>
                    <a:ln/>
                  </pic:spPr>
                </pic:pic>
              </a:graphicData>
            </a:graphic>
          </wp:inline>
        </w:drawing>
      </w:r>
    </w:p>
    <w:p w14:paraId="4F35143C" w14:textId="77777777" w:rsidR="00E84532" w:rsidRDefault="00E90F46">
      <w:pPr>
        <w:jc w:val="center"/>
        <w:rPr>
          <w:b/>
          <w:bCs/>
        </w:rPr>
      </w:pPr>
      <w:r>
        <w:rPr>
          <w:b/>
          <w:bCs/>
        </w:rPr>
        <w:t>Figure 16: “</w:t>
      </w:r>
      <w:proofErr w:type="spellStart"/>
      <w:r>
        <w:rPr>
          <w:b/>
          <w:bCs/>
        </w:rPr>
        <w:t>TimetoEat</w:t>
      </w:r>
      <w:proofErr w:type="spellEnd"/>
      <w:r>
        <w:rPr>
          <w:b/>
          <w:bCs/>
        </w:rPr>
        <w:t xml:space="preserve"> Platform”</w:t>
      </w:r>
    </w:p>
    <w:p w14:paraId="4F35143D" w14:textId="77777777" w:rsidR="00E84532" w:rsidRDefault="00E90F46">
      <w:pPr>
        <w:jc w:val="center"/>
      </w:pPr>
      <w:r>
        <w:t>(Source: Foolproof, 2026)</w:t>
      </w:r>
    </w:p>
    <w:p w14:paraId="4F35143E" w14:textId="77777777" w:rsidR="00E84532" w:rsidRDefault="00E90F46">
      <w:pPr>
        <w:pStyle w:val="Heading2"/>
      </w:pPr>
      <w:bookmarkStart w:id="35" w:name="_Toc235029529"/>
      <w:r>
        <w:lastRenderedPageBreak/>
        <w:t>3.3 International Financial Considerations</w:t>
      </w:r>
      <w:bookmarkEnd w:id="35"/>
      <w:r>
        <w:tab/>
      </w:r>
    </w:p>
    <w:p w14:paraId="4F35143F" w14:textId="77777777" w:rsidR="00E84532" w:rsidRDefault="00E90F46">
      <w:pPr>
        <w:pStyle w:val="Heading3"/>
      </w:pPr>
      <w:bookmarkStart w:id="36" w:name="_Toc235029530"/>
      <w:r>
        <w:t>3.3.1 Taxation Considerations</w:t>
      </w:r>
      <w:bookmarkEnd w:id="36"/>
      <w:r>
        <w:tab/>
      </w:r>
    </w:p>
    <w:p w14:paraId="4F351440" w14:textId="77777777" w:rsidR="00E84532" w:rsidRDefault="00E90F46">
      <w:r>
        <w:t>The international expansion of Compass Group with the adopting acquisitions process also raises fluctuation of corporate tax regime and compliance requirements. However, diversification of the corporate tax rate of exports business from the US about 21% indicated a more specific opportunity for Compass Group (Trading Economics, 2026). Overall, it ensures better tax planning and compliance for expanding business with long term growth.</w:t>
      </w:r>
    </w:p>
    <w:p w14:paraId="4F351441" w14:textId="77777777" w:rsidR="00E84532" w:rsidRDefault="00E90F46">
      <w:r>
        <w:rPr>
          <w:noProof/>
        </w:rPr>
        <w:drawing>
          <wp:inline distT="114300" distB="114300" distL="114300" distR="114300" wp14:anchorId="4F351760" wp14:editId="4F351761">
            <wp:extent cx="5943600" cy="2959100"/>
            <wp:effectExtent l="0" t="0" r="0" b="0"/>
            <wp:docPr id="42"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30"/>
                    <a:srcRect/>
                    <a:stretch>
                      <a:fillRect/>
                    </a:stretch>
                  </pic:blipFill>
                  <pic:spPr>
                    <a:xfrm>
                      <a:off x="0" y="0"/>
                      <a:ext cx="5943600" cy="2959100"/>
                    </a:xfrm>
                    <a:prstGeom prst="rect">
                      <a:avLst/>
                    </a:prstGeom>
                    <a:ln/>
                  </pic:spPr>
                </pic:pic>
              </a:graphicData>
            </a:graphic>
          </wp:inline>
        </w:drawing>
      </w:r>
    </w:p>
    <w:p w14:paraId="4F351442" w14:textId="77777777" w:rsidR="00E84532" w:rsidRDefault="00E90F46">
      <w:pPr>
        <w:jc w:val="center"/>
        <w:rPr>
          <w:b/>
          <w:bCs/>
        </w:rPr>
      </w:pPr>
      <w:r>
        <w:rPr>
          <w:b/>
          <w:bCs/>
        </w:rPr>
        <w:t>Figure 17: Tax rate in US</w:t>
      </w:r>
    </w:p>
    <w:p w14:paraId="4F351443" w14:textId="77777777" w:rsidR="00E84532" w:rsidRDefault="00E90F46">
      <w:pPr>
        <w:jc w:val="center"/>
      </w:pPr>
      <w:r>
        <w:t>(Source: Trading Economics, 2026)</w:t>
      </w:r>
    </w:p>
    <w:p w14:paraId="4F351444" w14:textId="77777777" w:rsidR="00E84532" w:rsidRDefault="00E90F46">
      <w:pPr>
        <w:pStyle w:val="Heading3"/>
      </w:pPr>
      <w:bookmarkStart w:id="37" w:name="_Toc235029531"/>
      <w:r>
        <w:t>3.3.2 Currency Risk</w:t>
      </w:r>
      <w:bookmarkEnd w:id="37"/>
    </w:p>
    <w:p w14:paraId="4F351445" w14:textId="77777777" w:rsidR="00E84532" w:rsidRDefault="00E90F46">
      <w:r>
        <w:t>The fluctuation of current directly impacts the merger process with international expansion as the organization is also fulfilled in financial operation through Dollars. Also, principal currency exposure for organizations with weak GBP value about 1.33USD from 1 GBP that also make a weak impact on operational profit contribution $36 million (Bull, 2026).</w:t>
      </w:r>
    </w:p>
    <w:p w14:paraId="4F351446" w14:textId="77777777" w:rsidR="00E84532" w:rsidRDefault="00E90F46">
      <w:pPr>
        <w:jc w:val="center"/>
        <w:rPr>
          <w:b/>
          <w:bCs/>
        </w:rPr>
      </w:pPr>
      <w:r>
        <w:rPr>
          <w:b/>
          <w:bCs/>
          <w:noProof/>
        </w:rPr>
        <w:lastRenderedPageBreak/>
        <w:drawing>
          <wp:inline distT="114300" distB="114300" distL="114300" distR="114300" wp14:anchorId="4F351762" wp14:editId="4F351763">
            <wp:extent cx="5194810" cy="2824163"/>
            <wp:effectExtent l="0" t="0" r="0" b="0"/>
            <wp:docPr id="30"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31"/>
                    <a:srcRect/>
                    <a:stretch>
                      <a:fillRect/>
                    </a:stretch>
                  </pic:blipFill>
                  <pic:spPr>
                    <a:xfrm>
                      <a:off x="0" y="0"/>
                      <a:ext cx="5194810" cy="2824163"/>
                    </a:xfrm>
                    <a:prstGeom prst="rect">
                      <a:avLst/>
                    </a:prstGeom>
                    <a:ln/>
                  </pic:spPr>
                </pic:pic>
              </a:graphicData>
            </a:graphic>
          </wp:inline>
        </w:drawing>
      </w:r>
    </w:p>
    <w:p w14:paraId="4F351447" w14:textId="77777777" w:rsidR="00E84532" w:rsidRDefault="00E90F46">
      <w:pPr>
        <w:jc w:val="center"/>
        <w:rPr>
          <w:b/>
          <w:bCs/>
        </w:rPr>
      </w:pPr>
      <w:r>
        <w:rPr>
          <w:b/>
          <w:bCs/>
        </w:rPr>
        <w:t>Figure 18: Currency fluctuations</w:t>
      </w:r>
    </w:p>
    <w:p w14:paraId="4F351448" w14:textId="77777777" w:rsidR="00E84532" w:rsidRDefault="00E90F46">
      <w:pPr>
        <w:jc w:val="center"/>
      </w:pPr>
      <w:r>
        <w:t>(Source: Bull, 2026)</w:t>
      </w:r>
      <w:r>
        <w:tab/>
      </w:r>
    </w:p>
    <w:p w14:paraId="4F351449" w14:textId="77777777" w:rsidR="00E84532" w:rsidRDefault="00E90F46">
      <w:pPr>
        <w:pStyle w:val="Heading3"/>
      </w:pPr>
      <w:bookmarkStart w:id="38" w:name="_Toc235029532"/>
      <w:r>
        <w:t>3.3.3 Inflation Risk</w:t>
      </w:r>
      <w:bookmarkEnd w:id="38"/>
      <w:r>
        <w:tab/>
      </w:r>
    </w:p>
    <w:p w14:paraId="4F35144A" w14:textId="71D7DF63" w:rsidR="00E84532" w:rsidRDefault="00E90F46">
      <w:r>
        <w:t xml:space="preserve">The rising inflation rate also increased the key price level of food, </w:t>
      </w:r>
      <w:proofErr w:type="spellStart"/>
      <w:r>
        <w:t>labour</w:t>
      </w:r>
      <w:proofErr w:type="spellEnd"/>
      <w:r>
        <w:t xml:space="preserve"> and operating </w:t>
      </w:r>
      <w:r w:rsidR="00624AFA">
        <w:t>costs. The</w:t>
      </w:r>
      <w:r>
        <w:t xml:space="preserve"> key changing pricing action also was to improve organic growth of organization about 8.7% that abruptly contributed by 3% due to changing pricing consistency. Overall, the inflation rate in the US increased by 2.5% and also indicated fluctuation continuing price uncertainty in business (</w:t>
      </w:r>
      <w:proofErr w:type="spellStart"/>
      <w:r>
        <w:t>Iacurci</w:t>
      </w:r>
      <w:proofErr w:type="spellEnd"/>
      <w:r>
        <w:t>, 2026).</w:t>
      </w:r>
    </w:p>
    <w:p w14:paraId="4F35144B" w14:textId="77777777" w:rsidR="00E84532" w:rsidRDefault="00E90F46">
      <w:pPr>
        <w:jc w:val="center"/>
      </w:pPr>
      <w:r>
        <w:rPr>
          <w:noProof/>
        </w:rPr>
        <w:drawing>
          <wp:inline distT="114300" distB="114300" distL="114300" distR="114300" wp14:anchorId="4F351764" wp14:editId="4F351765">
            <wp:extent cx="3264308" cy="3087328"/>
            <wp:effectExtent l="0" t="0" r="0" b="0"/>
            <wp:docPr id="14"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32"/>
                    <a:srcRect/>
                    <a:stretch>
                      <a:fillRect/>
                    </a:stretch>
                  </pic:blipFill>
                  <pic:spPr>
                    <a:xfrm>
                      <a:off x="0" y="0"/>
                      <a:ext cx="3264308" cy="3087328"/>
                    </a:xfrm>
                    <a:prstGeom prst="rect">
                      <a:avLst/>
                    </a:prstGeom>
                    <a:ln/>
                  </pic:spPr>
                </pic:pic>
              </a:graphicData>
            </a:graphic>
          </wp:inline>
        </w:drawing>
      </w:r>
    </w:p>
    <w:p w14:paraId="4F35144C" w14:textId="77777777" w:rsidR="00E84532" w:rsidRDefault="00E90F46">
      <w:pPr>
        <w:jc w:val="center"/>
        <w:rPr>
          <w:b/>
          <w:bCs/>
        </w:rPr>
      </w:pPr>
      <w:r>
        <w:rPr>
          <w:b/>
          <w:bCs/>
        </w:rPr>
        <w:lastRenderedPageBreak/>
        <w:t>Figure 19: CPI in US</w:t>
      </w:r>
    </w:p>
    <w:p w14:paraId="4F35144D" w14:textId="77777777" w:rsidR="00E84532" w:rsidRDefault="00E90F46">
      <w:pPr>
        <w:jc w:val="center"/>
      </w:pPr>
      <w:r>
        <w:t xml:space="preserve">(Source: </w:t>
      </w:r>
      <w:proofErr w:type="spellStart"/>
      <w:r>
        <w:t>Iacurci</w:t>
      </w:r>
      <w:proofErr w:type="spellEnd"/>
      <w:r>
        <w:t xml:space="preserve">, 2026) </w:t>
      </w:r>
    </w:p>
    <w:p w14:paraId="4F35144E" w14:textId="77777777" w:rsidR="00E84532" w:rsidRDefault="00E90F46">
      <w:pPr>
        <w:pStyle w:val="Heading2"/>
      </w:pPr>
      <w:bookmarkStart w:id="39" w:name="_Toc235029533"/>
      <w:r>
        <w:t>3.4 Discussion on the Ethical and ESG Operations</w:t>
      </w:r>
      <w:bookmarkEnd w:id="39"/>
      <w:r>
        <w:t xml:space="preserve"> </w:t>
      </w:r>
      <w:r>
        <w:tab/>
      </w:r>
    </w:p>
    <w:p w14:paraId="4F35144F" w14:textId="77777777" w:rsidR="00E84532" w:rsidRDefault="00E90F46">
      <w:pPr>
        <w:pStyle w:val="Heading3"/>
      </w:pPr>
      <w:bookmarkStart w:id="40" w:name="_Toc235029534"/>
      <w:r>
        <w:t>3.4.1 Corporate Social Responsibility</w:t>
      </w:r>
      <w:bookmarkEnd w:id="40"/>
    </w:p>
    <w:p w14:paraId="4F351450" w14:textId="77777777" w:rsidR="00E84532" w:rsidRDefault="00E90F46">
      <w:r>
        <w:t xml:space="preserve">Compass Group has diversified its CSR activities for improving its goodwill among the local communities. As an instance, the company has developed the “Classroom to Career” initiative with an intent to provide digital training to school and university students in 2025 (Bean, 2026). Thus, the adoption of the training </w:t>
      </w:r>
      <w:proofErr w:type="spellStart"/>
      <w:r>
        <w:t>programme</w:t>
      </w:r>
      <w:proofErr w:type="spellEnd"/>
      <w:r>
        <w:t xml:space="preserve"> has assisted Compass Group in increasing its brand loyalty among customers. </w:t>
      </w:r>
      <w:r>
        <w:tab/>
      </w:r>
    </w:p>
    <w:p w14:paraId="4F351451" w14:textId="77777777" w:rsidR="00E84532" w:rsidRDefault="00E90F46">
      <w:pPr>
        <w:pStyle w:val="Heading3"/>
      </w:pPr>
      <w:bookmarkStart w:id="41" w:name="_Toc235029535"/>
      <w:r>
        <w:t>3.4.2 Environmental Sustainability</w:t>
      </w:r>
      <w:bookmarkEnd w:id="41"/>
    </w:p>
    <w:p w14:paraId="4F351452" w14:textId="77777777" w:rsidR="00E84532" w:rsidRDefault="00E90F46">
      <w:r>
        <w:t xml:space="preserve">Compass Group has also stressed upon improving the sustainability level of its business operations to increase its loyalty levels. The company has developed the “Carbon Net Zero” </w:t>
      </w:r>
      <w:proofErr w:type="spellStart"/>
      <w:r>
        <w:t>programme</w:t>
      </w:r>
      <w:proofErr w:type="spellEnd"/>
      <w:r>
        <w:t xml:space="preserve"> that has provided 25 sustainable initiatives to the company in 2025 (Compass Plc, 2025). Hence, the lowering of the footprints has assisted Compass Group in promoting operational sustainability and strengthening product quality.</w:t>
      </w:r>
    </w:p>
    <w:p w14:paraId="4F351453" w14:textId="77777777" w:rsidR="00E84532" w:rsidRDefault="00E90F46">
      <w:pPr>
        <w:pStyle w:val="Heading3"/>
      </w:pPr>
      <w:bookmarkStart w:id="42" w:name="_Toc235029536"/>
      <w:r>
        <w:t>3.4.3 ESG Performance and Reporting</w:t>
      </w:r>
      <w:bookmarkEnd w:id="42"/>
      <w:r>
        <w:tab/>
      </w:r>
    </w:p>
    <w:p w14:paraId="4F351454" w14:textId="77777777" w:rsidR="00E84532" w:rsidRDefault="00E90F46">
      <w:r>
        <w:t xml:space="preserve">Compass Group has </w:t>
      </w:r>
      <w:proofErr w:type="spellStart"/>
      <w:r>
        <w:t>emphasised</w:t>
      </w:r>
      <w:proofErr w:type="spellEnd"/>
      <w:r>
        <w:t xml:space="preserve"> upon strengthening its governance activities for including discipline in its business operations. For example, the </w:t>
      </w:r>
      <w:proofErr w:type="spellStart"/>
      <w:r>
        <w:t>organisation</w:t>
      </w:r>
      <w:proofErr w:type="spellEnd"/>
      <w:r>
        <w:t xml:space="preserve"> has increased its ESG score to 48 in 2025 (S&amp;P Global, 2026). Thus, the strengthening of the internal management operations has assisted Compass Group in ensuring timely completion of its business operations.</w:t>
      </w:r>
    </w:p>
    <w:p w14:paraId="4F351455" w14:textId="77777777" w:rsidR="00E84532" w:rsidRDefault="00E90F46">
      <w:pPr>
        <w:jc w:val="center"/>
      </w:pPr>
      <w:r>
        <w:rPr>
          <w:noProof/>
        </w:rPr>
        <w:drawing>
          <wp:inline distT="114300" distB="114300" distL="114300" distR="114300" wp14:anchorId="4F351766" wp14:editId="4F351767">
            <wp:extent cx="5943600" cy="1181100"/>
            <wp:effectExtent l="0" t="0" r="0" b="0"/>
            <wp:docPr id="34"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33"/>
                    <a:srcRect/>
                    <a:stretch>
                      <a:fillRect/>
                    </a:stretch>
                  </pic:blipFill>
                  <pic:spPr>
                    <a:xfrm>
                      <a:off x="0" y="0"/>
                      <a:ext cx="5943600" cy="1181100"/>
                    </a:xfrm>
                    <a:prstGeom prst="rect">
                      <a:avLst/>
                    </a:prstGeom>
                    <a:ln/>
                  </pic:spPr>
                </pic:pic>
              </a:graphicData>
            </a:graphic>
          </wp:inline>
        </w:drawing>
      </w:r>
    </w:p>
    <w:p w14:paraId="4F351456" w14:textId="77777777" w:rsidR="00E84532" w:rsidRDefault="00E90F46">
      <w:pPr>
        <w:jc w:val="center"/>
        <w:rPr>
          <w:b/>
          <w:bCs/>
        </w:rPr>
      </w:pPr>
      <w:r>
        <w:rPr>
          <w:b/>
          <w:bCs/>
        </w:rPr>
        <w:t>Figure 20: ESG Score of Compass Group</w:t>
      </w:r>
    </w:p>
    <w:p w14:paraId="4F351457" w14:textId="77777777" w:rsidR="00E84532" w:rsidRDefault="00E90F46">
      <w:pPr>
        <w:jc w:val="center"/>
      </w:pPr>
      <w:r>
        <w:t>(Source: S&amp;P Global, 2026)</w:t>
      </w:r>
    </w:p>
    <w:p w14:paraId="4F351458" w14:textId="77777777" w:rsidR="00E84532" w:rsidRDefault="00E90F46">
      <w:r>
        <w:br w:type="page"/>
      </w:r>
    </w:p>
    <w:p w14:paraId="4F351459" w14:textId="77777777" w:rsidR="00E84532" w:rsidRDefault="00E90F46">
      <w:pPr>
        <w:pStyle w:val="Heading1"/>
      </w:pPr>
      <w:bookmarkStart w:id="43" w:name="_Toc235029537"/>
      <w:r>
        <w:lastRenderedPageBreak/>
        <w:t>4. Investment Appraisal and Capital Budgeting</w:t>
      </w:r>
      <w:bookmarkEnd w:id="43"/>
      <w:r>
        <w:t xml:space="preserve"> </w:t>
      </w:r>
      <w:r>
        <w:tab/>
      </w:r>
    </w:p>
    <w:p w14:paraId="4F35145A" w14:textId="77777777" w:rsidR="00E84532" w:rsidRDefault="00E90F46">
      <w:pPr>
        <w:pStyle w:val="Heading2"/>
      </w:pPr>
      <w:bookmarkStart w:id="44" w:name="_Toc235029538"/>
      <w:r>
        <w:t>4.1 Project Overview</w:t>
      </w:r>
      <w:bookmarkEnd w:id="44"/>
      <w:r>
        <w:tab/>
      </w:r>
    </w:p>
    <w:p w14:paraId="4F35145B" w14:textId="77777777" w:rsidR="00E84532" w:rsidRDefault="00E90F46">
      <w:r>
        <w:t xml:space="preserve">As stated by Mahmoud (2023), investment appraisal highlights the initial outlays of the project, addressing the visibility and long-term profitability of the project. The initial cost and estimated cash flow is addressed through capital budgeting which is reliable for the selection of projects. NPV, ARR, PI, Payback period and “Internal Rate of Return” are more effective to highlight long term profitability of a business. Projects A, B and C are the proposed investment options that help Compass Group plc enhance the budgeting decisions of the business. Compass Group plc has the ability to invest on technologies, develop new business facilities, and ability to deal with operational improvement, which in term enhance overall shareholder wealth. The initial investment associated with Project A is £50m, B is £50m, and C is £50m, addressed through capital budgeting decisions. This enhances shareholder wealth by maximizing the overall financial stability of the business. Project A showcases net cash inflow in 5 years is about £54.0m, in Project B it is about £55.0m and in C it is about £65.0m. Thus, investment appraisal in different projects have been addressed through high ARR and positive NPV by assessing profitability and liquidity. </w:t>
      </w:r>
    </w:p>
    <w:p w14:paraId="4F35145C" w14:textId="77777777" w:rsidR="00E84532" w:rsidRDefault="00E90F46">
      <w:pPr>
        <w:pStyle w:val="Heading2"/>
      </w:pPr>
      <w:bookmarkStart w:id="45" w:name="_Toc235029539"/>
      <w:r>
        <w:t>4.2 Discuss Project Viability</w:t>
      </w:r>
      <w:bookmarkEnd w:id="45"/>
      <w:r>
        <w:tab/>
      </w:r>
    </w:p>
    <w:p w14:paraId="4F35145D" w14:textId="77777777" w:rsidR="00E84532" w:rsidRDefault="00E90F46">
      <w:pPr>
        <w:pStyle w:val="Heading3"/>
      </w:pPr>
      <w:bookmarkStart w:id="46" w:name="_Toc235029540"/>
      <w:r>
        <w:t xml:space="preserve">4.2.1 Project </w:t>
      </w:r>
      <w:proofErr w:type="gramStart"/>
      <w:r>
        <w:t>A</w:t>
      </w:r>
      <w:proofErr w:type="gramEnd"/>
      <w:r>
        <w:t xml:space="preserve"> Appraisal</w:t>
      </w:r>
      <w:bookmarkEnd w:id="46"/>
      <w:r>
        <w:tab/>
        <w:t xml:space="preserve"> </w:t>
      </w:r>
    </w:p>
    <w:p w14:paraId="4F35145E" w14:textId="77777777" w:rsidR="00E84532" w:rsidRDefault="00E90F46">
      <w:r>
        <w:rPr>
          <w:noProof/>
        </w:rPr>
        <w:drawing>
          <wp:inline distT="114300" distB="114300" distL="114300" distR="114300" wp14:anchorId="4F351768" wp14:editId="4F351769">
            <wp:extent cx="5791200" cy="1866900"/>
            <wp:effectExtent l="0" t="0" r="0" b="0"/>
            <wp:docPr id="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34"/>
                    <a:srcRect/>
                    <a:stretch>
                      <a:fillRect/>
                    </a:stretch>
                  </pic:blipFill>
                  <pic:spPr>
                    <a:xfrm>
                      <a:off x="0" y="0"/>
                      <a:ext cx="5791200" cy="1866900"/>
                    </a:xfrm>
                    <a:prstGeom prst="rect">
                      <a:avLst/>
                    </a:prstGeom>
                    <a:ln/>
                  </pic:spPr>
                </pic:pic>
              </a:graphicData>
            </a:graphic>
          </wp:inline>
        </w:drawing>
      </w:r>
    </w:p>
    <w:p w14:paraId="4F35145F" w14:textId="77777777" w:rsidR="00E84532" w:rsidRDefault="00E90F46">
      <w:pPr>
        <w:jc w:val="center"/>
        <w:rPr>
          <w:b/>
          <w:bCs/>
        </w:rPr>
      </w:pPr>
      <w:r>
        <w:rPr>
          <w:b/>
          <w:bCs/>
        </w:rPr>
        <w:t>Figure 21: NPV</w:t>
      </w:r>
    </w:p>
    <w:p w14:paraId="4F351460" w14:textId="77777777" w:rsidR="00E84532" w:rsidRDefault="00E90F46">
      <w:pPr>
        <w:jc w:val="center"/>
      </w:pPr>
      <w:r>
        <w:t>(Source: Self-Developed)</w:t>
      </w:r>
    </w:p>
    <w:p w14:paraId="4F351461" w14:textId="77777777" w:rsidR="00E84532" w:rsidRDefault="00E90F46">
      <w:r>
        <w:t xml:space="preserve">The “Net Present Value (NPV)” demonstrates the revenue associated with the investment activities in a project (Dobrowolski and Drozdowski, 2022). In the current business plan, </w:t>
      </w:r>
      <w:r>
        <w:lastRenderedPageBreak/>
        <w:t>the NPV has a negative value of £-6.54m due to the presence of a high discounting factor of 8%. Thus, the lowering of the project income has reduced its preference among investors.</w:t>
      </w:r>
    </w:p>
    <w:p w14:paraId="4F351462" w14:textId="77777777" w:rsidR="00E84532" w:rsidRDefault="00E90F46">
      <w:r>
        <w:rPr>
          <w:noProof/>
        </w:rPr>
        <w:drawing>
          <wp:inline distT="114300" distB="114300" distL="114300" distR="114300" wp14:anchorId="4F35176A" wp14:editId="4F35176B">
            <wp:extent cx="5781675" cy="2514600"/>
            <wp:effectExtent l="0" t="0" r="0" b="0"/>
            <wp:docPr id="16"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35"/>
                    <a:srcRect/>
                    <a:stretch>
                      <a:fillRect/>
                    </a:stretch>
                  </pic:blipFill>
                  <pic:spPr>
                    <a:xfrm>
                      <a:off x="0" y="0"/>
                      <a:ext cx="5781675" cy="2514600"/>
                    </a:xfrm>
                    <a:prstGeom prst="rect">
                      <a:avLst/>
                    </a:prstGeom>
                    <a:ln/>
                  </pic:spPr>
                </pic:pic>
              </a:graphicData>
            </a:graphic>
          </wp:inline>
        </w:drawing>
      </w:r>
    </w:p>
    <w:p w14:paraId="4F351463" w14:textId="77777777" w:rsidR="00E84532" w:rsidRDefault="00E90F46">
      <w:pPr>
        <w:jc w:val="center"/>
        <w:rPr>
          <w:b/>
          <w:bCs/>
        </w:rPr>
      </w:pPr>
      <w:r>
        <w:rPr>
          <w:b/>
          <w:bCs/>
        </w:rPr>
        <w:t>Figure 22: PBP</w:t>
      </w:r>
    </w:p>
    <w:p w14:paraId="4F351464" w14:textId="77777777" w:rsidR="00E84532" w:rsidRDefault="00E90F46">
      <w:pPr>
        <w:jc w:val="center"/>
      </w:pPr>
      <w:r>
        <w:t>(Source: Self-Developed)</w:t>
      </w:r>
    </w:p>
    <w:p w14:paraId="4F351465" w14:textId="77777777" w:rsidR="00E84532" w:rsidRDefault="00E90F46">
      <w:r>
        <w:t>The “Payback Period” evaluates the time duration of recovering the initial investment included in the project (</w:t>
      </w:r>
      <w:proofErr w:type="spellStart"/>
      <w:r>
        <w:t>Imteaz</w:t>
      </w:r>
      <w:proofErr w:type="spellEnd"/>
      <w:r>
        <w:t xml:space="preserve">, </w:t>
      </w:r>
      <w:proofErr w:type="spellStart"/>
      <w:r>
        <w:t>Bayatvarkeshi</w:t>
      </w:r>
      <w:proofErr w:type="spellEnd"/>
      <w:r>
        <w:t xml:space="preserve"> and Karim, 2021). As per the above figure, the PBP has increased to “4.5 years” that is higher from the industrial standard of “1-3 years” signifying delay in recovering the invested value of £50m associated with the business plan. Hence, the decline in the fund recovery period has hampered the preference level of the project among investors.</w:t>
      </w:r>
    </w:p>
    <w:p w14:paraId="4F351466" w14:textId="77777777" w:rsidR="00E84532" w:rsidRDefault="00E90F46">
      <w:r>
        <w:rPr>
          <w:noProof/>
        </w:rPr>
        <w:lastRenderedPageBreak/>
        <w:drawing>
          <wp:inline distT="114300" distB="114300" distL="114300" distR="114300" wp14:anchorId="4F35176C" wp14:editId="4F35176D">
            <wp:extent cx="5791200" cy="4057650"/>
            <wp:effectExtent l="0" t="0" r="0" b="0"/>
            <wp:docPr id="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36"/>
                    <a:srcRect/>
                    <a:stretch>
                      <a:fillRect/>
                    </a:stretch>
                  </pic:blipFill>
                  <pic:spPr>
                    <a:xfrm>
                      <a:off x="0" y="0"/>
                      <a:ext cx="5791200" cy="4057650"/>
                    </a:xfrm>
                    <a:prstGeom prst="rect">
                      <a:avLst/>
                    </a:prstGeom>
                    <a:ln/>
                  </pic:spPr>
                </pic:pic>
              </a:graphicData>
            </a:graphic>
          </wp:inline>
        </w:drawing>
      </w:r>
    </w:p>
    <w:p w14:paraId="4F351467" w14:textId="77777777" w:rsidR="00E84532" w:rsidRDefault="00E90F46">
      <w:pPr>
        <w:jc w:val="center"/>
        <w:rPr>
          <w:b/>
          <w:bCs/>
        </w:rPr>
      </w:pPr>
      <w:r>
        <w:rPr>
          <w:b/>
          <w:bCs/>
        </w:rPr>
        <w:t>Figure 23: IRR</w:t>
      </w:r>
    </w:p>
    <w:p w14:paraId="4F351468" w14:textId="77777777" w:rsidR="00E84532" w:rsidRDefault="00E90F46">
      <w:pPr>
        <w:jc w:val="center"/>
      </w:pPr>
      <w:r>
        <w:t>(Source: Self-Developed)</w:t>
      </w:r>
    </w:p>
    <w:p w14:paraId="4F351469" w14:textId="77777777" w:rsidR="00E84532" w:rsidRDefault="00E90F46">
      <w:r>
        <w:t>The “Internal Rate of Return (IRR)” provides details regarding the growth achieved in the investment value associated with the business plan (Favero and Piacitelli, 2024). In project A, the value of the IRR is 3.04%, which has been lower in comparison to the industrial standard of 10% significantly. Thus, the decline in the growth of the funding value has lowered the utility of the scheme for Compass Group.</w:t>
      </w:r>
    </w:p>
    <w:p w14:paraId="4F35146A" w14:textId="77777777" w:rsidR="00E84532" w:rsidRDefault="00E90F46">
      <w:r>
        <w:rPr>
          <w:noProof/>
        </w:rPr>
        <w:drawing>
          <wp:inline distT="114300" distB="114300" distL="114300" distR="114300" wp14:anchorId="4F35176E" wp14:editId="4F35176F">
            <wp:extent cx="5762625" cy="1447800"/>
            <wp:effectExtent l="0" t="0" r="0" b="0"/>
            <wp:docPr id="19"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37"/>
                    <a:srcRect/>
                    <a:stretch>
                      <a:fillRect/>
                    </a:stretch>
                  </pic:blipFill>
                  <pic:spPr>
                    <a:xfrm>
                      <a:off x="0" y="0"/>
                      <a:ext cx="5762625" cy="1447800"/>
                    </a:xfrm>
                    <a:prstGeom prst="rect">
                      <a:avLst/>
                    </a:prstGeom>
                    <a:ln/>
                  </pic:spPr>
                </pic:pic>
              </a:graphicData>
            </a:graphic>
          </wp:inline>
        </w:drawing>
      </w:r>
    </w:p>
    <w:p w14:paraId="4F35146B" w14:textId="77777777" w:rsidR="00E84532" w:rsidRDefault="00E90F46">
      <w:pPr>
        <w:jc w:val="center"/>
        <w:rPr>
          <w:b/>
          <w:bCs/>
        </w:rPr>
      </w:pPr>
      <w:r>
        <w:rPr>
          <w:b/>
          <w:bCs/>
        </w:rPr>
        <w:t>Figure 24: ARR</w:t>
      </w:r>
    </w:p>
    <w:p w14:paraId="4F35146C" w14:textId="77777777" w:rsidR="00E84532" w:rsidRDefault="00E90F46">
      <w:pPr>
        <w:jc w:val="center"/>
      </w:pPr>
      <w:r>
        <w:t>(Source: Self-Developed)</w:t>
      </w:r>
    </w:p>
    <w:p w14:paraId="4F35146D" w14:textId="77777777" w:rsidR="00E84532" w:rsidRDefault="00E90F46">
      <w:r>
        <w:lastRenderedPageBreak/>
        <w:t>The “Average Rate of Return” provides details regarding mean income provided to the investors associated with the business plan (Thusini et al., 2022). In the concerned project, the ARR value is 3.2% due to the decline of its average annual profit of £0.8m. Hence, lower investment income has hampered the feasibility of the project.</w:t>
      </w:r>
    </w:p>
    <w:p w14:paraId="4F35146E" w14:textId="77777777" w:rsidR="00E84532" w:rsidRDefault="00E90F46">
      <w:r>
        <w:rPr>
          <w:noProof/>
        </w:rPr>
        <w:drawing>
          <wp:inline distT="114300" distB="114300" distL="114300" distR="114300" wp14:anchorId="4F351770" wp14:editId="4F351771">
            <wp:extent cx="5781675" cy="2257425"/>
            <wp:effectExtent l="0" t="0" r="0" b="0"/>
            <wp:docPr id="15"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38"/>
                    <a:srcRect/>
                    <a:stretch>
                      <a:fillRect/>
                    </a:stretch>
                  </pic:blipFill>
                  <pic:spPr>
                    <a:xfrm>
                      <a:off x="0" y="0"/>
                      <a:ext cx="5781675" cy="2257425"/>
                    </a:xfrm>
                    <a:prstGeom prst="rect">
                      <a:avLst/>
                    </a:prstGeom>
                    <a:ln/>
                  </pic:spPr>
                </pic:pic>
              </a:graphicData>
            </a:graphic>
          </wp:inline>
        </w:drawing>
      </w:r>
    </w:p>
    <w:p w14:paraId="4F35146F" w14:textId="77777777" w:rsidR="00E84532" w:rsidRDefault="00E90F46">
      <w:pPr>
        <w:jc w:val="center"/>
        <w:rPr>
          <w:b/>
          <w:bCs/>
        </w:rPr>
      </w:pPr>
      <w:r>
        <w:rPr>
          <w:b/>
          <w:bCs/>
        </w:rPr>
        <w:t>Figure 25: PI</w:t>
      </w:r>
    </w:p>
    <w:p w14:paraId="4F351470" w14:textId="77777777" w:rsidR="00E84532" w:rsidRDefault="00E90F46">
      <w:pPr>
        <w:jc w:val="center"/>
      </w:pPr>
      <w:r>
        <w:t>(Source: Self-Developed)</w:t>
      </w:r>
    </w:p>
    <w:p w14:paraId="4F351471" w14:textId="77777777" w:rsidR="00E84532" w:rsidRDefault="00E90F46">
      <w:r>
        <w:t>The profitability index (PI) provides discussion regarding the value of the project to the investors (Pando et al., 2021). In the current business plan, the PI value is 0.87 that has been lower in comparison to the industrial standard of 1 adopted by companies. Hence, the low index score of project A has reduced its preference for Compass Group Plc.</w:t>
      </w:r>
    </w:p>
    <w:p w14:paraId="4F351472" w14:textId="77777777" w:rsidR="00E84532" w:rsidRDefault="00E90F46">
      <w:pPr>
        <w:pStyle w:val="Heading3"/>
      </w:pPr>
      <w:bookmarkStart w:id="47" w:name="_Toc235029541"/>
      <w:r>
        <w:t>4.2.2 Project B Appraisal</w:t>
      </w:r>
      <w:bookmarkEnd w:id="47"/>
      <w:r>
        <w:t xml:space="preserve"> </w:t>
      </w:r>
    </w:p>
    <w:p w14:paraId="4F351473" w14:textId="77777777" w:rsidR="00E84532" w:rsidRDefault="00E90F46">
      <w:r>
        <w:rPr>
          <w:noProof/>
        </w:rPr>
        <w:drawing>
          <wp:inline distT="114300" distB="114300" distL="114300" distR="114300" wp14:anchorId="4F351772" wp14:editId="4F351773">
            <wp:extent cx="5781675" cy="18764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39"/>
                    <a:srcRect/>
                    <a:stretch>
                      <a:fillRect/>
                    </a:stretch>
                  </pic:blipFill>
                  <pic:spPr>
                    <a:xfrm>
                      <a:off x="0" y="0"/>
                      <a:ext cx="5781675" cy="1876425"/>
                    </a:xfrm>
                    <a:prstGeom prst="rect">
                      <a:avLst/>
                    </a:prstGeom>
                    <a:ln/>
                  </pic:spPr>
                </pic:pic>
              </a:graphicData>
            </a:graphic>
          </wp:inline>
        </w:drawing>
      </w:r>
    </w:p>
    <w:p w14:paraId="4F351474" w14:textId="77777777" w:rsidR="00E84532" w:rsidRDefault="00E90F46">
      <w:pPr>
        <w:jc w:val="center"/>
        <w:rPr>
          <w:b/>
          <w:bCs/>
        </w:rPr>
      </w:pPr>
      <w:r>
        <w:rPr>
          <w:b/>
          <w:bCs/>
        </w:rPr>
        <w:t>Figure 26: NPV</w:t>
      </w:r>
    </w:p>
    <w:p w14:paraId="4F351475" w14:textId="77777777" w:rsidR="00E84532" w:rsidRDefault="00E90F46">
      <w:pPr>
        <w:jc w:val="center"/>
      </w:pPr>
      <w:r>
        <w:t>(Source: Self-Developed)</w:t>
      </w:r>
    </w:p>
    <w:p w14:paraId="4F351476" w14:textId="77777777" w:rsidR="00E84532" w:rsidRDefault="00E90F46">
      <w:r>
        <w:t xml:space="preserve">NPV showcases significant changes in the project through “positive wealth management,” showcase significant profitability in business (Shou, 2022). The initial investment is about </w:t>
      </w:r>
      <w:r>
        <w:lastRenderedPageBreak/>
        <w:t xml:space="preserve">£50m, with its NPV about £-6.07m addressed with a discount rate of 8%. The negative NPV is addressed due to high rises in cost and incorrect flow of cash, which affect the overall lifecycle of the project. </w:t>
      </w:r>
    </w:p>
    <w:p w14:paraId="4F351477" w14:textId="77777777" w:rsidR="00E84532" w:rsidRDefault="00E90F46">
      <w:r>
        <w:rPr>
          <w:noProof/>
        </w:rPr>
        <w:drawing>
          <wp:inline distT="114300" distB="114300" distL="114300" distR="114300" wp14:anchorId="4F351774" wp14:editId="4F351775">
            <wp:extent cx="5800725" cy="2457450"/>
            <wp:effectExtent l="0" t="0" r="0" b="0"/>
            <wp:docPr id="1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40"/>
                    <a:srcRect/>
                    <a:stretch>
                      <a:fillRect/>
                    </a:stretch>
                  </pic:blipFill>
                  <pic:spPr>
                    <a:xfrm>
                      <a:off x="0" y="0"/>
                      <a:ext cx="5800725" cy="2457450"/>
                    </a:xfrm>
                    <a:prstGeom prst="rect">
                      <a:avLst/>
                    </a:prstGeom>
                    <a:ln/>
                  </pic:spPr>
                </pic:pic>
              </a:graphicData>
            </a:graphic>
          </wp:inline>
        </w:drawing>
      </w:r>
    </w:p>
    <w:p w14:paraId="4F351478" w14:textId="77777777" w:rsidR="00E84532" w:rsidRDefault="00E90F46">
      <w:pPr>
        <w:jc w:val="center"/>
        <w:rPr>
          <w:b/>
          <w:bCs/>
        </w:rPr>
      </w:pPr>
      <w:r>
        <w:rPr>
          <w:b/>
          <w:bCs/>
        </w:rPr>
        <w:t>Figure 27: PBP</w:t>
      </w:r>
    </w:p>
    <w:p w14:paraId="4F351479" w14:textId="77777777" w:rsidR="00E84532" w:rsidRDefault="00E90F46">
      <w:pPr>
        <w:jc w:val="center"/>
      </w:pPr>
      <w:r>
        <w:t>(Source: Self-Developed)</w:t>
      </w:r>
    </w:p>
    <w:p w14:paraId="4F35147A" w14:textId="77777777" w:rsidR="00E84532" w:rsidRDefault="00E90F46">
      <w:r>
        <w:t xml:space="preserve">The “Payback Period” has a reliable impact on investment decisions of the business with initial cost and managing the initial cash flow in assessing significant risk (Sokolov, 2026). The payback period of project B is about 4.55 years, which raises its risk through longer periods. Although, the 5-year cash flow is about £11.00 million, which is about £6 million that has been uncovered during year 4. </w:t>
      </w:r>
    </w:p>
    <w:p w14:paraId="4F35147B" w14:textId="77777777" w:rsidR="00E84532" w:rsidRDefault="00E84532">
      <w:pPr>
        <w:jc w:val="left"/>
      </w:pPr>
    </w:p>
    <w:p w14:paraId="4F35147C" w14:textId="77777777" w:rsidR="00E84532" w:rsidRDefault="00E84532">
      <w:pPr>
        <w:jc w:val="left"/>
      </w:pPr>
    </w:p>
    <w:p w14:paraId="4F35147D" w14:textId="77777777" w:rsidR="00E84532" w:rsidRDefault="00E90F46">
      <w:r>
        <w:rPr>
          <w:noProof/>
        </w:rPr>
        <w:lastRenderedPageBreak/>
        <w:drawing>
          <wp:inline distT="114300" distB="114300" distL="114300" distR="114300" wp14:anchorId="4F351776" wp14:editId="4F351777">
            <wp:extent cx="5943600" cy="4025900"/>
            <wp:effectExtent l="0" t="0" r="0" b="0"/>
            <wp:docPr id="7"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41"/>
                    <a:srcRect/>
                    <a:stretch>
                      <a:fillRect/>
                    </a:stretch>
                  </pic:blipFill>
                  <pic:spPr>
                    <a:xfrm>
                      <a:off x="0" y="0"/>
                      <a:ext cx="5943600" cy="4025900"/>
                    </a:xfrm>
                    <a:prstGeom prst="rect">
                      <a:avLst/>
                    </a:prstGeom>
                    <a:ln/>
                  </pic:spPr>
                </pic:pic>
              </a:graphicData>
            </a:graphic>
          </wp:inline>
        </w:drawing>
      </w:r>
    </w:p>
    <w:p w14:paraId="4F35147E" w14:textId="77777777" w:rsidR="00E84532" w:rsidRDefault="00E90F46">
      <w:pPr>
        <w:jc w:val="center"/>
        <w:rPr>
          <w:b/>
          <w:bCs/>
        </w:rPr>
      </w:pPr>
      <w:r>
        <w:rPr>
          <w:b/>
          <w:bCs/>
        </w:rPr>
        <w:t>Figure 28: IRR</w:t>
      </w:r>
    </w:p>
    <w:p w14:paraId="4F35147F" w14:textId="77777777" w:rsidR="00E84532" w:rsidRDefault="00E90F46">
      <w:pPr>
        <w:jc w:val="center"/>
      </w:pPr>
      <w:r>
        <w:t>(Source: Self-Developed)</w:t>
      </w:r>
    </w:p>
    <w:p w14:paraId="4F351480" w14:textId="1F1D4DF2" w:rsidR="00E84532" w:rsidRDefault="00E90F46">
      <w:r>
        <w:t xml:space="preserve">“Internal Rate of Return” has a significant impact on managing the cost of capital by showcasing its profitability through potential investment (Magni, 2021). The </w:t>
      </w:r>
      <w:r w:rsidR="00A14316">
        <w:t>favorable</w:t>
      </w:r>
      <w:r>
        <w:t xml:space="preserve"> discounting rate is about 0% with its IRR about £5 million, and at 8% it is about -£6.07million. Thus, the IRR rate of project B is about 3.61%, which in turn showcases a positive value that has a direct impact on “cost of capital" of the business. </w:t>
      </w:r>
    </w:p>
    <w:p w14:paraId="4F351481" w14:textId="77777777" w:rsidR="00E84532" w:rsidRDefault="00E90F46">
      <w:r>
        <w:rPr>
          <w:noProof/>
        </w:rPr>
        <w:drawing>
          <wp:inline distT="114300" distB="114300" distL="114300" distR="114300" wp14:anchorId="4F351778" wp14:editId="4F351779">
            <wp:extent cx="5810250" cy="1447800"/>
            <wp:effectExtent l="0" t="0" r="0" b="0"/>
            <wp:docPr id="32"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42"/>
                    <a:srcRect/>
                    <a:stretch>
                      <a:fillRect/>
                    </a:stretch>
                  </pic:blipFill>
                  <pic:spPr>
                    <a:xfrm>
                      <a:off x="0" y="0"/>
                      <a:ext cx="5810250" cy="1447800"/>
                    </a:xfrm>
                    <a:prstGeom prst="rect">
                      <a:avLst/>
                    </a:prstGeom>
                    <a:ln/>
                  </pic:spPr>
                </pic:pic>
              </a:graphicData>
            </a:graphic>
          </wp:inline>
        </w:drawing>
      </w:r>
    </w:p>
    <w:p w14:paraId="4F351482" w14:textId="77777777" w:rsidR="00E84532" w:rsidRDefault="00E90F46">
      <w:pPr>
        <w:jc w:val="center"/>
        <w:rPr>
          <w:b/>
          <w:bCs/>
        </w:rPr>
      </w:pPr>
      <w:r>
        <w:rPr>
          <w:b/>
          <w:bCs/>
        </w:rPr>
        <w:t>Figure 29: ARR</w:t>
      </w:r>
    </w:p>
    <w:p w14:paraId="4F351483" w14:textId="77777777" w:rsidR="00E84532" w:rsidRDefault="00E90F46">
      <w:pPr>
        <w:jc w:val="center"/>
      </w:pPr>
      <w:r>
        <w:t>(Source: Self-Developed)</w:t>
      </w:r>
    </w:p>
    <w:p w14:paraId="4F351484" w14:textId="77777777" w:rsidR="00E84532" w:rsidRDefault="00E90F46">
      <w:r>
        <w:lastRenderedPageBreak/>
        <w:t xml:space="preserve">“Accounting rate of return” is an investment appraisal measure that showcases significant profitability by accessing initial capital required for the business. The total cash flow is about £55m, with its ARR rate of 4%, which is low that is due to low purchasing power in the Project. </w:t>
      </w:r>
    </w:p>
    <w:p w14:paraId="4F351485" w14:textId="77777777" w:rsidR="00E84532" w:rsidRDefault="00E90F46">
      <w:r>
        <w:rPr>
          <w:noProof/>
        </w:rPr>
        <w:drawing>
          <wp:inline distT="114300" distB="114300" distL="114300" distR="114300" wp14:anchorId="4F35177A" wp14:editId="4F35177B">
            <wp:extent cx="5762625" cy="2257425"/>
            <wp:effectExtent l="0" t="0" r="0" b="0"/>
            <wp:docPr id="45" name="image32.png"/>
            <wp:cNvGraphicFramePr/>
            <a:graphic xmlns:a="http://schemas.openxmlformats.org/drawingml/2006/main">
              <a:graphicData uri="http://schemas.openxmlformats.org/drawingml/2006/picture">
                <pic:pic xmlns:pic="http://schemas.openxmlformats.org/drawingml/2006/picture">
                  <pic:nvPicPr>
                    <pic:cNvPr id="0" name="image32.png"/>
                    <pic:cNvPicPr preferRelativeResize="0"/>
                  </pic:nvPicPr>
                  <pic:blipFill>
                    <a:blip r:embed="rId43"/>
                    <a:srcRect/>
                    <a:stretch>
                      <a:fillRect/>
                    </a:stretch>
                  </pic:blipFill>
                  <pic:spPr>
                    <a:xfrm>
                      <a:off x="0" y="0"/>
                      <a:ext cx="5762625" cy="2257425"/>
                    </a:xfrm>
                    <a:prstGeom prst="rect">
                      <a:avLst/>
                    </a:prstGeom>
                    <a:ln/>
                  </pic:spPr>
                </pic:pic>
              </a:graphicData>
            </a:graphic>
          </wp:inline>
        </w:drawing>
      </w:r>
    </w:p>
    <w:p w14:paraId="4F351486" w14:textId="77777777" w:rsidR="00E84532" w:rsidRDefault="00E90F46">
      <w:pPr>
        <w:jc w:val="center"/>
        <w:rPr>
          <w:b/>
          <w:bCs/>
        </w:rPr>
      </w:pPr>
      <w:r>
        <w:rPr>
          <w:b/>
          <w:bCs/>
        </w:rPr>
        <w:t>Figure 30: PI</w:t>
      </w:r>
    </w:p>
    <w:p w14:paraId="4F351487" w14:textId="77777777" w:rsidR="00E84532" w:rsidRDefault="00E90F46">
      <w:pPr>
        <w:jc w:val="center"/>
      </w:pPr>
      <w:r>
        <w:t>(Source: Self-Developed)</w:t>
      </w:r>
    </w:p>
    <w:p w14:paraId="4F351488" w14:textId="77777777" w:rsidR="00E84532" w:rsidRDefault="00E90F46">
      <w:r>
        <w:t xml:space="preserve">“Profitability index” showcases reliable success in the project that is addressed through significant investment and cash inflow. Future cash flow is about £43.93 million, for reliable repayment of debt and reinvesting in managing business operations. </w:t>
      </w:r>
      <w:proofErr w:type="gramStart"/>
      <w:r>
        <w:t>Thus,.</w:t>
      </w:r>
      <w:proofErr w:type="gramEnd"/>
      <w:r>
        <w:t xml:space="preserve"> Project B has a profitability index of about 0.88% that addresses shifts in the border portfolio and downtown. </w:t>
      </w:r>
    </w:p>
    <w:p w14:paraId="4F351489" w14:textId="77777777" w:rsidR="00E84532" w:rsidRDefault="00E90F46">
      <w:pPr>
        <w:pStyle w:val="Heading3"/>
      </w:pPr>
      <w:bookmarkStart w:id="48" w:name="_Toc235029542"/>
      <w:r>
        <w:t>4.2.3 Project C Appraisal</w:t>
      </w:r>
      <w:bookmarkEnd w:id="48"/>
    </w:p>
    <w:p w14:paraId="4F35148A" w14:textId="77777777" w:rsidR="00E84532" w:rsidRDefault="00E90F46">
      <w:r>
        <w:rPr>
          <w:noProof/>
        </w:rPr>
        <w:drawing>
          <wp:inline distT="114300" distB="114300" distL="114300" distR="114300" wp14:anchorId="4F35177C" wp14:editId="4F35177D">
            <wp:extent cx="5753100" cy="1857375"/>
            <wp:effectExtent l="0" t="0" r="0" b="0"/>
            <wp:docPr id="31" name="image40.png"/>
            <wp:cNvGraphicFramePr/>
            <a:graphic xmlns:a="http://schemas.openxmlformats.org/drawingml/2006/main">
              <a:graphicData uri="http://schemas.openxmlformats.org/drawingml/2006/picture">
                <pic:pic xmlns:pic="http://schemas.openxmlformats.org/drawingml/2006/picture">
                  <pic:nvPicPr>
                    <pic:cNvPr id="0" name="image40.png"/>
                    <pic:cNvPicPr preferRelativeResize="0"/>
                  </pic:nvPicPr>
                  <pic:blipFill>
                    <a:blip r:embed="rId44"/>
                    <a:srcRect/>
                    <a:stretch>
                      <a:fillRect/>
                    </a:stretch>
                  </pic:blipFill>
                  <pic:spPr>
                    <a:xfrm>
                      <a:off x="0" y="0"/>
                      <a:ext cx="5753100" cy="1857375"/>
                    </a:xfrm>
                    <a:prstGeom prst="rect">
                      <a:avLst/>
                    </a:prstGeom>
                    <a:ln/>
                  </pic:spPr>
                </pic:pic>
              </a:graphicData>
            </a:graphic>
          </wp:inline>
        </w:drawing>
      </w:r>
    </w:p>
    <w:p w14:paraId="4F35148B" w14:textId="77777777" w:rsidR="00E84532" w:rsidRDefault="00E90F46">
      <w:pPr>
        <w:jc w:val="center"/>
        <w:rPr>
          <w:b/>
          <w:bCs/>
        </w:rPr>
      </w:pPr>
      <w:r>
        <w:rPr>
          <w:b/>
          <w:bCs/>
        </w:rPr>
        <w:t>Figure 31: NPV</w:t>
      </w:r>
    </w:p>
    <w:p w14:paraId="4F35148C" w14:textId="77777777" w:rsidR="00E84532" w:rsidRDefault="00E90F46">
      <w:pPr>
        <w:jc w:val="center"/>
      </w:pPr>
      <w:r>
        <w:t>(Source: Self-developed)</w:t>
      </w:r>
    </w:p>
    <w:p w14:paraId="4F35148D" w14:textId="597A5727" w:rsidR="00E84532" w:rsidRDefault="00E90F46">
      <w:r>
        <w:lastRenderedPageBreak/>
        <w:t xml:space="preserve">The initial investment value of £50 million generated key cash flow value associated within the five </w:t>
      </w:r>
      <w:r w:rsidR="00A14316">
        <w:t>years’ time</w:t>
      </w:r>
      <w:r>
        <w:t xml:space="preserve"> period. Hence, 8% discounted rate also predicted total inflow of £50.87 million including positive NPV value of £0.87 million. Hence, this benchmark of positive NPV makes an opportunity for expansion projects for Compass Group Plc.</w:t>
      </w:r>
    </w:p>
    <w:p w14:paraId="4F35148E" w14:textId="77777777" w:rsidR="00E84532" w:rsidRDefault="00E90F46">
      <w:r>
        <w:rPr>
          <w:noProof/>
        </w:rPr>
        <w:drawing>
          <wp:inline distT="114300" distB="114300" distL="114300" distR="114300" wp14:anchorId="4F35177E" wp14:editId="4F35177F">
            <wp:extent cx="5772150" cy="2257425"/>
            <wp:effectExtent l="0" t="0" r="0" b="0"/>
            <wp:docPr id="18"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45"/>
                    <a:srcRect/>
                    <a:stretch>
                      <a:fillRect/>
                    </a:stretch>
                  </pic:blipFill>
                  <pic:spPr>
                    <a:xfrm>
                      <a:off x="0" y="0"/>
                      <a:ext cx="5772150" cy="2257425"/>
                    </a:xfrm>
                    <a:prstGeom prst="rect">
                      <a:avLst/>
                    </a:prstGeom>
                    <a:ln/>
                  </pic:spPr>
                </pic:pic>
              </a:graphicData>
            </a:graphic>
          </wp:inline>
        </w:drawing>
      </w:r>
    </w:p>
    <w:p w14:paraId="4F35148F" w14:textId="77777777" w:rsidR="00E84532" w:rsidRDefault="00E90F46">
      <w:pPr>
        <w:jc w:val="center"/>
        <w:rPr>
          <w:b/>
          <w:bCs/>
        </w:rPr>
      </w:pPr>
      <w:r>
        <w:rPr>
          <w:b/>
          <w:bCs/>
        </w:rPr>
        <w:t>Figure 32: PBP</w:t>
      </w:r>
    </w:p>
    <w:p w14:paraId="4F351490" w14:textId="77777777" w:rsidR="00E84532" w:rsidRDefault="00E90F46">
      <w:pPr>
        <w:jc w:val="center"/>
      </w:pPr>
      <w:r>
        <w:t>(Source: Self-developed)</w:t>
      </w:r>
    </w:p>
    <w:p w14:paraId="4F351491" w14:textId="77777777" w:rsidR="00E84532" w:rsidRDefault="00E90F46">
      <w:r>
        <w:t xml:space="preserve">The payback period in case of a project is also lower with approximately 3.60 years indicating less risk factor for shareholders. Thus, at the end of year 3 unrecovered value only £15 million enclosed less risk due to generated higher cash flow of £25 million in fourth consecutive years. </w:t>
      </w:r>
    </w:p>
    <w:p w14:paraId="4F351492" w14:textId="77777777" w:rsidR="00E84532" w:rsidRDefault="00E90F46">
      <w:r>
        <w:rPr>
          <w:noProof/>
        </w:rPr>
        <w:lastRenderedPageBreak/>
        <w:drawing>
          <wp:inline distT="114300" distB="114300" distL="114300" distR="114300" wp14:anchorId="4F351780" wp14:editId="4F351781">
            <wp:extent cx="5791200" cy="4048125"/>
            <wp:effectExtent l="0" t="0" r="0" b="0"/>
            <wp:docPr id="13" name="image36.png"/>
            <wp:cNvGraphicFramePr/>
            <a:graphic xmlns:a="http://schemas.openxmlformats.org/drawingml/2006/main">
              <a:graphicData uri="http://schemas.openxmlformats.org/drawingml/2006/picture">
                <pic:pic xmlns:pic="http://schemas.openxmlformats.org/drawingml/2006/picture">
                  <pic:nvPicPr>
                    <pic:cNvPr id="0" name="image36.png"/>
                    <pic:cNvPicPr preferRelativeResize="0"/>
                  </pic:nvPicPr>
                  <pic:blipFill>
                    <a:blip r:embed="rId46"/>
                    <a:srcRect/>
                    <a:stretch>
                      <a:fillRect/>
                    </a:stretch>
                  </pic:blipFill>
                  <pic:spPr>
                    <a:xfrm>
                      <a:off x="0" y="0"/>
                      <a:ext cx="5791200" cy="4048125"/>
                    </a:xfrm>
                    <a:prstGeom prst="rect">
                      <a:avLst/>
                    </a:prstGeom>
                    <a:ln/>
                  </pic:spPr>
                </pic:pic>
              </a:graphicData>
            </a:graphic>
          </wp:inline>
        </w:drawing>
      </w:r>
    </w:p>
    <w:p w14:paraId="4F351493" w14:textId="77777777" w:rsidR="00E84532" w:rsidRDefault="00E90F46">
      <w:pPr>
        <w:jc w:val="center"/>
        <w:rPr>
          <w:b/>
          <w:bCs/>
        </w:rPr>
      </w:pPr>
      <w:r>
        <w:rPr>
          <w:b/>
          <w:bCs/>
        </w:rPr>
        <w:t>Figure 33: IRR</w:t>
      </w:r>
    </w:p>
    <w:p w14:paraId="4F351494" w14:textId="77777777" w:rsidR="00E84532" w:rsidRDefault="00E90F46">
      <w:pPr>
        <w:jc w:val="center"/>
      </w:pPr>
      <w:r>
        <w:t>(Source: Self-developed)</w:t>
      </w:r>
    </w:p>
    <w:p w14:paraId="4F351495" w14:textId="35396421" w:rsidR="00E84532" w:rsidRDefault="00E90F46">
      <w:r>
        <w:rPr>
          <w:rFonts w:ascii="Arial Unicode MS" w:eastAsia="Arial Unicode MS" w:hAnsi="Arial Unicode MS" w:cs="Arial Unicode MS"/>
        </w:rPr>
        <w:t xml:space="preserve">The key consideration for IRR value calculation are two </w:t>
      </w:r>
      <w:r w:rsidR="00A14316">
        <w:rPr>
          <w:rFonts w:ascii="Arial Unicode MS" w:eastAsia="Arial Unicode MS" w:hAnsi="Arial Unicode MS" w:cs="Arial Unicode MS"/>
        </w:rPr>
        <w:t>favorable</w:t>
      </w:r>
      <w:r>
        <w:rPr>
          <w:rFonts w:ascii="Arial Unicode MS" w:eastAsia="Arial Unicode MS" w:hAnsi="Arial Unicode MS" w:cs="Arial Unicode MS"/>
        </w:rPr>
        <w:t xml:space="preserve"> discounting rates such as 8% and 10%. Hence, 8% discounting rate indicated NPV change of £0.87 million and 10% also indicated change value of −£1.98 million. Thus, IRR value 8.61% is more preferable for properly inclusion safety marginal value through capital raising.</w:t>
      </w:r>
    </w:p>
    <w:p w14:paraId="4F351496" w14:textId="77777777" w:rsidR="00E84532" w:rsidRDefault="00E90F46">
      <w:r>
        <w:rPr>
          <w:noProof/>
        </w:rPr>
        <w:drawing>
          <wp:inline distT="114300" distB="114300" distL="114300" distR="114300" wp14:anchorId="4F351782" wp14:editId="4F351783">
            <wp:extent cx="5781675" cy="1466850"/>
            <wp:effectExtent l="0" t="0" r="0" b="0"/>
            <wp:docPr id="38"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47"/>
                    <a:srcRect/>
                    <a:stretch>
                      <a:fillRect/>
                    </a:stretch>
                  </pic:blipFill>
                  <pic:spPr>
                    <a:xfrm>
                      <a:off x="0" y="0"/>
                      <a:ext cx="5781675" cy="1466850"/>
                    </a:xfrm>
                    <a:prstGeom prst="rect">
                      <a:avLst/>
                    </a:prstGeom>
                    <a:ln/>
                  </pic:spPr>
                </pic:pic>
              </a:graphicData>
            </a:graphic>
          </wp:inline>
        </w:drawing>
      </w:r>
    </w:p>
    <w:p w14:paraId="4F351497" w14:textId="77777777" w:rsidR="00E84532" w:rsidRDefault="00E90F46">
      <w:pPr>
        <w:jc w:val="center"/>
        <w:rPr>
          <w:b/>
          <w:bCs/>
        </w:rPr>
      </w:pPr>
      <w:r>
        <w:rPr>
          <w:b/>
          <w:bCs/>
        </w:rPr>
        <w:t>Figure 34: ARR</w:t>
      </w:r>
    </w:p>
    <w:p w14:paraId="4F351498" w14:textId="77777777" w:rsidR="00E84532" w:rsidRDefault="00E90F46">
      <w:pPr>
        <w:jc w:val="center"/>
      </w:pPr>
      <w:r>
        <w:lastRenderedPageBreak/>
        <w:t>(Source: Self-developed)</w:t>
      </w:r>
    </w:p>
    <w:p w14:paraId="4F351499" w14:textId="77777777" w:rsidR="00E84532" w:rsidRDefault="00E90F46">
      <w:r>
        <w:t>The “average annual profit” generated from the initial invested value of £50 million also raised £3 million. Overall accounting profitability value £15 million also assured ARR value 12% that indicated moderate return potentiality against investment capital.</w:t>
      </w:r>
    </w:p>
    <w:p w14:paraId="4F35149A" w14:textId="77777777" w:rsidR="00E84532" w:rsidRDefault="00E90F46">
      <w:pPr>
        <w:jc w:val="center"/>
      </w:pPr>
      <w:r>
        <w:rPr>
          <w:noProof/>
        </w:rPr>
        <w:drawing>
          <wp:inline distT="114300" distB="114300" distL="114300" distR="114300" wp14:anchorId="4F351784" wp14:editId="4F351785">
            <wp:extent cx="5772150" cy="2266950"/>
            <wp:effectExtent l="0" t="0" r="0" b="0"/>
            <wp:docPr id="43" name="image47.png"/>
            <wp:cNvGraphicFramePr/>
            <a:graphic xmlns:a="http://schemas.openxmlformats.org/drawingml/2006/main">
              <a:graphicData uri="http://schemas.openxmlformats.org/drawingml/2006/picture">
                <pic:pic xmlns:pic="http://schemas.openxmlformats.org/drawingml/2006/picture">
                  <pic:nvPicPr>
                    <pic:cNvPr id="0" name="image47.png"/>
                    <pic:cNvPicPr preferRelativeResize="0"/>
                  </pic:nvPicPr>
                  <pic:blipFill>
                    <a:blip r:embed="rId48"/>
                    <a:srcRect/>
                    <a:stretch>
                      <a:fillRect/>
                    </a:stretch>
                  </pic:blipFill>
                  <pic:spPr>
                    <a:xfrm>
                      <a:off x="0" y="0"/>
                      <a:ext cx="5772150" cy="2266950"/>
                    </a:xfrm>
                    <a:prstGeom prst="rect">
                      <a:avLst/>
                    </a:prstGeom>
                    <a:ln/>
                  </pic:spPr>
                </pic:pic>
              </a:graphicData>
            </a:graphic>
          </wp:inline>
        </w:drawing>
      </w:r>
    </w:p>
    <w:p w14:paraId="4F35149B" w14:textId="77777777" w:rsidR="00E84532" w:rsidRDefault="00E90F46">
      <w:pPr>
        <w:jc w:val="center"/>
        <w:rPr>
          <w:b/>
          <w:bCs/>
        </w:rPr>
      </w:pPr>
      <w:r>
        <w:rPr>
          <w:b/>
          <w:bCs/>
        </w:rPr>
        <w:t>Figure 35: PI</w:t>
      </w:r>
    </w:p>
    <w:p w14:paraId="4F35149C" w14:textId="77777777" w:rsidR="00E84532" w:rsidRDefault="00E90F46">
      <w:pPr>
        <w:jc w:val="center"/>
      </w:pPr>
      <w:r>
        <w:t>(Source: Self-developed)</w:t>
      </w:r>
    </w:p>
    <w:p w14:paraId="4F35149D" w14:textId="77777777" w:rsidR="00E84532" w:rsidRDefault="00E90F46">
      <w:r>
        <w:t>The PI index about 1.02 also indicated higher industry benchmark capability towards generating profit through investment of projects. Hence, £50.87 million present value of cash flow also be proper growth with incurred higher marginal benefit of Compass Group Plc.</w:t>
      </w:r>
    </w:p>
    <w:p w14:paraId="4F35149E" w14:textId="77777777" w:rsidR="00E84532" w:rsidRDefault="00E90F46">
      <w:pPr>
        <w:pStyle w:val="Heading2"/>
      </w:pPr>
      <w:bookmarkStart w:id="49" w:name="_Toc235029543"/>
      <w:r>
        <w:t>4.3 Recommendation based on the company's financial performance</w:t>
      </w:r>
      <w:bookmarkEnd w:id="49"/>
      <w:r>
        <w:tab/>
      </w:r>
    </w:p>
    <w:p w14:paraId="4F35149F" w14:textId="77777777" w:rsidR="00E84532" w:rsidRDefault="00E90F46">
      <w:pPr>
        <w:pStyle w:val="Heading3"/>
      </w:pPr>
      <w:bookmarkStart w:id="50" w:name="_Toc235029544"/>
      <w:r>
        <w:t>4.3.1 Selection of project</w:t>
      </w:r>
      <w:bookmarkEnd w:id="50"/>
      <w:r>
        <w:t xml:space="preserve"> </w:t>
      </w:r>
    </w:p>
    <w:p w14:paraId="4F3514A0" w14:textId="77777777" w:rsidR="00E84532" w:rsidRDefault="00E90F46">
      <w:r>
        <w:t>Based on the above analysis it is also defined that Project C is generally most suitable due to generating positive NPV capability of £0.87 million to assure better shareholder value creation. In addition, PI value also exceeds 1.02 making profit of £0.02 for every £1 invested in the project.</w:t>
      </w:r>
    </w:p>
    <w:p w14:paraId="4F3514A1" w14:textId="77777777" w:rsidR="00E84532" w:rsidRDefault="00E90F46">
      <w:pPr>
        <w:pStyle w:val="Heading3"/>
      </w:pPr>
      <w:bookmarkStart w:id="51" w:name="_Toc235029545"/>
      <w:r>
        <w:t>4.3.2 Financial performance</w:t>
      </w:r>
      <w:bookmarkEnd w:id="51"/>
      <w:r>
        <w:t xml:space="preserve"> </w:t>
      </w:r>
    </w:p>
    <w:p w14:paraId="4F3514A2" w14:textId="77777777" w:rsidR="00E84532" w:rsidRDefault="00E90F46">
      <w:r>
        <w:t xml:space="preserve">The selection of project C has been carried out due to its positive NPV of £0.87m and PI value of £1.02 that will improve the income of Compass Group Plc. For instance, the </w:t>
      </w:r>
      <w:proofErr w:type="spellStart"/>
      <w:r>
        <w:t>organisation</w:t>
      </w:r>
      <w:proofErr w:type="spellEnd"/>
      <w:r>
        <w:t xml:space="preserve"> will enhance its estimated sales value to $25000m in 2027 (Market Screener, 2026). In addition, project C has also observed improvement in the cumulative cash flow value from £-45m in “year 1” to £10m in “year 5” that strengthens the working capital of </w:t>
      </w:r>
      <w:r>
        <w:lastRenderedPageBreak/>
        <w:t>the company. Thus, the improvement in the forecasted income and availability of financial resources will provide market stability to Compass Group Plc through acquiring project C.</w:t>
      </w:r>
    </w:p>
    <w:p w14:paraId="4F3514A3" w14:textId="77777777" w:rsidR="00E84532" w:rsidRDefault="00E90F46">
      <w:pPr>
        <w:jc w:val="center"/>
      </w:pPr>
      <w:r>
        <w:rPr>
          <w:noProof/>
        </w:rPr>
        <w:drawing>
          <wp:inline distT="114300" distB="114300" distL="114300" distR="114300" wp14:anchorId="4F351786" wp14:editId="4F351787">
            <wp:extent cx="3219450" cy="2857500"/>
            <wp:effectExtent l="0" t="0" r="0" b="0"/>
            <wp:docPr id="28" name="image41.png"/>
            <wp:cNvGraphicFramePr/>
            <a:graphic xmlns:a="http://schemas.openxmlformats.org/drawingml/2006/main">
              <a:graphicData uri="http://schemas.openxmlformats.org/drawingml/2006/picture">
                <pic:pic xmlns:pic="http://schemas.openxmlformats.org/drawingml/2006/picture">
                  <pic:nvPicPr>
                    <pic:cNvPr id="0" name="image41.png"/>
                    <pic:cNvPicPr preferRelativeResize="0"/>
                  </pic:nvPicPr>
                  <pic:blipFill>
                    <a:blip r:embed="rId49"/>
                    <a:srcRect/>
                    <a:stretch>
                      <a:fillRect/>
                    </a:stretch>
                  </pic:blipFill>
                  <pic:spPr>
                    <a:xfrm>
                      <a:off x="0" y="0"/>
                      <a:ext cx="3219450" cy="2857500"/>
                    </a:xfrm>
                    <a:prstGeom prst="rect">
                      <a:avLst/>
                    </a:prstGeom>
                    <a:ln/>
                  </pic:spPr>
                </pic:pic>
              </a:graphicData>
            </a:graphic>
          </wp:inline>
        </w:drawing>
      </w:r>
    </w:p>
    <w:p w14:paraId="4F3514A4" w14:textId="77777777" w:rsidR="00E84532" w:rsidRDefault="00E90F46">
      <w:pPr>
        <w:jc w:val="center"/>
        <w:rPr>
          <w:b/>
          <w:bCs/>
        </w:rPr>
      </w:pPr>
      <w:r>
        <w:rPr>
          <w:b/>
          <w:bCs/>
        </w:rPr>
        <w:t>Figure 36: Estimated Sales Value of Compass Group Plc</w:t>
      </w:r>
    </w:p>
    <w:p w14:paraId="4F3514A5" w14:textId="77777777" w:rsidR="00E84532" w:rsidRDefault="00E90F46">
      <w:pPr>
        <w:jc w:val="center"/>
      </w:pPr>
      <w:r>
        <w:t>(Source: Market Screener, 2026)</w:t>
      </w:r>
    </w:p>
    <w:p w14:paraId="4F3514A6" w14:textId="77777777" w:rsidR="00E84532" w:rsidRDefault="00E90F46">
      <w:pPr>
        <w:pStyle w:val="Heading3"/>
      </w:pPr>
      <w:bookmarkStart w:id="52" w:name="_Toc235029546"/>
      <w:r>
        <w:t>4.3.3 Non-Financial Risk</w:t>
      </w:r>
      <w:bookmarkEnd w:id="52"/>
      <w:r>
        <w:t xml:space="preserve"> </w:t>
      </w:r>
    </w:p>
    <w:p w14:paraId="4F3514A7" w14:textId="77777777" w:rsidR="00E84532" w:rsidRDefault="00E90F46">
      <w:pPr>
        <w:rPr>
          <w:b/>
          <w:bCs/>
        </w:rPr>
      </w:pPr>
      <w:r>
        <w:rPr>
          <w:b/>
          <w:bCs/>
        </w:rPr>
        <w:t xml:space="preserve">Consumer loyalty </w:t>
      </w:r>
    </w:p>
    <w:p w14:paraId="4F3514A8" w14:textId="77777777" w:rsidR="00E84532" w:rsidRDefault="00E90F46">
      <w:r>
        <w:t xml:space="preserve">The cash flow of Project C reflects consumer loyalty, which leads to enhanced stable revenue. Compass Group directly invests on Project C by ability to showcase its profit progression and reinvesting on catering services, which leads to enhance demand for these services. The catering service of the UK is about USD 4708.75 billion in 2025, with its CAGR about 4.57% (Morgan, 2025). This in term leads to high rises of "repeat customers” towards catering services based on accessing dining services. </w:t>
      </w:r>
    </w:p>
    <w:p w14:paraId="4F3514A9" w14:textId="77777777" w:rsidR="00E84532" w:rsidRDefault="00E90F46">
      <w:pPr>
        <w:rPr>
          <w:b/>
          <w:bCs/>
        </w:rPr>
      </w:pPr>
      <w:r>
        <w:rPr>
          <w:b/>
          <w:bCs/>
        </w:rPr>
        <w:t xml:space="preserve">Political risk </w:t>
      </w:r>
    </w:p>
    <w:p w14:paraId="4F3514AA" w14:textId="77777777" w:rsidR="00E84532" w:rsidRDefault="00E90F46">
      <w:pPr>
        <w:rPr>
          <w:highlight w:val="white"/>
        </w:rPr>
      </w:pPr>
      <w:r>
        <w:rPr>
          <w:highlight w:val="white"/>
        </w:rPr>
        <w:t xml:space="preserve">Project C faced political risk due policy shift, regime changes which affect overall reputation. Compass Group was affected due to political instability with its share falling about 7.7%, leading to geopolitical exposure (Proactive, 2026). The impact of this risk affects Project C with capital investment, which in turn reduces capital expenditure. </w:t>
      </w:r>
    </w:p>
    <w:p w14:paraId="4F3514AB" w14:textId="77777777" w:rsidR="00E84532" w:rsidRDefault="00E84532"/>
    <w:p w14:paraId="4F3514AC" w14:textId="77777777" w:rsidR="00E84532" w:rsidRDefault="00E90F46">
      <w:pPr>
        <w:pStyle w:val="Heading2"/>
      </w:pPr>
      <w:bookmarkStart w:id="53" w:name="_Toc235029547"/>
      <w:r>
        <w:lastRenderedPageBreak/>
        <w:t>4.4 Capital Rationing Analysis (£100 Million Limit)</w:t>
      </w:r>
      <w:bookmarkEnd w:id="53"/>
      <w:r>
        <w:t xml:space="preserve"> </w:t>
      </w:r>
    </w:p>
    <w:p w14:paraId="4F3514AD" w14:textId="77777777" w:rsidR="00E84532" w:rsidRDefault="00E90F46">
      <w:r>
        <w:rPr>
          <w:noProof/>
        </w:rPr>
        <w:drawing>
          <wp:inline distT="114300" distB="114300" distL="114300" distR="114300" wp14:anchorId="4F351788" wp14:editId="4F351789">
            <wp:extent cx="5791200" cy="1628775"/>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50"/>
                    <a:srcRect/>
                    <a:stretch>
                      <a:fillRect/>
                    </a:stretch>
                  </pic:blipFill>
                  <pic:spPr>
                    <a:xfrm>
                      <a:off x="0" y="0"/>
                      <a:ext cx="5791200" cy="1628775"/>
                    </a:xfrm>
                    <a:prstGeom prst="rect">
                      <a:avLst/>
                    </a:prstGeom>
                    <a:ln/>
                  </pic:spPr>
                </pic:pic>
              </a:graphicData>
            </a:graphic>
          </wp:inline>
        </w:drawing>
      </w:r>
    </w:p>
    <w:p w14:paraId="4F3514AE" w14:textId="77777777" w:rsidR="00E84532" w:rsidRDefault="00E90F46">
      <w:pPr>
        <w:jc w:val="center"/>
        <w:rPr>
          <w:b/>
          <w:bCs/>
        </w:rPr>
      </w:pPr>
      <w:r>
        <w:rPr>
          <w:b/>
          <w:bCs/>
        </w:rPr>
        <w:t>Figure 37: Capital rationing</w:t>
      </w:r>
    </w:p>
    <w:p w14:paraId="4F3514AF" w14:textId="77777777" w:rsidR="00E84532" w:rsidRDefault="00E90F46">
      <w:pPr>
        <w:jc w:val="center"/>
      </w:pPr>
      <w:r>
        <w:t>(Source: Self-developed)</w:t>
      </w:r>
    </w:p>
    <w:p w14:paraId="4F3514B0" w14:textId="77777777" w:rsidR="00E84532" w:rsidRDefault="00E90F46">
      <w:r>
        <w:t>The capital rationing most prioritizing method of financial evaluation of projects for suitable risk factor recognition with higher cash inflow generation for the long term (Hayes, 2026). Thus, the consolidated budget value of £100 Million for the choice of a combination project best suitable for projects B and C. It is generally to ensure negative NPV while the highest combined NPV apart from other project combinations of -£5.20 million. Also, higher PV inflows of £94.80 million and PI index of 0.95 indicated the best choice among projects B and C for expanding capital raising in business.</w:t>
      </w:r>
    </w:p>
    <w:p w14:paraId="4F3514B1" w14:textId="77777777" w:rsidR="00E84532" w:rsidRDefault="00E90F46">
      <w:r>
        <w:br w:type="page"/>
      </w:r>
    </w:p>
    <w:p w14:paraId="4F3514B2" w14:textId="77777777" w:rsidR="00E84532" w:rsidRDefault="00E90F46">
      <w:pPr>
        <w:pStyle w:val="Heading1"/>
      </w:pPr>
      <w:bookmarkStart w:id="54" w:name="_Toc235029548"/>
      <w:r>
        <w:lastRenderedPageBreak/>
        <w:t>5. Critical Reflection on Artificial Intelligence Usage</w:t>
      </w:r>
      <w:bookmarkEnd w:id="54"/>
    </w:p>
    <w:p w14:paraId="4F3514B3" w14:textId="77777777" w:rsidR="00E84532" w:rsidRDefault="00E90F46">
      <w:pPr>
        <w:pStyle w:val="Heading2"/>
      </w:pPr>
      <w:bookmarkStart w:id="55" w:name="_Toc235029549"/>
      <w:r>
        <w:t>5.1 AI tools and Acknowledgement</w:t>
      </w:r>
      <w:bookmarkEnd w:id="55"/>
    </w:p>
    <w:p w14:paraId="4F3514B4" w14:textId="77777777" w:rsidR="00E84532" w:rsidRDefault="00E90F46">
      <w:r>
        <w:t xml:space="preserve">In my opinion, the inclusion of artificial intelligence technologies </w:t>
      </w:r>
      <w:proofErr w:type="gramStart"/>
      <w:r>
        <w:t>have</w:t>
      </w:r>
      <w:proofErr w:type="gramEnd"/>
      <w:r>
        <w:t xml:space="preserve"> improved the quality and accuracy of the report carried out for </w:t>
      </w:r>
      <w:proofErr w:type="spellStart"/>
      <w:r>
        <w:t>analysing</w:t>
      </w:r>
      <w:proofErr w:type="spellEnd"/>
      <w:r>
        <w:t xml:space="preserve"> the operational performance of Compass Group Plc. I have utilized AI tools such as “Google Gemini” for aligning the structure of my investigation process with the requirements of the assignment. As stated by Imran and Almusharraf, (2024), the inclusion of the “Google Gemini” techniques utilizes the keywords of the topic and develops themes for </w:t>
      </w:r>
      <w:proofErr w:type="spellStart"/>
      <w:r>
        <w:t>analysing</w:t>
      </w:r>
      <w:proofErr w:type="spellEnd"/>
      <w:r>
        <w:t xml:space="preserve"> the topic. The method helped me in reducing delays in the completion of my evolution on the company. In addition, I also adopted the AI methods for ascertaining the accuracy of the financial data acquired from the annual report of the </w:t>
      </w:r>
      <w:proofErr w:type="spellStart"/>
      <w:r>
        <w:t>organisation</w:t>
      </w:r>
      <w:proofErr w:type="spellEnd"/>
      <w:r>
        <w:t>. Overall, I feel that the inclusion of digital techniques mentioned above have helped me in increasing the viability of the analysis provided on the hotel company.</w:t>
      </w:r>
    </w:p>
    <w:p w14:paraId="4F3514B5" w14:textId="77777777" w:rsidR="00E84532" w:rsidRDefault="00E90F46">
      <w:pPr>
        <w:pStyle w:val="Heading2"/>
      </w:pPr>
      <w:bookmarkStart w:id="56" w:name="_Toc235029550"/>
      <w:r>
        <w:t>5.2 Evaluation of AI Outputs</w:t>
      </w:r>
      <w:bookmarkEnd w:id="56"/>
      <w:r>
        <w:tab/>
      </w:r>
    </w:p>
    <w:p w14:paraId="4F3514B6" w14:textId="77777777" w:rsidR="00E84532" w:rsidRDefault="00E90F46">
      <w:r>
        <w:t xml:space="preserve">In this task, the use of “Retrieval-Augmented Generation” (RAG), and “Automated cross-verification (ACV)” helps to analyze data by minimizing hallucinations. RAG methods help to carry out </w:t>
      </w:r>
      <w:proofErr w:type="spellStart"/>
      <w:r>
        <w:t>localised</w:t>
      </w:r>
      <w:proofErr w:type="spellEnd"/>
      <w:r>
        <w:t xml:space="preserve"> information from the articles, which serves prior information in carrying out output (James, </w:t>
      </w:r>
      <w:proofErr w:type="spellStart"/>
      <w:r>
        <w:t>Trovati</w:t>
      </w:r>
      <w:proofErr w:type="spellEnd"/>
      <w:r>
        <w:t xml:space="preserve"> and Bolton, 2025). The ACV method serves reliable output through the use of a structured database by ability to showcase its traceability through the reliable use of sources. I think that financial analysis done through the use of Excel provides reliable information addressed through calculation. Although correction of “Hallucinations” is addressed through a logical test and “human-in-the-loop” review process, which showcases the reliability of the financial calculation (Magesh et al., 2025). On the other hand, sometimes the algorithm contradiction leads to severe errors that do not match with the manual calculation. Thus “human-in-the-loop” reviews serve reliable information by highlighting significant changes in format over the years that are carried out through exact sources. </w:t>
      </w:r>
    </w:p>
    <w:p w14:paraId="4F3514B7" w14:textId="77777777" w:rsidR="00E84532" w:rsidRDefault="00E90F46">
      <w:pPr>
        <w:pStyle w:val="Heading2"/>
      </w:pPr>
      <w:bookmarkStart w:id="57" w:name="_Toc235029551"/>
      <w:r>
        <w:t>5.3 Contribution Analysis</w:t>
      </w:r>
      <w:bookmarkEnd w:id="57"/>
      <w:r>
        <w:tab/>
      </w:r>
    </w:p>
    <w:p w14:paraId="4F3514B8" w14:textId="77777777" w:rsidR="00E84532" w:rsidRDefault="00E90F46">
      <w:pPr>
        <w:pStyle w:val="Heading3"/>
      </w:pPr>
      <w:bookmarkStart w:id="58" w:name="_Toc235029552"/>
      <w:r>
        <w:t>5.3.1 AI-Generated Contributions</w:t>
      </w:r>
      <w:bookmarkEnd w:id="58"/>
    </w:p>
    <w:p w14:paraId="4F3514B9" w14:textId="77777777" w:rsidR="00E84532" w:rsidRDefault="00E90F46">
      <w:r>
        <w:t xml:space="preserve">The adoption of the AI tools </w:t>
      </w:r>
      <w:proofErr w:type="gramStart"/>
      <w:r>
        <w:t>have</w:t>
      </w:r>
      <w:proofErr w:type="gramEnd"/>
      <w:r>
        <w:t xml:space="preserve"> provided opportunities to me in acquiring information regarding the formulas of the ratios used for executing the financial evaluation of </w:t>
      </w:r>
      <w:r>
        <w:lastRenderedPageBreak/>
        <w:t xml:space="preserve">Compass Group. In addition, the method has been applied to identify themes associated with the topic that enhanced the quality of the assignment. Hence, the inclusion of AI tools has improved the accuracy of my report regarding the financial and operational results of the </w:t>
      </w:r>
      <w:proofErr w:type="spellStart"/>
      <w:r>
        <w:t>organisation</w:t>
      </w:r>
      <w:proofErr w:type="spellEnd"/>
      <w:r>
        <w:t>.</w:t>
      </w:r>
      <w:r>
        <w:tab/>
      </w:r>
    </w:p>
    <w:p w14:paraId="4F3514BA" w14:textId="77777777" w:rsidR="00E84532" w:rsidRDefault="00E90F46">
      <w:pPr>
        <w:pStyle w:val="Heading3"/>
      </w:pPr>
      <w:bookmarkStart w:id="59" w:name="_Toc235029553"/>
      <w:r>
        <w:t>5.3.2 Independent Critical Analysis</w:t>
      </w:r>
      <w:bookmarkEnd w:id="59"/>
    </w:p>
    <w:p w14:paraId="4F3514BB" w14:textId="77777777" w:rsidR="00E84532" w:rsidRDefault="00E90F46">
      <w:r>
        <w:t xml:space="preserve">As per my personal contribution, I collected </w:t>
      </w:r>
      <w:proofErr w:type="gramStart"/>
      <w:r>
        <w:t>5 year</w:t>
      </w:r>
      <w:proofErr w:type="gramEnd"/>
      <w:r>
        <w:t xml:space="preserve"> financial data of the company through its annual for providing graphical representation on its internal performance. In addition, I adopted the use of ratio analysis and investment appraisal tools for </w:t>
      </w:r>
      <w:proofErr w:type="spellStart"/>
      <w:r>
        <w:t>analysing</w:t>
      </w:r>
      <w:proofErr w:type="spellEnd"/>
      <w:r>
        <w:t xml:space="preserve"> the economic growth of Compass Group Plc. I also included the application of the ESG and sustainability report of the company for measuring its environmental performance.</w:t>
      </w:r>
    </w:p>
    <w:p w14:paraId="4F3514BC" w14:textId="77777777" w:rsidR="00E84532" w:rsidRDefault="00E90F46">
      <w:pPr>
        <w:pStyle w:val="Heading2"/>
      </w:pPr>
      <w:bookmarkStart w:id="60" w:name="_Toc235029554"/>
      <w:r>
        <w:t>5.4 Ethical and Professional Reflection</w:t>
      </w:r>
      <w:bookmarkEnd w:id="60"/>
    </w:p>
    <w:p w14:paraId="4F3514BD" w14:textId="77777777" w:rsidR="00E84532" w:rsidRDefault="00E90F46">
      <w:r>
        <w:t xml:space="preserve">In financial roles, AI integration has addressed high rises of ethical risk due to lack of transparency, algorithm bias and accountability gaps that hamper the quality of the task (Aldemir and </w:t>
      </w:r>
      <w:proofErr w:type="spellStart"/>
      <w:r>
        <w:t>Uçma</w:t>
      </w:r>
      <w:proofErr w:type="spellEnd"/>
      <w:r>
        <w:t xml:space="preserve"> Uysal, 2025). Ethical risks associated in finance have been addressed due to ineffective credit scoring and loan approvals, which showcases accountability in projects. The adoption of AI tools leads to high rises of error, which does not provide reliable information for the execution of the report. The financial data collected for the execution of the project enhances its transparency through justified decisions taken by professionals in resolving disputes. The poor data collected through the use of AI, which does not have its massive linkage with the </w:t>
      </w:r>
      <w:proofErr w:type="spellStart"/>
      <w:r>
        <w:t>organisation</w:t>
      </w:r>
      <w:proofErr w:type="spellEnd"/>
      <w:r>
        <w:t xml:space="preserve">, leads to high rises of academic misconduct concerns. Thus, I think that AI serves reliable benefits in serving accuracy and shareholder confidence through reliable decision-making. </w:t>
      </w:r>
    </w:p>
    <w:p w14:paraId="4F3514BE" w14:textId="77777777" w:rsidR="00E84532" w:rsidRDefault="00E84532"/>
    <w:p w14:paraId="4F3514BF" w14:textId="77777777" w:rsidR="00E84532" w:rsidRDefault="00E90F46">
      <w:r>
        <w:br w:type="page"/>
      </w:r>
    </w:p>
    <w:p w14:paraId="4F3514C0" w14:textId="77777777" w:rsidR="00E84532" w:rsidRDefault="00E90F46">
      <w:pPr>
        <w:pStyle w:val="Heading1"/>
      </w:pPr>
      <w:bookmarkStart w:id="61" w:name="_Toc235029555"/>
      <w:r>
        <w:lastRenderedPageBreak/>
        <w:t>References</w:t>
      </w:r>
      <w:bookmarkEnd w:id="61"/>
      <w:r>
        <w:tab/>
      </w:r>
    </w:p>
    <w:p w14:paraId="112BDBB6" w14:textId="77777777" w:rsidR="00A14316" w:rsidRPr="00A14316" w:rsidRDefault="00A14316">
      <w:pPr>
        <w:spacing w:after="240"/>
      </w:pPr>
      <w:proofErr w:type="spellStart"/>
      <w:r w:rsidRPr="00A14316">
        <w:t>Alarussi</w:t>
      </w:r>
      <w:proofErr w:type="spellEnd"/>
      <w:r w:rsidRPr="00A14316">
        <w:t xml:space="preserve">, A.S.A. (2021). Financial ratios and efficiency in Malaysian listed companies. </w:t>
      </w:r>
      <w:r w:rsidRPr="00A14316">
        <w:rPr>
          <w:i/>
          <w:iCs/>
        </w:rPr>
        <w:t>Asian Journal of Economics and Banking</w:t>
      </w:r>
      <w:r w:rsidRPr="00A14316">
        <w:t>, 5(2), pp.116–135. doi:10.1108/ajeb-06-2020-0014.</w:t>
      </w:r>
    </w:p>
    <w:p w14:paraId="5A9882F9" w14:textId="77777777" w:rsidR="00A14316" w:rsidRPr="00A14316" w:rsidRDefault="00A14316">
      <w:pPr>
        <w:spacing w:after="240"/>
      </w:pPr>
      <w:r w:rsidRPr="00A14316">
        <w:t xml:space="preserve">Aldemir, C. and </w:t>
      </w:r>
      <w:proofErr w:type="spellStart"/>
      <w:r w:rsidRPr="00A14316">
        <w:t>Uçma</w:t>
      </w:r>
      <w:proofErr w:type="spellEnd"/>
      <w:r w:rsidRPr="00A14316">
        <w:t xml:space="preserve"> Uysal, T. (2025). Artificial Intelligence for Financial Accountability and Governance in the Public Sector: Strategic Opportunities and Challenges. </w:t>
      </w:r>
      <w:r w:rsidRPr="00A14316">
        <w:rPr>
          <w:i/>
          <w:iCs/>
        </w:rPr>
        <w:t>Administrative Sciences</w:t>
      </w:r>
      <w:r w:rsidRPr="00A14316">
        <w:t>, [online] 15(2), pp.58–58. doi:10.3390/admsci15020058.</w:t>
      </w:r>
    </w:p>
    <w:p w14:paraId="27E56A98" w14:textId="77777777" w:rsidR="00A14316" w:rsidRPr="00A14316" w:rsidRDefault="00A14316">
      <w:pPr>
        <w:spacing w:after="240"/>
      </w:pPr>
      <w:r w:rsidRPr="00A14316">
        <w:t xml:space="preserve">Bean, S. (2026). </w:t>
      </w:r>
      <w:r w:rsidRPr="00A14316">
        <w:rPr>
          <w:i/>
          <w:iCs/>
        </w:rPr>
        <w:t xml:space="preserve">Compass ‘Classroom to Careers’ </w:t>
      </w:r>
      <w:proofErr w:type="spellStart"/>
      <w:r w:rsidRPr="00A14316">
        <w:rPr>
          <w:i/>
          <w:iCs/>
        </w:rPr>
        <w:t>programme</w:t>
      </w:r>
      <w:proofErr w:type="spellEnd"/>
      <w:r w:rsidRPr="00A14316">
        <w:rPr>
          <w:i/>
          <w:iCs/>
        </w:rPr>
        <w:t xml:space="preserve"> aims to help young people into meaningful work</w:t>
      </w:r>
      <w:r w:rsidRPr="00A14316">
        <w:t>. [online] FMJ. Available at: https://www.fmj.co.uk/compass-classroom-to-careers-programme-aims-to-help-young-people-into-meaningful-work/.</w:t>
      </w:r>
    </w:p>
    <w:p w14:paraId="2736FE6B" w14:textId="77777777" w:rsidR="00A14316" w:rsidRPr="00A14316" w:rsidRDefault="00A14316">
      <w:pPr>
        <w:spacing w:after="240"/>
      </w:pPr>
      <w:r w:rsidRPr="00A14316">
        <w:t xml:space="preserve">Bull, A. (2026). </w:t>
      </w:r>
      <w:r w:rsidRPr="00A14316">
        <w:rPr>
          <w:i/>
          <w:iCs/>
        </w:rPr>
        <w:t>Pound Sterling Week Ahead: GBP, EUR &amp; USD Outlook — 8 June 2026</w:t>
      </w:r>
      <w:r w:rsidRPr="00A14316">
        <w:t xml:space="preserve">. [online] Cambridge Currencies | International Money Transfers. Available at: https://cambridgecurrencies.com/pound-sterling-week-ahead-8-june-2026/ </w:t>
      </w:r>
    </w:p>
    <w:p w14:paraId="03CB275E" w14:textId="77777777" w:rsidR="00A14316" w:rsidRPr="00A14316" w:rsidRDefault="00A14316">
      <w:pPr>
        <w:spacing w:after="240"/>
      </w:pPr>
      <w:r w:rsidRPr="00A14316">
        <w:t xml:space="preserve">Compass Group (2023). </w:t>
      </w:r>
      <w:r w:rsidRPr="00A14316">
        <w:rPr>
          <w:i/>
          <w:iCs/>
        </w:rPr>
        <w:t>ESG and Sustainability</w:t>
      </w:r>
      <w:r w:rsidRPr="00A14316">
        <w:t xml:space="preserve">. [online] Compass Group Corporate Website. Available at: https://www.compass-group.com/en/sustainability.html </w:t>
      </w:r>
    </w:p>
    <w:p w14:paraId="23B1E21E" w14:textId="77777777" w:rsidR="00A14316" w:rsidRPr="00A14316" w:rsidRDefault="00A14316">
      <w:pPr>
        <w:spacing w:after="240"/>
      </w:pPr>
      <w:r w:rsidRPr="00A14316">
        <w:t xml:space="preserve">Compass Group (2024). </w:t>
      </w:r>
      <w:r w:rsidRPr="00A14316">
        <w:rPr>
          <w:i/>
          <w:iCs/>
        </w:rPr>
        <w:t>Third Quarter Trading Update 2024</w:t>
      </w:r>
      <w:r w:rsidRPr="00A14316">
        <w:t xml:space="preserve">. [online] Compass Group Corporate Website. Available at: https://www.compass-group.com/en/media/news/2024/third-quarter-trading-update.html </w:t>
      </w:r>
    </w:p>
    <w:p w14:paraId="7A3C6FBD" w14:textId="77777777" w:rsidR="00A14316" w:rsidRPr="00A14316" w:rsidRDefault="00A14316">
      <w:pPr>
        <w:spacing w:after="240"/>
      </w:pPr>
      <w:r w:rsidRPr="00A14316">
        <w:t xml:space="preserve">Compass Group (2025). </w:t>
      </w:r>
      <w:r w:rsidRPr="00A14316">
        <w:rPr>
          <w:i/>
          <w:iCs/>
        </w:rPr>
        <w:t>Compass Group PLC (CPG.L) Income Statement - Yahoo Finance</w:t>
      </w:r>
      <w:r w:rsidRPr="00A14316">
        <w:t xml:space="preserve">. [online] Yahoo Finance. Available at: </w:t>
      </w:r>
      <w:hyperlink r:id="rId51">
        <w:r w:rsidRPr="00A14316">
          <w:t>https://finance.yahoo.com/quote/CPG.L/financials/</w:t>
        </w:r>
      </w:hyperlink>
    </w:p>
    <w:p w14:paraId="7B979380" w14:textId="77777777" w:rsidR="00A14316" w:rsidRPr="00A14316" w:rsidRDefault="00A14316">
      <w:pPr>
        <w:spacing w:after="240"/>
      </w:pPr>
      <w:r w:rsidRPr="00A14316">
        <w:t xml:space="preserve">Compass Group (2025). </w:t>
      </w:r>
      <w:r w:rsidRPr="00A14316">
        <w:rPr>
          <w:i/>
          <w:iCs/>
        </w:rPr>
        <w:t>Compass Group PLC agrees to acquire Vermaat Groep</w:t>
      </w:r>
      <w:r w:rsidRPr="00A14316">
        <w:t xml:space="preserve">. [online] Compass Group Corporate Website. Available at: https://www.compass-group.com/en/media/news/2025/agreement-to-acquire-Vermaat-Groep.html </w:t>
      </w:r>
    </w:p>
    <w:p w14:paraId="0102A0CC" w14:textId="77777777" w:rsidR="00A14316" w:rsidRPr="00A14316" w:rsidRDefault="00A14316">
      <w:pPr>
        <w:spacing w:after="240"/>
      </w:pPr>
      <w:r w:rsidRPr="00A14316">
        <w:lastRenderedPageBreak/>
        <w:t xml:space="preserve">Compass Group (2025). </w:t>
      </w:r>
      <w:r w:rsidRPr="00A14316">
        <w:rPr>
          <w:i/>
          <w:iCs/>
        </w:rPr>
        <w:t xml:space="preserve">Euro Medium Term Note </w:t>
      </w:r>
      <w:proofErr w:type="spellStart"/>
      <w:r w:rsidRPr="00A14316">
        <w:rPr>
          <w:i/>
          <w:iCs/>
        </w:rPr>
        <w:t>Programme</w:t>
      </w:r>
      <w:proofErr w:type="spellEnd"/>
      <w:r w:rsidRPr="00A14316">
        <w:t xml:space="preserve">. [online] Compass Group Corporate Website. Available at: https://www.compass-group.com/en/investors/debt-investors/euro-medium-term-note-programme.html </w:t>
      </w:r>
    </w:p>
    <w:p w14:paraId="5CDF58FF" w14:textId="77777777" w:rsidR="00A14316" w:rsidRPr="00A14316" w:rsidRDefault="00A14316">
      <w:pPr>
        <w:spacing w:after="240"/>
      </w:pPr>
      <w:r w:rsidRPr="00A14316">
        <w:t xml:space="preserve">Compass Group (2025). </w:t>
      </w:r>
      <w:r w:rsidRPr="00A14316">
        <w:rPr>
          <w:i/>
          <w:iCs/>
        </w:rPr>
        <w:t>Half Year Results Announcement for the six months ended 31 ...</w:t>
      </w:r>
      <w:r w:rsidRPr="00A14316">
        <w:t xml:space="preserve"> [online] Available at: https://www.compass-group.com/content/dam/compass-group/corporate/Investors/Results-presentations/2026/Compass-Group-Half-Year-2026-Press-Release.pdf.downloadasset.pdf.</w:t>
      </w:r>
    </w:p>
    <w:p w14:paraId="7F6612E3" w14:textId="77777777" w:rsidR="00A14316" w:rsidRPr="00A14316" w:rsidRDefault="00A14316">
      <w:pPr>
        <w:spacing w:after="240"/>
      </w:pPr>
      <w:r w:rsidRPr="00A14316">
        <w:t xml:space="preserve">Compass Group (2025). </w:t>
      </w:r>
      <w:r w:rsidRPr="00A14316">
        <w:rPr>
          <w:i/>
          <w:iCs/>
        </w:rPr>
        <w:t>PG-FY25-press release-FINAL - Compass Group</w:t>
      </w:r>
      <w:r w:rsidRPr="00A14316">
        <w:t>. [online] Available at: https://www.compass-group.com/content/dam/compass-group/corporate/Investors/Results-presentations/2025/CPG-FY25-Press%20Release-FINAL.pdf.downloadasset.pdf.</w:t>
      </w:r>
    </w:p>
    <w:p w14:paraId="09EF9B7C" w14:textId="77777777" w:rsidR="00A14316" w:rsidRPr="00A14316" w:rsidRDefault="00A14316">
      <w:pPr>
        <w:spacing w:after="240"/>
      </w:pPr>
      <w:r w:rsidRPr="00A14316">
        <w:t>Compass Group (2026). [online] Available at: https://www.compass-group.com/content/dam/compass-group/corporate/Investors/Results-presentations/2026/Compass-Group-Half-Year-2026-Press-Release.pdf.downloadasset.pdf.</w:t>
      </w:r>
    </w:p>
    <w:p w14:paraId="482C91D4" w14:textId="77777777" w:rsidR="00A14316" w:rsidRPr="00A14316" w:rsidRDefault="00A14316">
      <w:pPr>
        <w:spacing w:after="240"/>
      </w:pPr>
      <w:r w:rsidRPr="00A14316">
        <w:t xml:space="preserve">Compass Group PLC (2021). </w:t>
      </w:r>
      <w:r w:rsidRPr="00A14316">
        <w:rPr>
          <w:i/>
          <w:iCs/>
        </w:rPr>
        <w:t>FUTURE A SUSTAINABLE</w:t>
      </w:r>
      <w:r w:rsidRPr="00A14316">
        <w:t>. [online] Available at: https://www.compass-group.com/content/dam/compass-group/corporate/ar-updates-2021/annual-report-pdf/CompassGroupPLC_AnnualReport2021.pdf.</w:t>
      </w:r>
    </w:p>
    <w:p w14:paraId="70E34B2D" w14:textId="77777777" w:rsidR="00A14316" w:rsidRPr="00A14316" w:rsidRDefault="00A14316">
      <w:pPr>
        <w:spacing w:after="240"/>
      </w:pPr>
      <w:r w:rsidRPr="00A14316">
        <w:t>Compass Group Plc (2023). [online] Available at: https://www.compass-group.com/content/dam/compass-group/corporate/oar-2023/annual-report-2023.pdf.</w:t>
      </w:r>
    </w:p>
    <w:p w14:paraId="5AC80365" w14:textId="77777777" w:rsidR="00A14316" w:rsidRPr="00A14316" w:rsidRDefault="00A14316">
      <w:pPr>
        <w:spacing w:after="240"/>
      </w:pPr>
      <w:r w:rsidRPr="00A14316">
        <w:t>Compass Group Plc (2025). [online] Available at: https://www.compass-group.com/content/dam/compass-group/corporate/oar-2025/oar-page/annual-report-2025.pdf.</w:t>
      </w:r>
    </w:p>
    <w:p w14:paraId="463711E2" w14:textId="77777777" w:rsidR="00A14316" w:rsidRPr="00A14316" w:rsidRDefault="00A14316">
      <w:pPr>
        <w:spacing w:after="240"/>
      </w:pPr>
      <w:r w:rsidRPr="00A14316">
        <w:t xml:space="preserve">Compass Plc (2025). </w:t>
      </w:r>
      <w:r w:rsidRPr="00A14316">
        <w:rPr>
          <w:i/>
          <w:iCs/>
        </w:rPr>
        <w:t>Climate Net Zero 2050</w:t>
      </w:r>
      <w:r w:rsidRPr="00A14316">
        <w:t>. [online] Compass Group Corporate Website. Available at: https://www.compass-group.com/en/sustainability/planet/climate-net-zero-2050.html.</w:t>
      </w:r>
    </w:p>
    <w:p w14:paraId="49B5DCEC" w14:textId="77777777" w:rsidR="00A14316" w:rsidRPr="00A14316" w:rsidRDefault="00A14316">
      <w:pPr>
        <w:spacing w:after="240"/>
      </w:pPr>
      <w:r w:rsidRPr="00A14316">
        <w:lastRenderedPageBreak/>
        <w:t xml:space="preserve">Dobrowolski, Z. and Drozdowski, G. (2022). Does the Net Present Value as a Financial Metric Fit Investment in Green Energy Security? </w:t>
      </w:r>
      <w:r w:rsidRPr="00A14316">
        <w:rPr>
          <w:i/>
          <w:iCs/>
        </w:rPr>
        <w:t>Energies</w:t>
      </w:r>
      <w:r w:rsidRPr="00A14316">
        <w:t xml:space="preserve">, [online] 15(1), p.353. </w:t>
      </w:r>
      <w:proofErr w:type="spellStart"/>
      <w:proofErr w:type="gramStart"/>
      <w:r w:rsidRPr="00A14316">
        <w:t>doi:https</w:t>
      </w:r>
      <w:proofErr w:type="spellEnd"/>
      <w:r w:rsidRPr="00A14316">
        <w:t>://doi.org/10.3390/en15010353</w:t>
      </w:r>
      <w:proofErr w:type="gramEnd"/>
      <w:r w:rsidRPr="00A14316">
        <w:t>.</w:t>
      </w:r>
    </w:p>
    <w:p w14:paraId="60E9310F" w14:textId="77777777" w:rsidR="00A14316" w:rsidRPr="00A14316" w:rsidRDefault="00A14316">
      <w:pPr>
        <w:spacing w:after="240"/>
      </w:pPr>
      <w:r w:rsidRPr="00A14316">
        <w:t xml:space="preserve">Favero, G. and Piacitelli, G. (2024). Irr and equivalence of cash-flow streams, loans, and portfolios of bonds. </w:t>
      </w:r>
      <w:r w:rsidRPr="00A14316">
        <w:rPr>
          <w:i/>
          <w:iCs/>
        </w:rPr>
        <w:t>Decisions in economics and finance</w:t>
      </w:r>
      <w:r w:rsidRPr="00A14316">
        <w:t>. doi:10.1007/s10203-024-00450-4.</w:t>
      </w:r>
    </w:p>
    <w:p w14:paraId="6D0BF8CB" w14:textId="77777777" w:rsidR="00A14316" w:rsidRPr="00A14316" w:rsidRDefault="00A14316">
      <w:pPr>
        <w:spacing w:after="240"/>
      </w:pPr>
      <w:r w:rsidRPr="00A14316">
        <w:t xml:space="preserve">Foolproof (2026). </w:t>
      </w:r>
      <w:r w:rsidRPr="00A14316">
        <w:rPr>
          <w:i/>
          <w:iCs/>
        </w:rPr>
        <w:t>Compass - Time 2 Eat</w:t>
      </w:r>
      <w:r w:rsidRPr="00A14316">
        <w:t>. [online] Foolproof.co.uk. Available at: https://foolproof.co.uk/our-work/compass-time-2-eat.</w:t>
      </w:r>
    </w:p>
    <w:p w14:paraId="7F54769C" w14:textId="77777777" w:rsidR="00A14316" w:rsidRPr="00A14316" w:rsidRDefault="00A14316">
      <w:pPr>
        <w:spacing w:after="240"/>
      </w:pPr>
      <w:r w:rsidRPr="00A14316">
        <w:t xml:space="preserve">Hayes, A. (2026). </w:t>
      </w:r>
      <w:r w:rsidRPr="00A14316">
        <w:rPr>
          <w:i/>
          <w:iCs/>
        </w:rPr>
        <w:t>Introduction to Capital Rationing</w:t>
      </w:r>
      <w:r w:rsidRPr="00A14316">
        <w:t xml:space="preserve">. [online] Investopedia. Available at: https://www.investopedia.com/terms/c/capitalrationing.asp </w:t>
      </w:r>
    </w:p>
    <w:p w14:paraId="66572A0B" w14:textId="77777777" w:rsidR="00A14316" w:rsidRPr="00A14316" w:rsidRDefault="00A14316">
      <w:pPr>
        <w:spacing w:after="240"/>
      </w:pPr>
      <w:r w:rsidRPr="00A14316">
        <w:t xml:space="preserve">Iacurci, G. (2026). </w:t>
      </w:r>
      <w:r w:rsidRPr="00A14316">
        <w:rPr>
          <w:i/>
          <w:iCs/>
        </w:rPr>
        <w:t>Here’s the inflation breakdown for January 2026 — in one chart</w:t>
      </w:r>
      <w:r w:rsidRPr="00A14316">
        <w:t>. [online] CNBC. Available at: https://www.cnbc.com/2026/02/13/heres-the-inflation-breakdown-for-january-2026-in-one-chart.html</w:t>
      </w:r>
    </w:p>
    <w:p w14:paraId="38F4CD13" w14:textId="77777777" w:rsidR="00A14316" w:rsidRPr="00A14316" w:rsidRDefault="00A14316">
      <w:pPr>
        <w:spacing w:after="240"/>
      </w:pPr>
      <w:r w:rsidRPr="00A14316">
        <w:t xml:space="preserve">Imran, M. and </w:t>
      </w:r>
      <w:proofErr w:type="spellStart"/>
      <w:r w:rsidRPr="00A14316">
        <w:t>Almusharraf</w:t>
      </w:r>
      <w:proofErr w:type="spellEnd"/>
      <w:r w:rsidRPr="00A14316">
        <w:t xml:space="preserve">, N. (2024). Google Gemini as a next generation AI educational tool: A review of emerging educational technology. </w:t>
      </w:r>
      <w:r w:rsidRPr="00A14316">
        <w:rPr>
          <w:i/>
          <w:iCs/>
        </w:rPr>
        <w:t>Smart learning environments</w:t>
      </w:r>
      <w:r w:rsidRPr="00A14316">
        <w:t>, [online] 11(1). doi:10.1186/s40561-024-00310-z.</w:t>
      </w:r>
    </w:p>
    <w:p w14:paraId="226C2D04" w14:textId="77777777" w:rsidR="00A14316" w:rsidRPr="00A14316" w:rsidRDefault="00A14316">
      <w:pPr>
        <w:spacing w:after="240"/>
      </w:pPr>
      <w:proofErr w:type="spellStart"/>
      <w:r w:rsidRPr="00A14316">
        <w:t>Imteaz</w:t>
      </w:r>
      <w:proofErr w:type="spellEnd"/>
      <w:r w:rsidRPr="00A14316">
        <w:t xml:space="preserve">, M.A., </w:t>
      </w:r>
      <w:proofErr w:type="spellStart"/>
      <w:r w:rsidRPr="00A14316">
        <w:t>Bayatvarkeshi</w:t>
      </w:r>
      <w:proofErr w:type="spellEnd"/>
      <w:r w:rsidRPr="00A14316">
        <w:t xml:space="preserve">, M. and Karim, </w:t>
      </w:r>
      <w:proofErr w:type="spellStart"/>
      <w:r w:rsidRPr="00A14316">
        <w:t>Md.R</w:t>
      </w:r>
      <w:proofErr w:type="spellEnd"/>
      <w:r w:rsidRPr="00A14316">
        <w:t xml:space="preserve">. (2021). Developing </w:t>
      </w:r>
      <w:proofErr w:type="spellStart"/>
      <w:r w:rsidRPr="00A14316">
        <w:t>Generalised</w:t>
      </w:r>
      <w:proofErr w:type="spellEnd"/>
      <w:r w:rsidRPr="00A14316">
        <w:t xml:space="preserve"> Equation for the Calculation of </w:t>
      </w:r>
      <w:proofErr w:type="spellStart"/>
      <w:r w:rsidRPr="00A14316">
        <w:t>PayBack</w:t>
      </w:r>
      <w:proofErr w:type="spellEnd"/>
      <w:r w:rsidRPr="00A14316">
        <w:t xml:space="preserve"> Period for Rainwater Harvesting Systems. </w:t>
      </w:r>
      <w:r w:rsidRPr="00A14316">
        <w:rPr>
          <w:i/>
          <w:iCs/>
        </w:rPr>
        <w:t>Sustainability</w:t>
      </w:r>
      <w:r w:rsidRPr="00A14316">
        <w:t>, [online] 13(8), p.4266. doi:10.3390/su13084266.</w:t>
      </w:r>
    </w:p>
    <w:p w14:paraId="2B07C780" w14:textId="77777777" w:rsidR="00A14316" w:rsidRPr="00A14316" w:rsidRDefault="00A14316">
      <w:pPr>
        <w:spacing w:after="240"/>
      </w:pPr>
      <w:r w:rsidRPr="00A14316">
        <w:t xml:space="preserve">Investing News (2026). </w:t>
      </w:r>
      <w:r w:rsidRPr="00A14316">
        <w:rPr>
          <w:i/>
          <w:iCs/>
        </w:rPr>
        <w:t>Compass Diversified cuts management fee to 1.25% from 2%</w:t>
      </w:r>
      <w:r w:rsidRPr="00A14316">
        <w:t>. [online] Investing.com India. Available at: https://m.in.investing.com/news/stock-market-news/compass-diversified-cuts-management-fee-to-125-from-2-93ch-5492701?ampmode=1.</w:t>
      </w:r>
    </w:p>
    <w:p w14:paraId="647D3331" w14:textId="77777777" w:rsidR="00A14316" w:rsidRPr="00A14316" w:rsidRDefault="00A14316">
      <w:pPr>
        <w:spacing w:after="240"/>
      </w:pPr>
      <w:r w:rsidRPr="00A14316">
        <w:t xml:space="preserve">James, A., </w:t>
      </w:r>
      <w:proofErr w:type="spellStart"/>
      <w:r w:rsidRPr="00A14316">
        <w:t>Trovati</w:t>
      </w:r>
      <w:proofErr w:type="spellEnd"/>
      <w:r w:rsidRPr="00A14316">
        <w:t xml:space="preserve">, M. and Bolton, S. (2025). Retrieval-Augmented Generation to Generate Knowledge Assets and Creation of Action Drivers. </w:t>
      </w:r>
      <w:r w:rsidRPr="00A14316">
        <w:rPr>
          <w:i/>
          <w:iCs/>
        </w:rPr>
        <w:t>Applied Sciences</w:t>
      </w:r>
      <w:r w:rsidRPr="00A14316">
        <w:t>, 15(11), pp.6247–6247. doi:10.3390/app15116247.</w:t>
      </w:r>
    </w:p>
    <w:p w14:paraId="3221D9C2" w14:textId="77777777" w:rsidR="00A14316" w:rsidRPr="00A14316" w:rsidRDefault="00A14316">
      <w:pPr>
        <w:spacing w:after="240"/>
      </w:pPr>
      <w:r w:rsidRPr="00A14316">
        <w:lastRenderedPageBreak/>
        <w:t xml:space="preserve">Johnson, H. (2026). </w:t>
      </w:r>
      <w:r w:rsidRPr="00A14316">
        <w:rPr>
          <w:i/>
          <w:iCs/>
        </w:rPr>
        <w:t>Kroll</w:t>
      </w:r>
      <w:r w:rsidRPr="00A14316">
        <w:t>. [online] Kroll. Available at: https://www.kroll.com/en/transactions/sell-side-advisor-compass-food-sales-company-limited.</w:t>
      </w:r>
    </w:p>
    <w:p w14:paraId="57ABC416" w14:textId="77777777" w:rsidR="00A14316" w:rsidRPr="00A14316" w:rsidRDefault="00A14316">
      <w:pPr>
        <w:spacing w:after="240"/>
      </w:pPr>
      <w:r w:rsidRPr="00A14316">
        <w:t xml:space="preserve">Macrotrends (2025). </w:t>
      </w:r>
      <w:r w:rsidRPr="00A14316">
        <w:rPr>
          <w:i/>
          <w:iCs/>
        </w:rPr>
        <w:t>Compass Group Long Term Debt 2012-2025 | CMPGY</w:t>
      </w:r>
      <w:r w:rsidRPr="00A14316">
        <w:t xml:space="preserve">. [online] Macrotrends.net. Available at: https://www.macrotrends.net/stocks/charts/CMPGY/compass-group/long-term-debt </w:t>
      </w:r>
    </w:p>
    <w:p w14:paraId="738E6D4F" w14:textId="77777777" w:rsidR="00A14316" w:rsidRPr="00A14316" w:rsidRDefault="00A14316">
      <w:pPr>
        <w:spacing w:after="240"/>
      </w:pPr>
      <w:r w:rsidRPr="00A14316">
        <w:t xml:space="preserve">Magesh, V., Surani, F., Dahl, M., </w:t>
      </w:r>
      <w:proofErr w:type="spellStart"/>
      <w:r w:rsidRPr="00A14316">
        <w:t>Suzgun</w:t>
      </w:r>
      <w:proofErr w:type="spellEnd"/>
      <w:r w:rsidRPr="00A14316">
        <w:t>, M., Manning, C.D. and Ho, D.E. (2025). Hallucination‐Free? Assessing the Reliability of Leading &lt;</w:t>
      </w:r>
      <w:proofErr w:type="spellStart"/>
      <w:r w:rsidRPr="00A14316">
        <w:t>scp</w:t>
      </w:r>
      <w:proofErr w:type="spellEnd"/>
      <w:r w:rsidRPr="00A14316">
        <w:t>&gt;AI&lt;/</w:t>
      </w:r>
      <w:proofErr w:type="spellStart"/>
      <w:r w:rsidRPr="00A14316">
        <w:t>scp</w:t>
      </w:r>
      <w:proofErr w:type="spellEnd"/>
      <w:r w:rsidRPr="00A14316">
        <w:t xml:space="preserve">&gt; Legal Research Tools. </w:t>
      </w:r>
      <w:r w:rsidRPr="00A14316">
        <w:rPr>
          <w:i/>
          <w:iCs/>
        </w:rPr>
        <w:t>Journal of Empirical Legal Studies</w:t>
      </w:r>
      <w:r w:rsidRPr="00A14316">
        <w:t>, [online] 22(2), pp.216–242. doi:10.1111/jels.12413.</w:t>
      </w:r>
    </w:p>
    <w:p w14:paraId="3A04706D" w14:textId="77777777" w:rsidR="00A14316" w:rsidRPr="00A14316" w:rsidRDefault="00A14316">
      <w:pPr>
        <w:spacing w:after="240"/>
      </w:pPr>
      <w:r w:rsidRPr="00A14316">
        <w:t xml:space="preserve">Magni, C.A. (2021). Internal rates of return and shareholder value creation. </w:t>
      </w:r>
      <w:r w:rsidRPr="00A14316">
        <w:rPr>
          <w:i/>
          <w:iCs/>
        </w:rPr>
        <w:t>The Engineering Economist</w:t>
      </w:r>
      <w:r w:rsidRPr="00A14316">
        <w:t>, 66(4), pp.1–23. doi:10.1080/0013791x.2020.1867679.</w:t>
      </w:r>
    </w:p>
    <w:p w14:paraId="5759E1D5" w14:textId="77777777" w:rsidR="00A14316" w:rsidRPr="00A14316" w:rsidRDefault="00A14316">
      <w:pPr>
        <w:spacing w:after="240"/>
      </w:pPr>
      <w:r w:rsidRPr="00A14316">
        <w:t xml:space="preserve">Mahmoud, A.B. (2023). Investment Appraisal Simplified-a Tutorial. </w:t>
      </w:r>
      <w:r w:rsidRPr="00A14316">
        <w:rPr>
          <w:i/>
          <w:iCs/>
        </w:rPr>
        <w:t>ResearchGate</w:t>
      </w:r>
      <w:r w:rsidRPr="00A14316">
        <w:t>. [online] doi:10.13140/RG.2.2.34638.13125.</w:t>
      </w:r>
    </w:p>
    <w:p w14:paraId="2E399939" w14:textId="77777777" w:rsidR="00A14316" w:rsidRPr="00A14316" w:rsidRDefault="00A14316">
      <w:pPr>
        <w:spacing w:after="240"/>
      </w:pPr>
      <w:r w:rsidRPr="00A14316">
        <w:t xml:space="preserve">Market Data Forecast (2026). </w:t>
      </w:r>
      <w:r w:rsidRPr="00A14316">
        <w:rPr>
          <w:i/>
          <w:iCs/>
        </w:rPr>
        <w:t>UK Hospitality Market Report</w:t>
      </w:r>
      <w:r w:rsidRPr="00A14316">
        <w:t>. [online] Market Data Forecast. Available at: https://www.marketdataforecast.com/market-reports/united-kingdom-hospitality-market.</w:t>
      </w:r>
    </w:p>
    <w:p w14:paraId="72B7E84F" w14:textId="77777777" w:rsidR="00A14316" w:rsidRPr="00A14316" w:rsidRDefault="00A14316">
      <w:pPr>
        <w:spacing w:after="240"/>
      </w:pPr>
      <w:r w:rsidRPr="00A14316">
        <w:t xml:space="preserve">Market Screener (2026). </w:t>
      </w:r>
      <w:r w:rsidRPr="00A14316">
        <w:rPr>
          <w:i/>
          <w:iCs/>
        </w:rPr>
        <w:t xml:space="preserve">Compass Group PLC (CPG) Stock Price | Stock Quote London S.E. - </w:t>
      </w:r>
      <w:proofErr w:type="spellStart"/>
      <w:r w:rsidRPr="00A14316">
        <w:rPr>
          <w:i/>
          <w:iCs/>
        </w:rPr>
        <w:t>MarketScreener</w:t>
      </w:r>
      <w:proofErr w:type="spellEnd"/>
      <w:r w:rsidRPr="00A14316">
        <w:t>. [online] In.marketscreener.com. Available at: https://in.marketscreener.com/quote/stock/COMPASS-GROUP-PLC-35939959/.</w:t>
      </w:r>
    </w:p>
    <w:p w14:paraId="14581F47" w14:textId="77777777" w:rsidR="00A14316" w:rsidRPr="00A14316" w:rsidRDefault="00A14316">
      <w:pPr>
        <w:spacing w:after="240"/>
      </w:pPr>
      <w:r w:rsidRPr="00A14316">
        <w:t xml:space="preserve">Mill (2026). </w:t>
      </w:r>
      <w:r w:rsidRPr="00A14316">
        <w:rPr>
          <w:i/>
          <w:iCs/>
        </w:rPr>
        <w:t>Mill teams up Mill and Compass Group North America Form First-of-its-Kind Strategic Partnership to Eliminate Food Waste Amazon for industry-first food waste Mill and Compass Group North America Form First-of-its-Kind Strategic Partnership to Eliminate Food Waste</w:t>
      </w:r>
      <w:r w:rsidRPr="00A14316">
        <w:t>. [online] Mill.com. Available at: https://www.mill.com/news/mill-compass-group-strategic-partnership?srsltid=afmbooov3yqxw4mzd2i9hrtu93udk3p__tsozakyygpaycl8x3u116q5.</w:t>
      </w:r>
    </w:p>
    <w:p w14:paraId="13B4B4F2" w14:textId="77777777" w:rsidR="00A14316" w:rsidRPr="00A14316" w:rsidRDefault="00A14316">
      <w:pPr>
        <w:spacing w:after="240"/>
      </w:pPr>
      <w:r w:rsidRPr="00A14316">
        <w:lastRenderedPageBreak/>
        <w:t xml:space="preserve">Morgan, A. (2025). </w:t>
      </w:r>
      <w:r w:rsidRPr="00A14316">
        <w:rPr>
          <w:i/>
          <w:iCs/>
        </w:rPr>
        <w:t>United Kingdom Catering Services Market Size &amp; Share Report By 2033</w:t>
      </w:r>
      <w:r w:rsidRPr="00A14316">
        <w:t xml:space="preserve">. [online] Deepmarketinsights.com. Available at: https://deepmarketinsights.com/vista/insights/catering-services-market/united-kingdom </w:t>
      </w:r>
    </w:p>
    <w:p w14:paraId="168E6CB3" w14:textId="77777777" w:rsidR="00A14316" w:rsidRPr="00A14316" w:rsidRDefault="00A14316">
      <w:pPr>
        <w:spacing w:after="240"/>
      </w:pPr>
      <w:r w:rsidRPr="00A14316">
        <w:t xml:space="preserve">Pando, V., San-José, L.A., Sicilia, J. and Alcaide-López-de-Pablo, D. (2021). Profitability Index Maximization in an Inventory Model with a Price- and Stock-Dependent Demand Rate in a Power-Form. </w:t>
      </w:r>
      <w:r w:rsidRPr="00A14316">
        <w:rPr>
          <w:i/>
          <w:iCs/>
        </w:rPr>
        <w:t>Mathematics</w:t>
      </w:r>
      <w:r w:rsidRPr="00A14316">
        <w:t>, 9(10), p.1157. doi:10.3390/math9101157.</w:t>
      </w:r>
    </w:p>
    <w:p w14:paraId="70ECDF1F" w14:textId="77777777" w:rsidR="00A14316" w:rsidRPr="00A14316" w:rsidRDefault="00A14316">
      <w:pPr>
        <w:spacing w:after="240"/>
      </w:pPr>
      <w:r w:rsidRPr="00A14316">
        <w:t xml:space="preserve">Proactive (2026). </w:t>
      </w:r>
      <w:r w:rsidRPr="00A14316">
        <w:rPr>
          <w:i/>
          <w:iCs/>
        </w:rPr>
        <w:t>Compass Group falls as guidance left unchanged</w:t>
      </w:r>
      <w:r w:rsidRPr="00A14316">
        <w:t xml:space="preserve">. [online] Yahoo Finance. Available at: https://uk.finance.yahoo.com/news/compass-group-falls-guidance-left-081900267.html </w:t>
      </w:r>
    </w:p>
    <w:p w14:paraId="4A38AF22" w14:textId="77777777" w:rsidR="00A14316" w:rsidRPr="00A14316" w:rsidRDefault="00A14316">
      <w:pPr>
        <w:spacing w:after="240"/>
      </w:pPr>
      <w:r w:rsidRPr="00A14316">
        <w:t xml:space="preserve">Reuters Staff (2024). Caterer Compass forecasts slower 2025 profit growth as it exits more markets. </w:t>
      </w:r>
      <w:r w:rsidRPr="00A14316">
        <w:rPr>
          <w:i/>
          <w:iCs/>
        </w:rPr>
        <w:t>Reuters</w:t>
      </w:r>
      <w:r w:rsidRPr="00A14316">
        <w:t xml:space="preserve">. [online] 26 Nov. Available at: https://www.reuters.com/world/uk/compass-group-sees-high-single-digit-rise-fiscal-2025-profit-2024-11-26/ </w:t>
      </w:r>
    </w:p>
    <w:p w14:paraId="7BA38364" w14:textId="77777777" w:rsidR="00A14316" w:rsidRPr="00A14316" w:rsidRDefault="00A14316">
      <w:pPr>
        <w:spacing w:after="240"/>
      </w:pPr>
      <w:r w:rsidRPr="00A14316">
        <w:t xml:space="preserve">S&amp;P Global (2026). </w:t>
      </w:r>
      <w:r w:rsidRPr="00A14316">
        <w:rPr>
          <w:i/>
          <w:iCs/>
        </w:rPr>
        <w:t>S&amp;P Global Inc. ESG Score</w:t>
      </w:r>
      <w:r w:rsidRPr="00A14316">
        <w:t>. [online] S&amp;P Sustainable1. Available at: https://www.spglobal.com/sustainable1/en/scores/results?cid=4334416.</w:t>
      </w:r>
    </w:p>
    <w:p w14:paraId="4AF47D93" w14:textId="77777777" w:rsidR="00A14316" w:rsidRPr="00A14316" w:rsidRDefault="00A14316">
      <w:pPr>
        <w:spacing w:after="240"/>
      </w:pPr>
      <w:r w:rsidRPr="00A14316">
        <w:t xml:space="preserve">Shou, T. (2022). </w:t>
      </w:r>
      <w:r w:rsidRPr="00A14316">
        <w:rPr>
          <w:i/>
          <w:iCs/>
        </w:rPr>
        <w:t>A Literature Review on the Net Present Value (NPV) Valuation Method</w:t>
      </w:r>
      <w:r w:rsidRPr="00A14316">
        <w:t xml:space="preserve">. [online] ResearchGate. Available at: </w:t>
      </w:r>
      <w:hyperlink r:id="rId52">
        <w:r w:rsidRPr="00A14316">
          <w:t>https://www.researchgate.net/publication/361845680_A_Literature_Review_on_the_Net_Present_Value_NPV_Valuation_Method</w:t>
        </w:r>
      </w:hyperlink>
    </w:p>
    <w:p w14:paraId="2082601F" w14:textId="77777777" w:rsidR="00A14316" w:rsidRPr="00A14316" w:rsidRDefault="00A14316">
      <w:pPr>
        <w:spacing w:after="240"/>
      </w:pPr>
      <w:r w:rsidRPr="00A14316">
        <w:t xml:space="preserve">Simply Wall Street (2026). </w:t>
      </w:r>
      <w:r w:rsidRPr="00A14316">
        <w:rPr>
          <w:i/>
          <w:iCs/>
        </w:rPr>
        <w:t>Does Compass Group (</w:t>
      </w:r>
      <w:proofErr w:type="gramStart"/>
      <w:r w:rsidRPr="00A14316">
        <w:rPr>
          <w:i/>
          <w:iCs/>
        </w:rPr>
        <w:t>LON:CPG</w:t>
      </w:r>
      <w:proofErr w:type="gramEnd"/>
      <w:r w:rsidRPr="00A14316">
        <w:rPr>
          <w:i/>
          <w:iCs/>
        </w:rPr>
        <w:t>) Have A Healthy Balance Sheet?</w:t>
      </w:r>
      <w:r w:rsidRPr="00A14316">
        <w:t xml:space="preserve"> [online] Simplywall.st. Available at: https://simplywall.st/stocks/gb/consumer-services/lse-cpg/compass-group-shares/news/does-compass-group-loncpg-have-a-healthy-balance-sheet-1.</w:t>
      </w:r>
    </w:p>
    <w:p w14:paraId="44AE586F" w14:textId="77777777" w:rsidR="00A14316" w:rsidRPr="00A14316" w:rsidRDefault="00A14316">
      <w:pPr>
        <w:spacing w:after="240"/>
      </w:pPr>
      <w:r w:rsidRPr="00A14316">
        <w:t xml:space="preserve">Sokolov, M.V. (2026). Defining the payback period for nonconventional cash flows: An axiomatic approach. </w:t>
      </w:r>
      <w:r w:rsidRPr="00A14316">
        <w:rPr>
          <w:i/>
          <w:iCs/>
        </w:rPr>
        <w:t>The Engineering Economist</w:t>
      </w:r>
      <w:r w:rsidRPr="00A14316">
        <w:t>, pp.1–15. doi:10.1080/0013791x.2026.2644849.</w:t>
      </w:r>
    </w:p>
    <w:p w14:paraId="6F8365A0" w14:textId="77777777" w:rsidR="00A14316" w:rsidRPr="00A14316" w:rsidRDefault="00A14316">
      <w:pPr>
        <w:spacing w:after="240"/>
      </w:pPr>
      <w:r w:rsidRPr="00A14316">
        <w:lastRenderedPageBreak/>
        <w:t xml:space="preserve">Thusini, S., </w:t>
      </w:r>
      <w:proofErr w:type="spellStart"/>
      <w:r w:rsidRPr="00A14316">
        <w:t>Milenova</w:t>
      </w:r>
      <w:proofErr w:type="spellEnd"/>
      <w:r w:rsidRPr="00A14316">
        <w:t xml:space="preserve">, M., Nahabedian, N., Grey, B., Soukup, T., Chua, K.-C. and Henderson, C. (2022). The development of the concept of return-on-investment from large-scale quality improvement </w:t>
      </w:r>
      <w:proofErr w:type="spellStart"/>
      <w:r w:rsidRPr="00A14316">
        <w:t>programmes</w:t>
      </w:r>
      <w:proofErr w:type="spellEnd"/>
      <w:r w:rsidRPr="00A14316">
        <w:t xml:space="preserve"> in healthcare: An integrative systematic literature review. </w:t>
      </w:r>
      <w:r w:rsidRPr="00A14316">
        <w:rPr>
          <w:i/>
          <w:iCs/>
        </w:rPr>
        <w:t>BMC Health Services Research</w:t>
      </w:r>
      <w:r w:rsidRPr="00A14316">
        <w:t xml:space="preserve">, [online] 22(1). </w:t>
      </w:r>
      <w:proofErr w:type="spellStart"/>
      <w:proofErr w:type="gramStart"/>
      <w:r w:rsidRPr="00A14316">
        <w:t>doi:https</w:t>
      </w:r>
      <w:proofErr w:type="spellEnd"/>
      <w:r w:rsidRPr="00A14316">
        <w:t>://doi.org/10.1186/s12913-022-08832-3</w:t>
      </w:r>
      <w:proofErr w:type="gramEnd"/>
      <w:r w:rsidRPr="00A14316">
        <w:t>.</w:t>
      </w:r>
    </w:p>
    <w:p w14:paraId="1EDE9A05" w14:textId="77777777" w:rsidR="00A14316" w:rsidRPr="00A14316" w:rsidRDefault="00A14316">
      <w:pPr>
        <w:spacing w:after="240"/>
      </w:pPr>
      <w:r w:rsidRPr="00A14316">
        <w:t xml:space="preserve">Trading Economics (2026). </w:t>
      </w:r>
      <w:r w:rsidRPr="00A14316">
        <w:rPr>
          <w:i/>
          <w:iCs/>
        </w:rPr>
        <w:t>United States Federal Corporate Tax Rate</w:t>
      </w:r>
      <w:r w:rsidRPr="00A14316">
        <w:t>. [online] Tradingeconomics.com. Available at: https://tradingeconomics.com/united-states/corporate-tax-rate</w:t>
      </w:r>
    </w:p>
    <w:p w14:paraId="5CC7850F" w14:textId="77777777" w:rsidR="00A14316" w:rsidRPr="00A14316" w:rsidRDefault="00A14316">
      <w:pPr>
        <w:spacing w:after="240"/>
      </w:pPr>
      <w:r w:rsidRPr="00A14316">
        <w:t xml:space="preserve">Wall Street (2026). </w:t>
      </w:r>
      <w:r w:rsidRPr="00A14316">
        <w:rPr>
          <w:i/>
          <w:iCs/>
        </w:rPr>
        <w:t>Compass Group’s (</w:t>
      </w:r>
      <w:proofErr w:type="gramStart"/>
      <w:r w:rsidRPr="00A14316">
        <w:rPr>
          <w:i/>
          <w:iCs/>
        </w:rPr>
        <w:t>LON:CPG</w:t>
      </w:r>
      <w:proofErr w:type="gramEnd"/>
      <w:r w:rsidRPr="00A14316">
        <w:rPr>
          <w:i/>
          <w:iCs/>
        </w:rPr>
        <w:t>) investors will be pleased with their notable 86% return over the last five years</w:t>
      </w:r>
      <w:r w:rsidRPr="00A14316">
        <w:t>. [online] Simplywall.st. Available at: https://simplywall.st/stocks/gb/consumer-services/lse-cpg/compass-group-shares/news/compass-groups-loncpg-investors-will-be-pleased-with-their-n.</w:t>
      </w:r>
    </w:p>
    <w:p w14:paraId="6D488915" w14:textId="77777777" w:rsidR="00A14316" w:rsidRPr="00A14316" w:rsidRDefault="00A14316">
      <w:pPr>
        <w:spacing w:after="240"/>
      </w:pPr>
      <w:proofErr w:type="spellStart"/>
      <w:r w:rsidRPr="00A14316">
        <w:t>Yadarisa</w:t>
      </w:r>
      <w:proofErr w:type="spellEnd"/>
      <w:r w:rsidRPr="00A14316">
        <w:t xml:space="preserve"> </w:t>
      </w:r>
      <w:proofErr w:type="spellStart"/>
      <w:r w:rsidRPr="00A14316">
        <w:t>Shabong</w:t>
      </w:r>
      <w:proofErr w:type="spellEnd"/>
      <w:r w:rsidRPr="00A14316">
        <w:t xml:space="preserve"> (2025). Caterer Compass Group’s revenue growth to ease as inflation slows, shares dip. </w:t>
      </w:r>
      <w:r w:rsidRPr="00A14316">
        <w:rPr>
          <w:i/>
          <w:iCs/>
        </w:rPr>
        <w:t>Reuters</w:t>
      </w:r>
      <w:r w:rsidRPr="00A14316">
        <w:t xml:space="preserve">. [online] 25 Nov. Available at: https://www.reuters.com/business/caterer-compass-beats-annual-profit-view-us-strength-2025-11-25/ </w:t>
      </w:r>
    </w:p>
    <w:p w14:paraId="12BFD568" w14:textId="77777777" w:rsidR="00A14316" w:rsidRPr="00A14316" w:rsidRDefault="00A14316">
      <w:pPr>
        <w:spacing w:after="240"/>
        <w:rPr>
          <w:sz w:val="36"/>
          <w:szCs w:val="36"/>
        </w:rPr>
      </w:pPr>
      <w:r w:rsidRPr="00A14316">
        <w:t xml:space="preserve">Yahoo Finance (2026). </w:t>
      </w:r>
      <w:r w:rsidRPr="00A14316">
        <w:rPr>
          <w:i/>
          <w:iCs/>
        </w:rPr>
        <w:t>Here’s Why Compass Group (</w:t>
      </w:r>
      <w:proofErr w:type="gramStart"/>
      <w:r w:rsidRPr="00A14316">
        <w:rPr>
          <w:i/>
          <w:iCs/>
        </w:rPr>
        <w:t>LON:CPG</w:t>
      </w:r>
      <w:proofErr w:type="gramEnd"/>
      <w:r w:rsidRPr="00A14316">
        <w:rPr>
          <w:i/>
          <w:iCs/>
        </w:rPr>
        <w:t xml:space="preserve">) Has Caught </w:t>
      </w:r>
      <w:proofErr w:type="gramStart"/>
      <w:r w:rsidRPr="00A14316">
        <w:rPr>
          <w:i/>
          <w:iCs/>
        </w:rPr>
        <w:t>The</w:t>
      </w:r>
      <w:proofErr w:type="gramEnd"/>
      <w:r w:rsidRPr="00A14316">
        <w:rPr>
          <w:i/>
          <w:iCs/>
        </w:rPr>
        <w:t xml:space="preserve"> Eye </w:t>
      </w:r>
      <w:proofErr w:type="gramStart"/>
      <w:r w:rsidRPr="00A14316">
        <w:rPr>
          <w:i/>
          <w:iCs/>
        </w:rPr>
        <w:t>Of</w:t>
      </w:r>
      <w:proofErr w:type="gramEnd"/>
      <w:r w:rsidRPr="00A14316">
        <w:rPr>
          <w:i/>
          <w:iCs/>
        </w:rPr>
        <w:t xml:space="preserve"> Investors</w:t>
      </w:r>
      <w:r w:rsidRPr="00A14316">
        <w:t xml:space="preserve">. [online] Yahoo Finance. Available at: </w:t>
      </w:r>
      <w:hyperlink r:id="rId53">
        <w:r w:rsidRPr="00A14316">
          <w:t>https://finance.yahoo.com/news/heres-why-compass-group-lon-072742897.html</w:t>
        </w:r>
      </w:hyperlink>
      <w:r w:rsidRPr="00A14316">
        <w:t>.</w:t>
      </w:r>
    </w:p>
    <w:p w14:paraId="4F3514EF" w14:textId="77777777" w:rsidR="00E84532" w:rsidRDefault="00E84532">
      <w:pPr>
        <w:spacing w:after="240"/>
      </w:pPr>
    </w:p>
    <w:p w14:paraId="4F3514F0" w14:textId="77777777" w:rsidR="00E84532" w:rsidRDefault="00E90F46">
      <w:pPr>
        <w:spacing w:after="240"/>
      </w:pPr>
      <w:r>
        <w:br w:type="page"/>
      </w:r>
    </w:p>
    <w:p w14:paraId="4F3514F1" w14:textId="77777777" w:rsidR="00E84532" w:rsidRDefault="00E90F46">
      <w:pPr>
        <w:pStyle w:val="Heading1"/>
      </w:pPr>
      <w:bookmarkStart w:id="62" w:name="_Toc235029556"/>
      <w:r>
        <w:lastRenderedPageBreak/>
        <w:t>Appendices</w:t>
      </w:r>
      <w:bookmarkEnd w:id="62"/>
    </w:p>
    <w:p w14:paraId="4F3514F3" w14:textId="7F79A578" w:rsidR="00E84532" w:rsidRDefault="00E90F46" w:rsidP="00E90F46">
      <w:pPr>
        <w:pStyle w:val="Heading2"/>
      </w:pPr>
      <w:bookmarkStart w:id="63" w:name="_Toc235029557"/>
      <w:r>
        <w:t>Appendix 1: Ratio Analysis</w:t>
      </w:r>
      <w:bookmarkEnd w:id="63"/>
    </w:p>
    <w:tbl>
      <w:tblPr>
        <w:tblStyle w:val="a"/>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793"/>
        <w:gridCol w:w="816"/>
        <w:gridCol w:w="1120"/>
        <w:gridCol w:w="1120"/>
        <w:gridCol w:w="1120"/>
        <w:gridCol w:w="1271"/>
        <w:gridCol w:w="1120"/>
      </w:tblGrid>
      <w:tr w:rsidR="00E84532" w14:paraId="4F3514F5" w14:textId="77777777">
        <w:trPr>
          <w:trHeight w:val="300"/>
        </w:trPr>
        <w:tc>
          <w:tcPr>
            <w:tcW w:w="9355" w:type="dxa"/>
            <w:gridSpan w:val="7"/>
            <w:tcBorders>
              <w:top w:val="single" w:sz="6" w:space="0" w:color="CCCCCC"/>
              <w:left w:val="single" w:sz="6" w:space="0" w:color="CCCCCC"/>
              <w:bottom w:val="single" w:sz="6" w:space="0" w:color="000000"/>
              <w:right w:val="single" w:sz="6" w:space="0" w:color="CCCCCC"/>
            </w:tcBorders>
            <w:tcMar>
              <w:top w:w="0" w:type="dxa"/>
              <w:left w:w="40" w:type="dxa"/>
              <w:bottom w:w="0" w:type="dxa"/>
              <w:right w:w="40" w:type="dxa"/>
            </w:tcMar>
            <w:vAlign w:val="center"/>
          </w:tcPr>
          <w:p w14:paraId="4F3514F4" w14:textId="77777777" w:rsidR="00E84532" w:rsidRDefault="00E90F46">
            <w:pPr>
              <w:jc w:val="center"/>
              <w:rPr>
                <w:rFonts w:ascii="Calibri" w:eastAsia="Calibri" w:hAnsi="Calibri" w:cs="Calibri"/>
                <w:sz w:val="22"/>
                <w:szCs w:val="22"/>
              </w:rPr>
            </w:pPr>
            <w:r>
              <w:rPr>
                <w:b/>
                <w:bCs/>
              </w:rPr>
              <w:t>Profitability Ratios:</w:t>
            </w:r>
          </w:p>
        </w:tc>
      </w:tr>
      <w:tr w:rsidR="00E84532" w14:paraId="4F3514FD" w14:textId="77777777">
        <w:trPr>
          <w:trHeight w:val="300"/>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4F3514F6" w14:textId="77777777" w:rsidR="00E84532" w:rsidRDefault="00E90F46">
            <w:pPr>
              <w:jc w:val="center"/>
              <w:rPr>
                <w:rFonts w:ascii="Calibri" w:eastAsia="Calibri" w:hAnsi="Calibri" w:cs="Calibri"/>
                <w:sz w:val="22"/>
                <w:szCs w:val="22"/>
              </w:rPr>
            </w:pPr>
            <w:r>
              <w:rPr>
                <w:b/>
                <w:bCs/>
              </w:rPr>
              <w:t>Particulars</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4F7" w14:textId="77777777" w:rsidR="00E84532" w:rsidRDefault="00E90F46">
            <w:pPr>
              <w:jc w:val="center"/>
              <w:rPr>
                <w:rFonts w:ascii="Calibri" w:eastAsia="Calibri" w:hAnsi="Calibri" w:cs="Calibri"/>
                <w:sz w:val="22"/>
                <w:szCs w:val="22"/>
              </w:rPr>
            </w:pPr>
            <w:r>
              <w:rPr>
                <w:b/>
                <w:bCs/>
              </w:rPr>
              <w:t>Details</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4F8" w14:textId="77777777" w:rsidR="00E84532" w:rsidRDefault="00E90F46">
            <w:pPr>
              <w:jc w:val="center"/>
              <w:rPr>
                <w:rFonts w:ascii="Calibri" w:eastAsia="Calibri" w:hAnsi="Calibri" w:cs="Calibri"/>
                <w:sz w:val="22"/>
                <w:szCs w:val="22"/>
              </w:rPr>
            </w:pPr>
            <w:r>
              <w:rPr>
                <w:b/>
                <w:bCs/>
              </w:rPr>
              <w:t>2021</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4F9" w14:textId="77777777" w:rsidR="00E84532" w:rsidRDefault="00E90F46">
            <w:pPr>
              <w:jc w:val="center"/>
              <w:rPr>
                <w:rFonts w:ascii="Calibri" w:eastAsia="Calibri" w:hAnsi="Calibri" w:cs="Calibri"/>
                <w:sz w:val="22"/>
                <w:szCs w:val="22"/>
              </w:rPr>
            </w:pPr>
            <w:r>
              <w:rPr>
                <w:b/>
                <w:bCs/>
              </w:rPr>
              <w:t>2022</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4FA" w14:textId="77777777" w:rsidR="00E84532" w:rsidRDefault="00E90F46">
            <w:pPr>
              <w:jc w:val="center"/>
              <w:rPr>
                <w:rFonts w:ascii="Calibri" w:eastAsia="Calibri" w:hAnsi="Calibri" w:cs="Calibri"/>
                <w:sz w:val="22"/>
                <w:szCs w:val="22"/>
              </w:rPr>
            </w:pPr>
            <w:r>
              <w:rPr>
                <w:b/>
                <w:bCs/>
              </w:rPr>
              <w:t>2023</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4FB" w14:textId="77777777" w:rsidR="00E84532" w:rsidRDefault="00E90F46">
            <w:pPr>
              <w:jc w:val="center"/>
              <w:rPr>
                <w:rFonts w:ascii="Calibri" w:eastAsia="Calibri" w:hAnsi="Calibri" w:cs="Calibri"/>
                <w:sz w:val="22"/>
                <w:szCs w:val="22"/>
              </w:rPr>
            </w:pPr>
            <w:r>
              <w:rPr>
                <w:b/>
                <w:bCs/>
              </w:rPr>
              <w:t>2024</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4FC" w14:textId="77777777" w:rsidR="00E84532" w:rsidRDefault="00E90F46">
            <w:pPr>
              <w:jc w:val="center"/>
              <w:rPr>
                <w:rFonts w:ascii="Calibri" w:eastAsia="Calibri" w:hAnsi="Calibri" w:cs="Calibri"/>
                <w:sz w:val="22"/>
                <w:szCs w:val="22"/>
              </w:rPr>
            </w:pPr>
            <w:r>
              <w:rPr>
                <w:b/>
                <w:bCs/>
              </w:rPr>
              <w:t>2025</w:t>
            </w:r>
          </w:p>
        </w:tc>
      </w:tr>
      <w:tr w:rsidR="00E84532" w14:paraId="4F351505" w14:textId="77777777">
        <w:trPr>
          <w:trHeight w:val="300"/>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4F3514FE" w14:textId="77777777" w:rsidR="00E84532" w:rsidRDefault="00E90F46">
            <w:pPr>
              <w:jc w:val="center"/>
              <w:rPr>
                <w:rFonts w:ascii="Calibri" w:eastAsia="Calibri" w:hAnsi="Calibri" w:cs="Calibri"/>
                <w:sz w:val="22"/>
                <w:szCs w:val="22"/>
              </w:rPr>
            </w:pPr>
            <w:r>
              <w:t>Revenue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4FF" w14:textId="77777777" w:rsidR="00E84532" w:rsidRDefault="00E90F46">
            <w:pPr>
              <w:jc w:val="center"/>
              <w:rPr>
                <w:rFonts w:ascii="Calibri" w:eastAsia="Calibri" w:hAnsi="Calibri" w:cs="Calibri"/>
                <w:sz w:val="22"/>
                <w:szCs w:val="22"/>
              </w:rPr>
            </w:pPr>
            <w:r>
              <w:t>A</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00" w14:textId="77777777" w:rsidR="00E84532" w:rsidRDefault="00E90F46">
            <w:pPr>
              <w:jc w:val="center"/>
              <w:rPr>
                <w:rFonts w:ascii="Calibri" w:eastAsia="Calibri" w:hAnsi="Calibri" w:cs="Calibri"/>
                <w:sz w:val="22"/>
                <w:szCs w:val="22"/>
              </w:rPr>
            </w:pPr>
            <w:r>
              <w:t>17,908.00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01" w14:textId="77777777" w:rsidR="00E84532" w:rsidRDefault="00E90F46">
            <w:pPr>
              <w:jc w:val="center"/>
              <w:rPr>
                <w:rFonts w:ascii="Calibri" w:eastAsia="Calibri" w:hAnsi="Calibri" w:cs="Calibri"/>
                <w:sz w:val="22"/>
                <w:szCs w:val="22"/>
              </w:rPr>
            </w:pPr>
            <w:r>
              <w:t>25,512.00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02" w14:textId="77777777" w:rsidR="00E84532" w:rsidRDefault="00E90F46">
            <w:pPr>
              <w:jc w:val="center"/>
              <w:rPr>
                <w:rFonts w:ascii="Calibri" w:eastAsia="Calibri" w:hAnsi="Calibri" w:cs="Calibri"/>
                <w:sz w:val="22"/>
                <w:szCs w:val="22"/>
              </w:rPr>
            </w:pPr>
            <w:r>
              <w:t>31,028.00</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03" w14:textId="77777777" w:rsidR="00E84532" w:rsidRDefault="00E90F46">
            <w:pPr>
              <w:jc w:val="center"/>
              <w:rPr>
                <w:rFonts w:ascii="Calibri" w:eastAsia="Calibri" w:hAnsi="Calibri" w:cs="Calibri"/>
                <w:sz w:val="22"/>
                <w:szCs w:val="22"/>
              </w:rPr>
            </w:pPr>
            <w:r>
              <w:t>42,002.00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04" w14:textId="77777777" w:rsidR="00E84532" w:rsidRDefault="00E90F46">
            <w:pPr>
              <w:jc w:val="center"/>
              <w:rPr>
                <w:rFonts w:ascii="Calibri" w:eastAsia="Calibri" w:hAnsi="Calibri" w:cs="Calibri"/>
                <w:sz w:val="22"/>
                <w:szCs w:val="22"/>
              </w:rPr>
            </w:pPr>
            <w:r>
              <w:t>46,070.00</w:t>
            </w:r>
          </w:p>
        </w:tc>
      </w:tr>
      <w:tr w:rsidR="00E84532" w14:paraId="4F35150D" w14:textId="77777777">
        <w:trPr>
          <w:trHeight w:val="300"/>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4F351506" w14:textId="77777777" w:rsidR="00E84532" w:rsidRDefault="00E90F46">
            <w:pPr>
              <w:jc w:val="center"/>
              <w:rPr>
                <w:rFonts w:ascii="Calibri" w:eastAsia="Calibri" w:hAnsi="Calibri" w:cs="Calibri"/>
                <w:sz w:val="22"/>
                <w:szCs w:val="22"/>
              </w:rPr>
            </w:pPr>
            <w:r>
              <w:t>Operating Profit/(Loss)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07" w14:textId="77777777" w:rsidR="00E84532" w:rsidRDefault="00E90F46">
            <w:pPr>
              <w:jc w:val="center"/>
              <w:rPr>
                <w:rFonts w:ascii="Calibri" w:eastAsia="Calibri" w:hAnsi="Calibri" w:cs="Calibri"/>
                <w:sz w:val="22"/>
                <w:szCs w:val="22"/>
              </w:rPr>
            </w:pPr>
            <w:r>
              <w:t>B</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08" w14:textId="77777777" w:rsidR="00E84532" w:rsidRDefault="00E90F46">
            <w:pPr>
              <w:jc w:val="center"/>
              <w:rPr>
                <w:rFonts w:ascii="Calibri" w:eastAsia="Calibri" w:hAnsi="Calibri" w:cs="Calibri"/>
                <w:sz w:val="22"/>
                <w:szCs w:val="22"/>
              </w:rPr>
            </w:pPr>
            <w:r>
              <w:t>545.00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09" w14:textId="77777777" w:rsidR="00E84532" w:rsidRDefault="00E90F46">
            <w:pPr>
              <w:jc w:val="center"/>
              <w:rPr>
                <w:rFonts w:ascii="Calibri" w:eastAsia="Calibri" w:hAnsi="Calibri" w:cs="Calibri"/>
                <w:sz w:val="22"/>
                <w:szCs w:val="22"/>
              </w:rPr>
            </w:pPr>
            <w:r>
              <w:t>1,455.00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0A" w14:textId="77777777" w:rsidR="00E84532" w:rsidRDefault="00E90F46">
            <w:pPr>
              <w:jc w:val="center"/>
              <w:rPr>
                <w:rFonts w:ascii="Calibri" w:eastAsia="Calibri" w:hAnsi="Calibri" w:cs="Calibri"/>
                <w:sz w:val="22"/>
                <w:szCs w:val="22"/>
              </w:rPr>
            </w:pPr>
            <w:r>
              <w:t>1,835.00</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0B" w14:textId="77777777" w:rsidR="00E84532" w:rsidRDefault="00E90F46">
            <w:pPr>
              <w:jc w:val="center"/>
              <w:rPr>
                <w:rFonts w:ascii="Calibri" w:eastAsia="Calibri" w:hAnsi="Calibri" w:cs="Calibri"/>
                <w:sz w:val="22"/>
                <w:szCs w:val="22"/>
              </w:rPr>
            </w:pPr>
            <w:r>
              <w:t>2,584.00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0C" w14:textId="77777777" w:rsidR="00E84532" w:rsidRDefault="00E90F46">
            <w:pPr>
              <w:jc w:val="center"/>
              <w:rPr>
                <w:rFonts w:ascii="Calibri" w:eastAsia="Calibri" w:hAnsi="Calibri" w:cs="Calibri"/>
                <w:sz w:val="22"/>
                <w:szCs w:val="22"/>
              </w:rPr>
            </w:pPr>
            <w:r>
              <w:t>2,964.00</w:t>
            </w:r>
          </w:p>
        </w:tc>
      </w:tr>
      <w:tr w:rsidR="00E84532" w14:paraId="4F351515" w14:textId="77777777">
        <w:trPr>
          <w:trHeight w:val="300"/>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4F35150E" w14:textId="77777777" w:rsidR="00E84532" w:rsidRDefault="00E90F46">
            <w:pPr>
              <w:jc w:val="center"/>
              <w:rPr>
                <w:rFonts w:ascii="Calibri" w:eastAsia="Calibri" w:hAnsi="Calibri" w:cs="Calibri"/>
                <w:sz w:val="22"/>
                <w:szCs w:val="22"/>
              </w:rPr>
            </w:pPr>
            <w:r>
              <w:t>Net Profit/(Loss)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0F" w14:textId="77777777" w:rsidR="00E84532" w:rsidRDefault="00E90F46">
            <w:pPr>
              <w:jc w:val="center"/>
              <w:rPr>
                <w:rFonts w:ascii="Calibri" w:eastAsia="Calibri" w:hAnsi="Calibri" w:cs="Calibri"/>
                <w:sz w:val="22"/>
                <w:szCs w:val="22"/>
              </w:rPr>
            </w:pPr>
            <w:r>
              <w:t>C</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10" w14:textId="77777777" w:rsidR="00E84532" w:rsidRDefault="00E90F46">
            <w:pPr>
              <w:jc w:val="center"/>
              <w:rPr>
                <w:rFonts w:ascii="Calibri" w:eastAsia="Calibri" w:hAnsi="Calibri" w:cs="Calibri"/>
                <w:sz w:val="22"/>
                <w:szCs w:val="22"/>
              </w:rPr>
            </w:pPr>
            <w:r>
              <w:t>357.00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11" w14:textId="77777777" w:rsidR="00E84532" w:rsidRDefault="00E90F46">
            <w:pPr>
              <w:jc w:val="center"/>
              <w:rPr>
                <w:rFonts w:ascii="Calibri" w:eastAsia="Calibri" w:hAnsi="Calibri" w:cs="Calibri"/>
                <w:sz w:val="22"/>
                <w:szCs w:val="22"/>
              </w:rPr>
            </w:pPr>
            <w:r>
              <w:t>1,117.00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12" w14:textId="77777777" w:rsidR="00E84532" w:rsidRDefault="00E90F46">
            <w:pPr>
              <w:jc w:val="center"/>
              <w:rPr>
                <w:rFonts w:ascii="Calibri" w:eastAsia="Calibri" w:hAnsi="Calibri" w:cs="Calibri"/>
                <w:sz w:val="22"/>
                <w:szCs w:val="22"/>
              </w:rPr>
            </w:pPr>
            <w:r>
              <w:t>1,318.00</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13" w14:textId="77777777" w:rsidR="00E84532" w:rsidRDefault="00E90F46">
            <w:pPr>
              <w:jc w:val="center"/>
              <w:rPr>
                <w:rFonts w:ascii="Calibri" w:eastAsia="Calibri" w:hAnsi="Calibri" w:cs="Calibri"/>
                <w:sz w:val="22"/>
                <w:szCs w:val="22"/>
              </w:rPr>
            </w:pPr>
            <w:r>
              <w:t>1,414.00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14" w14:textId="77777777" w:rsidR="00E84532" w:rsidRDefault="00E90F46">
            <w:pPr>
              <w:jc w:val="center"/>
              <w:rPr>
                <w:rFonts w:ascii="Calibri" w:eastAsia="Calibri" w:hAnsi="Calibri" w:cs="Calibri"/>
                <w:sz w:val="22"/>
                <w:szCs w:val="22"/>
              </w:rPr>
            </w:pPr>
            <w:r>
              <w:t>1,880.00</w:t>
            </w:r>
          </w:p>
        </w:tc>
      </w:tr>
      <w:tr w:rsidR="00E84532" w14:paraId="4F35151D" w14:textId="77777777">
        <w:trPr>
          <w:trHeight w:val="300"/>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4F351516" w14:textId="77777777" w:rsidR="00E84532" w:rsidRDefault="00E90F46">
            <w:pPr>
              <w:jc w:val="center"/>
              <w:rPr>
                <w:rFonts w:ascii="Calibri" w:eastAsia="Calibri" w:hAnsi="Calibri" w:cs="Calibri"/>
                <w:sz w:val="22"/>
                <w:szCs w:val="22"/>
              </w:rPr>
            </w:pPr>
            <w:r>
              <w:t>Total Assets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17" w14:textId="77777777" w:rsidR="00E84532" w:rsidRDefault="00E90F46">
            <w:pPr>
              <w:jc w:val="center"/>
              <w:rPr>
                <w:rFonts w:ascii="Calibri" w:eastAsia="Calibri" w:hAnsi="Calibri" w:cs="Calibri"/>
                <w:sz w:val="22"/>
                <w:szCs w:val="22"/>
              </w:rPr>
            </w:pPr>
            <w:r>
              <w:t>D</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18" w14:textId="77777777" w:rsidR="00E84532" w:rsidRDefault="00E90F46">
            <w:pPr>
              <w:jc w:val="center"/>
              <w:rPr>
                <w:rFonts w:ascii="Calibri" w:eastAsia="Calibri" w:hAnsi="Calibri" w:cs="Calibri"/>
                <w:sz w:val="22"/>
                <w:szCs w:val="22"/>
              </w:rPr>
            </w:pPr>
            <w:r>
              <w:t>14,868.00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19" w14:textId="77777777" w:rsidR="00E84532" w:rsidRDefault="00E90F46">
            <w:pPr>
              <w:jc w:val="center"/>
              <w:rPr>
                <w:rFonts w:ascii="Calibri" w:eastAsia="Calibri" w:hAnsi="Calibri" w:cs="Calibri"/>
                <w:sz w:val="22"/>
                <w:szCs w:val="22"/>
              </w:rPr>
            </w:pPr>
            <w:r>
              <w:t>18,748.00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1A" w14:textId="77777777" w:rsidR="00E84532" w:rsidRDefault="00E90F46">
            <w:pPr>
              <w:jc w:val="center"/>
              <w:rPr>
                <w:rFonts w:ascii="Calibri" w:eastAsia="Calibri" w:hAnsi="Calibri" w:cs="Calibri"/>
                <w:sz w:val="22"/>
                <w:szCs w:val="22"/>
              </w:rPr>
            </w:pPr>
            <w:r>
              <w:t>17,600.00</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1B" w14:textId="77777777" w:rsidR="00E84532" w:rsidRDefault="00E90F46">
            <w:pPr>
              <w:jc w:val="center"/>
              <w:rPr>
                <w:rFonts w:ascii="Calibri" w:eastAsia="Calibri" w:hAnsi="Calibri" w:cs="Calibri"/>
                <w:sz w:val="22"/>
                <w:szCs w:val="22"/>
              </w:rPr>
            </w:pPr>
            <w:r>
              <w:t>24,349.00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1C" w14:textId="77777777" w:rsidR="00E84532" w:rsidRDefault="00E90F46">
            <w:pPr>
              <w:jc w:val="center"/>
              <w:rPr>
                <w:rFonts w:ascii="Calibri" w:eastAsia="Calibri" w:hAnsi="Calibri" w:cs="Calibri"/>
                <w:sz w:val="22"/>
                <w:szCs w:val="22"/>
              </w:rPr>
            </w:pPr>
            <w:r>
              <w:t>26,715.00</w:t>
            </w:r>
          </w:p>
        </w:tc>
      </w:tr>
      <w:tr w:rsidR="00E84532" w14:paraId="4F351525" w14:textId="77777777">
        <w:trPr>
          <w:trHeight w:val="300"/>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4F35151E" w14:textId="77777777" w:rsidR="00E84532" w:rsidRDefault="00E90F46">
            <w:pPr>
              <w:jc w:val="center"/>
              <w:rPr>
                <w:rFonts w:ascii="Calibri" w:eastAsia="Calibri" w:hAnsi="Calibri" w:cs="Calibri"/>
                <w:sz w:val="22"/>
                <w:szCs w:val="22"/>
              </w:rPr>
            </w:pPr>
            <w:r>
              <w:t>Current Liabilities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1F" w14:textId="77777777" w:rsidR="00E84532" w:rsidRDefault="00E90F46">
            <w:pPr>
              <w:jc w:val="center"/>
              <w:rPr>
                <w:rFonts w:ascii="Calibri" w:eastAsia="Calibri" w:hAnsi="Calibri" w:cs="Calibri"/>
                <w:sz w:val="22"/>
                <w:szCs w:val="22"/>
              </w:rPr>
            </w:pPr>
            <w:r>
              <w:t>E</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20" w14:textId="77777777" w:rsidR="00E84532" w:rsidRDefault="00E90F46">
            <w:pPr>
              <w:jc w:val="center"/>
              <w:rPr>
                <w:rFonts w:ascii="Calibri" w:eastAsia="Calibri" w:hAnsi="Calibri" w:cs="Calibri"/>
                <w:sz w:val="22"/>
                <w:szCs w:val="22"/>
              </w:rPr>
            </w:pPr>
            <w:r>
              <w:t>5,227.00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21" w14:textId="77777777" w:rsidR="00E84532" w:rsidRDefault="00E90F46">
            <w:pPr>
              <w:jc w:val="center"/>
              <w:rPr>
                <w:rFonts w:ascii="Calibri" w:eastAsia="Calibri" w:hAnsi="Calibri" w:cs="Calibri"/>
                <w:sz w:val="22"/>
                <w:szCs w:val="22"/>
              </w:rPr>
            </w:pPr>
            <w:r>
              <w:t>7,033.00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22" w14:textId="77777777" w:rsidR="00E84532" w:rsidRDefault="00E90F46">
            <w:pPr>
              <w:jc w:val="center"/>
              <w:rPr>
                <w:rFonts w:ascii="Calibri" w:eastAsia="Calibri" w:hAnsi="Calibri" w:cs="Calibri"/>
                <w:sz w:val="22"/>
                <w:szCs w:val="22"/>
              </w:rPr>
            </w:pPr>
            <w:r>
              <w:t>7,635.00</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23" w14:textId="77777777" w:rsidR="00E84532" w:rsidRDefault="00E90F46">
            <w:pPr>
              <w:jc w:val="center"/>
              <w:rPr>
                <w:rFonts w:ascii="Calibri" w:eastAsia="Calibri" w:hAnsi="Calibri" w:cs="Calibri"/>
                <w:sz w:val="22"/>
                <w:szCs w:val="22"/>
              </w:rPr>
            </w:pPr>
            <w:r>
              <w:t>9,893.00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24" w14:textId="77777777" w:rsidR="00E84532" w:rsidRDefault="00E90F46">
            <w:pPr>
              <w:jc w:val="center"/>
              <w:rPr>
                <w:rFonts w:ascii="Calibri" w:eastAsia="Calibri" w:hAnsi="Calibri" w:cs="Calibri"/>
                <w:sz w:val="22"/>
                <w:szCs w:val="22"/>
              </w:rPr>
            </w:pPr>
            <w:r>
              <w:t>10,665.00</w:t>
            </w:r>
          </w:p>
        </w:tc>
      </w:tr>
      <w:tr w:rsidR="00E84532" w14:paraId="4F35152D" w14:textId="77777777">
        <w:trPr>
          <w:trHeight w:val="300"/>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4F351526" w14:textId="77777777" w:rsidR="00E84532" w:rsidRDefault="00E90F46">
            <w:pPr>
              <w:jc w:val="center"/>
              <w:rPr>
                <w:rFonts w:ascii="Calibri" w:eastAsia="Calibri" w:hAnsi="Calibri" w:cs="Calibri"/>
                <w:sz w:val="22"/>
                <w:szCs w:val="22"/>
              </w:rPr>
            </w:pPr>
            <w:r>
              <w:t>Equity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27" w14:textId="77777777" w:rsidR="00E84532" w:rsidRDefault="00E90F46">
            <w:pPr>
              <w:jc w:val="center"/>
              <w:rPr>
                <w:rFonts w:ascii="Calibri" w:eastAsia="Calibri" w:hAnsi="Calibri" w:cs="Calibri"/>
                <w:sz w:val="22"/>
                <w:szCs w:val="22"/>
              </w:rPr>
            </w:pPr>
            <w:r>
              <w:t>F</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28" w14:textId="77777777" w:rsidR="00E84532" w:rsidRDefault="00E90F46">
            <w:pPr>
              <w:jc w:val="center"/>
              <w:rPr>
                <w:rFonts w:ascii="Calibri" w:eastAsia="Calibri" w:hAnsi="Calibri" w:cs="Calibri"/>
                <w:sz w:val="22"/>
                <w:szCs w:val="22"/>
              </w:rPr>
            </w:pPr>
            <w:r>
              <w:t>4,919.00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29" w14:textId="77777777" w:rsidR="00E84532" w:rsidRDefault="00E90F46">
            <w:pPr>
              <w:jc w:val="center"/>
              <w:rPr>
                <w:rFonts w:ascii="Calibri" w:eastAsia="Calibri" w:hAnsi="Calibri" w:cs="Calibri"/>
                <w:sz w:val="22"/>
                <w:szCs w:val="22"/>
              </w:rPr>
            </w:pPr>
            <w:r>
              <w:t>5,905.00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2A" w14:textId="77777777" w:rsidR="00E84532" w:rsidRDefault="00E90F46">
            <w:pPr>
              <w:jc w:val="center"/>
              <w:rPr>
                <w:rFonts w:ascii="Calibri" w:eastAsia="Calibri" w:hAnsi="Calibri" w:cs="Calibri"/>
                <w:sz w:val="22"/>
                <w:szCs w:val="22"/>
              </w:rPr>
            </w:pPr>
            <w:r>
              <w:t>5,161.00</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2B" w14:textId="77777777" w:rsidR="00E84532" w:rsidRDefault="00E90F46">
            <w:pPr>
              <w:jc w:val="center"/>
              <w:rPr>
                <w:rFonts w:ascii="Calibri" w:eastAsia="Calibri" w:hAnsi="Calibri" w:cs="Calibri"/>
                <w:sz w:val="22"/>
                <w:szCs w:val="22"/>
              </w:rPr>
            </w:pPr>
            <w:r>
              <w:t>6,905.00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2C" w14:textId="77777777" w:rsidR="00E84532" w:rsidRDefault="00E90F46">
            <w:pPr>
              <w:jc w:val="center"/>
              <w:rPr>
                <w:rFonts w:ascii="Calibri" w:eastAsia="Calibri" w:hAnsi="Calibri" w:cs="Calibri"/>
                <w:sz w:val="22"/>
                <w:szCs w:val="22"/>
              </w:rPr>
            </w:pPr>
            <w:r>
              <w:t>7,760.00</w:t>
            </w:r>
          </w:p>
        </w:tc>
      </w:tr>
      <w:tr w:rsidR="00E84532" w14:paraId="4F351535" w14:textId="77777777">
        <w:trPr>
          <w:trHeight w:val="300"/>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4F35152E" w14:textId="77777777" w:rsidR="00E84532" w:rsidRDefault="00E90F46">
            <w:pPr>
              <w:jc w:val="center"/>
              <w:rPr>
                <w:rFonts w:ascii="Calibri" w:eastAsia="Calibri" w:hAnsi="Calibri" w:cs="Calibri"/>
                <w:sz w:val="22"/>
                <w:szCs w:val="22"/>
              </w:rPr>
            </w:pPr>
            <w:r>
              <w:rPr>
                <w:b/>
                <w:bCs/>
              </w:rPr>
              <w:t>Net Margin</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2F" w14:textId="77777777" w:rsidR="00E84532" w:rsidRDefault="00E90F46">
            <w:pPr>
              <w:jc w:val="center"/>
              <w:rPr>
                <w:rFonts w:ascii="Calibri" w:eastAsia="Calibri" w:hAnsi="Calibri" w:cs="Calibri"/>
                <w:sz w:val="22"/>
                <w:szCs w:val="22"/>
              </w:rPr>
            </w:pPr>
            <w:r>
              <w:rPr>
                <w:b/>
                <w:bCs/>
              </w:rPr>
              <w:t>C/A</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30" w14:textId="77777777" w:rsidR="00E84532" w:rsidRDefault="00E90F46">
            <w:pPr>
              <w:jc w:val="center"/>
              <w:rPr>
                <w:rFonts w:ascii="Calibri" w:eastAsia="Calibri" w:hAnsi="Calibri" w:cs="Calibri"/>
                <w:sz w:val="22"/>
                <w:szCs w:val="22"/>
              </w:rPr>
            </w:pPr>
            <w:r>
              <w:rPr>
                <w:b/>
                <w:bCs/>
              </w:rPr>
              <w:t>1.99%</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31" w14:textId="77777777" w:rsidR="00E84532" w:rsidRDefault="00E90F46">
            <w:pPr>
              <w:jc w:val="center"/>
              <w:rPr>
                <w:rFonts w:ascii="Calibri" w:eastAsia="Calibri" w:hAnsi="Calibri" w:cs="Calibri"/>
                <w:sz w:val="22"/>
                <w:szCs w:val="22"/>
              </w:rPr>
            </w:pPr>
            <w:r>
              <w:rPr>
                <w:b/>
                <w:bCs/>
              </w:rPr>
              <w:t>4.38%</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32" w14:textId="77777777" w:rsidR="00E84532" w:rsidRDefault="00E90F46">
            <w:pPr>
              <w:jc w:val="center"/>
              <w:rPr>
                <w:rFonts w:ascii="Calibri" w:eastAsia="Calibri" w:hAnsi="Calibri" w:cs="Calibri"/>
                <w:sz w:val="22"/>
                <w:szCs w:val="22"/>
              </w:rPr>
            </w:pPr>
            <w:r>
              <w:rPr>
                <w:b/>
                <w:bCs/>
              </w:rPr>
              <w:t>4.25%</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33" w14:textId="77777777" w:rsidR="00E84532" w:rsidRDefault="00E90F46">
            <w:pPr>
              <w:jc w:val="center"/>
              <w:rPr>
                <w:rFonts w:ascii="Calibri" w:eastAsia="Calibri" w:hAnsi="Calibri" w:cs="Calibri"/>
                <w:sz w:val="22"/>
                <w:szCs w:val="22"/>
              </w:rPr>
            </w:pPr>
            <w:r>
              <w:rPr>
                <w:b/>
                <w:bCs/>
              </w:rPr>
              <w:t>3.37%</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34" w14:textId="77777777" w:rsidR="00E84532" w:rsidRDefault="00E90F46">
            <w:pPr>
              <w:jc w:val="center"/>
              <w:rPr>
                <w:rFonts w:ascii="Calibri" w:eastAsia="Calibri" w:hAnsi="Calibri" w:cs="Calibri"/>
                <w:sz w:val="22"/>
                <w:szCs w:val="22"/>
              </w:rPr>
            </w:pPr>
            <w:r>
              <w:rPr>
                <w:b/>
                <w:bCs/>
              </w:rPr>
              <w:t>4.08%</w:t>
            </w:r>
          </w:p>
        </w:tc>
      </w:tr>
      <w:tr w:rsidR="00E84532" w14:paraId="4F35153D" w14:textId="77777777">
        <w:trPr>
          <w:trHeight w:val="55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4F351536" w14:textId="77777777" w:rsidR="00E84532" w:rsidRDefault="00E90F46">
            <w:pPr>
              <w:jc w:val="center"/>
              <w:rPr>
                <w:rFonts w:ascii="Calibri" w:eastAsia="Calibri" w:hAnsi="Calibri" w:cs="Calibri"/>
                <w:sz w:val="22"/>
                <w:szCs w:val="22"/>
              </w:rPr>
            </w:pPr>
            <w:r>
              <w:rPr>
                <w:b/>
                <w:bCs/>
              </w:rPr>
              <w:t>Return on Capital Employed (ROCE)</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37" w14:textId="77777777" w:rsidR="00E84532" w:rsidRDefault="00E90F46">
            <w:pPr>
              <w:jc w:val="center"/>
              <w:rPr>
                <w:rFonts w:ascii="Calibri" w:eastAsia="Calibri" w:hAnsi="Calibri" w:cs="Calibri"/>
                <w:sz w:val="22"/>
                <w:szCs w:val="22"/>
              </w:rPr>
            </w:pPr>
            <w:r>
              <w:rPr>
                <w:b/>
                <w:bCs/>
              </w:rPr>
              <w:t>B/(D-E)</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38" w14:textId="77777777" w:rsidR="00E84532" w:rsidRDefault="00E90F46">
            <w:pPr>
              <w:jc w:val="center"/>
              <w:rPr>
                <w:rFonts w:ascii="Calibri" w:eastAsia="Calibri" w:hAnsi="Calibri" w:cs="Calibri"/>
                <w:sz w:val="22"/>
                <w:szCs w:val="22"/>
              </w:rPr>
            </w:pPr>
            <w:r>
              <w:rPr>
                <w:b/>
                <w:bCs/>
              </w:rPr>
              <w:t>5.65%</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39" w14:textId="77777777" w:rsidR="00E84532" w:rsidRDefault="00E90F46">
            <w:pPr>
              <w:jc w:val="center"/>
              <w:rPr>
                <w:rFonts w:ascii="Calibri" w:eastAsia="Calibri" w:hAnsi="Calibri" w:cs="Calibri"/>
                <w:sz w:val="22"/>
                <w:szCs w:val="22"/>
              </w:rPr>
            </w:pPr>
            <w:r>
              <w:rPr>
                <w:b/>
                <w:bCs/>
              </w:rPr>
              <w:t>12.42%</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3A" w14:textId="77777777" w:rsidR="00E84532" w:rsidRDefault="00E90F46">
            <w:pPr>
              <w:jc w:val="center"/>
              <w:rPr>
                <w:rFonts w:ascii="Calibri" w:eastAsia="Calibri" w:hAnsi="Calibri" w:cs="Calibri"/>
                <w:sz w:val="22"/>
                <w:szCs w:val="22"/>
              </w:rPr>
            </w:pPr>
            <w:r>
              <w:rPr>
                <w:b/>
                <w:bCs/>
              </w:rPr>
              <w:t>18.41%</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3B" w14:textId="77777777" w:rsidR="00E84532" w:rsidRDefault="00E90F46">
            <w:pPr>
              <w:jc w:val="center"/>
              <w:rPr>
                <w:rFonts w:ascii="Calibri" w:eastAsia="Calibri" w:hAnsi="Calibri" w:cs="Calibri"/>
                <w:sz w:val="22"/>
                <w:szCs w:val="22"/>
              </w:rPr>
            </w:pPr>
            <w:r>
              <w:rPr>
                <w:b/>
                <w:bCs/>
              </w:rPr>
              <w:t>17.87%</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3C" w14:textId="77777777" w:rsidR="00E84532" w:rsidRDefault="00E90F46">
            <w:pPr>
              <w:jc w:val="center"/>
              <w:rPr>
                <w:rFonts w:ascii="Calibri" w:eastAsia="Calibri" w:hAnsi="Calibri" w:cs="Calibri"/>
                <w:sz w:val="22"/>
                <w:szCs w:val="22"/>
              </w:rPr>
            </w:pPr>
            <w:r>
              <w:rPr>
                <w:b/>
                <w:bCs/>
              </w:rPr>
              <w:t>18.47%</w:t>
            </w:r>
          </w:p>
        </w:tc>
      </w:tr>
      <w:tr w:rsidR="00E84532" w14:paraId="4F351545" w14:textId="77777777">
        <w:trPr>
          <w:trHeight w:val="300"/>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4F35153E" w14:textId="77777777" w:rsidR="00E84532" w:rsidRDefault="00E90F46">
            <w:pPr>
              <w:jc w:val="center"/>
              <w:rPr>
                <w:rFonts w:ascii="Calibri" w:eastAsia="Calibri" w:hAnsi="Calibri" w:cs="Calibri"/>
                <w:sz w:val="22"/>
                <w:szCs w:val="22"/>
              </w:rPr>
            </w:pPr>
            <w:r>
              <w:rPr>
                <w:b/>
                <w:bCs/>
              </w:rPr>
              <w:t>Return on Equity (ROE)</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3F" w14:textId="77777777" w:rsidR="00E84532" w:rsidRDefault="00E90F46">
            <w:pPr>
              <w:jc w:val="center"/>
              <w:rPr>
                <w:rFonts w:ascii="Calibri" w:eastAsia="Calibri" w:hAnsi="Calibri" w:cs="Calibri"/>
                <w:sz w:val="22"/>
                <w:szCs w:val="22"/>
              </w:rPr>
            </w:pPr>
            <w:r>
              <w:rPr>
                <w:b/>
                <w:bCs/>
              </w:rPr>
              <w:t>C/F</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40" w14:textId="77777777" w:rsidR="00E84532" w:rsidRDefault="00E90F46">
            <w:pPr>
              <w:jc w:val="center"/>
              <w:rPr>
                <w:rFonts w:ascii="Calibri" w:eastAsia="Calibri" w:hAnsi="Calibri" w:cs="Calibri"/>
                <w:sz w:val="22"/>
                <w:szCs w:val="22"/>
              </w:rPr>
            </w:pPr>
            <w:r>
              <w:rPr>
                <w:b/>
                <w:bCs/>
              </w:rPr>
              <w:t>7.26%</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41" w14:textId="77777777" w:rsidR="00E84532" w:rsidRDefault="00E90F46">
            <w:pPr>
              <w:jc w:val="center"/>
              <w:rPr>
                <w:rFonts w:ascii="Calibri" w:eastAsia="Calibri" w:hAnsi="Calibri" w:cs="Calibri"/>
                <w:sz w:val="22"/>
                <w:szCs w:val="22"/>
              </w:rPr>
            </w:pPr>
            <w:r>
              <w:rPr>
                <w:b/>
                <w:bCs/>
              </w:rPr>
              <w:t>18.92%</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42" w14:textId="77777777" w:rsidR="00E84532" w:rsidRDefault="00E90F46">
            <w:pPr>
              <w:jc w:val="center"/>
              <w:rPr>
                <w:rFonts w:ascii="Calibri" w:eastAsia="Calibri" w:hAnsi="Calibri" w:cs="Calibri"/>
                <w:sz w:val="22"/>
                <w:szCs w:val="22"/>
              </w:rPr>
            </w:pPr>
            <w:r>
              <w:rPr>
                <w:b/>
                <w:bCs/>
              </w:rPr>
              <w:t>25.54%</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43" w14:textId="77777777" w:rsidR="00E84532" w:rsidRDefault="00E90F46">
            <w:pPr>
              <w:jc w:val="center"/>
              <w:rPr>
                <w:rFonts w:ascii="Calibri" w:eastAsia="Calibri" w:hAnsi="Calibri" w:cs="Calibri"/>
                <w:sz w:val="22"/>
                <w:szCs w:val="22"/>
              </w:rPr>
            </w:pPr>
            <w:r>
              <w:rPr>
                <w:b/>
                <w:bCs/>
              </w:rPr>
              <w:t>20.48%</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44" w14:textId="77777777" w:rsidR="00E84532" w:rsidRDefault="00E90F46">
            <w:pPr>
              <w:jc w:val="center"/>
              <w:rPr>
                <w:rFonts w:ascii="Calibri" w:eastAsia="Calibri" w:hAnsi="Calibri" w:cs="Calibri"/>
                <w:sz w:val="22"/>
                <w:szCs w:val="22"/>
              </w:rPr>
            </w:pPr>
            <w:r>
              <w:rPr>
                <w:b/>
                <w:bCs/>
              </w:rPr>
              <w:t>24.23%</w:t>
            </w:r>
          </w:p>
        </w:tc>
      </w:tr>
      <w:tr w:rsidR="00E84532" w14:paraId="4F35154D" w14:textId="77777777">
        <w:trPr>
          <w:trHeight w:val="300"/>
        </w:trPr>
        <w:tc>
          <w:tcPr>
            <w:tcW w:w="2793"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4F351546" w14:textId="77777777" w:rsidR="00E84532" w:rsidRDefault="00E84532">
            <w:pPr>
              <w:rPr>
                <w:rFonts w:ascii="Calibri" w:eastAsia="Calibri" w:hAnsi="Calibri" w:cs="Calibri"/>
                <w:sz w:val="22"/>
                <w:szCs w:val="22"/>
              </w:rPr>
            </w:pPr>
          </w:p>
        </w:tc>
        <w:tc>
          <w:tcPr>
            <w:tcW w:w="816"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4F351547" w14:textId="77777777" w:rsidR="00E84532" w:rsidRDefault="00E84532">
            <w:pPr>
              <w:rPr>
                <w:rFonts w:ascii="Calibri" w:eastAsia="Calibri" w:hAnsi="Calibri" w:cs="Calibri"/>
                <w:sz w:val="22"/>
                <w:szCs w:val="22"/>
              </w:rPr>
            </w:pPr>
          </w:p>
        </w:tc>
        <w:tc>
          <w:tcPr>
            <w:tcW w:w="111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4F351548" w14:textId="77777777" w:rsidR="00E84532" w:rsidRDefault="00E84532">
            <w:pPr>
              <w:rPr>
                <w:rFonts w:ascii="Calibri" w:eastAsia="Calibri" w:hAnsi="Calibri" w:cs="Calibri"/>
                <w:sz w:val="22"/>
                <w:szCs w:val="22"/>
              </w:rPr>
            </w:pPr>
          </w:p>
        </w:tc>
        <w:tc>
          <w:tcPr>
            <w:tcW w:w="111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4F351549" w14:textId="77777777" w:rsidR="00E84532" w:rsidRDefault="00E84532">
            <w:pPr>
              <w:rPr>
                <w:rFonts w:ascii="Calibri" w:eastAsia="Calibri" w:hAnsi="Calibri" w:cs="Calibri"/>
                <w:sz w:val="22"/>
                <w:szCs w:val="22"/>
              </w:rPr>
            </w:pPr>
          </w:p>
        </w:tc>
        <w:tc>
          <w:tcPr>
            <w:tcW w:w="111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4F35154A" w14:textId="77777777" w:rsidR="00E84532" w:rsidRDefault="00E84532">
            <w:pPr>
              <w:rPr>
                <w:rFonts w:ascii="Calibri" w:eastAsia="Calibri" w:hAnsi="Calibri" w:cs="Calibri"/>
                <w:sz w:val="22"/>
                <w:szCs w:val="22"/>
              </w:rPr>
            </w:pPr>
          </w:p>
        </w:tc>
        <w:tc>
          <w:tcPr>
            <w:tcW w:w="127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4F35154B" w14:textId="77777777" w:rsidR="00E84532" w:rsidRDefault="00E84532">
            <w:pPr>
              <w:rPr>
                <w:rFonts w:ascii="Calibri" w:eastAsia="Calibri" w:hAnsi="Calibri" w:cs="Calibri"/>
                <w:sz w:val="22"/>
                <w:szCs w:val="22"/>
              </w:rPr>
            </w:pPr>
          </w:p>
        </w:tc>
        <w:tc>
          <w:tcPr>
            <w:tcW w:w="111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4F35154C" w14:textId="77777777" w:rsidR="00E84532" w:rsidRDefault="00E84532">
            <w:pPr>
              <w:rPr>
                <w:rFonts w:ascii="Calibri" w:eastAsia="Calibri" w:hAnsi="Calibri" w:cs="Calibri"/>
                <w:sz w:val="22"/>
                <w:szCs w:val="22"/>
              </w:rPr>
            </w:pPr>
          </w:p>
        </w:tc>
      </w:tr>
      <w:tr w:rsidR="00E84532" w14:paraId="4F351555" w14:textId="77777777">
        <w:trPr>
          <w:trHeight w:val="300"/>
        </w:trPr>
        <w:tc>
          <w:tcPr>
            <w:tcW w:w="2793"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4F35154E" w14:textId="77777777" w:rsidR="00E84532" w:rsidRDefault="00E84532">
            <w:pPr>
              <w:rPr>
                <w:rFonts w:ascii="Calibri" w:eastAsia="Calibri" w:hAnsi="Calibri" w:cs="Calibri"/>
                <w:sz w:val="22"/>
                <w:szCs w:val="22"/>
              </w:rPr>
            </w:pPr>
          </w:p>
        </w:tc>
        <w:tc>
          <w:tcPr>
            <w:tcW w:w="816"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4F35154F" w14:textId="77777777" w:rsidR="00E84532" w:rsidRDefault="00E84532">
            <w:pPr>
              <w:rPr>
                <w:rFonts w:ascii="Calibri" w:eastAsia="Calibri" w:hAnsi="Calibri" w:cs="Calibri"/>
                <w:sz w:val="22"/>
                <w:szCs w:val="22"/>
              </w:rPr>
            </w:pPr>
          </w:p>
        </w:tc>
        <w:tc>
          <w:tcPr>
            <w:tcW w:w="111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4F351550" w14:textId="77777777" w:rsidR="00E84532" w:rsidRDefault="00E84532">
            <w:pPr>
              <w:rPr>
                <w:rFonts w:ascii="Calibri" w:eastAsia="Calibri" w:hAnsi="Calibri" w:cs="Calibri"/>
                <w:sz w:val="22"/>
                <w:szCs w:val="22"/>
              </w:rPr>
            </w:pPr>
          </w:p>
        </w:tc>
        <w:tc>
          <w:tcPr>
            <w:tcW w:w="111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4F351551" w14:textId="77777777" w:rsidR="00E84532" w:rsidRDefault="00E84532">
            <w:pPr>
              <w:rPr>
                <w:rFonts w:ascii="Calibri" w:eastAsia="Calibri" w:hAnsi="Calibri" w:cs="Calibri"/>
                <w:sz w:val="22"/>
                <w:szCs w:val="22"/>
              </w:rPr>
            </w:pPr>
          </w:p>
        </w:tc>
        <w:tc>
          <w:tcPr>
            <w:tcW w:w="111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4F351552" w14:textId="77777777" w:rsidR="00E84532" w:rsidRDefault="00E84532">
            <w:pPr>
              <w:rPr>
                <w:rFonts w:ascii="Calibri" w:eastAsia="Calibri" w:hAnsi="Calibri" w:cs="Calibri"/>
                <w:sz w:val="22"/>
                <w:szCs w:val="22"/>
              </w:rPr>
            </w:pPr>
          </w:p>
        </w:tc>
        <w:tc>
          <w:tcPr>
            <w:tcW w:w="127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4F351553" w14:textId="77777777" w:rsidR="00E84532" w:rsidRDefault="00E84532">
            <w:pPr>
              <w:rPr>
                <w:rFonts w:ascii="Calibri" w:eastAsia="Calibri" w:hAnsi="Calibri" w:cs="Calibri"/>
                <w:sz w:val="22"/>
                <w:szCs w:val="22"/>
              </w:rPr>
            </w:pPr>
          </w:p>
        </w:tc>
        <w:tc>
          <w:tcPr>
            <w:tcW w:w="111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4F351554" w14:textId="77777777" w:rsidR="00E84532" w:rsidRDefault="00E84532">
            <w:pPr>
              <w:rPr>
                <w:rFonts w:ascii="Calibri" w:eastAsia="Calibri" w:hAnsi="Calibri" w:cs="Calibri"/>
                <w:sz w:val="22"/>
                <w:szCs w:val="22"/>
              </w:rPr>
            </w:pPr>
          </w:p>
        </w:tc>
      </w:tr>
      <w:tr w:rsidR="00E84532" w14:paraId="4F351557" w14:textId="77777777">
        <w:trPr>
          <w:trHeight w:val="300"/>
        </w:trPr>
        <w:tc>
          <w:tcPr>
            <w:tcW w:w="9355" w:type="dxa"/>
            <w:gridSpan w:val="7"/>
            <w:tcBorders>
              <w:top w:val="single" w:sz="6" w:space="0" w:color="CCCCCC"/>
              <w:left w:val="single" w:sz="6" w:space="0" w:color="CCCCCC"/>
              <w:bottom w:val="single" w:sz="6" w:space="0" w:color="000000"/>
              <w:right w:val="single" w:sz="6" w:space="0" w:color="CCCCCC"/>
            </w:tcBorders>
            <w:tcMar>
              <w:top w:w="0" w:type="dxa"/>
              <w:left w:w="40" w:type="dxa"/>
              <w:bottom w:w="0" w:type="dxa"/>
              <w:right w:w="40" w:type="dxa"/>
            </w:tcMar>
            <w:vAlign w:val="center"/>
          </w:tcPr>
          <w:p w14:paraId="4F351556" w14:textId="77777777" w:rsidR="00E84532" w:rsidRDefault="00E90F46">
            <w:pPr>
              <w:jc w:val="center"/>
              <w:rPr>
                <w:rFonts w:ascii="Calibri" w:eastAsia="Calibri" w:hAnsi="Calibri" w:cs="Calibri"/>
                <w:sz w:val="22"/>
                <w:szCs w:val="22"/>
              </w:rPr>
            </w:pPr>
            <w:r>
              <w:rPr>
                <w:b/>
                <w:bCs/>
              </w:rPr>
              <w:t xml:space="preserve">Liquidity </w:t>
            </w:r>
            <w:proofErr w:type="gramStart"/>
            <w:r>
              <w:rPr>
                <w:b/>
                <w:bCs/>
              </w:rPr>
              <w:t>Ratios:-</w:t>
            </w:r>
            <w:proofErr w:type="gramEnd"/>
          </w:p>
        </w:tc>
      </w:tr>
      <w:tr w:rsidR="00E84532" w14:paraId="4F35155F" w14:textId="77777777">
        <w:trPr>
          <w:trHeight w:val="300"/>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4F351558" w14:textId="77777777" w:rsidR="00E84532" w:rsidRDefault="00E90F46">
            <w:pPr>
              <w:jc w:val="center"/>
              <w:rPr>
                <w:rFonts w:ascii="Calibri" w:eastAsia="Calibri" w:hAnsi="Calibri" w:cs="Calibri"/>
                <w:sz w:val="22"/>
                <w:szCs w:val="22"/>
              </w:rPr>
            </w:pPr>
            <w:r>
              <w:rPr>
                <w:b/>
                <w:bCs/>
              </w:rPr>
              <w:t>Particulars</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59" w14:textId="77777777" w:rsidR="00E84532" w:rsidRDefault="00E90F46">
            <w:pPr>
              <w:jc w:val="center"/>
              <w:rPr>
                <w:rFonts w:ascii="Calibri" w:eastAsia="Calibri" w:hAnsi="Calibri" w:cs="Calibri"/>
                <w:sz w:val="22"/>
                <w:szCs w:val="22"/>
              </w:rPr>
            </w:pPr>
            <w:r>
              <w:rPr>
                <w:b/>
                <w:bCs/>
              </w:rPr>
              <w:t>Details</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5A" w14:textId="77777777" w:rsidR="00E84532" w:rsidRDefault="00E90F46">
            <w:pPr>
              <w:jc w:val="center"/>
              <w:rPr>
                <w:rFonts w:ascii="Calibri" w:eastAsia="Calibri" w:hAnsi="Calibri" w:cs="Calibri"/>
                <w:sz w:val="22"/>
                <w:szCs w:val="22"/>
              </w:rPr>
            </w:pPr>
            <w:r>
              <w:rPr>
                <w:b/>
                <w:bCs/>
              </w:rPr>
              <w:t>2021</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5B" w14:textId="77777777" w:rsidR="00E84532" w:rsidRDefault="00E90F46">
            <w:pPr>
              <w:jc w:val="center"/>
              <w:rPr>
                <w:rFonts w:ascii="Calibri" w:eastAsia="Calibri" w:hAnsi="Calibri" w:cs="Calibri"/>
                <w:sz w:val="22"/>
                <w:szCs w:val="22"/>
              </w:rPr>
            </w:pPr>
            <w:r>
              <w:rPr>
                <w:b/>
                <w:bCs/>
              </w:rPr>
              <w:t>2022</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5C" w14:textId="77777777" w:rsidR="00E84532" w:rsidRDefault="00E90F46">
            <w:pPr>
              <w:jc w:val="center"/>
              <w:rPr>
                <w:rFonts w:ascii="Calibri" w:eastAsia="Calibri" w:hAnsi="Calibri" w:cs="Calibri"/>
                <w:sz w:val="22"/>
                <w:szCs w:val="22"/>
              </w:rPr>
            </w:pPr>
            <w:r>
              <w:rPr>
                <w:b/>
                <w:bCs/>
              </w:rPr>
              <w:t>2023</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5D" w14:textId="77777777" w:rsidR="00E84532" w:rsidRDefault="00E90F46">
            <w:pPr>
              <w:jc w:val="center"/>
              <w:rPr>
                <w:rFonts w:ascii="Calibri" w:eastAsia="Calibri" w:hAnsi="Calibri" w:cs="Calibri"/>
                <w:sz w:val="22"/>
                <w:szCs w:val="22"/>
              </w:rPr>
            </w:pPr>
            <w:r>
              <w:rPr>
                <w:b/>
                <w:bCs/>
              </w:rPr>
              <w:t>2024</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5E" w14:textId="77777777" w:rsidR="00E84532" w:rsidRDefault="00E90F46">
            <w:pPr>
              <w:jc w:val="center"/>
              <w:rPr>
                <w:rFonts w:ascii="Calibri" w:eastAsia="Calibri" w:hAnsi="Calibri" w:cs="Calibri"/>
                <w:sz w:val="22"/>
                <w:szCs w:val="22"/>
              </w:rPr>
            </w:pPr>
            <w:r>
              <w:rPr>
                <w:b/>
                <w:bCs/>
              </w:rPr>
              <w:t>2025</w:t>
            </w:r>
          </w:p>
        </w:tc>
      </w:tr>
      <w:tr w:rsidR="00E84532" w14:paraId="4F351567" w14:textId="77777777">
        <w:trPr>
          <w:trHeight w:val="300"/>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4F351560" w14:textId="77777777" w:rsidR="00E84532" w:rsidRDefault="00E90F46">
            <w:pPr>
              <w:jc w:val="center"/>
              <w:rPr>
                <w:rFonts w:ascii="Calibri" w:eastAsia="Calibri" w:hAnsi="Calibri" w:cs="Calibri"/>
                <w:sz w:val="22"/>
                <w:szCs w:val="22"/>
              </w:rPr>
            </w:pPr>
            <w:r>
              <w:t>Current Assets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61" w14:textId="77777777" w:rsidR="00E84532" w:rsidRDefault="00E90F46">
            <w:pPr>
              <w:jc w:val="center"/>
              <w:rPr>
                <w:rFonts w:ascii="Calibri" w:eastAsia="Calibri" w:hAnsi="Calibri" w:cs="Calibri"/>
                <w:sz w:val="22"/>
                <w:szCs w:val="22"/>
              </w:rPr>
            </w:pPr>
            <w:r>
              <w:t>A</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62" w14:textId="77777777" w:rsidR="00E84532" w:rsidRDefault="00E90F46">
            <w:pPr>
              <w:jc w:val="center"/>
              <w:rPr>
                <w:rFonts w:ascii="Calibri" w:eastAsia="Calibri" w:hAnsi="Calibri" w:cs="Calibri"/>
                <w:sz w:val="22"/>
                <w:szCs w:val="22"/>
              </w:rPr>
            </w:pPr>
            <w:r>
              <w:t>4,952.00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63" w14:textId="77777777" w:rsidR="00E84532" w:rsidRDefault="00E90F46">
            <w:pPr>
              <w:jc w:val="center"/>
              <w:rPr>
                <w:rFonts w:ascii="Calibri" w:eastAsia="Calibri" w:hAnsi="Calibri" w:cs="Calibri"/>
                <w:sz w:val="22"/>
                <w:szCs w:val="22"/>
              </w:rPr>
            </w:pPr>
            <w:r>
              <w:t>6,685.00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64" w14:textId="77777777" w:rsidR="00E84532" w:rsidRDefault="00E90F46">
            <w:pPr>
              <w:jc w:val="center"/>
              <w:rPr>
                <w:rFonts w:ascii="Calibri" w:eastAsia="Calibri" w:hAnsi="Calibri" w:cs="Calibri"/>
                <w:sz w:val="22"/>
                <w:szCs w:val="22"/>
              </w:rPr>
            </w:pPr>
            <w:r>
              <w:t>5,695.00</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65" w14:textId="77777777" w:rsidR="00E84532" w:rsidRDefault="00E90F46">
            <w:pPr>
              <w:jc w:val="center"/>
              <w:rPr>
                <w:rFonts w:ascii="Calibri" w:eastAsia="Calibri" w:hAnsi="Calibri" w:cs="Calibri"/>
                <w:sz w:val="22"/>
                <w:szCs w:val="22"/>
              </w:rPr>
            </w:pPr>
            <w:r>
              <w:t>7,493.00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66" w14:textId="77777777" w:rsidR="00E84532" w:rsidRDefault="00E90F46">
            <w:pPr>
              <w:jc w:val="center"/>
              <w:rPr>
                <w:rFonts w:ascii="Calibri" w:eastAsia="Calibri" w:hAnsi="Calibri" w:cs="Calibri"/>
                <w:sz w:val="22"/>
                <w:szCs w:val="22"/>
              </w:rPr>
            </w:pPr>
            <w:r>
              <w:t>7,793.00</w:t>
            </w:r>
          </w:p>
        </w:tc>
      </w:tr>
      <w:tr w:rsidR="00E84532" w14:paraId="4F35156F" w14:textId="77777777">
        <w:trPr>
          <w:trHeight w:val="300"/>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4F351568" w14:textId="77777777" w:rsidR="00E84532" w:rsidRDefault="00E90F46">
            <w:pPr>
              <w:jc w:val="center"/>
              <w:rPr>
                <w:rFonts w:ascii="Calibri" w:eastAsia="Calibri" w:hAnsi="Calibri" w:cs="Calibri"/>
                <w:sz w:val="22"/>
                <w:szCs w:val="22"/>
              </w:rPr>
            </w:pPr>
            <w:r>
              <w:t>Inventories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69" w14:textId="77777777" w:rsidR="00E84532" w:rsidRDefault="00E90F46">
            <w:pPr>
              <w:jc w:val="center"/>
              <w:rPr>
                <w:rFonts w:ascii="Calibri" w:eastAsia="Calibri" w:hAnsi="Calibri" w:cs="Calibri"/>
                <w:sz w:val="22"/>
                <w:szCs w:val="22"/>
              </w:rPr>
            </w:pPr>
            <w:r>
              <w:t>B</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6A" w14:textId="77777777" w:rsidR="00E84532" w:rsidRDefault="00E90F46">
            <w:pPr>
              <w:jc w:val="center"/>
              <w:rPr>
                <w:rFonts w:ascii="Calibri" w:eastAsia="Calibri" w:hAnsi="Calibri" w:cs="Calibri"/>
                <w:sz w:val="22"/>
                <w:szCs w:val="22"/>
              </w:rPr>
            </w:pPr>
            <w:r>
              <w:t>227.00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6B" w14:textId="77777777" w:rsidR="00E84532" w:rsidRDefault="00E90F46">
            <w:pPr>
              <w:jc w:val="center"/>
              <w:rPr>
                <w:rFonts w:ascii="Calibri" w:eastAsia="Calibri" w:hAnsi="Calibri" w:cs="Calibri"/>
                <w:sz w:val="22"/>
                <w:szCs w:val="22"/>
              </w:rPr>
            </w:pPr>
            <w:r>
              <w:t>511.00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6C" w14:textId="77777777" w:rsidR="00E84532" w:rsidRDefault="00E90F46">
            <w:pPr>
              <w:jc w:val="center"/>
              <w:rPr>
                <w:rFonts w:ascii="Calibri" w:eastAsia="Calibri" w:hAnsi="Calibri" w:cs="Calibri"/>
                <w:sz w:val="22"/>
                <w:szCs w:val="22"/>
              </w:rPr>
            </w:pPr>
            <w:r>
              <w:t>567.00</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6D" w14:textId="77777777" w:rsidR="00E84532" w:rsidRDefault="00E90F46">
            <w:pPr>
              <w:jc w:val="center"/>
              <w:rPr>
                <w:rFonts w:ascii="Calibri" w:eastAsia="Calibri" w:hAnsi="Calibri" w:cs="Calibri"/>
                <w:sz w:val="22"/>
                <w:szCs w:val="22"/>
              </w:rPr>
            </w:pPr>
            <w:r>
              <w:t>734.00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6E" w14:textId="77777777" w:rsidR="00E84532" w:rsidRDefault="00E90F46">
            <w:pPr>
              <w:jc w:val="center"/>
              <w:rPr>
                <w:rFonts w:ascii="Calibri" w:eastAsia="Calibri" w:hAnsi="Calibri" w:cs="Calibri"/>
                <w:sz w:val="22"/>
                <w:szCs w:val="22"/>
              </w:rPr>
            </w:pPr>
            <w:r>
              <w:t>820.00</w:t>
            </w:r>
          </w:p>
        </w:tc>
      </w:tr>
      <w:tr w:rsidR="00E84532" w14:paraId="4F351577" w14:textId="77777777">
        <w:trPr>
          <w:trHeight w:val="300"/>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4F351570" w14:textId="77777777" w:rsidR="00E84532" w:rsidRDefault="00E90F46">
            <w:pPr>
              <w:jc w:val="center"/>
              <w:rPr>
                <w:rFonts w:ascii="Calibri" w:eastAsia="Calibri" w:hAnsi="Calibri" w:cs="Calibri"/>
                <w:sz w:val="22"/>
                <w:szCs w:val="22"/>
              </w:rPr>
            </w:pPr>
            <w:r>
              <w:t>Current Liabilities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71" w14:textId="77777777" w:rsidR="00E84532" w:rsidRDefault="00E90F46">
            <w:pPr>
              <w:jc w:val="center"/>
              <w:rPr>
                <w:rFonts w:ascii="Calibri" w:eastAsia="Calibri" w:hAnsi="Calibri" w:cs="Calibri"/>
                <w:sz w:val="22"/>
                <w:szCs w:val="22"/>
              </w:rPr>
            </w:pPr>
            <w:r>
              <w:t>C</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72" w14:textId="77777777" w:rsidR="00E84532" w:rsidRDefault="00E90F46">
            <w:pPr>
              <w:jc w:val="center"/>
              <w:rPr>
                <w:rFonts w:ascii="Calibri" w:eastAsia="Calibri" w:hAnsi="Calibri" w:cs="Calibri"/>
                <w:sz w:val="22"/>
                <w:szCs w:val="22"/>
              </w:rPr>
            </w:pPr>
            <w:r>
              <w:t>5,227.00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73" w14:textId="77777777" w:rsidR="00E84532" w:rsidRDefault="00E90F46">
            <w:pPr>
              <w:jc w:val="center"/>
              <w:rPr>
                <w:rFonts w:ascii="Calibri" w:eastAsia="Calibri" w:hAnsi="Calibri" w:cs="Calibri"/>
                <w:sz w:val="22"/>
                <w:szCs w:val="22"/>
              </w:rPr>
            </w:pPr>
            <w:r>
              <w:t>7,033.00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74" w14:textId="77777777" w:rsidR="00E84532" w:rsidRDefault="00E90F46">
            <w:pPr>
              <w:jc w:val="center"/>
              <w:rPr>
                <w:rFonts w:ascii="Calibri" w:eastAsia="Calibri" w:hAnsi="Calibri" w:cs="Calibri"/>
                <w:sz w:val="22"/>
                <w:szCs w:val="22"/>
              </w:rPr>
            </w:pPr>
            <w:r>
              <w:t>7,635.00</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75" w14:textId="77777777" w:rsidR="00E84532" w:rsidRDefault="00E90F46">
            <w:pPr>
              <w:jc w:val="center"/>
              <w:rPr>
                <w:rFonts w:ascii="Calibri" w:eastAsia="Calibri" w:hAnsi="Calibri" w:cs="Calibri"/>
                <w:sz w:val="22"/>
                <w:szCs w:val="22"/>
              </w:rPr>
            </w:pPr>
            <w:r>
              <w:t>9,893.00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76" w14:textId="77777777" w:rsidR="00E84532" w:rsidRDefault="00E90F46">
            <w:pPr>
              <w:jc w:val="center"/>
              <w:rPr>
                <w:rFonts w:ascii="Calibri" w:eastAsia="Calibri" w:hAnsi="Calibri" w:cs="Calibri"/>
                <w:sz w:val="22"/>
                <w:szCs w:val="22"/>
              </w:rPr>
            </w:pPr>
            <w:r>
              <w:t>10,665.00</w:t>
            </w:r>
          </w:p>
        </w:tc>
      </w:tr>
      <w:tr w:rsidR="00E84532" w14:paraId="4F35157F" w14:textId="77777777">
        <w:trPr>
          <w:trHeight w:val="300"/>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4F351578" w14:textId="77777777" w:rsidR="00E84532" w:rsidRDefault="00E90F46">
            <w:pPr>
              <w:jc w:val="center"/>
              <w:rPr>
                <w:rFonts w:ascii="Calibri" w:eastAsia="Calibri" w:hAnsi="Calibri" w:cs="Calibri"/>
                <w:sz w:val="22"/>
                <w:szCs w:val="22"/>
              </w:rPr>
            </w:pPr>
            <w:r>
              <w:t>Cash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79" w14:textId="77777777" w:rsidR="00E84532" w:rsidRDefault="00E90F46">
            <w:pPr>
              <w:jc w:val="center"/>
              <w:rPr>
                <w:rFonts w:ascii="Calibri" w:eastAsia="Calibri" w:hAnsi="Calibri" w:cs="Calibri"/>
                <w:sz w:val="22"/>
                <w:szCs w:val="22"/>
              </w:rPr>
            </w:pPr>
            <w:r>
              <w:t>D</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7A" w14:textId="77777777" w:rsidR="00E84532" w:rsidRDefault="00E90F46">
            <w:pPr>
              <w:jc w:val="center"/>
              <w:rPr>
                <w:rFonts w:ascii="Calibri" w:eastAsia="Calibri" w:hAnsi="Calibri" w:cs="Calibri"/>
                <w:sz w:val="22"/>
                <w:szCs w:val="22"/>
              </w:rPr>
            </w:pPr>
            <w:r>
              <w:t>1,840.00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7B" w14:textId="77777777" w:rsidR="00E84532" w:rsidRDefault="00E90F46">
            <w:pPr>
              <w:jc w:val="center"/>
              <w:rPr>
                <w:rFonts w:ascii="Calibri" w:eastAsia="Calibri" w:hAnsi="Calibri" w:cs="Calibri"/>
                <w:sz w:val="22"/>
                <w:szCs w:val="22"/>
              </w:rPr>
            </w:pPr>
            <w:r>
              <w:t>1,983.00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7C" w14:textId="77777777" w:rsidR="00E84532" w:rsidRDefault="00E90F46">
            <w:pPr>
              <w:jc w:val="center"/>
              <w:rPr>
                <w:rFonts w:ascii="Calibri" w:eastAsia="Calibri" w:hAnsi="Calibri" w:cs="Calibri"/>
                <w:sz w:val="22"/>
                <w:szCs w:val="22"/>
              </w:rPr>
            </w:pPr>
            <w:r>
              <w:t>843.00</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7D" w14:textId="77777777" w:rsidR="00E84532" w:rsidRDefault="00E90F46">
            <w:pPr>
              <w:jc w:val="center"/>
              <w:rPr>
                <w:rFonts w:ascii="Calibri" w:eastAsia="Calibri" w:hAnsi="Calibri" w:cs="Calibri"/>
                <w:sz w:val="22"/>
                <w:szCs w:val="22"/>
              </w:rPr>
            </w:pPr>
            <w:r>
              <w:t>623.00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7E" w14:textId="77777777" w:rsidR="00E84532" w:rsidRDefault="00E90F46">
            <w:pPr>
              <w:jc w:val="center"/>
              <w:rPr>
                <w:rFonts w:ascii="Calibri" w:eastAsia="Calibri" w:hAnsi="Calibri" w:cs="Calibri"/>
                <w:sz w:val="22"/>
                <w:szCs w:val="22"/>
              </w:rPr>
            </w:pPr>
            <w:r>
              <w:t>575.00</w:t>
            </w:r>
          </w:p>
        </w:tc>
      </w:tr>
      <w:tr w:rsidR="00E84532" w14:paraId="4F351587"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4F351580" w14:textId="77777777" w:rsidR="00E84532" w:rsidRDefault="00E90F46">
            <w:pPr>
              <w:jc w:val="center"/>
              <w:rPr>
                <w:rFonts w:ascii="Calibri" w:eastAsia="Calibri" w:hAnsi="Calibri" w:cs="Calibri"/>
                <w:sz w:val="22"/>
                <w:szCs w:val="22"/>
              </w:rPr>
            </w:pPr>
            <w:r>
              <w:rPr>
                <w:b/>
                <w:bCs/>
              </w:rPr>
              <w:t>Current Ratio</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81" w14:textId="77777777" w:rsidR="00E84532" w:rsidRDefault="00E90F46">
            <w:pPr>
              <w:jc w:val="center"/>
              <w:rPr>
                <w:rFonts w:ascii="Calibri" w:eastAsia="Calibri" w:hAnsi="Calibri" w:cs="Calibri"/>
                <w:sz w:val="22"/>
                <w:szCs w:val="22"/>
              </w:rPr>
            </w:pPr>
            <w:r>
              <w:rPr>
                <w:b/>
                <w:bCs/>
              </w:rPr>
              <w:t>A/C</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82" w14:textId="77777777" w:rsidR="00E84532" w:rsidRDefault="00E90F46">
            <w:pPr>
              <w:jc w:val="center"/>
              <w:rPr>
                <w:rFonts w:ascii="Calibri" w:eastAsia="Calibri" w:hAnsi="Calibri" w:cs="Calibri"/>
                <w:sz w:val="22"/>
                <w:szCs w:val="22"/>
              </w:rPr>
            </w:pPr>
            <w:r>
              <w:rPr>
                <w:b/>
                <w:bCs/>
              </w:rPr>
              <w:t>0.95</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83" w14:textId="77777777" w:rsidR="00E84532" w:rsidRDefault="00E90F46">
            <w:pPr>
              <w:jc w:val="center"/>
              <w:rPr>
                <w:rFonts w:ascii="Calibri" w:eastAsia="Calibri" w:hAnsi="Calibri" w:cs="Calibri"/>
                <w:sz w:val="22"/>
                <w:szCs w:val="22"/>
              </w:rPr>
            </w:pPr>
            <w:r>
              <w:rPr>
                <w:b/>
                <w:bCs/>
              </w:rPr>
              <w:t>0.95</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84" w14:textId="77777777" w:rsidR="00E84532" w:rsidRDefault="00E90F46">
            <w:pPr>
              <w:jc w:val="center"/>
              <w:rPr>
                <w:rFonts w:ascii="Calibri" w:eastAsia="Calibri" w:hAnsi="Calibri" w:cs="Calibri"/>
                <w:sz w:val="22"/>
                <w:szCs w:val="22"/>
              </w:rPr>
            </w:pPr>
            <w:r>
              <w:rPr>
                <w:b/>
                <w:bCs/>
              </w:rPr>
              <w:t>0.75</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85" w14:textId="77777777" w:rsidR="00E84532" w:rsidRDefault="00E90F46">
            <w:pPr>
              <w:jc w:val="center"/>
              <w:rPr>
                <w:rFonts w:ascii="Calibri" w:eastAsia="Calibri" w:hAnsi="Calibri" w:cs="Calibri"/>
                <w:sz w:val="22"/>
                <w:szCs w:val="22"/>
              </w:rPr>
            </w:pPr>
            <w:r>
              <w:rPr>
                <w:b/>
                <w:bCs/>
              </w:rPr>
              <w:t>0.76</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86" w14:textId="77777777" w:rsidR="00E84532" w:rsidRDefault="00E90F46">
            <w:pPr>
              <w:jc w:val="center"/>
              <w:rPr>
                <w:rFonts w:ascii="Calibri" w:eastAsia="Calibri" w:hAnsi="Calibri" w:cs="Calibri"/>
                <w:sz w:val="22"/>
                <w:szCs w:val="22"/>
              </w:rPr>
            </w:pPr>
            <w:r>
              <w:rPr>
                <w:b/>
                <w:bCs/>
              </w:rPr>
              <w:t>0.73</w:t>
            </w:r>
          </w:p>
        </w:tc>
      </w:tr>
      <w:tr w:rsidR="00E84532" w14:paraId="4F35158F"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4F351588" w14:textId="77777777" w:rsidR="00E84532" w:rsidRDefault="00E90F46">
            <w:pPr>
              <w:jc w:val="center"/>
              <w:rPr>
                <w:rFonts w:ascii="Calibri" w:eastAsia="Calibri" w:hAnsi="Calibri" w:cs="Calibri"/>
                <w:sz w:val="22"/>
                <w:szCs w:val="22"/>
              </w:rPr>
            </w:pPr>
            <w:r>
              <w:rPr>
                <w:b/>
                <w:bCs/>
              </w:rPr>
              <w:lastRenderedPageBreak/>
              <w:t>Quick Ratio</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89" w14:textId="77777777" w:rsidR="00E84532" w:rsidRDefault="00E90F46">
            <w:pPr>
              <w:jc w:val="center"/>
              <w:rPr>
                <w:rFonts w:ascii="Calibri" w:eastAsia="Calibri" w:hAnsi="Calibri" w:cs="Calibri"/>
                <w:sz w:val="22"/>
                <w:szCs w:val="22"/>
              </w:rPr>
            </w:pPr>
            <w:r>
              <w:rPr>
                <w:b/>
                <w:bCs/>
              </w:rPr>
              <w:t>(A-B)/C</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8A" w14:textId="77777777" w:rsidR="00E84532" w:rsidRDefault="00E90F46">
            <w:pPr>
              <w:jc w:val="center"/>
              <w:rPr>
                <w:rFonts w:ascii="Calibri" w:eastAsia="Calibri" w:hAnsi="Calibri" w:cs="Calibri"/>
                <w:sz w:val="22"/>
                <w:szCs w:val="22"/>
              </w:rPr>
            </w:pPr>
            <w:r>
              <w:rPr>
                <w:b/>
                <w:bCs/>
              </w:rPr>
              <w:t>0.90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8B" w14:textId="77777777" w:rsidR="00E84532" w:rsidRDefault="00E90F46">
            <w:pPr>
              <w:jc w:val="center"/>
              <w:rPr>
                <w:rFonts w:ascii="Calibri" w:eastAsia="Calibri" w:hAnsi="Calibri" w:cs="Calibri"/>
                <w:sz w:val="22"/>
                <w:szCs w:val="22"/>
              </w:rPr>
            </w:pPr>
            <w:r>
              <w:rPr>
                <w:b/>
                <w:bCs/>
              </w:rPr>
              <w:t>0.88</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8C" w14:textId="77777777" w:rsidR="00E84532" w:rsidRDefault="00E90F46">
            <w:pPr>
              <w:jc w:val="center"/>
              <w:rPr>
                <w:rFonts w:ascii="Calibri" w:eastAsia="Calibri" w:hAnsi="Calibri" w:cs="Calibri"/>
                <w:sz w:val="22"/>
                <w:szCs w:val="22"/>
              </w:rPr>
            </w:pPr>
            <w:r>
              <w:rPr>
                <w:b/>
                <w:bCs/>
              </w:rPr>
              <w:t>0.67</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8D" w14:textId="77777777" w:rsidR="00E84532" w:rsidRDefault="00E90F46">
            <w:pPr>
              <w:jc w:val="center"/>
              <w:rPr>
                <w:rFonts w:ascii="Calibri" w:eastAsia="Calibri" w:hAnsi="Calibri" w:cs="Calibri"/>
                <w:sz w:val="22"/>
                <w:szCs w:val="22"/>
              </w:rPr>
            </w:pPr>
            <w:r>
              <w:rPr>
                <w:b/>
                <w:bCs/>
              </w:rPr>
              <w:t>0.68</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8E" w14:textId="77777777" w:rsidR="00E84532" w:rsidRDefault="00E90F46">
            <w:pPr>
              <w:jc w:val="center"/>
              <w:rPr>
                <w:rFonts w:ascii="Calibri" w:eastAsia="Calibri" w:hAnsi="Calibri" w:cs="Calibri"/>
                <w:sz w:val="22"/>
                <w:szCs w:val="22"/>
              </w:rPr>
            </w:pPr>
            <w:r>
              <w:rPr>
                <w:b/>
                <w:bCs/>
              </w:rPr>
              <w:t>0.65</w:t>
            </w:r>
          </w:p>
        </w:tc>
      </w:tr>
      <w:tr w:rsidR="00E84532" w14:paraId="4F351597"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4F351590" w14:textId="77777777" w:rsidR="00E84532" w:rsidRDefault="00E90F46">
            <w:pPr>
              <w:jc w:val="center"/>
              <w:rPr>
                <w:rFonts w:ascii="Calibri" w:eastAsia="Calibri" w:hAnsi="Calibri" w:cs="Calibri"/>
                <w:sz w:val="22"/>
                <w:szCs w:val="22"/>
              </w:rPr>
            </w:pPr>
            <w:r>
              <w:rPr>
                <w:b/>
                <w:bCs/>
              </w:rPr>
              <w:t>Cash Ratio</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91" w14:textId="77777777" w:rsidR="00E84532" w:rsidRDefault="00E90F46">
            <w:pPr>
              <w:jc w:val="center"/>
              <w:rPr>
                <w:rFonts w:ascii="Calibri" w:eastAsia="Calibri" w:hAnsi="Calibri" w:cs="Calibri"/>
                <w:sz w:val="22"/>
                <w:szCs w:val="22"/>
              </w:rPr>
            </w:pPr>
            <w:r>
              <w:rPr>
                <w:b/>
                <w:bCs/>
              </w:rPr>
              <w:t>D/C</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92" w14:textId="77777777" w:rsidR="00E84532" w:rsidRDefault="00E90F46">
            <w:pPr>
              <w:jc w:val="right"/>
              <w:rPr>
                <w:rFonts w:ascii="Calibri" w:eastAsia="Calibri" w:hAnsi="Calibri" w:cs="Calibri"/>
                <w:sz w:val="22"/>
                <w:szCs w:val="22"/>
              </w:rPr>
            </w:pPr>
            <w:r>
              <w:rPr>
                <w:b/>
                <w:bCs/>
              </w:rPr>
              <w:t>0.35</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93" w14:textId="77777777" w:rsidR="00E84532" w:rsidRDefault="00E90F46">
            <w:pPr>
              <w:jc w:val="right"/>
              <w:rPr>
                <w:rFonts w:ascii="Calibri" w:eastAsia="Calibri" w:hAnsi="Calibri" w:cs="Calibri"/>
                <w:sz w:val="22"/>
                <w:szCs w:val="22"/>
              </w:rPr>
            </w:pPr>
            <w:r>
              <w:rPr>
                <w:b/>
                <w:bCs/>
              </w:rPr>
              <w:t>0.28</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94" w14:textId="77777777" w:rsidR="00E84532" w:rsidRDefault="00E90F46">
            <w:pPr>
              <w:jc w:val="right"/>
              <w:rPr>
                <w:rFonts w:ascii="Calibri" w:eastAsia="Calibri" w:hAnsi="Calibri" w:cs="Calibri"/>
                <w:sz w:val="22"/>
                <w:szCs w:val="22"/>
              </w:rPr>
            </w:pPr>
            <w:r>
              <w:rPr>
                <w:b/>
                <w:bCs/>
              </w:rPr>
              <w:t>0.11</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95" w14:textId="77777777" w:rsidR="00E84532" w:rsidRDefault="00E90F46">
            <w:pPr>
              <w:jc w:val="right"/>
              <w:rPr>
                <w:rFonts w:ascii="Calibri" w:eastAsia="Calibri" w:hAnsi="Calibri" w:cs="Calibri"/>
                <w:sz w:val="22"/>
                <w:szCs w:val="22"/>
              </w:rPr>
            </w:pPr>
            <w:r>
              <w:rPr>
                <w:b/>
                <w:bCs/>
              </w:rPr>
              <w:t>0.06</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96" w14:textId="77777777" w:rsidR="00E84532" w:rsidRDefault="00E90F46">
            <w:pPr>
              <w:jc w:val="right"/>
              <w:rPr>
                <w:rFonts w:ascii="Calibri" w:eastAsia="Calibri" w:hAnsi="Calibri" w:cs="Calibri"/>
                <w:sz w:val="22"/>
                <w:szCs w:val="22"/>
              </w:rPr>
            </w:pPr>
            <w:r>
              <w:rPr>
                <w:b/>
                <w:bCs/>
              </w:rPr>
              <w:t>0.05</w:t>
            </w:r>
          </w:p>
        </w:tc>
      </w:tr>
      <w:tr w:rsidR="00E84532" w14:paraId="4F35159F" w14:textId="77777777">
        <w:trPr>
          <w:trHeight w:val="315"/>
        </w:trPr>
        <w:tc>
          <w:tcPr>
            <w:tcW w:w="2793"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4F351598" w14:textId="77777777" w:rsidR="00E84532" w:rsidRDefault="00E84532">
            <w:pPr>
              <w:rPr>
                <w:rFonts w:ascii="Calibri" w:eastAsia="Calibri" w:hAnsi="Calibri" w:cs="Calibri"/>
                <w:sz w:val="22"/>
                <w:szCs w:val="22"/>
              </w:rPr>
            </w:pPr>
          </w:p>
        </w:tc>
        <w:tc>
          <w:tcPr>
            <w:tcW w:w="816"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4F351599" w14:textId="77777777" w:rsidR="00E84532" w:rsidRDefault="00E84532">
            <w:pPr>
              <w:rPr>
                <w:rFonts w:ascii="Calibri" w:eastAsia="Calibri" w:hAnsi="Calibri" w:cs="Calibri"/>
                <w:sz w:val="22"/>
                <w:szCs w:val="22"/>
              </w:rPr>
            </w:pPr>
          </w:p>
        </w:tc>
        <w:tc>
          <w:tcPr>
            <w:tcW w:w="111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4F35159A" w14:textId="77777777" w:rsidR="00E84532" w:rsidRDefault="00E84532">
            <w:pPr>
              <w:rPr>
                <w:rFonts w:ascii="Calibri" w:eastAsia="Calibri" w:hAnsi="Calibri" w:cs="Calibri"/>
                <w:sz w:val="22"/>
                <w:szCs w:val="22"/>
              </w:rPr>
            </w:pPr>
          </w:p>
        </w:tc>
        <w:tc>
          <w:tcPr>
            <w:tcW w:w="111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4F35159B" w14:textId="77777777" w:rsidR="00E84532" w:rsidRDefault="00E84532">
            <w:pPr>
              <w:rPr>
                <w:rFonts w:ascii="Calibri" w:eastAsia="Calibri" w:hAnsi="Calibri" w:cs="Calibri"/>
                <w:sz w:val="22"/>
                <w:szCs w:val="22"/>
              </w:rPr>
            </w:pPr>
          </w:p>
        </w:tc>
        <w:tc>
          <w:tcPr>
            <w:tcW w:w="111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4F35159C" w14:textId="77777777" w:rsidR="00E84532" w:rsidRDefault="00E84532">
            <w:pPr>
              <w:rPr>
                <w:rFonts w:ascii="Calibri" w:eastAsia="Calibri" w:hAnsi="Calibri" w:cs="Calibri"/>
                <w:sz w:val="22"/>
                <w:szCs w:val="22"/>
              </w:rPr>
            </w:pPr>
          </w:p>
        </w:tc>
        <w:tc>
          <w:tcPr>
            <w:tcW w:w="127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4F35159D" w14:textId="77777777" w:rsidR="00E84532" w:rsidRDefault="00E84532">
            <w:pPr>
              <w:rPr>
                <w:rFonts w:ascii="Calibri" w:eastAsia="Calibri" w:hAnsi="Calibri" w:cs="Calibri"/>
                <w:sz w:val="22"/>
                <w:szCs w:val="22"/>
              </w:rPr>
            </w:pPr>
          </w:p>
        </w:tc>
        <w:tc>
          <w:tcPr>
            <w:tcW w:w="111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4F35159E" w14:textId="77777777" w:rsidR="00E84532" w:rsidRDefault="00E84532">
            <w:pPr>
              <w:rPr>
                <w:rFonts w:ascii="Calibri" w:eastAsia="Calibri" w:hAnsi="Calibri" w:cs="Calibri"/>
                <w:sz w:val="22"/>
                <w:szCs w:val="22"/>
              </w:rPr>
            </w:pPr>
          </w:p>
        </w:tc>
      </w:tr>
      <w:tr w:rsidR="00E84532" w14:paraId="4F3515A1" w14:textId="77777777">
        <w:trPr>
          <w:trHeight w:val="315"/>
        </w:trPr>
        <w:tc>
          <w:tcPr>
            <w:tcW w:w="9355" w:type="dxa"/>
            <w:gridSpan w:val="7"/>
            <w:tcBorders>
              <w:top w:val="single" w:sz="6" w:space="0" w:color="CCCCCC"/>
              <w:left w:val="single" w:sz="6" w:space="0" w:color="CCCCCC"/>
              <w:bottom w:val="single" w:sz="6" w:space="0" w:color="000000"/>
              <w:right w:val="single" w:sz="6" w:space="0" w:color="CCCCCC"/>
            </w:tcBorders>
            <w:tcMar>
              <w:top w:w="0" w:type="dxa"/>
              <w:left w:w="40" w:type="dxa"/>
              <w:bottom w:w="0" w:type="dxa"/>
              <w:right w:w="40" w:type="dxa"/>
            </w:tcMar>
            <w:vAlign w:val="center"/>
          </w:tcPr>
          <w:p w14:paraId="4F3515A0" w14:textId="77777777" w:rsidR="00E84532" w:rsidRDefault="00E90F46">
            <w:pPr>
              <w:jc w:val="center"/>
              <w:rPr>
                <w:rFonts w:ascii="Calibri" w:eastAsia="Calibri" w:hAnsi="Calibri" w:cs="Calibri"/>
                <w:sz w:val="22"/>
                <w:szCs w:val="22"/>
              </w:rPr>
            </w:pPr>
            <w:r>
              <w:rPr>
                <w:b/>
                <w:bCs/>
              </w:rPr>
              <w:t xml:space="preserve">Gearing </w:t>
            </w:r>
            <w:proofErr w:type="gramStart"/>
            <w:r>
              <w:rPr>
                <w:b/>
                <w:bCs/>
              </w:rPr>
              <w:t>Ratios:-</w:t>
            </w:r>
            <w:proofErr w:type="gramEnd"/>
          </w:p>
        </w:tc>
      </w:tr>
      <w:tr w:rsidR="00E84532" w14:paraId="4F3515A9"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4F3515A2" w14:textId="77777777" w:rsidR="00E84532" w:rsidRDefault="00E90F46">
            <w:pPr>
              <w:jc w:val="center"/>
              <w:rPr>
                <w:rFonts w:ascii="Calibri" w:eastAsia="Calibri" w:hAnsi="Calibri" w:cs="Calibri"/>
                <w:sz w:val="22"/>
                <w:szCs w:val="22"/>
              </w:rPr>
            </w:pPr>
            <w:r>
              <w:rPr>
                <w:b/>
                <w:bCs/>
              </w:rPr>
              <w:t>Particulars</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A3" w14:textId="77777777" w:rsidR="00E84532" w:rsidRDefault="00E90F46">
            <w:pPr>
              <w:jc w:val="center"/>
              <w:rPr>
                <w:rFonts w:ascii="Calibri" w:eastAsia="Calibri" w:hAnsi="Calibri" w:cs="Calibri"/>
                <w:sz w:val="22"/>
                <w:szCs w:val="22"/>
              </w:rPr>
            </w:pPr>
            <w:r>
              <w:rPr>
                <w:b/>
                <w:bCs/>
              </w:rPr>
              <w:t>Details</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A4" w14:textId="77777777" w:rsidR="00E84532" w:rsidRDefault="00E90F46">
            <w:pPr>
              <w:jc w:val="center"/>
              <w:rPr>
                <w:rFonts w:ascii="Calibri" w:eastAsia="Calibri" w:hAnsi="Calibri" w:cs="Calibri"/>
                <w:sz w:val="22"/>
                <w:szCs w:val="22"/>
              </w:rPr>
            </w:pPr>
            <w:r>
              <w:rPr>
                <w:b/>
                <w:bCs/>
              </w:rPr>
              <w:t>2021</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A5" w14:textId="77777777" w:rsidR="00E84532" w:rsidRDefault="00E90F46">
            <w:pPr>
              <w:jc w:val="center"/>
              <w:rPr>
                <w:rFonts w:ascii="Calibri" w:eastAsia="Calibri" w:hAnsi="Calibri" w:cs="Calibri"/>
                <w:sz w:val="22"/>
                <w:szCs w:val="22"/>
              </w:rPr>
            </w:pPr>
            <w:r>
              <w:rPr>
                <w:b/>
                <w:bCs/>
              </w:rPr>
              <w:t>2022</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A6" w14:textId="77777777" w:rsidR="00E84532" w:rsidRDefault="00E90F46">
            <w:pPr>
              <w:jc w:val="center"/>
              <w:rPr>
                <w:rFonts w:ascii="Calibri" w:eastAsia="Calibri" w:hAnsi="Calibri" w:cs="Calibri"/>
                <w:sz w:val="22"/>
                <w:szCs w:val="22"/>
              </w:rPr>
            </w:pPr>
            <w:r>
              <w:rPr>
                <w:b/>
                <w:bCs/>
              </w:rPr>
              <w:t>2023</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A7" w14:textId="77777777" w:rsidR="00E84532" w:rsidRDefault="00E90F46">
            <w:pPr>
              <w:jc w:val="center"/>
              <w:rPr>
                <w:rFonts w:ascii="Calibri" w:eastAsia="Calibri" w:hAnsi="Calibri" w:cs="Calibri"/>
                <w:sz w:val="22"/>
                <w:szCs w:val="22"/>
              </w:rPr>
            </w:pPr>
            <w:r>
              <w:rPr>
                <w:b/>
                <w:bCs/>
              </w:rPr>
              <w:t>2024</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A8" w14:textId="77777777" w:rsidR="00E84532" w:rsidRDefault="00E90F46">
            <w:pPr>
              <w:jc w:val="center"/>
              <w:rPr>
                <w:rFonts w:ascii="Calibri" w:eastAsia="Calibri" w:hAnsi="Calibri" w:cs="Calibri"/>
                <w:sz w:val="22"/>
                <w:szCs w:val="22"/>
              </w:rPr>
            </w:pPr>
            <w:r>
              <w:rPr>
                <w:b/>
                <w:bCs/>
              </w:rPr>
              <w:t>2025</w:t>
            </w:r>
          </w:p>
        </w:tc>
      </w:tr>
      <w:tr w:rsidR="00E84532" w14:paraId="4F3515B1"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4F3515AA" w14:textId="77777777" w:rsidR="00E84532" w:rsidRDefault="00E90F46">
            <w:pPr>
              <w:jc w:val="center"/>
              <w:rPr>
                <w:rFonts w:ascii="Calibri" w:eastAsia="Calibri" w:hAnsi="Calibri" w:cs="Calibri"/>
                <w:sz w:val="22"/>
                <w:szCs w:val="22"/>
              </w:rPr>
            </w:pPr>
            <w:r>
              <w:t>Total Liabilities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AB" w14:textId="77777777" w:rsidR="00E84532" w:rsidRDefault="00E90F46">
            <w:pPr>
              <w:jc w:val="center"/>
              <w:rPr>
                <w:rFonts w:ascii="Calibri" w:eastAsia="Calibri" w:hAnsi="Calibri" w:cs="Calibri"/>
                <w:sz w:val="22"/>
                <w:szCs w:val="22"/>
              </w:rPr>
            </w:pPr>
            <w:r>
              <w:t>A</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AC" w14:textId="77777777" w:rsidR="00E84532" w:rsidRDefault="00E90F46">
            <w:pPr>
              <w:jc w:val="center"/>
              <w:rPr>
                <w:rFonts w:ascii="Calibri" w:eastAsia="Calibri" w:hAnsi="Calibri" w:cs="Calibri"/>
                <w:sz w:val="22"/>
                <w:szCs w:val="22"/>
              </w:rPr>
            </w:pPr>
            <w:r>
              <w:t>9,949.00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AD" w14:textId="77777777" w:rsidR="00E84532" w:rsidRDefault="00E90F46">
            <w:pPr>
              <w:jc w:val="center"/>
              <w:rPr>
                <w:rFonts w:ascii="Calibri" w:eastAsia="Calibri" w:hAnsi="Calibri" w:cs="Calibri"/>
                <w:sz w:val="22"/>
                <w:szCs w:val="22"/>
              </w:rPr>
            </w:pPr>
            <w:r>
              <w:t>12,843.00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AE" w14:textId="77777777" w:rsidR="00E84532" w:rsidRDefault="00E90F46">
            <w:pPr>
              <w:jc w:val="center"/>
              <w:rPr>
                <w:rFonts w:ascii="Calibri" w:eastAsia="Calibri" w:hAnsi="Calibri" w:cs="Calibri"/>
                <w:sz w:val="22"/>
                <w:szCs w:val="22"/>
              </w:rPr>
            </w:pPr>
            <w:r>
              <w:t>12,439.00</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AF" w14:textId="77777777" w:rsidR="00E84532" w:rsidRDefault="00E90F46">
            <w:pPr>
              <w:jc w:val="center"/>
              <w:rPr>
                <w:rFonts w:ascii="Calibri" w:eastAsia="Calibri" w:hAnsi="Calibri" w:cs="Calibri"/>
                <w:sz w:val="22"/>
                <w:szCs w:val="22"/>
              </w:rPr>
            </w:pPr>
            <w:r>
              <w:t>17,443.00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B0" w14:textId="77777777" w:rsidR="00E84532" w:rsidRDefault="00E90F46">
            <w:pPr>
              <w:jc w:val="center"/>
              <w:rPr>
                <w:rFonts w:ascii="Calibri" w:eastAsia="Calibri" w:hAnsi="Calibri" w:cs="Calibri"/>
                <w:sz w:val="22"/>
                <w:szCs w:val="22"/>
              </w:rPr>
            </w:pPr>
            <w:r>
              <w:t>18,955.00</w:t>
            </w:r>
          </w:p>
        </w:tc>
      </w:tr>
      <w:tr w:rsidR="00E84532" w14:paraId="4F3515B9"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4F3515B2" w14:textId="77777777" w:rsidR="00E84532" w:rsidRDefault="00E90F46">
            <w:pPr>
              <w:jc w:val="center"/>
              <w:rPr>
                <w:rFonts w:ascii="Calibri" w:eastAsia="Calibri" w:hAnsi="Calibri" w:cs="Calibri"/>
                <w:sz w:val="22"/>
                <w:szCs w:val="22"/>
              </w:rPr>
            </w:pPr>
            <w:r>
              <w:t>Total Equity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B3" w14:textId="77777777" w:rsidR="00E84532" w:rsidRDefault="00E90F46">
            <w:pPr>
              <w:jc w:val="center"/>
              <w:rPr>
                <w:rFonts w:ascii="Calibri" w:eastAsia="Calibri" w:hAnsi="Calibri" w:cs="Calibri"/>
                <w:sz w:val="22"/>
                <w:szCs w:val="22"/>
              </w:rPr>
            </w:pPr>
            <w:r>
              <w:t>B</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B4" w14:textId="77777777" w:rsidR="00E84532" w:rsidRDefault="00E90F46">
            <w:pPr>
              <w:jc w:val="center"/>
              <w:rPr>
                <w:rFonts w:ascii="Calibri" w:eastAsia="Calibri" w:hAnsi="Calibri" w:cs="Calibri"/>
                <w:sz w:val="22"/>
                <w:szCs w:val="22"/>
              </w:rPr>
            </w:pPr>
            <w:r>
              <w:t>4,919.00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B5" w14:textId="77777777" w:rsidR="00E84532" w:rsidRDefault="00E90F46">
            <w:pPr>
              <w:jc w:val="center"/>
              <w:rPr>
                <w:rFonts w:ascii="Calibri" w:eastAsia="Calibri" w:hAnsi="Calibri" w:cs="Calibri"/>
                <w:sz w:val="22"/>
                <w:szCs w:val="22"/>
              </w:rPr>
            </w:pPr>
            <w:r>
              <w:t>5,905.00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B6" w14:textId="77777777" w:rsidR="00E84532" w:rsidRDefault="00E90F46">
            <w:pPr>
              <w:jc w:val="center"/>
              <w:rPr>
                <w:rFonts w:ascii="Calibri" w:eastAsia="Calibri" w:hAnsi="Calibri" w:cs="Calibri"/>
                <w:sz w:val="22"/>
                <w:szCs w:val="22"/>
              </w:rPr>
            </w:pPr>
            <w:r>
              <w:t>5,161.00</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B7" w14:textId="77777777" w:rsidR="00E84532" w:rsidRDefault="00E90F46">
            <w:pPr>
              <w:jc w:val="center"/>
              <w:rPr>
                <w:rFonts w:ascii="Calibri" w:eastAsia="Calibri" w:hAnsi="Calibri" w:cs="Calibri"/>
                <w:sz w:val="22"/>
                <w:szCs w:val="22"/>
              </w:rPr>
            </w:pPr>
            <w:r>
              <w:t>6,905.00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B8" w14:textId="77777777" w:rsidR="00E84532" w:rsidRDefault="00E90F46">
            <w:pPr>
              <w:jc w:val="center"/>
              <w:rPr>
                <w:rFonts w:ascii="Calibri" w:eastAsia="Calibri" w:hAnsi="Calibri" w:cs="Calibri"/>
                <w:sz w:val="22"/>
                <w:szCs w:val="22"/>
              </w:rPr>
            </w:pPr>
            <w:r>
              <w:t>7,760.00</w:t>
            </w:r>
          </w:p>
        </w:tc>
      </w:tr>
      <w:tr w:rsidR="00E84532" w14:paraId="4F3515C1"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4F3515BA" w14:textId="77777777" w:rsidR="00E84532" w:rsidRDefault="00E90F46">
            <w:pPr>
              <w:jc w:val="center"/>
              <w:rPr>
                <w:rFonts w:ascii="Calibri" w:eastAsia="Calibri" w:hAnsi="Calibri" w:cs="Calibri"/>
                <w:sz w:val="22"/>
                <w:szCs w:val="22"/>
              </w:rPr>
            </w:pPr>
            <w:r>
              <w:t>Operating Profit/(Loss)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BB" w14:textId="77777777" w:rsidR="00E84532" w:rsidRDefault="00E90F46">
            <w:pPr>
              <w:jc w:val="center"/>
              <w:rPr>
                <w:rFonts w:ascii="Calibri" w:eastAsia="Calibri" w:hAnsi="Calibri" w:cs="Calibri"/>
                <w:sz w:val="22"/>
                <w:szCs w:val="22"/>
              </w:rPr>
            </w:pPr>
            <w:r>
              <w:t>C</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BC" w14:textId="77777777" w:rsidR="00E84532" w:rsidRDefault="00E90F46">
            <w:pPr>
              <w:jc w:val="center"/>
              <w:rPr>
                <w:rFonts w:ascii="Calibri" w:eastAsia="Calibri" w:hAnsi="Calibri" w:cs="Calibri"/>
                <w:sz w:val="22"/>
                <w:szCs w:val="22"/>
              </w:rPr>
            </w:pPr>
            <w:r>
              <w:t>545.00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BD" w14:textId="77777777" w:rsidR="00E84532" w:rsidRDefault="00E90F46">
            <w:pPr>
              <w:jc w:val="center"/>
              <w:rPr>
                <w:rFonts w:ascii="Calibri" w:eastAsia="Calibri" w:hAnsi="Calibri" w:cs="Calibri"/>
                <w:sz w:val="22"/>
                <w:szCs w:val="22"/>
              </w:rPr>
            </w:pPr>
            <w:r>
              <w:t>1,455.00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BE" w14:textId="77777777" w:rsidR="00E84532" w:rsidRDefault="00E90F46">
            <w:pPr>
              <w:jc w:val="center"/>
              <w:rPr>
                <w:rFonts w:ascii="Calibri" w:eastAsia="Calibri" w:hAnsi="Calibri" w:cs="Calibri"/>
                <w:sz w:val="22"/>
                <w:szCs w:val="22"/>
              </w:rPr>
            </w:pPr>
            <w:r>
              <w:t>1,835.00</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BF" w14:textId="77777777" w:rsidR="00E84532" w:rsidRDefault="00E90F46">
            <w:pPr>
              <w:jc w:val="center"/>
              <w:rPr>
                <w:rFonts w:ascii="Calibri" w:eastAsia="Calibri" w:hAnsi="Calibri" w:cs="Calibri"/>
                <w:sz w:val="22"/>
                <w:szCs w:val="22"/>
              </w:rPr>
            </w:pPr>
            <w:r>
              <w:t>2,584.00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C0" w14:textId="77777777" w:rsidR="00E84532" w:rsidRDefault="00E90F46">
            <w:pPr>
              <w:jc w:val="center"/>
              <w:rPr>
                <w:rFonts w:ascii="Calibri" w:eastAsia="Calibri" w:hAnsi="Calibri" w:cs="Calibri"/>
                <w:sz w:val="22"/>
                <w:szCs w:val="22"/>
              </w:rPr>
            </w:pPr>
            <w:r>
              <w:t>2,964.00</w:t>
            </w:r>
          </w:p>
        </w:tc>
      </w:tr>
      <w:tr w:rsidR="00E84532" w14:paraId="4F3515C9"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4F3515C2" w14:textId="77777777" w:rsidR="00E84532" w:rsidRDefault="00E90F46">
            <w:pPr>
              <w:jc w:val="center"/>
              <w:rPr>
                <w:rFonts w:ascii="Calibri" w:eastAsia="Calibri" w:hAnsi="Calibri" w:cs="Calibri"/>
                <w:sz w:val="22"/>
                <w:szCs w:val="22"/>
              </w:rPr>
            </w:pPr>
            <w:r>
              <w:t>Interest Expense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C3" w14:textId="77777777" w:rsidR="00E84532" w:rsidRDefault="00E90F46">
            <w:pPr>
              <w:jc w:val="center"/>
              <w:rPr>
                <w:rFonts w:ascii="Calibri" w:eastAsia="Calibri" w:hAnsi="Calibri" w:cs="Calibri"/>
                <w:sz w:val="22"/>
                <w:szCs w:val="22"/>
              </w:rPr>
            </w:pPr>
            <w:r>
              <w:t>D</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C4" w14:textId="77777777" w:rsidR="00E84532" w:rsidRDefault="00E90F46">
            <w:pPr>
              <w:jc w:val="center"/>
              <w:rPr>
                <w:rFonts w:ascii="Calibri" w:eastAsia="Calibri" w:hAnsi="Calibri" w:cs="Calibri"/>
                <w:sz w:val="22"/>
                <w:szCs w:val="22"/>
              </w:rPr>
            </w:pPr>
            <w:r>
              <w:t>121.00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C5" w14:textId="77777777" w:rsidR="00E84532" w:rsidRDefault="00E90F46">
            <w:pPr>
              <w:jc w:val="center"/>
              <w:rPr>
                <w:rFonts w:ascii="Calibri" w:eastAsia="Calibri" w:hAnsi="Calibri" w:cs="Calibri"/>
                <w:sz w:val="22"/>
                <w:szCs w:val="22"/>
              </w:rPr>
            </w:pPr>
            <w:r>
              <w:t>96.00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C6" w14:textId="77777777" w:rsidR="00E84532" w:rsidRDefault="00E90F46">
            <w:pPr>
              <w:jc w:val="center"/>
              <w:rPr>
                <w:rFonts w:ascii="Calibri" w:eastAsia="Calibri" w:hAnsi="Calibri" w:cs="Calibri"/>
                <w:sz w:val="22"/>
                <w:szCs w:val="22"/>
              </w:rPr>
            </w:pPr>
            <w:r>
              <w:t>170.00</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C7" w14:textId="77777777" w:rsidR="00E84532" w:rsidRDefault="00E90F46">
            <w:pPr>
              <w:jc w:val="center"/>
              <w:rPr>
                <w:rFonts w:ascii="Calibri" w:eastAsia="Calibri" w:hAnsi="Calibri" w:cs="Calibri"/>
                <w:sz w:val="22"/>
                <w:szCs w:val="22"/>
              </w:rPr>
            </w:pPr>
            <w:r>
              <w:t>267.00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C8" w14:textId="77777777" w:rsidR="00E84532" w:rsidRDefault="00E90F46">
            <w:pPr>
              <w:jc w:val="center"/>
              <w:rPr>
                <w:rFonts w:ascii="Calibri" w:eastAsia="Calibri" w:hAnsi="Calibri" w:cs="Calibri"/>
                <w:sz w:val="22"/>
                <w:szCs w:val="22"/>
              </w:rPr>
            </w:pPr>
            <w:r>
              <w:t>327.00</w:t>
            </w:r>
          </w:p>
        </w:tc>
      </w:tr>
      <w:tr w:rsidR="00E84532" w14:paraId="4F3515D1"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4F3515CA" w14:textId="77777777" w:rsidR="00E84532" w:rsidRDefault="00E90F46">
            <w:pPr>
              <w:jc w:val="center"/>
              <w:rPr>
                <w:rFonts w:ascii="Calibri" w:eastAsia="Calibri" w:hAnsi="Calibri" w:cs="Calibri"/>
                <w:sz w:val="22"/>
                <w:szCs w:val="22"/>
              </w:rPr>
            </w:pPr>
            <w:r>
              <w:t>Shareholders capital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CB" w14:textId="77777777" w:rsidR="00E84532" w:rsidRDefault="00E90F46">
            <w:pPr>
              <w:jc w:val="center"/>
              <w:rPr>
                <w:rFonts w:ascii="Calibri" w:eastAsia="Calibri" w:hAnsi="Calibri" w:cs="Calibri"/>
                <w:sz w:val="22"/>
                <w:szCs w:val="22"/>
              </w:rPr>
            </w:pPr>
            <w:r>
              <w:t>E</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CC" w14:textId="77777777" w:rsidR="00E84532" w:rsidRDefault="00E90F46">
            <w:pPr>
              <w:jc w:val="center"/>
              <w:rPr>
                <w:rFonts w:ascii="Calibri" w:eastAsia="Calibri" w:hAnsi="Calibri" w:cs="Calibri"/>
                <w:sz w:val="22"/>
                <w:szCs w:val="22"/>
              </w:rPr>
            </w:pPr>
            <w:r>
              <w:t>4,919.00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CD" w14:textId="77777777" w:rsidR="00E84532" w:rsidRDefault="00E90F46">
            <w:pPr>
              <w:jc w:val="center"/>
              <w:rPr>
                <w:rFonts w:ascii="Calibri" w:eastAsia="Calibri" w:hAnsi="Calibri" w:cs="Calibri"/>
                <w:sz w:val="22"/>
                <w:szCs w:val="22"/>
              </w:rPr>
            </w:pPr>
            <w:r>
              <w:t>5,905.00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CE" w14:textId="77777777" w:rsidR="00E84532" w:rsidRDefault="00E90F46">
            <w:pPr>
              <w:jc w:val="center"/>
              <w:rPr>
                <w:rFonts w:ascii="Calibri" w:eastAsia="Calibri" w:hAnsi="Calibri" w:cs="Calibri"/>
                <w:sz w:val="22"/>
                <w:szCs w:val="22"/>
              </w:rPr>
            </w:pPr>
            <w:r>
              <w:t>5,161.00</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CF" w14:textId="77777777" w:rsidR="00E84532" w:rsidRDefault="00E90F46">
            <w:pPr>
              <w:jc w:val="center"/>
              <w:rPr>
                <w:rFonts w:ascii="Calibri" w:eastAsia="Calibri" w:hAnsi="Calibri" w:cs="Calibri"/>
                <w:sz w:val="22"/>
                <w:szCs w:val="22"/>
              </w:rPr>
            </w:pPr>
            <w:r>
              <w:t>6,905.00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D0" w14:textId="77777777" w:rsidR="00E84532" w:rsidRDefault="00E90F46">
            <w:pPr>
              <w:jc w:val="center"/>
              <w:rPr>
                <w:rFonts w:ascii="Calibri" w:eastAsia="Calibri" w:hAnsi="Calibri" w:cs="Calibri"/>
                <w:sz w:val="22"/>
                <w:szCs w:val="22"/>
              </w:rPr>
            </w:pPr>
            <w:r>
              <w:t>7,760.00</w:t>
            </w:r>
          </w:p>
        </w:tc>
      </w:tr>
      <w:tr w:rsidR="00E84532" w14:paraId="4F3515D9"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4F3515D2" w14:textId="77777777" w:rsidR="00E84532" w:rsidRDefault="00E90F46">
            <w:pPr>
              <w:jc w:val="center"/>
              <w:rPr>
                <w:rFonts w:ascii="Calibri" w:eastAsia="Calibri" w:hAnsi="Calibri" w:cs="Calibri"/>
                <w:sz w:val="22"/>
                <w:szCs w:val="22"/>
              </w:rPr>
            </w:pPr>
            <w:r>
              <w:t>Total Debt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D3" w14:textId="77777777" w:rsidR="00E84532" w:rsidRDefault="00E90F46">
            <w:pPr>
              <w:jc w:val="center"/>
              <w:rPr>
                <w:rFonts w:ascii="Calibri" w:eastAsia="Calibri" w:hAnsi="Calibri" w:cs="Calibri"/>
                <w:sz w:val="22"/>
                <w:szCs w:val="22"/>
              </w:rPr>
            </w:pPr>
            <w:r>
              <w:t>F</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D4" w14:textId="77777777" w:rsidR="00E84532" w:rsidRDefault="00E90F46">
            <w:pPr>
              <w:jc w:val="center"/>
              <w:rPr>
                <w:rFonts w:ascii="Calibri" w:eastAsia="Calibri" w:hAnsi="Calibri" w:cs="Calibri"/>
                <w:sz w:val="22"/>
                <w:szCs w:val="22"/>
              </w:rPr>
            </w:pPr>
            <w:r>
              <w:t>481.00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D5" w14:textId="77777777" w:rsidR="00E84532" w:rsidRDefault="00E90F46">
            <w:pPr>
              <w:jc w:val="center"/>
              <w:rPr>
                <w:rFonts w:ascii="Calibri" w:eastAsia="Calibri" w:hAnsi="Calibri" w:cs="Calibri"/>
                <w:sz w:val="22"/>
                <w:szCs w:val="22"/>
              </w:rPr>
            </w:pPr>
            <w:r>
              <w:t>3,271.00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D6" w14:textId="77777777" w:rsidR="00E84532" w:rsidRDefault="00E90F46">
            <w:pPr>
              <w:jc w:val="center"/>
              <w:rPr>
                <w:rFonts w:ascii="Calibri" w:eastAsia="Calibri" w:hAnsi="Calibri" w:cs="Calibri"/>
                <w:sz w:val="22"/>
                <w:szCs w:val="22"/>
              </w:rPr>
            </w:pPr>
            <w:r>
              <w:t>2,283.00</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D7" w14:textId="77777777" w:rsidR="00E84532" w:rsidRDefault="00E90F46">
            <w:pPr>
              <w:jc w:val="center"/>
              <w:rPr>
                <w:rFonts w:ascii="Calibri" w:eastAsia="Calibri" w:hAnsi="Calibri" w:cs="Calibri"/>
                <w:sz w:val="22"/>
                <w:szCs w:val="22"/>
              </w:rPr>
            </w:pPr>
            <w:r>
              <w:t>3,774.00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D8" w14:textId="77777777" w:rsidR="00E84532" w:rsidRDefault="00E90F46">
            <w:pPr>
              <w:jc w:val="center"/>
              <w:rPr>
                <w:rFonts w:ascii="Calibri" w:eastAsia="Calibri" w:hAnsi="Calibri" w:cs="Calibri"/>
                <w:sz w:val="22"/>
                <w:szCs w:val="22"/>
              </w:rPr>
            </w:pPr>
            <w:r>
              <w:t>4,383.00</w:t>
            </w:r>
          </w:p>
        </w:tc>
      </w:tr>
      <w:tr w:rsidR="00E84532" w14:paraId="4F3515E1"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4F3515DA" w14:textId="77777777" w:rsidR="00E84532" w:rsidRDefault="00E90F46">
            <w:pPr>
              <w:jc w:val="center"/>
              <w:rPr>
                <w:rFonts w:ascii="Calibri" w:eastAsia="Calibri" w:hAnsi="Calibri" w:cs="Calibri"/>
                <w:sz w:val="22"/>
                <w:szCs w:val="22"/>
              </w:rPr>
            </w:pPr>
            <w:r>
              <w:rPr>
                <w:b/>
                <w:bCs/>
              </w:rPr>
              <w:t>Debt/Equity Ratio</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DB" w14:textId="77777777" w:rsidR="00E84532" w:rsidRDefault="00E90F46">
            <w:pPr>
              <w:jc w:val="center"/>
              <w:rPr>
                <w:rFonts w:ascii="Calibri" w:eastAsia="Calibri" w:hAnsi="Calibri" w:cs="Calibri"/>
                <w:sz w:val="22"/>
                <w:szCs w:val="22"/>
              </w:rPr>
            </w:pPr>
            <w:r>
              <w:rPr>
                <w:b/>
                <w:bCs/>
              </w:rPr>
              <w:t>A/B</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DC" w14:textId="77777777" w:rsidR="00E84532" w:rsidRDefault="00E90F46">
            <w:pPr>
              <w:jc w:val="center"/>
              <w:rPr>
                <w:rFonts w:ascii="Calibri" w:eastAsia="Calibri" w:hAnsi="Calibri" w:cs="Calibri"/>
                <w:sz w:val="22"/>
                <w:szCs w:val="22"/>
              </w:rPr>
            </w:pPr>
            <w:r>
              <w:rPr>
                <w:b/>
                <w:bCs/>
              </w:rPr>
              <w:t>2.02</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DD" w14:textId="77777777" w:rsidR="00E84532" w:rsidRDefault="00E90F46">
            <w:pPr>
              <w:jc w:val="center"/>
              <w:rPr>
                <w:rFonts w:ascii="Calibri" w:eastAsia="Calibri" w:hAnsi="Calibri" w:cs="Calibri"/>
                <w:sz w:val="22"/>
                <w:szCs w:val="22"/>
              </w:rPr>
            </w:pPr>
            <w:r>
              <w:rPr>
                <w:b/>
                <w:bCs/>
              </w:rPr>
              <w:t>2.17</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DE" w14:textId="77777777" w:rsidR="00E84532" w:rsidRDefault="00E90F46">
            <w:pPr>
              <w:jc w:val="center"/>
              <w:rPr>
                <w:rFonts w:ascii="Calibri" w:eastAsia="Calibri" w:hAnsi="Calibri" w:cs="Calibri"/>
                <w:sz w:val="22"/>
                <w:szCs w:val="22"/>
              </w:rPr>
            </w:pPr>
            <w:r>
              <w:rPr>
                <w:b/>
                <w:bCs/>
              </w:rPr>
              <w:t>2.41</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DF" w14:textId="77777777" w:rsidR="00E84532" w:rsidRDefault="00E90F46">
            <w:pPr>
              <w:jc w:val="center"/>
              <w:rPr>
                <w:rFonts w:ascii="Calibri" w:eastAsia="Calibri" w:hAnsi="Calibri" w:cs="Calibri"/>
                <w:sz w:val="22"/>
                <w:szCs w:val="22"/>
              </w:rPr>
            </w:pPr>
            <w:r>
              <w:rPr>
                <w:b/>
                <w:bCs/>
              </w:rPr>
              <w:t>2.53</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E0" w14:textId="77777777" w:rsidR="00E84532" w:rsidRDefault="00E90F46">
            <w:pPr>
              <w:jc w:val="center"/>
              <w:rPr>
                <w:rFonts w:ascii="Calibri" w:eastAsia="Calibri" w:hAnsi="Calibri" w:cs="Calibri"/>
                <w:sz w:val="22"/>
                <w:szCs w:val="22"/>
              </w:rPr>
            </w:pPr>
            <w:r>
              <w:rPr>
                <w:b/>
                <w:bCs/>
              </w:rPr>
              <w:t>2.44</w:t>
            </w:r>
          </w:p>
        </w:tc>
      </w:tr>
      <w:tr w:rsidR="00E84532" w14:paraId="4F3515E9"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4F3515E2" w14:textId="77777777" w:rsidR="00E84532" w:rsidRDefault="00E90F46">
            <w:pPr>
              <w:jc w:val="center"/>
              <w:rPr>
                <w:rFonts w:ascii="Calibri" w:eastAsia="Calibri" w:hAnsi="Calibri" w:cs="Calibri"/>
                <w:sz w:val="22"/>
                <w:szCs w:val="22"/>
              </w:rPr>
            </w:pPr>
            <w:r>
              <w:rPr>
                <w:b/>
                <w:bCs/>
              </w:rPr>
              <w:t>Interest Coverage Ratio</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E3" w14:textId="77777777" w:rsidR="00E84532" w:rsidRDefault="00E90F46">
            <w:pPr>
              <w:jc w:val="center"/>
              <w:rPr>
                <w:rFonts w:ascii="Calibri" w:eastAsia="Calibri" w:hAnsi="Calibri" w:cs="Calibri"/>
                <w:sz w:val="22"/>
                <w:szCs w:val="22"/>
              </w:rPr>
            </w:pPr>
            <w:r>
              <w:rPr>
                <w:b/>
                <w:bCs/>
              </w:rPr>
              <w:t>C/D</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E4" w14:textId="77777777" w:rsidR="00E84532" w:rsidRDefault="00E90F46">
            <w:pPr>
              <w:jc w:val="center"/>
              <w:rPr>
                <w:rFonts w:ascii="Calibri" w:eastAsia="Calibri" w:hAnsi="Calibri" w:cs="Calibri"/>
                <w:sz w:val="22"/>
                <w:szCs w:val="22"/>
              </w:rPr>
            </w:pPr>
            <w:r>
              <w:rPr>
                <w:b/>
                <w:bCs/>
              </w:rPr>
              <w:t>4.50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E5" w14:textId="77777777" w:rsidR="00E84532" w:rsidRDefault="00E90F46">
            <w:pPr>
              <w:jc w:val="center"/>
              <w:rPr>
                <w:rFonts w:ascii="Calibri" w:eastAsia="Calibri" w:hAnsi="Calibri" w:cs="Calibri"/>
                <w:sz w:val="22"/>
                <w:szCs w:val="22"/>
              </w:rPr>
            </w:pPr>
            <w:r>
              <w:rPr>
                <w:b/>
                <w:bCs/>
              </w:rPr>
              <w:t>15.16</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E6" w14:textId="77777777" w:rsidR="00E84532" w:rsidRDefault="00E90F46">
            <w:pPr>
              <w:jc w:val="center"/>
              <w:rPr>
                <w:rFonts w:ascii="Calibri" w:eastAsia="Calibri" w:hAnsi="Calibri" w:cs="Calibri"/>
                <w:sz w:val="22"/>
                <w:szCs w:val="22"/>
              </w:rPr>
            </w:pPr>
            <w:r>
              <w:rPr>
                <w:b/>
                <w:bCs/>
              </w:rPr>
              <w:t>10.79</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E7" w14:textId="77777777" w:rsidR="00E84532" w:rsidRDefault="00E90F46">
            <w:pPr>
              <w:jc w:val="center"/>
              <w:rPr>
                <w:rFonts w:ascii="Calibri" w:eastAsia="Calibri" w:hAnsi="Calibri" w:cs="Calibri"/>
                <w:sz w:val="22"/>
                <w:szCs w:val="22"/>
              </w:rPr>
            </w:pPr>
            <w:r>
              <w:rPr>
                <w:b/>
                <w:bCs/>
              </w:rPr>
              <w:t>9.68</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E8" w14:textId="77777777" w:rsidR="00E84532" w:rsidRDefault="00E90F46">
            <w:pPr>
              <w:jc w:val="center"/>
              <w:rPr>
                <w:rFonts w:ascii="Calibri" w:eastAsia="Calibri" w:hAnsi="Calibri" w:cs="Calibri"/>
                <w:sz w:val="22"/>
                <w:szCs w:val="22"/>
              </w:rPr>
            </w:pPr>
            <w:r>
              <w:rPr>
                <w:b/>
                <w:bCs/>
              </w:rPr>
              <w:t>9.06</w:t>
            </w:r>
          </w:p>
        </w:tc>
      </w:tr>
      <w:tr w:rsidR="00E84532" w14:paraId="4F3515F1"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4F3515EA" w14:textId="77777777" w:rsidR="00E84532" w:rsidRDefault="00E90F46">
            <w:pPr>
              <w:jc w:val="center"/>
              <w:rPr>
                <w:rFonts w:ascii="Calibri" w:eastAsia="Calibri" w:hAnsi="Calibri" w:cs="Calibri"/>
                <w:sz w:val="22"/>
                <w:szCs w:val="22"/>
              </w:rPr>
            </w:pPr>
            <w:r>
              <w:rPr>
                <w:b/>
                <w:bCs/>
              </w:rPr>
              <w:t>Debt/Capital Ratio</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EB" w14:textId="77777777" w:rsidR="00E84532" w:rsidRDefault="00E90F46">
            <w:pPr>
              <w:jc w:val="center"/>
              <w:rPr>
                <w:rFonts w:ascii="Calibri" w:eastAsia="Calibri" w:hAnsi="Calibri" w:cs="Calibri"/>
                <w:sz w:val="22"/>
                <w:szCs w:val="22"/>
              </w:rPr>
            </w:pPr>
            <w:r>
              <w:rPr>
                <w:b/>
                <w:bCs/>
              </w:rPr>
              <w:t>F/(F+E)</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EC" w14:textId="77777777" w:rsidR="00E84532" w:rsidRDefault="00E90F46">
            <w:pPr>
              <w:jc w:val="right"/>
              <w:rPr>
                <w:rFonts w:ascii="Calibri" w:eastAsia="Calibri" w:hAnsi="Calibri" w:cs="Calibri"/>
                <w:sz w:val="22"/>
                <w:szCs w:val="22"/>
              </w:rPr>
            </w:pPr>
            <w:r>
              <w:rPr>
                <w:b/>
                <w:bCs/>
              </w:rPr>
              <w:t>0.09</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ED" w14:textId="77777777" w:rsidR="00E84532" w:rsidRDefault="00E90F46">
            <w:pPr>
              <w:jc w:val="right"/>
              <w:rPr>
                <w:rFonts w:ascii="Calibri" w:eastAsia="Calibri" w:hAnsi="Calibri" w:cs="Calibri"/>
                <w:sz w:val="22"/>
                <w:szCs w:val="22"/>
              </w:rPr>
            </w:pPr>
            <w:r>
              <w:rPr>
                <w:b/>
                <w:bCs/>
              </w:rPr>
              <w:t>0.36</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EE" w14:textId="77777777" w:rsidR="00E84532" w:rsidRDefault="00E90F46">
            <w:pPr>
              <w:jc w:val="right"/>
              <w:rPr>
                <w:rFonts w:ascii="Calibri" w:eastAsia="Calibri" w:hAnsi="Calibri" w:cs="Calibri"/>
                <w:sz w:val="22"/>
                <w:szCs w:val="22"/>
              </w:rPr>
            </w:pPr>
            <w:r>
              <w:rPr>
                <w:b/>
                <w:bCs/>
              </w:rPr>
              <w:t>0.31</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EF" w14:textId="77777777" w:rsidR="00E84532" w:rsidRDefault="00E90F46">
            <w:pPr>
              <w:jc w:val="right"/>
              <w:rPr>
                <w:rFonts w:ascii="Calibri" w:eastAsia="Calibri" w:hAnsi="Calibri" w:cs="Calibri"/>
                <w:sz w:val="22"/>
                <w:szCs w:val="22"/>
              </w:rPr>
            </w:pPr>
            <w:r>
              <w:rPr>
                <w:b/>
                <w:bCs/>
              </w:rPr>
              <w:t>0.35</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F0" w14:textId="77777777" w:rsidR="00E84532" w:rsidRDefault="00E90F46">
            <w:pPr>
              <w:jc w:val="right"/>
              <w:rPr>
                <w:rFonts w:ascii="Calibri" w:eastAsia="Calibri" w:hAnsi="Calibri" w:cs="Calibri"/>
                <w:sz w:val="22"/>
                <w:szCs w:val="22"/>
              </w:rPr>
            </w:pPr>
            <w:r>
              <w:rPr>
                <w:b/>
                <w:bCs/>
              </w:rPr>
              <w:t>0.36</w:t>
            </w:r>
          </w:p>
        </w:tc>
      </w:tr>
      <w:tr w:rsidR="00E84532" w14:paraId="4F3515F9" w14:textId="77777777">
        <w:trPr>
          <w:trHeight w:val="315"/>
        </w:trPr>
        <w:tc>
          <w:tcPr>
            <w:tcW w:w="2793"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4F3515F2" w14:textId="77777777" w:rsidR="00E84532" w:rsidRDefault="00E84532">
            <w:pPr>
              <w:rPr>
                <w:rFonts w:ascii="Calibri" w:eastAsia="Calibri" w:hAnsi="Calibri" w:cs="Calibri"/>
                <w:sz w:val="22"/>
                <w:szCs w:val="22"/>
              </w:rPr>
            </w:pPr>
          </w:p>
        </w:tc>
        <w:tc>
          <w:tcPr>
            <w:tcW w:w="816"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4F3515F3" w14:textId="77777777" w:rsidR="00E84532" w:rsidRDefault="00E84532">
            <w:pPr>
              <w:rPr>
                <w:rFonts w:ascii="Calibri" w:eastAsia="Calibri" w:hAnsi="Calibri" w:cs="Calibri"/>
                <w:sz w:val="22"/>
                <w:szCs w:val="22"/>
              </w:rPr>
            </w:pPr>
          </w:p>
        </w:tc>
        <w:tc>
          <w:tcPr>
            <w:tcW w:w="111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4F3515F4" w14:textId="77777777" w:rsidR="00E84532" w:rsidRDefault="00E84532">
            <w:pPr>
              <w:rPr>
                <w:rFonts w:ascii="Calibri" w:eastAsia="Calibri" w:hAnsi="Calibri" w:cs="Calibri"/>
                <w:sz w:val="22"/>
                <w:szCs w:val="22"/>
              </w:rPr>
            </w:pPr>
          </w:p>
        </w:tc>
        <w:tc>
          <w:tcPr>
            <w:tcW w:w="111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4F3515F5" w14:textId="77777777" w:rsidR="00E84532" w:rsidRDefault="00E84532">
            <w:pPr>
              <w:rPr>
                <w:rFonts w:ascii="Calibri" w:eastAsia="Calibri" w:hAnsi="Calibri" w:cs="Calibri"/>
                <w:sz w:val="22"/>
                <w:szCs w:val="22"/>
              </w:rPr>
            </w:pPr>
          </w:p>
        </w:tc>
        <w:tc>
          <w:tcPr>
            <w:tcW w:w="111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4F3515F6" w14:textId="77777777" w:rsidR="00E84532" w:rsidRDefault="00E84532">
            <w:pPr>
              <w:rPr>
                <w:rFonts w:ascii="Calibri" w:eastAsia="Calibri" w:hAnsi="Calibri" w:cs="Calibri"/>
                <w:sz w:val="22"/>
                <w:szCs w:val="22"/>
              </w:rPr>
            </w:pPr>
          </w:p>
        </w:tc>
        <w:tc>
          <w:tcPr>
            <w:tcW w:w="127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4F3515F7" w14:textId="77777777" w:rsidR="00E84532" w:rsidRDefault="00E84532">
            <w:pPr>
              <w:rPr>
                <w:rFonts w:ascii="Calibri" w:eastAsia="Calibri" w:hAnsi="Calibri" w:cs="Calibri"/>
                <w:sz w:val="22"/>
                <w:szCs w:val="22"/>
              </w:rPr>
            </w:pPr>
          </w:p>
        </w:tc>
        <w:tc>
          <w:tcPr>
            <w:tcW w:w="111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4F3515F8" w14:textId="77777777" w:rsidR="00E84532" w:rsidRDefault="00E84532">
            <w:pPr>
              <w:rPr>
                <w:rFonts w:ascii="Calibri" w:eastAsia="Calibri" w:hAnsi="Calibri" w:cs="Calibri"/>
                <w:sz w:val="22"/>
                <w:szCs w:val="22"/>
              </w:rPr>
            </w:pPr>
          </w:p>
        </w:tc>
      </w:tr>
      <w:tr w:rsidR="00E84532" w14:paraId="4F3515FB" w14:textId="77777777">
        <w:trPr>
          <w:trHeight w:val="315"/>
        </w:trPr>
        <w:tc>
          <w:tcPr>
            <w:tcW w:w="9355" w:type="dxa"/>
            <w:gridSpan w:val="7"/>
            <w:tcBorders>
              <w:top w:val="single" w:sz="6" w:space="0" w:color="CCCCCC"/>
              <w:left w:val="single" w:sz="6" w:space="0" w:color="CCCCCC"/>
              <w:bottom w:val="single" w:sz="6" w:space="0" w:color="000000"/>
              <w:right w:val="single" w:sz="6" w:space="0" w:color="CCCCCC"/>
            </w:tcBorders>
            <w:tcMar>
              <w:top w:w="0" w:type="dxa"/>
              <w:left w:w="40" w:type="dxa"/>
              <w:bottom w:w="0" w:type="dxa"/>
              <w:right w:w="40" w:type="dxa"/>
            </w:tcMar>
            <w:vAlign w:val="center"/>
          </w:tcPr>
          <w:p w14:paraId="4F3515FA" w14:textId="77777777" w:rsidR="00E84532" w:rsidRDefault="00E90F46">
            <w:pPr>
              <w:jc w:val="center"/>
              <w:rPr>
                <w:rFonts w:ascii="Calibri" w:eastAsia="Calibri" w:hAnsi="Calibri" w:cs="Calibri"/>
                <w:sz w:val="22"/>
                <w:szCs w:val="22"/>
              </w:rPr>
            </w:pPr>
            <w:r>
              <w:rPr>
                <w:b/>
                <w:bCs/>
              </w:rPr>
              <w:t xml:space="preserve">Efficiency </w:t>
            </w:r>
            <w:proofErr w:type="gramStart"/>
            <w:r>
              <w:rPr>
                <w:b/>
                <w:bCs/>
              </w:rPr>
              <w:t>Ratios:-</w:t>
            </w:r>
            <w:proofErr w:type="gramEnd"/>
          </w:p>
        </w:tc>
      </w:tr>
      <w:tr w:rsidR="00E84532" w14:paraId="4F351603"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4F3515FC" w14:textId="77777777" w:rsidR="00E84532" w:rsidRDefault="00E90F46">
            <w:pPr>
              <w:jc w:val="center"/>
              <w:rPr>
                <w:rFonts w:ascii="Calibri" w:eastAsia="Calibri" w:hAnsi="Calibri" w:cs="Calibri"/>
                <w:sz w:val="22"/>
                <w:szCs w:val="22"/>
              </w:rPr>
            </w:pPr>
            <w:r>
              <w:rPr>
                <w:b/>
                <w:bCs/>
              </w:rPr>
              <w:t>Particulars</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FD" w14:textId="77777777" w:rsidR="00E84532" w:rsidRDefault="00E90F46">
            <w:pPr>
              <w:jc w:val="center"/>
              <w:rPr>
                <w:rFonts w:ascii="Calibri" w:eastAsia="Calibri" w:hAnsi="Calibri" w:cs="Calibri"/>
                <w:sz w:val="22"/>
                <w:szCs w:val="22"/>
              </w:rPr>
            </w:pPr>
            <w:r>
              <w:rPr>
                <w:b/>
                <w:bCs/>
              </w:rPr>
              <w:t>Details</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FE" w14:textId="77777777" w:rsidR="00E84532" w:rsidRDefault="00E90F46">
            <w:pPr>
              <w:jc w:val="center"/>
              <w:rPr>
                <w:rFonts w:ascii="Calibri" w:eastAsia="Calibri" w:hAnsi="Calibri" w:cs="Calibri"/>
                <w:sz w:val="22"/>
                <w:szCs w:val="22"/>
              </w:rPr>
            </w:pPr>
            <w:r>
              <w:rPr>
                <w:b/>
                <w:bCs/>
              </w:rPr>
              <w:t>2021</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5FF" w14:textId="77777777" w:rsidR="00E84532" w:rsidRDefault="00E90F46">
            <w:pPr>
              <w:jc w:val="center"/>
              <w:rPr>
                <w:rFonts w:ascii="Calibri" w:eastAsia="Calibri" w:hAnsi="Calibri" w:cs="Calibri"/>
                <w:sz w:val="22"/>
                <w:szCs w:val="22"/>
              </w:rPr>
            </w:pPr>
            <w:r>
              <w:rPr>
                <w:b/>
                <w:bCs/>
              </w:rPr>
              <w:t>2022</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00" w14:textId="77777777" w:rsidR="00E84532" w:rsidRDefault="00E90F46">
            <w:pPr>
              <w:jc w:val="center"/>
              <w:rPr>
                <w:rFonts w:ascii="Calibri" w:eastAsia="Calibri" w:hAnsi="Calibri" w:cs="Calibri"/>
                <w:sz w:val="22"/>
                <w:szCs w:val="22"/>
              </w:rPr>
            </w:pPr>
            <w:r>
              <w:rPr>
                <w:b/>
                <w:bCs/>
              </w:rPr>
              <w:t>2023</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01" w14:textId="77777777" w:rsidR="00E84532" w:rsidRDefault="00E90F46">
            <w:pPr>
              <w:jc w:val="center"/>
              <w:rPr>
                <w:rFonts w:ascii="Calibri" w:eastAsia="Calibri" w:hAnsi="Calibri" w:cs="Calibri"/>
                <w:sz w:val="22"/>
                <w:szCs w:val="22"/>
              </w:rPr>
            </w:pPr>
            <w:r>
              <w:rPr>
                <w:b/>
                <w:bCs/>
              </w:rPr>
              <w:t>2024</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02" w14:textId="77777777" w:rsidR="00E84532" w:rsidRDefault="00E90F46">
            <w:pPr>
              <w:jc w:val="center"/>
              <w:rPr>
                <w:rFonts w:ascii="Calibri" w:eastAsia="Calibri" w:hAnsi="Calibri" w:cs="Calibri"/>
                <w:sz w:val="22"/>
                <w:szCs w:val="22"/>
              </w:rPr>
            </w:pPr>
            <w:r>
              <w:rPr>
                <w:b/>
                <w:bCs/>
              </w:rPr>
              <w:t>2025</w:t>
            </w:r>
          </w:p>
        </w:tc>
      </w:tr>
      <w:tr w:rsidR="00E84532" w14:paraId="4F35160B"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4F351604" w14:textId="77777777" w:rsidR="00E84532" w:rsidRDefault="00E90F46">
            <w:pPr>
              <w:jc w:val="center"/>
              <w:rPr>
                <w:rFonts w:ascii="Calibri" w:eastAsia="Calibri" w:hAnsi="Calibri" w:cs="Calibri"/>
                <w:sz w:val="22"/>
                <w:szCs w:val="22"/>
              </w:rPr>
            </w:pPr>
            <w:r>
              <w:t>Revenue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05" w14:textId="77777777" w:rsidR="00E84532" w:rsidRDefault="00E90F46">
            <w:pPr>
              <w:jc w:val="center"/>
              <w:rPr>
                <w:rFonts w:ascii="Calibri" w:eastAsia="Calibri" w:hAnsi="Calibri" w:cs="Calibri"/>
                <w:sz w:val="22"/>
                <w:szCs w:val="22"/>
              </w:rPr>
            </w:pPr>
            <w:r>
              <w:t>A</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06" w14:textId="77777777" w:rsidR="00E84532" w:rsidRDefault="00E90F46">
            <w:pPr>
              <w:jc w:val="center"/>
              <w:rPr>
                <w:rFonts w:ascii="Calibri" w:eastAsia="Calibri" w:hAnsi="Calibri" w:cs="Calibri"/>
                <w:sz w:val="22"/>
                <w:szCs w:val="22"/>
              </w:rPr>
            </w:pPr>
            <w:r>
              <w:t>17,908.00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07" w14:textId="77777777" w:rsidR="00E84532" w:rsidRDefault="00E90F46">
            <w:pPr>
              <w:jc w:val="center"/>
              <w:rPr>
                <w:rFonts w:ascii="Calibri" w:eastAsia="Calibri" w:hAnsi="Calibri" w:cs="Calibri"/>
                <w:sz w:val="22"/>
                <w:szCs w:val="22"/>
              </w:rPr>
            </w:pPr>
            <w:r>
              <w:t>25,512.00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08" w14:textId="77777777" w:rsidR="00E84532" w:rsidRDefault="00E90F46">
            <w:pPr>
              <w:jc w:val="center"/>
              <w:rPr>
                <w:rFonts w:ascii="Calibri" w:eastAsia="Calibri" w:hAnsi="Calibri" w:cs="Calibri"/>
                <w:sz w:val="22"/>
                <w:szCs w:val="22"/>
              </w:rPr>
            </w:pPr>
            <w:r>
              <w:t>31,028.00</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09" w14:textId="77777777" w:rsidR="00E84532" w:rsidRDefault="00E90F46">
            <w:pPr>
              <w:jc w:val="center"/>
              <w:rPr>
                <w:rFonts w:ascii="Calibri" w:eastAsia="Calibri" w:hAnsi="Calibri" w:cs="Calibri"/>
                <w:sz w:val="22"/>
                <w:szCs w:val="22"/>
              </w:rPr>
            </w:pPr>
            <w:r>
              <w:t>42,002.00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0A" w14:textId="77777777" w:rsidR="00E84532" w:rsidRDefault="00E90F46">
            <w:pPr>
              <w:jc w:val="center"/>
              <w:rPr>
                <w:rFonts w:ascii="Calibri" w:eastAsia="Calibri" w:hAnsi="Calibri" w:cs="Calibri"/>
                <w:sz w:val="22"/>
                <w:szCs w:val="22"/>
              </w:rPr>
            </w:pPr>
            <w:r>
              <w:t>46,070.00</w:t>
            </w:r>
          </w:p>
        </w:tc>
      </w:tr>
      <w:tr w:rsidR="00E84532" w14:paraId="4F351613"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4F35160C" w14:textId="77777777" w:rsidR="00E84532" w:rsidRDefault="00E90F46">
            <w:pPr>
              <w:jc w:val="center"/>
              <w:rPr>
                <w:rFonts w:ascii="Calibri" w:eastAsia="Calibri" w:hAnsi="Calibri" w:cs="Calibri"/>
                <w:sz w:val="22"/>
                <w:szCs w:val="22"/>
              </w:rPr>
            </w:pPr>
            <w:r>
              <w:t>Cost of Sales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0D" w14:textId="77777777" w:rsidR="00E84532" w:rsidRDefault="00E90F46">
            <w:pPr>
              <w:jc w:val="center"/>
              <w:rPr>
                <w:rFonts w:ascii="Calibri" w:eastAsia="Calibri" w:hAnsi="Calibri" w:cs="Calibri"/>
                <w:sz w:val="22"/>
                <w:szCs w:val="22"/>
              </w:rPr>
            </w:pPr>
            <w:r>
              <w:t>B</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0E" w14:textId="77777777" w:rsidR="00E84532" w:rsidRDefault="00E90F46">
            <w:pPr>
              <w:jc w:val="center"/>
              <w:rPr>
                <w:rFonts w:ascii="Calibri" w:eastAsia="Calibri" w:hAnsi="Calibri" w:cs="Calibri"/>
                <w:sz w:val="22"/>
                <w:szCs w:val="22"/>
              </w:rPr>
            </w:pPr>
            <w:r>
              <w:t>17,394.00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0F" w14:textId="77777777" w:rsidR="00E84532" w:rsidRDefault="00E90F46">
            <w:pPr>
              <w:jc w:val="center"/>
              <w:rPr>
                <w:rFonts w:ascii="Calibri" w:eastAsia="Calibri" w:hAnsi="Calibri" w:cs="Calibri"/>
                <w:sz w:val="22"/>
                <w:szCs w:val="22"/>
              </w:rPr>
            </w:pPr>
            <w:r>
              <w:t>24,057.00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10" w14:textId="77777777" w:rsidR="00E84532" w:rsidRDefault="00E90F46">
            <w:pPr>
              <w:jc w:val="center"/>
              <w:rPr>
                <w:rFonts w:ascii="Calibri" w:eastAsia="Calibri" w:hAnsi="Calibri" w:cs="Calibri"/>
                <w:sz w:val="22"/>
                <w:szCs w:val="22"/>
              </w:rPr>
            </w:pPr>
            <w:r>
              <w:t>29,193.00</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11" w14:textId="77777777" w:rsidR="00E84532" w:rsidRDefault="00E90F46">
            <w:pPr>
              <w:jc w:val="center"/>
              <w:rPr>
                <w:rFonts w:ascii="Calibri" w:eastAsia="Calibri" w:hAnsi="Calibri" w:cs="Calibri"/>
                <w:sz w:val="22"/>
                <w:szCs w:val="22"/>
              </w:rPr>
            </w:pPr>
            <w:r>
              <w:t>39,462.00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12" w14:textId="77777777" w:rsidR="00E84532" w:rsidRDefault="00E90F46">
            <w:pPr>
              <w:jc w:val="center"/>
              <w:rPr>
                <w:rFonts w:ascii="Calibri" w:eastAsia="Calibri" w:hAnsi="Calibri" w:cs="Calibri"/>
                <w:sz w:val="22"/>
                <w:szCs w:val="22"/>
              </w:rPr>
            </w:pPr>
            <w:r>
              <w:t>43,143.00</w:t>
            </w:r>
          </w:p>
        </w:tc>
      </w:tr>
      <w:tr w:rsidR="00E84532" w14:paraId="4F35161B"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4F351614" w14:textId="77777777" w:rsidR="00E84532" w:rsidRDefault="00E90F46">
            <w:pPr>
              <w:jc w:val="center"/>
              <w:rPr>
                <w:rFonts w:ascii="Calibri" w:eastAsia="Calibri" w:hAnsi="Calibri" w:cs="Calibri"/>
                <w:sz w:val="22"/>
                <w:szCs w:val="22"/>
              </w:rPr>
            </w:pPr>
            <w:r>
              <w:t>Opening Inventories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15" w14:textId="77777777" w:rsidR="00E84532" w:rsidRDefault="00E90F46">
            <w:pPr>
              <w:jc w:val="center"/>
              <w:rPr>
                <w:rFonts w:ascii="Calibri" w:eastAsia="Calibri" w:hAnsi="Calibri" w:cs="Calibri"/>
                <w:sz w:val="22"/>
                <w:szCs w:val="22"/>
              </w:rPr>
            </w:pPr>
            <w:r>
              <w:t>C</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16" w14:textId="77777777" w:rsidR="00E84532" w:rsidRDefault="00E90F46">
            <w:pPr>
              <w:jc w:val="center"/>
              <w:rPr>
                <w:rFonts w:ascii="Calibri" w:eastAsia="Calibri" w:hAnsi="Calibri" w:cs="Calibri"/>
                <w:sz w:val="22"/>
                <w:szCs w:val="22"/>
              </w:rPr>
            </w:pPr>
            <w:r>
              <w:t>210.00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17" w14:textId="77777777" w:rsidR="00E84532" w:rsidRDefault="00E90F46">
            <w:pPr>
              <w:jc w:val="center"/>
              <w:rPr>
                <w:rFonts w:ascii="Calibri" w:eastAsia="Calibri" w:hAnsi="Calibri" w:cs="Calibri"/>
                <w:sz w:val="22"/>
                <w:szCs w:val="22"/>
              </w:rPr>
            </w:pPr>
            <w:r>
              <w:t>227.00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18" w14:textId="77777777" w:rsidR="00E84532" w:rsidRDefault="00E90F46">
            <w:pPr>
              <w:jc w:val="center"/>
              <w:rPr>
                <w:rFonts w:ascii="Calibri" w:eastAsia="Calibri" w:hAnsi="Calibri" w:cs="Calibri"/>
                <w:sz w:val="22"/>
                <w:szCs w:val="22"/>
              </w:rPr>
            </w:pPr>
            <w:r>
              <w:t>511.00</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19" w14:textId="77777777" w:rsidR="00E84532" w:rsidRDefault="00E90F46">
            <w:pPr>
              <w:jc w:val="center"/>
              <w:rPr>
                <w:rFonts w:ascii="Calibri" w:eastAsia="Calibri" w:hAnsi="Calibri" w:cs="Calibri"/>
                <w:sz w:val="22"/>
                <w:szCs w:val="22"/>
              </w:rPr>
            </w:pPr>
            <w:r>
              <w:t>567.00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1A" w14:textId="77777777" w:rsidR="00E84532" w:rsidRDefault="00E90F46">
            <w:pPr>
              <w:jc w:val="center"/>
              <w:rPr>
                <w:rFonts w:ascii="Calibri" w:eastAsia="Calibri" w:hAnsi="Calibri" w:cs="Calibri"/>
                <w:sz w:val="22"/>
                <w:szCs w:val="22"/>
              </w:rPr>
            </w:pPr>
            <w:r>
              <w:t>734.00</w:t>
            </w:r>
          </w:p>
        </w:tc>
      </w:tr>
      <w:tr w:rsidR="00E84532" w14:paraId="4F351623"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4F35161C" w14:textId="77777777" w:rsidR="00E84532" w:rsidRDefault="00E90F46">
            <w:pPr>
              <w:jc w:val="center"/>
              <w:rPr>
                <w:rFonts w:ascii="Calibri" w:eastAsia="Calibri" w:hAnsi="Calibri" w:cs="Calibri"/>
                <w:sz w:val="22"/>
                <w:szCs w:val="22"/>
              </w:rPr>
            </w:pPr>
            <w:r>
              <w:t>Closing Inventories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1D" w14:textId="77777777" w:rsidR="00E84532" w:rsidRDefault="00E90F46">
            <w:pPr>
              <w:jc w:val="center"/>
              <w:rPr>
                <w:rFonts w:ascii="Calibri" w:eastAsia="Calibri" w:hAnsi="Calibri" w:cs="Calibri"/>
                <w:sz w:val="22"/>
                <w:szCs w:val="22"/>
              </w:rPr>
            </w:pPr>
            <w:r>
              <w:t>D</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1E" w14:textId="77777777" w:rsidR="00E84532" w:rsidRDefault="00E90F46">
            <w:pPr>
              <w:jc w:val="center"/>
              <w:rPr>
                <w:rFonts w:ascii="Calibri" w:eastAsia="Calibri" w:hAnsi="Calibri" w:cs="Calibri"/>
                <w:sz w:val="22"/>
                <w:szCs w:val="22"/>
              </w:rPr>
            </w:pPr>
            <w:r>
              <w:t>227.00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1F" w14:textId="77777777" w:rsidR="00E84532" w:rsidRDefault="00E90F46">
            <w:pPr>
              <w:jc w:val="center"/>
              <w:rPr>
                <w:rFonts w:ascii="Calibri" w:eastAsia="Calibri" w:hAnsi="Calibri" w:cs="Calibri"/>
                <w:sz w:val="22"/>
                <w:szCs w:val="22"/>
              </w:rPr>
            </w:pPr>
            <w:r>
              <w:t>511.00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20" w14:textId="77777777" w:rsidR="00E84532" w:rsidRDefault="00E90F46">
            <w:pPr>
              <w:jc w:val="center"/>
              <w:rPr>
                <w:rFonts w:ascii="Calibri" w:eastAsia="Calibri" w:hAnsi="Calibri" w:cs="Calibri"/>
                <w:sz w:val="22"/>
                <w:szCs w:val="22"/>
              </w:rPr>
            </w:pPr>
            <w:r>
              <w:t>567.00</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21" w14:textId="77777777" w:rsidR="00E84532" w:rsidRDefault="00E90F46">
            <w:pPr>
              <w:jc w:val="center"/>
              <w:rPr>
                <w:rFonts w:ascii="Calibri" w:eastAsia="Calibri" w:hAnsi="Calibri" w:cs="Calibri"/>
                <w:sz w:val="22"/>
                <w:szCs w:val="22"/>
              </w:rPr>
            </w:pPr>
            <w:r>
              <w:t>734.00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22" w14:textId="77777777" w:rsidR="00E84532" w:rsidRDefault="00E90F46">
            <w:pPr>
              <w:jc w:val="center"/>
              <w:rPr>
                <w:rFonts w:ascii="Calibri" w:eastAsia="Calibri" w:hAnsi="Calibri" w:cs="Calibri"/>
                <w:sz w:val="22"/>
                <w:szCs w:val="22"/>
              </w:rPr>
            </w:pPr>
            <w:r>
              <w:t>820.00</w:t>
            </w:r>
          </w:p>
        </w:tc>
      </w:tr>
      <w:tr w:rsidR="00E84532" w14:paraId="4F35162B" w14:textId="77777777">
        <w:trPr>
          <w:trHeight w:val="55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4F351624" w14:textId="77777777" w:rsidR="00E84532" w:rsidRDefault="00E90F46">
            <w:pPr>
              <w:jc w:val="center"/>
              <w:rPr>
                <w:rFonts w:ascii="Calibri" w:eastAsia="Calibri" w:hAnsi="Calibri" w:cs="Calibri"/>
                <w:sz w:val="22"/>
                <w:szCs w:val="22"/>
              </w:rPr>
            </w:pPr>
            <w:r>
              <w:lastRenderedPageBreak/>
              <w:t>Average Inventories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25" w14:textId="77777777" w:rsidR="00E84532" w:rsidRDefault="00E90F46">
            <w:pPr>
              <w:jc w:val="center"/>
              <w:rPr>
                <w:rFonts w:ascii="Calibri" w:eastAsia="Calibri" w:hAnsi="Calibri" w:cs="Calibri"/>
                <w:sz w:val="22"/>
                <w:szCs w:val="22"/>
              </w:rPr>
            </w:pPr>
            <w:r>
              <w:t>E=(C+D)/2</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26" w14:textId="77777777" w:rsidR="00E84532" w:rsidRDefault="00E90F46">
            <w:pPr>
              <w:jc w:val="center"/>
              <w:rPr>
                <w:rFonts w:ascii="Calibri" w:eastAsia="Calibri" w:hAnsi="Calibri" w:cs="Calibri"/>
                <w:sz w:val="22"/>
                <w:szCs w:val="22"/>
              </w:rPr>
            </w:pPr>
            <w:r>
              <w:t>218.50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27" w14:textId="77777777" w:rsidR="00E84532" w:rsidRDefault="00E90F46">
            <w:pPr>
              <w:jc w:val="center"/>
              <w:rPr>
                <w:rFonts w:ascii="Calibri" w:eastAsia="Calibri" w:hAnsi="Calibri" w:cs="Calibri"/>
                <w:sz w:val="22"/>
                <w:szCs w:val="22"/>
              </w:rPr>
            </w:pPr>
            <w:r>
              <w:t>369.00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28" w14:textId="77777777" w:rsidR="00E84532" w:rsidRDefault="00E90F46">
            <w:pPr>
              <w:jc w:val="center"/>
              <w:rPr>
                <w:rFonts w:ascii="Calibri" w:eastAsia="Calibri" w:hAnsi="Calibri" w:cs="Calibri"/>
                <w:sz w:val="22"/>
                <w:szCs w:val="22"/>
              </w:rPr>
            </w:pPr>
            <w:r>
              <w:t>539.00</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29" w14:textId="77777777" w:rsidR="00E84532" w:rsidRDefault="00E90F46">
            <w:pPr>
              <w:jc w:val="center"/>
              <w:rPr>
                <w:rFonts w:ascii="Calibri" w:eastAsia="Calibri" w:hAnsi="Calibri" w:cs="Calibri"/>
                <w:sz w:val="22"/>
                <w:szCs w:val="22"/>
              </w:rPr>
            </w:pPr>
            <w:r>
              <w:t>650.50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2A" w14:textId="77777777" w:rsidR="00E84532" w:rsidRDefault="00E90F46">
            <w:pPr>
              <w:jc w:val="center"/>
              <w:rPr>
                <w:rFonts w:ascii="Calibri" w:eastAsia="Calibri" w:hAnsi="Calibri" w:cs="Calibri"/>
                <w:sz w:val="22"/>
                <w:szCs w:val="22"/>
              </w:rPr>
            </w:pPr>
            <w:r>
              <w:t>777.00</w:t>
            </w:r>
          </w:p>
        </w:tc>
      </w:tr>
      <w:tr w:rsidR="00E84532" w14:paraId="4F351633"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4F35162C" w14:textId="77777777" w:rsidR="00E84532" w:rsidRDefault="00E90F46">
            <w:pPr>
              <w:jc w:val="center"/>
              <w:rPr>
                <w:rFonts w:ascii="Calibri" w:eastAsia="Calibri" w:hAnsi="Calibri" w:cs="Calibri"/>
                <w:sz w:val="22"/>
                <w:szCs w:val="22"/>
              </w:rPr>
            </w:pPr>
            <w:r>
              <w:t>Opening Receivables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2D" w14:textId="77777777" w:rsidR="00E84532" w:rsidRDefault="00E90F46">
            <w:pPr>
              <w:jc w:val="center"/>
              <w:rPr>
                <w:rFonts w:ascii="Calibri" w:eastAsia="Calibri" w:hAnsi="Calibri" w:cs="Calibri"/>
                <w:sz w:val="22"/>
                <w:szCs w:val="22"/>
              </w:rPr>
            </w:pPr>
            <w:r>
              <w:t>F</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2E" w14:textId="77777777" w:rsidR="00E84532" w:rsidRDefault="00E90F46">
            <w:pPr>
              <w:jc w:val="center"/>
              <w:rPr>
                <w:rFonts w:ascii="Calibri" w:eastAsia="Calibri" w:hAnsi="Calibri" w:cs="Calibri"/>
                <w:sz w:val="22"/>
                <w:szCs w:val="22"/>
              </w:rPr>
            </w:pPr>
            <w:r>
              <w:t>2,319.00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2F" w14:textId="77777777" w:rsidR="00E84532" w:rsidRDefault="00E90F46">
            <w:pPr>
              <w:jc w:val="center"/>
              <w:rPr>
                <w:rFonts w:ascii="Calibri" w:eastAsia="Calibri" w:hAnsi="Calibri" w:cs="Calibri"/>
                <w:sz w:val="22"/>
                <w:szCs w:val="22"/>
              </w:rPr>
            </w:pPr>
            <w:r>
              <w:t>2,684.00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30" w14:textId="77777777" w:rsidR="00E84532" w:rsidRDefault="00E90F46">
            <w:pPr>
              <w:jc w:val="center"/>
              <w:rPr>
                <w:rFonts w:ascii="Calibri" w:eastAsia="Calibri" w:hAnsi="Calibri" w:cs="Calibri"/>
                <w:sz w:val="22"/>
                <w:szCs w:val="22"/>
              </w:rPr>
            </w:pPr>
            <w:r>
              <w:t>3,988.00</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31" w14:textId="77777777" w:rsidR="00E84532" w:rsidRDefault="00E90F46">
            <w:pPr>
              <w:jc w:val="center"/>
              <w:rPr>
                <w:rFonts w:ascii="Calibri" w:eastAsia="Calibri" w:hAnsi="Calibri" w:cs="Calibri"/>
                <w:sz w:val="22"/>
                <w:szCs w:val="22"/>
              </w:rPr>
            </w:pPr>
            <w:r>
              <w:t>4,174.00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32" w14:textId="77777777" w:rsidR="00E84532" w:rsidRDefault="00E90F46">
            <w:pPr>
              <w:jc w:val="center"/>
              <w:rPr>
                <w:rFonts w:ascii="Calibri" w:eastAsia="Calibri" w:hAnsi="Calibri" w:cs="Calibri"/>
                <w:sz w:val="22"/>
                <w:szCs w:val="22"/>
              </w:rPr>
            </w:pPr>
            <w:r>
              <w:t>5,686.00</w:t>
            </w:r>
          </w:p>
        </w:tc>
      </w:tr>
      <w:tr w:rsidR="00E84532" w14:paraId="4F35163B"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4F351634" w14:textId="77777777" w:rsidR="00E84532" w:rsidRDefault="00E90F46">
            <w:pPr>
              <w:jc w:val="center"/>
              <w:rPr>
                <w:rFonts w:ascii="Calibri" w:eastAsia="Calibri" w:hAnsi="Calibri" w:cs="Calibri"/>
                <w:sz w:val="22"/>
                <w:szCs w:val="22"/>
              </w:rPr>
            </w:pPr>
            <w:r>
              <w:t>Closing Receivables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35" w14:textId="77777777" w:rsidR="00E84532" w:rsidRDefault="00E90F46">
            <w:pPr>
              <w:jc w:val="center"/>
              <w:rPr>
                <w:rFonts w:ascii="Calibri" w:eastAsia="Calibri" w:hAnsi="Calibri" w:cs="Calibri"/>
                <w:sz w:val="22"/>
                <w:szCs w:val="22"/>
              </w:rPr>
            </w:pPr>
            <w:r>
              <w:t>G</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36" w14:textId="77777777" w:rsidR="00E84532" w:rsidRDefault="00E90F46">
            <w:pPr>
              <w:jc w:val="center"/>
              <w:rPr>
                <w:rFonts w:ascii="Calibri" w:eastAsia="Calibri" w:hAnsi="Calibri" w:cs="Calibri"/>
                <w:sz w:val="22"/>
                <w:szCs w:val="22"/>
              </w:rPr>
            </w:pPr>
            <w:r>
              <w:t>2,684.00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37" w14:textId="77777777" w:rsidR="00E84532" w:rsidRDefault="00E90F46">
            <w:pPr>
              <w:jc w:val="center"/>
              <w:rPr>
                <w:rFonts w:ascii="Calibri" w:eastAsia="Calibri" w:hAnsi="Calibri" w:cs="Calibri"/>
                <w:sz w:val="22"/>
                <w:szCs w:val="22"/>
              </w:rPr>
            </w:pPr>
            <w:r>
              <w:t>3,988.00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38" w14:textId="77777777" w:rsidR="00E84532" w:rsidRDefault="00E90F46">
            <w:pPr>
              <w:jc w:val="center"/>
              <w:rPr>
                <w:rFonts w:ascii="Calibri" w:eastAsia="Calibri" w:hAnsi="Calibri" w:cs="Calibri"/>
                <w:sz w:val="22"/>
                <w:szCs w:val="22"/>
              </w:rPr>
            </w:pPr>
            <w:r>
              <w:t>4,174.00</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39" w14:textId="77777777" w:rsidR="00E84532" w:rsidRDefault="00E90F46">
            <w:pPr>
              <w:jc w:val="center"/>
              <w:rPr>
                <w:rFonts w:ascii="Calibri" w:eastAsia="Calibri" w:hAnsi="Calibri" w:cs="Calibri"/>
                <w:sz w:val="22"/>
                <w:szCs w:val="22"/>
              </w:rPr>
            </w:pPr>
            <w:r>
              <w:t>5,686.00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3A" w14:textId="77777777" w:rsidR="00E84532" w:rsidRDefault="00E90F46">
            <w:pPr>
              <w:jc w:val="center"/>
              <w:rPr>
                <w:rFonts w:ascii="Calibri" w:eastAsia="Calibri" w:hAnsi="Calibri" w:cs="Calibri"/>
                <w:sz w:val="22"/>
                <w:szCs w:val="22"/>
              </w:rPr>
            </w:pPr>
            <w:r>
              <w:t>6,350.00</w:t>
            </w:r>
          </w:p>
        </w:tc>
      </w:tr>
      <w:tr w:rsidR="00E84532" w14:paraId="4F351643" w14:textId="77777777">
        <w:trPr>
          <w:trHeight w:val="55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4F35163C" w14:textId="77777777" w:rsidR="00E84532" w:rsidRDefault="00E90F46">
            <w:pPr>
              <w:jc w:val="center"/>
              <w:rPr>
                <w:rFonts w:ascii="Calibri" w:eastAsia="Calibri" w:hAnsi="Calibri" w:cs="Calibri"/>
                <w:sz w:val="22"/>
                <w:szCs w:val="22"/>
              </w:rPr>
            </w:pPr>
            <w:r>
              <w:t>Average Receivables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3D" w14:textId="77777777" w:rsidR="00E84532" w:rsidRDefault="00E90F46">
            <w:pPr>
              <w:jc w:val="center"/>
              <w:rPr>
                <w:rFonts w:ascii="Calibri" w:eastAsia="Calibri" w:hAnsi="Calibri" w:cs="Calibri"/>
                <w:sz w:val="22"/>
                <w:szCs w:val="22"/>
              </w:rPr>
            </w:pPr>
            <w:r>
              <w:t>H=(F+G)/2</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3E" w14:textId="77777777" w:rsidR="00E84532" w:rsidRDefault="00E90F46">
            <w:pPr>
              <w:jc w:val="center"/>
              <w:rPr>
                <w:rFonts w:ascii="Calibri" w:eastAsia="Calibri" w:hAnsi="Calibri" w:cs="Calibri"/>
                <w:sz w:val="22"/>
                <w:szCs w:val="22"/>
              </w:rPr>
            </w:pPr>
            <w:r>
              <w:t>2,501.50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3F" w14:textId="77777777" w:rsidR="00E84532" w:rsidRDefault="00E90F46">
            <w:pPr>
              <w:jc w:val="center"/>
              <w:rPr>
                <w:rFonts w:ascii="Calibri" w:eastAsia="Calibri" w:hAnsi="Calibri" w:cs="Calibri"/>
                <w:sz w:val="22"/>
                <w:szCs w:val="22"/>
              </w:rPr>
            </w:pPr>
            <w:r>
              <w:t>3,336.00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40" w14:textId="77777777" w:rsidR="00E84532" w:rsidRDefault="00E90F46">
            <w:pPr>
              <w:jc w:val="center"/>
              <w:rPr>
                <w:rFonts w:ascii="Calibri" w:eastAsia="Calibri" w:hAnsi="Calibri" w:cs="Calibri"/>
                <w:sz w:val="22"/>
                <w:szCs w:val="22"/>
              </w:rPr>
            </w:pPr>
            <w:r>
              <w:t>4,081.00</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41" w14:textId="77777777" w:rsidR="00E84532" w:rsidRDefault="00E90F46">
            <w:pPr>
              <w:jc w:val="center"/>
              <w:rPr>
                <w:rFonts w:ascii="Calibri" w:eastAsia="Calibri" w:hAnsi="Calibri" w:cs="Calibri"/>
                <w:sz w:val="22"/>
                <w:szCs w:val="22"/>
              </w:rPr>
            </w:pPr>
            <w:r>
              <w:t>4,930.00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42" w14:textId="77777777" w:rsidR="00E84532" w:rsidRDefault="00E90F46">
            <w:pPr>
              <w:jc w:val="center"/>
              <w:rPr>
                <w:rFonts w:ascii="Calibri" w:eastAsia="Calibri" w:hAnsi="Calibri" w:cs="Calibri"/>
                <w:sz w:val="22"/>
                <w:szCs w:val="22"/>
              </w:rPr>
            </w:pPr>
            <w:r>
              <w:t>6,018.00</w:t>
            </w:r>
          </w:p>
        </w:tc>
      </w:tr>
      <w:tr w:rsidR="00E84532" w14:paraId="4F35164B"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4F351644" w14:textId="77777777" w:rsidR="00E84532" w:rsidRDefault="00E90F46">
            <w:pPr>
              <w:jc w:val="center"/>
              <w:rPr>
                <w:rFonts w:ascii="Calibri" w:eastAsia="Calibri" w:hAnsi="Calibri" w:cs="Calibri"/>
                <w:sz w:val="22"/>
                <w:szCs w:val="22"/>
              </w:rPr>
            </w:pPr>
            <w:r>
              <w:t>Opening Payables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45" w14:textId="77777777" w:rsidR="00E84532" w:rsidRDefault="00E90F46">
            <w:pPr>
              <w:jc w:val="center"/>
              <w:rPr>
                <w:rFonts w:ascii="Calibri" w:eastAsia="Calibri" w:hAnsi="Calibri" w:cs="Calibri"/>
                <w:sz w:val="22"/>
                <w:szCs w:val="22"/>
              </w:rPr>
            </w:pPr>
            <w:r>
              <w:t>I</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46" w14:textId="77777777" w:rsidR="00E84532" w:rsidRDefault="00E90F46">
            <w:pPr>
              <w:jc w:val="center"/>
              <w:rPr>
                <w:rFonts w:ascii="Calibri" w:eastAsia="Calibri" w:hAnsi="Calibri" w:cs="Calibri"/>
                <w:sz w:val="22"/>
                <w:szCs w:val="22"/>
              </w:rPr>
            </w:pPr>
            <w:r>
              <w:t>3,615.00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47" w14:textId="77777777" w:rsidR="00E84532" w:rsidRDefault="00E90F46">
            <w:pPr>
              <w:jc w:val="center"/>
              <w:rPr>
                <w:rFonts w:ascii="Calibri" w:eastAsia="Calibri" w:hAnsi="Calibri" w:cs="Calibri"/>
                <w:sz w:val="22"/>
                <w:szCs w:val="22"/>
              </w:rPr>
            </w:pPr>
            <w:r>
              <w:t>4,090.00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48" w14:textId="77777777" w:rsidR="00E84532" w:rsidRDefault="00E90F46">
            <w:pPr>
              <w:jc w:val="center"/>
              <w:rPr>
                <w:rFonts w:ascii="Calibri" w:eastAsia="Calibri" w:hAnsi="Calibri" w:cs="Calibri"/>
                <w:sz w:val="22"/>
                <w:szCs w:val="22"/>
              </w:rPr>
            </w:pPr>
            <w:r>
              <w:t>5,626.00</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49" w14:textId="77777777" w:rsidR="00E84532" w:rsidRDefault="00E90F46">
            <w:pPr>
              <w:jc w:val="center"/>
              <w:rPr>
                <w:rFonts w:ascii="Calibri" w:eastAsia="Calibri" w:hAnsi="Calibri" w:cs="Calibri"/>
                <w:sz w:val="22"/>
                <w:szCs w:val="22"/>
              </w:rPr>
            </w:pPr>
            <w:r>
              <w:t>5,870.00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4A" w14:textId="77777777" w:rsidR="00E84532" w:rsidRDefault="00E90F46">
            <w:pPr>
              <w:jc w:val="center"/>
              <w:rPr>
                <w:rFonts w:ascii="Calibri" w:eastAsia="Calibri" w:hAnsi="Calibri" w:cs="Calibri"/>
                <w:sz w:val="22"/>
                <w:szCs w:val="22"/>
              </w:rPr>
            </w:pPr>
            <w:r>
              <w:t>8,172.00</w:t>
            </w:r>
          </w:p>
        </w:tc>
      </w:tr>
      <w:tr w:rsidR="00E84532" w14:paraId="4F351653"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4F35164C" w14:textId="77777777" w:rsidR="00E84532" w:rsidRDefault="00E90F46">
            <w:pPr>
              <w:jc w:val="center"/>
              <w:rPr>
                <w:rFonts w:ascii="Calibri" w:eastAsia="Calibri" w:hAnsi="Calibri" w:cs="Calibri"/>
                <w:sz w:val="22"/>
                <w:szCs w:val="22"/>
              </w:rPr>
            </w:pPr>
            <w:r>
              <w:t>Closing Payables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4D" w14:textId="77777777" w:rsidR="00E84532" w:rsidRDefault="00E90F46">
            <w:pPr>
              <w:jc w:val="center"/>
              <w:rPr>
                <w:rFonts w:ascii="Calibri" w:eastAsia="Calibri" w:hAnsi="Calibri" w:cs="Calibri"/>
                <w:sz w:val="22"/>
                <w:szCs w:val="22"/>
              </w:rPr>
            </w:pPr>
            <w:r>
              <w:t>J</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4E" w14:textId="77777777" w:rsidR="00E84532" w:rsidRDefault="00E90F46">
            <w:pPr>
              <w:jc w:val="center"/>
              <w:rPr>
                <w:rFonts w:ascii="Calibri" w:eastAsia="Calibri" w:hAnsi="Calibri" w:cs="Calibri"/>
                <w:sz w:val="22"/>
                <w:szCs w:val="22"/>
              </w:rPr>
            </w:pPr>
            <w:r>
              <w:t>4,090.00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4F" w14:textId="77777777" w:rsidR="00E84532" w:rsidRDefault="00E90F46">
            <w:pPr>
              <w:jc w:val="center"/>
              <w:rPr>
                <w:rFonts w:ascii="Calibri" w:eastAsia="Calibri" w:hAnsi="Calibri" w:cs="Calibri"/>
                <w:sz w:val="22"/>
                <w:szCs w:val="22"/>
              </w:rPr>
            </w:pPr>
            <w:r>
              <w:t>5,626.00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50" w14:textId="77777777" w:rsidR="00E84532" w:rsidRDefault="00E90F46">
            <w:pPr>
              <w:jc w:val="center"/>
              <w:rPr>
                <w:rFonts w:ascii="Calibri" w:eastAsia="Calibri" w:hAnsi="Calibri" w:cs="Calibri"/>
                <w:sz w:val="22"/>
                <w:szCs w:val="22"/>
              </w:rPr>
            </w:pPr>
            <w:r>
              <w:t>5,870.00</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51" w14:textId="77777777" w:rsidR="00E84532" w:rsidRDefault="00E90F46">
            <w:pPr>
              <w:jc w:val="center"/>
              <w:rPr>
                <w:rFonts w:ascii="Calibri" w:eastAsia="Calibri" w:hAnsi="Calibri" w:cs="Calibri"/>
                <w:sz w:val="22"/>
                <w:szCs w:val="22"/>
              </w:rPr>
            </w:pPr>
            <w:r>
              <w:t>8,172.00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52" w14:textId="77777777" w:rsidR="00E84532" w:rsidRDefault="00E90F46">
            <w:pPr>
              <w:jc w:val="center"/>
              <w:rPr>
                <w:rFonts w:ascii="Calibri" w:eastAsia="Calibri" w:hAnsi="Calibri" w:cs="Calibri"/>
                <w:sz w:val="22"/>
                <w:szCs w:val="22"/>
              </w:rPr>
            </w:pPr>
            <w:r>
              <w:t>8,639.00</w:t>
            </w:r>
          </w:p>
        </w:tc>
      </w:tr>
      <w:tr w:rsidR="00E84532" w14:paraId="4F35165B"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4F351654" w14:textId="77777777" w:rsidR="00E84532" w:rsidRDefault="00E90F46">
            <w:pPr>
              <w:jc w:val="center"/>
              <w:rPr>
                <w:rFonts w:ascii="Calibri" w:eastAsia="Calibri" w:hAnsi="Calibri" w:cs="Calibri"/>
                <w:sz w:val="22"/>
                <w:szCs w:val="22"/>
              </w:rPr>
            </w:pPr>
            <w:r>
              <w:t>Average Payables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55" w14:textId="77777777" w:rsidR="00E84532" w:rsidRDefault="00E90F46">
            <w:pPr>
              <w:jc w:val="center"/>
              <w:rPr>
                <w:rFonts w:ascii="Calibri" w:eastAsia="Calibri" w:hAnsi="Calibri" w:cs="Calibri"/>
                <w:sz w:val="22"/>
                <w:szCs w:val="22"/>
              </w:rPr>
            </w:pPr>
            <w:r>
              <w:t>K=(I+J)/2</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56" w14:textId="77777777" w:rsidR="00E84532" w:rsidRDefault="00E90F46">
            <w:pPr>
              <w:jc w:val="center"/>
              <w:rPr>
                <w:rFonts w:ascii="Calibri" w:eastAsia="Calibri" w:hAnsi="Calibri" w:cs="Calibri"/>
                <w:sz w:val="22"/>
                <w:szCs w:val="22"/>
              </w:rPr>
            </w:pPr>
            <w:r>
              <w:t>3,852.50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57" w14:textId="77777777" w:rsidR="00E84532" w:rsidRDefault="00E90F46">
            <w:pPr>
              <w:jc w:val="center"/>
              <w:rPr>
                <w:rFonts w:ascii="Calibri" w:eastAsia="Calibri" w:hAnsi="Calibri" w:cs="Calibri"/>
                <w:sz w:val="22"/>
                <w:szCs w:val="22"/>
              </w:rPr>
            </w:pPr>
            <w:r>
              <w:t>4,858.00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58" w14:textId="77777777" w:rsidR="00E84532" w:rsidRDefault="00E90F46">
            <w:pPr>
              <w:jc w:val="center"/>
              <w:rPr>
                <w:rFonts w:ascii="Calibri" w:eastAsia="Calibri" w:hAnsi="Calibri" w:cs="Calibri"/>
                <w:sz w:val="22"/>
                <w:szCs w:val="22"/>
              </w:rPr>
            </w:pPr>
            <w:r>
              <w:t>5,748.00</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59" w14:textId="77777777" w:rsidR="00E84532" w:rsidRDefault="00E90F46">
            <w:pPr>
              <w:jc w:val="center"/>
              <w:rPr>
                <w:rFonts w:ascii="Calibri" w:eastAsia="Calibri" w:hAnsi="Calibri" w:cs="Calibri"/>
                <w:sz w:val="22"/>
                <w:szCs w:val="22"/>
              </w:rPr>
            </w:pPr>
            <w:r>
              <w:t>7,021.00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5A" w14:textId="77777777" w:rsidR="00E84532" w:rsidRDefault="00E90F46">
            <w:pPr>
              <w:jc w:val="center"/>
              <w:rPr>
                <w:rFonts w:ascii="Calibri" w:eastAsia="Calibri" w:hAnsi="Calibri" w:cs="Calibri"/>
                <w:sz w:val="22"/>
                <w:szCs w:val="22"/>
              </w:rPr>
            </w:pPr>
            <w:r>
              <w:t>8,405.50</w:t>
            </w:r>
          </w:p>
        </w:tc>
      </w:tr>
      <w:tr w:rsidR="00E84532" w14:paraId="4F351663"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4F35165C" w14:textId="77777777" w:rsidR="00E84532" w:rsidRDefault="00E90F46">
            <w:pPr>
              <w:jc w:val="center"/>
              <w:rPr>
                <w:rFonts w:ascii="Calibri" w:eastAsia="Calibri" w:hAnsi="Calibri" w:cs="Calibri"/>
                <w:sz w:val="22"/>
                <w:szCs w:val="22"/>
              </w:rPr>
            </w:pPr>
            <w:r>
              <w:rPr>
                <w:b/>
                <w:bCs/>
              </w:rPr>
              <w:t>Inventory Turnover Days</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5D" w14:textId="77777777" w:rsidR="00E84532" w:rsidRDefault="00E90F46">
            <w:pPr>
              <w:jc w:val="center"/>
              <w:rPr>
                <w:rFonts w:ascii="Calibri" w:eastAsia="Calibri" w:hAnsi="Calibri" w:cs="Calibri"/>
                <w:sz w:val="22"/>
                <w:szCs w:val="22"/>
              </w:rPr>
            </w:pPr>
            <w:r>
              <w:rPr>
                <w:b/>
                <w:bCs/>
              </w:rPr>
              <w:t>365/(B/E)</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5E" w14:textId="77777777" w:rsidR="00E84532" w:rsidRDefault="00E90F46">
            <w:pPr>
              <w:jc w:val="center"/>
              <w:rPr>
                <w:rFonts w:ascii="Calibri" w:eastAsia="Calibri" w:hAnsi="Calibri" w:cs="Calibri"/>
                <w:sz w:val="22"/>
                <w:szCs w:val="22"/>
              </w:rPr>
            </w:pPr>
            <w:r>
              <w:rPr>
                <w:b/>
                <w:bCs/>
              </w:rPr>
              <w:t>5</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5F" w14:textId="77777777" w:rsidR="00E84532" w:rsidRDefault="00E90F46">
            <w:pPr>
              <w:jc w:val="center"/>
              <w:rPr>
                <w:rFonts w:ascii="Calibri" w:eastAsia="Calibri" w:hAnsi="Calibri" w:cs="Calibri"/>
                <w:sz w:val="22"/>
                <w:szCs w:val="22"/>
              </w:rPr>
            </w:pPr>
            <w:r>
              <w:rPr>
                <w:b/>
                <w:bCs/>
              </w:rPr>
              <w:t>6</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60" w14:textId="77777777" w:rsidR="00E84532" w:rsidRDefault="00E90F46">
            <w:pPr>
              <w:jc w:val="center"/>
              <w:rPr>
                <w:rFonts w:ascii="Calibri" w:eastAsia="Calibri" w:hAnsi="Calibri" w:cs="Calibri"/>
                <w:sz w:val="22"/>
                <w:szCs w:val="22"/>
              </w:rPr>
            </w:pPr>
            <w:r>
              <w:rPr>
                <w:b/>
                <w:bCs/>
              </w:rPr>
              <w:t>7</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61" w14:textId="77777777" w:rsidR="00E84532" w:rsidRDefault="00E90F46">
            <w:pPr>
              <w:jc w:val="center"/>
              <w:rPr>
                <w:rFonts w:ascii="Calibri" w:eastAsia="Calibri" w:hAnsi="Calibri" w:cs="Calibri"/>
                <w:sz w:val="22"/>
                <w:szCs w:val="22"/>
              </w:rPr>
            </w:pPr>
            <w:r>
              <w:rPr>
                <w:b/>
                <w:bCs/>
              </w:rPr>
              <w:t>6</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62" w14:textId="77777777" w:rsidR="00E84532" w:rsidRDefault="00E90F46">
            <w:pPr>
              <w:jc w:val="center"/>
              <w:rPr>
                <w:rFonts w:ascii="Calibri" w:eastAsia="Calibri" w:hAnsi="Calibri" w:cs="Calibri"/>
                <w:sz w:val="22"/>
                <w:szCs w:val="22"/>
              </w:rPr>
            </w:pPr>
            <w:r>
              <w:rPr>
                <w:b/>
                <w:bCs/>
              </w:rPr>
              <w:t>7</w:t>
            </w:r>
          </w:p>
        </w:tc>
      </w:tr>
      <w:tr w:rsidR="00E84532" w14:paraId="4F35166B"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4F351664" w14:textId="77777777" w:rsidR="00E84532" w:rsidRDefault="00E90F46">
            <w:pPr>
              <w:jc w:val="center"/>
              <w:rPr>
                <w:rFonts w:ascii="Calibri" w:eastAsia="Calibri" w:hAnsi="Calibri" w:cs="Calibri"/>
                <w:sz w:val="22"/>
                <w:szCs w:val="22"/>
              </w:rPr>
            </w:pPr>
            <w:r>
              <w:rPr>
                <w:b/>
                <w:bCs/>
              </w:rPr>
              <w:t>Receivables Turnover Days</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65" w14:textId="77777777" w:rsidR="00E84532" w:rsidRDefault="00E90F46">
            <w:pPr>
              <w:jc w:val="center"/>
              <w:rPr>
                <w:rFonts w:ascii="Calibri" w:eastAsia="Calibri" w:hAnsi="Calibri" w:cs="Calibri"/>
                <w:sz w:val="22"/>
                <w:szCs w:val="22"/>
              </w:rPr>
            </w:pPr>
            <w:r>
              <w:rPr>
                <w:b/>
                <w:bCs/>
              </w:rPr>
              <w:t>365/(A/H)</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66" w14:textId="77777777" w:rsidR="00E84532" w:rsidRDefault="00E90F46">
            <w:pPr>
              <w:jc w:val="center"/>
              <w:rPr>
                <w:rFonts w:ascii="Calibri" w:eastAsia="Calibri" w:hAnsi="Calibri" w:cs="Calibri"/>
                <w:sz w:val="22"/>
                <w:szCs w:val="22"/>
              </w:rPr>
            </w:pPr>
            <w:r>
              <w:rPr>
                <w:b/>
                <w:bCs/>
              </w:rPr>
              <w:t>51</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67" w14:textId="77777777" w:rsidR="00E84532" w:rsidRDefault="00E90F46">
            <w:pPr>
              <w:jc w:val="center"/>
              <w:rPr>
                <w:rFonts w:ascii="Calibri" w:eastAsia="Calibri" w:hAnsi="Calibri" w:cs="Calibri"/>
                <w:sz w:val="22"/>
                <w:szCs w:val="22"/>
              </w:rPr>
            </w:pPr>
            <w:r>
              <w:rPr>
                <w:b/>
                <w:bCs/>
              </w:rPr>
              <w:t>48</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68" w14:textId="77777777" w:rsidR="00E84532" w:rsidRDefault="00E90F46">
            <w:pPr>
              <w:jc w:val="center"/>
              <w:rPr>
                <w:rFonts w:ascii="Calibri" w:eastAsia="Calibri" w:hAnsi="Calibri" w:cs="Calibri"/>
                <w:sz w:val="22"/>
                <w:szCs w:val="22"/>
              </w:rPr>
            </w:pPr>
            <w:r>
              <w:rPr>
                <w:b/>
                <w:bCs/>
              </w:rPr>
              <w:t>48</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69" w14:textId="77777777" w:rsidR="00E84532" w:rsidRDefault="00E90F46">
            <w:pPr>
              <w:jc w:val="center"/>
              <w:rPr>
                <w:rFonts w:ascii="Calibri" w:eastAsia="Calibri" w:hAnsi="Calibri" w:cs="Calibri"/>
                <w:sz w:val="22"/>
                <w:szCs w:val="22"/>
              </w:rPr>
            </w:pPr>
            <w:r>
              <w:rPr>
                <w:b/>
                <w:bCs/>
              </w:rPr>
              <w:t>43</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6A" w14:textId="77777777" w:rsidR="00E84532" w:rsidRDefault="00E90F46">
            <w:pPr>
              <w:jc w:val="center"/>
              <w:rPr>
                <w:rFonts w:ascii="Calibri" w:eastAsia="Calibri" w:hAnsi="Calibri" w:cs="Calibri"/>
                <w:sz w:val="22"/>
                <w:szCs w:val="22"/>
              </w:rPr>
            </w:pPr>
            <w:r>
              <w:rPr>
                <w:b/>
                <w:bCs/>
              </w:rPr>
              <w:t>48</w:t>
            </w:r>
          </w:p>
        </w:tc>
      </w:tr>
      <w:tr w:rsidR="00E84532" w14:paraId="4F351673"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4F35166C" w14:textId="77777777" w:rsidR="00E84532" w:rsidRDefault="00E90F46">
            <w:pPr>
              <w:jc w:val="center"/>
              <w:rPr>
                <w:rFonts w:ascii="Calibri" w:eastAsia="Calibri" w:hAnsi="Calibri" w:cs="Calibri"/>
                <w:sz w:val="22"/>
                <w:szCs w:val="22"/>
              </w:rPr>
            </w:pPr>
            <w:r>
              <w:rPr>
                <w:b/>
                <w:bCs/>
              </w:rPr>
              <w:t>Payables Turnover Days</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6D" w14:textId="77777777" w:rsidR="00E84532" w:rsidRDefault="00E90F46">
            <w:pPr>
              <w:jc w:val="center"/>
              <w:rPr>
                <w:rFonts w:ascii="Calibri" w:eastAsia="Calibri" w:hAnsi="Calibri" w:cs="Calibri"/>
                <w:sz w:val="22"/>
                <w:szCs w:val="22"/>
              </w:rPr>
            </w:pPr>
            <w:r>
              <w:rPr>
                <w:b/>
                <w:bCs/>
              </w:rPr>
              <w:t>365/(B/K)</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6E" w14:textId="77777777" w:rsidR="00E84532" w:rsidRDefault="00E90F46">
            <w:pPr>
              <w:jc w:val="center"/>
              <w:rPr>
                <w:rFonts w:ascii="Calibri" w:eastAsia="Calibri" w:hAnsi="Calibri" w:cs="Calibri"/>
                <w:sz w:val="22"/>
                <w:szCs w:val="22"/>
              </w:rPr>
            </w:pPr>
            <w:r>
              <w:rPr>
                <w:b/>
                <w:bCs/>
              </w:rPr>
              <w:t>81</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6F" w14:textId="77777777" w:rsidR="00E84532" w:rsidRDefault="00E90F46">
            <w:pPr>
              <w:jc w:val="center"/>
              <w:rPr>
                <w:rFonts w:ascii="Calibri" w:eastAsia="Calibri" w:hAnsi="Calibri" w:cs="Calibri"/>
                <w:sz w:val="22"/>
                <w:szCs w:val="22"/>
              </w:rPr>
            </w:pPr>
            <w:r>
              <w:rPr>
                <w:b/>
                <w:bCs/>
              </w:rPr>
              <w:t>74</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70" w14:textId="77777777" w:rsidR="00E84532" w:rsidRDefault="00E90F46">
            <w:pPr>
              <w:jc w:val="center"/>
              <w:rPr>
                <w:rFonts w:ascii="Calibri" w:eastAsia="Calibri" w:hAnsi="Calibri" w:cs="Calibri"/>
                <w:sz w:val="22"/>
                <w:szCs w:val="22"/>
              </w:rPr>
            </w:pPr>
            <w:r>
              <w:rPr>
                <w:b/>
                <w:bCs/>
              </w:rPr>
              <w:t>72</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71" w14:textId="77777777" w:rsidR="00E84532" w:rsidRDefault="00E90F46">
            <w:pPr>
              <w:jc w:val="center"/>
              <w:rPr>
                <w:rFonts w:ascii="Calibri" w:eastAsia="Calibri" w:hAnsi="Calibri" w:cs="Calibri"/>
                <w:sz w:val="22"/>
                <w:szCs w:val="22"/>
              </w:rPr>
            </w:pPr>
            <w:r>
              <w:rPr>
                <w:b/>
                <w:bCs/>
              </w:rPr>
              <w:t>65</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72" w14:textId="77777777" w:rsidR="00E84532" w:rsidRDefault="00E90F46">
            <w:pPr>
              <w:jc w:val="center"/>
              <w:rPr>
                <w:rFonts w:ascii="Calibri" w:eastAsia="Calibri" w:hAnsi="Calibri" w:cs="Calibri"/>
                <w:sz w:val="22"/>
                <w:szCs w:val="22"/>
              </w:rPr>
            </w:pPr>
            <w:r>
              <w:rPr>
                <w:b/>
                <w:bCs/>
              </w:rPr>
              <w:t>71</w:t>
            </w:r>
          </w:p>
        </w:tc>
      </w:tr>
      <w:tr w:rsidR="00E84532" w14:paraId="4F35167B" w14:textId="77777777">
        <w:trPr>
          <w:trHeight w:val="315"/>
        </w:trPr>
        <w:tc>
          <w:tcPr>
            <w:tcW w:w="2793"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4F351674" w14:textId="77777777" w:rsidR="00E84532" w:rsidRDefault="00E84532">
            <w:pPr>
              <w:rPr>
                <w:rFonts w:ascii="Calibri" w:eastAsia="Calibri" w:hAnsi="Calibri" w:cs="Calibri"/>
                <w:sz w:val="22"/>
                <w:szCs w:val="22"/>
              </w:rPr>
            </w:pPr>
          </w:p>
        </w:tc>
        <w:tc>
          <w:tcPr>
            <w:tcW w:w="816"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4F351675" w14:textId="77777777" w:rsidR="00E84532" w:rsidRDefault="00E84532">
            <w:pPr>
              <w:rPr>
                <w:rFonts w:ascii="Calibri" w:eastAsia="Calibri" w:hAnsi="Calibri" w:cs="Calibri"/>
                <w:sz w:val="22"/>
                <w:szCs w:val="22"/>
              </w:rPr>
            </w:pPr>
          </w:p>
        </w:tc>
        <w:tc>
          <w:tcPr>
            <w:tcW w:w="111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4F351676" w14:textId="77777777" w:rsidR="00E84532" w:rsidRDefault="00E84532">
            <w:pPr>
              <w:rPr>
                <w:rFonts w:ascii="Calibri" w:eastAsia="Calibri" w:hAnsi="Calibri" w:cs="Calibri"/>
                <w:sz w:val="22"/>
                <w:szCs w:val="22"/>
              </w:rPr>
            </w:pPr>
          </w:p>
        </w:tc>
        <w:tc>
          <w:tcPr>
            <w:tcW w:w="111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4F351677" w14:textId="77777777" w:rsidR="00E84532" w:rsidRDefault="00E84532">
            <w:pPr>
              <w:rPr>
                <w:rFonts w:ascii="Calibri" w:eastAsia="Calibri" w:hAnsi="Calibri" w:cs="Calibri"/>
                <w:sz w:val="22"/>
                <w:szCs w:val="22"/>
              </w:rPr>
            </w:pPr>
          </w:p>
        </w:tc>
        <w:tc>
          <w:tcPr>
            <w:tcW w:w="111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4F351678" w14:textId="77777777" w:rsidR="00E84532" w:rsidRDefault="00E84532">
            <w:pPr>
              <w:rPr>
                <w:rFonts w:ascii="Calibri" w:eastAsia="Calibri" w:hAnsi="Calibri" w:cs="Calibri"/>
                <w:sz w:val="22"/>
                <w:szCs w:val="22"/>
              </w:rPr>
            </w:pPr>
          </w:p>
        </w:tc>
        <w:tc>
          <w:tcPr>
            <w:tcW w:w="127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4F351679" w14:textId="77777777" w:rsidR="00E84532" w:rsidRDefault="00E84532">
            <w:pPr>
              <w:rPr>
                <w:rFonts w:ascii="Calibri" w:eastAsia="Calibri" w:hAnsi="Calibri" w:cs="Calibri"/>
                <w:sz w:val="22"/>
                <w:szCs w:val="22"/>
              </w:rPr>
            </w:pPr>
          </w:p>
        </w:tc>
        <w:tc>
          <w:tcPr>
            <w:tcW w:w="111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4F35167A" w14:textId="77777777" w:rsidR="00E84532" w:rsidRDefault="00E84532">
            <w:pPr>
              <w:rPr>
                <w:rFonts w:ascii="Calibri" w:eastAsia="Calibri" w:hAnsi="Calibri" w:cs="Calibri"/>
                <w:sz w:val="22"/>
                <w:szCs w:val="22"/>
              </w:rPr>
            </w:pPr>
          </w:p>
        </w:tc>
      </w:tr>
      <w:tr w:rsidR="00E84532" w14:paraId="4F35167D" w14:textId="77777777">
        <w:trPr>
          <w:trHeight w:val="315"/>
        </w:trPr>
        <w:tc>
          <w:tcPr>
            <w:tcW w:w="9355" w:type="dxa"/>
            <w:gridSpan w:val="7"/>
            <w:tcBorders>
              <w:top w:val="single" w:sz="6" w:space="0" w:color="CCCCCC"/>
              <w:left w:val="single" w:sz="6" w:space="0" w:color="CCCCCC"/>
              <w:bottom w:val="single" w:sz="6" w:space="0" w:color="000000"/>
              <w:right w:val="single" w:sz="6" w:space="0" w:color="CCCCCC"/>
            </w:tcBorders>
            <w:tcMar>
              <w:top w:w="0" w:type="dxa"/>
              <w:left w:w="40" w:type="dxa"/>
              <w:bottom w:w="0" w:type="dxa"/>
              <w:right w:w="40" w:type="dxa"/>
            </w:tcMar>
            <w:vAlign w:val="center"/>
          </w:tcPr>
          <w:p w14:paraId="4F35167C" w14:textId="77777777" w:rsidR="00E84532" w:rsidRDefault="00E90F46">
            <w:pPr>
              <w:jc w:val="center"/>
              <w:rPr>
                <w:rFonts w:ascii="Calibri" w:eastAsia="Calibri" w:hAnsi="Calibri" w:cs="Calibri"/>
                <w:sz w:val="22"/>
                <w:szCs w:val="22"/>
              </w:rPr>
            </w:pPr>
            <w:r>
              <w:rPr>
                <w:b/>
                <w:bCs/>
              </w:rPr>
              <w:t xml:space="preserve">Investment </w:t>
            </w:r>
            <w:proofErr w:type="gramStart"/>
            <w:r>
              <w:rPr>
                <w:b/>
                <w:bCs/>
              </w:rPr>
              <w:t>Ratios:-</w:t>
            </w:r>
            <w:proofErr w:type="gramEnd"/>
          </w:p>
        </w:tc>
      </w:tr>
      <w:tr w:rsidR="00E84532" w14:paraId="4F351685"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4F35167E" w14:textId="77777777" w:rsidR="00E84532" w:rsidRDefault="00E90F46">
            <w:pPr>
              <w:jc w:val="center"/>
              <w:rPr>
                <w:rFonts w:ascii="Calibri" w:eastAsia="Calibri" w:hAnsi="Calibri" w:cs="Calibri"/>
                <w:sz w:val="22"/>
                <w:szCs w:val="22"/>
              </w:rPr>
            </w:pPr>
            <w:r>
              <w:rPr>
                <w:b/>
                <w:bCs/>
              </w:rPr>
              <w:t>Particulars</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7F" w14:textId="77777777" w:rsidR="00E84532" w:rsidRDefault="00E90F46">
            <w:pPr>
              <w:jc w:val="center"/>
              <w:rPr>
                <w:rFonts w:ascii="Calibri" w:eastAsia="Calibri" w:hAnsi="Calibri" w:cs="Calibri"/>
                <w:sz w:val="22"/>
                <w:szCs w:val="22"/>
              </w:rPr>
            </w:pPr>
            <w:r>
              <w:rPr>
                <w:b/>
                <w:bCs/>
              </w:rPr>
              <w:t>Details</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80" w14:textId="77777777" w:rsidR="00E84532" w:rsidRDefault="00E90F46">
            <w:pPr>
              <w:jc w:val="center"/>
              <w:rPr>
                <w:rFonts w:ascii="Calibri" w:eastAsia="Calibri" w:hAnsi="Calibri" w:cs="Calibri"/>
                <w:sz w:val="22"/>
                <w:szCs w:val="22"/>
              </w:rPr>
            </w:pPr>
            <w:r>
              <w:rPr>
                <w:b/>
                <w:bCs/>
              </w:rPr>
              <w:t>2021</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81" w14:textId="77777777" w:rsidR="00E84532" w:rsidRDefault="00E90F46">
            <w:pPr>
              <w:jc w:val="center"/>
              <w:rPr>
                <w:rFonts w:ascii="Calibri" w:eastAsia="Calibri" w:hAnsi="Calibri" w:cs="Calibri"/>
                <w:sz w:val="22"/>
                <w:szCs w:val="22"/>
              </w:rPr>
            </w:pPr>
            <w:r>
              <w:rPr>
                <w:b/>
                <w:bCs/>
              </w:rPr>
              <w:t>2022</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82" w14:textId="77777777" w:rsidR="00E84532" w:rsidRDefault="00E90F46">
            <w:pPr>
              <w:jc w:val="center"/>
              <w:rPr>
                <w:rFonts w:ascii="Calibri" w:eastAsia="Calibri" w:hAnsi="Calibri" w:cs="Calibri"/>
                <w:sz w:val="22"/>
                <w:szCs w:val="22"/>
              </w:rPr>
            </w:pPr>
            <w:r>
              <w:rPr>
                <w:b/>
                <w:bCs/>
              </w:rPr>
              <w:t>2023</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83" w14:textId="77777777" w:rsidR="00E84532" w:rsidRDefault="00E90F46">
            <w:pPr>
              <w:jc w:val="center"/>
              <w:rPr>
                <w:rFonts w:ascii="Calibri" w:eastAsia="Calibri" w:hAnsi="Calibri" w:cs="Calibri"/>
                <w:sz w:val="22"/>
                <w:szCs w:val="22"/>
              </w:rPr>
            </w:pPr>
            <w:r>
              <w:rPr>
                <w:b/>
                <w:bCs/>
              </w:rPr>
              <w:t>2024</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84" w14:textId="77777777" w:rsidR="00E84532" w:rsidRDefault="00E90F46">
            <w:pPr>
              <w:jc w:val="center"/>
              <w:rPr>
                <w:rFonts w:ascii="Calibri" w:eastAsia="Calibri" w:hAnsi="Calibri" w:cs="Calibri"/>
                <w:sz w:val="22"/>
                <w:szCs w:val="22"/>
              </w:rPr>
            </w:pPr>
            <w:r>
              <w:rPr>
                <w:b/>
                <w:bCs/>
              </w:rPr>
              <w:t>2025</w:t>
            </w:r>
          </w:p>
        </w:tc>
      </w:tr>
      <w:tr w:rsidR="00E84532" w14:paraId="4F35168D"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4F351686" w14:textId="77777777" w:rsidR="00E84532" w:rsidRDefault="00E90F46">
            <w:pPr>
              <w:jc w:val="center"/>
              <w:rPr>
                <w:rFonts w:ascii="Calibri" w:eastAsia="Calibri" w:hAnsi="Calibri" w:cs="Calibri"/>
                <w:sz w:val="22"/>
                <w:szCs w:val="22"/>
              </w:rPr>
            </w:pPr>
            <w:r>
              <w:t>No Of Share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87" w14:textId="77777777" w:rsidR="00E84532" w:rsidRDefault="00E90F46">
            <w:pPr>
              <w:jc w:val="center"/>
              <w:rPr>
                <w:rFonts w:ascii="Calibri" w:eastAsia="Calibri" w:hAnsi="Calibri" w:cs="Calibri"/>
                <w:sz w:val="22"/>
                <w:szCs w:val="22"/>
              </w:rPr>
            </w:pPr>
            <w:r>
              <w:t>A</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88" w14:textId="77777777" w:rsidR="00E84532" w:rsidRDefault="00E90F46">
            <w:pPr>
              <w:jc w:val="center"/>
              <w:rPr>
                <w:rFonts w:ascii="Calibri" w:eastAsia="Calibri" w:hAnsi="Calibri" w:cs="Calibri"/>
                <w:sz w:val="22"/>
                <w:szCs w:val="22"/>
              </w:rPr>
            </w:pPr>
            <w:r>
              <w:t>1,780.00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89" w14:textId="77777777" w:rsidR="00E84532" w:rsidRDefault="00E90F46">
            <w:pPr>
              <w:jc w:val="center"/>
              <w:rPr>
                <w:rFonts w:ascii="Calibri" w:eastAsia="Calibri" w:hAnsi="Calibri" w:cs="Calibri"/>
                <w:sz w:val="22"/>
                <w:szCs w:val="22"/>
              </w:rPr>
            </w:pPr>
            <w:r>
              <w:t>1,770.00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8A" w14:textId="77777777" w:rsidR="00E84532" w:rsidRDefault="00E90F46">
            <w:pPr>
              <w:jc w:val="center"/>
              <w:rPr>
                <w:rFonts w:ascii="Calibri" w:eastAsia="Calibri" w:hAnsi="Calibri" w:cs="Calibri"/>
                <w:sz w:val="22"/>
                <w:szCs w:val="22"/>
              </w:rPr>
            </w:pPr>
            <w:r>
              <w:t>1,740.00</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8B" w14:textId="77777777" w:rsidR="00E84532" w:rsidRDefault="00E90F46">
            <w:pPr>
              <w:jc w:val="center"/>
              <w:rPr>
                <w:rFonts w:ascii="Calibri" w:eastAsia="Calibri" w:hAnsi="Calibri" w:cs="Calibri"/>
                <w:sz w:val="22"/>
                <w:szCs w:val="22"/>
              </w:rPr>
            </w:pPr>
            <w:r>
              <w:t>1,070.00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8C" w14:textId="77777777" w:rsidR="00E84532" w:rsidRDefault="00E90F46">
            <w:pPr>
              <w:jc w:val="center"/>
              <w:rPr>
                <w:rFonts w:ascii="Calibri" w:eastAsia="Calibri" w:hAnsi="Calibri" w:cs="Calibri"/>
                <w:sz w:val="22"/>
                <w:szCs w:val="22"/>
              </w:rPr>
            </w:pPr>
            <w:r>
              <w:t>1,690.00</w:t>
            </w:r>
          </w:p>
        </w:tc>
      </w:tr>
      <w:tr w:rsidR="00E84532" w14:paraId="4F351695"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4F35168E" w14:textId="77777777" w:rsidR="00E84532" w:rsidRDefault="00E90F46">
            <w:pPr>
              <w:jc w:val="center"/>
              <w:rPr>
                <w:rFonts w:ascii="Calibri" w:eastAsia="Calibri" w:hAnsi="Calibri" w:cs="Calibri"/>
                <w:sz w:val="22"/>
                <w:szCs w:val="22"/>
              </w:rPr>
            </w:pPr>
            <w:r>
              <w:t>Net Income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8F" w14:textId="77777777" w:rsidR="00E84532" w:rsidRDefault="00E90F46">
            <w:pPr>
              <w:jc w:val="center"/>
              <w:rPr>
                <w:rFonts w:ascii="Calibri" w:eastAsia="Calibri" w:hAnsi="Calibri" w:cs="Calibri"/>
                <w:sz w:val="22"/>
                <w:szCs w:val="22"/>
              </w:rPr>
            </w:pPr>
            <w:r>
              <w:t>B</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90" w14:textId="77777777" w:rsidR="00E84532" w:rsidRDefault="00E90F46">
            <w:pPr>
              <w:jc w:val="center"/>
              <w:rPr>
                <w:rFonts w:ascii="Calibri" w:eastAsia="Calibri" w:hAnsi="Calibri" w:cs="Calibri"/>
                <w:sz w:val="22"/>
                <w:szCs w:val="22"/>
              </w:rPr>
            </w:pPr>
            <w:r>
              <w:t>357.00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91" w14:textId="77777777" w:rsidR="00E84532" w:rsidRDefault="00E90F46">
            <w:pPr>
              <w:jc w:val="center"/>
              <w:rPr>
                <w:rFonts w:ascii="Calibri" w:eastAsia="Calibri" w:hAnsi="Calibri" w:cs="Calibri"/>
                <w:sz w:val="22"/>
                <w:szCs w:val="22"/>
              </w:rPr>
            </w:pPr>
            <w:r>
              <w:t>1,117.00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92" w14:textId="77777777" w:rsidR="00E84532" w:rsidRDefault="00E90F46">
            <w:pPr>
              <w:jc w:val="center"/>
              <w:rPr>
                <w:rFonts w:ascii="Calibri" w:eastAsia="Calibri" w:hAnsi="Calibri" w:cs="Calibri"/>
                <w:sz w:val="22"/>
                <w:szCs w:val="22"/>
              </w:rPr>
            </w:pPr>
            <w:r>
              <w:t>1,318.00</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93" w14:textId="77777777" w:rsidR="00E84532" w:rsidRDefault="00E90F46">
            <w:pPr>
              <w:jc w:val="center"/>
              <w:rPr>
                <w:rFonts w:ascii="Calibri" w:eastAsia="Calibri" w:hAnsi="Calibri" w:cs="Calibri"/>
                <w:sz w:val="22"/>
                <w:szCs w:val="22"/>
              </w:rPr>
            </w:pPr>
            <w:r>
              <w:t>1,414.00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94" w14:textId="77777777" w:rsidR="00E84532" w:rsidRDefault="00E90F46">
            <w:pPr>
              <w:jc w:val="center"/>
              <w:rPr>
                <w:rFonts w:ascii="Calibri" w:eastAsia="Calibri" w:hAnsi="Calibri" w:cs="Calibri"/>
                <w:sz w:val="22"/>
                <w:szCs w:val="22"/>
              </w:rPr>
            </w:pPr>
            <w:r>
              <w:t>1,880.00</w:t>
            </w:r>
          </w:p>
        </w:tc>
      </w:tr>
      <w:tr w:rsidR="00E84532" w14:paraId="4F35169D"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4F351696" w14:textId="77777777" w:rsidR="00E84532" w:rsidRDefault="00E90F46">
            <w:pPr>
              <w:jc w:val="center"/>
              <w:rPr>
                <w:rFonts w:ascii="Calibri" w:eastAsia="Calibri" w:hAnsi="Calibri" w:cs="Calibri"/>
                <w:sz w:val="22"/>
                <w:szCs w:val="22"/>
              </w:rPr>
            </w:pPr>
            <w:proofErr w:type="spellStart"/>
            <w:r>
              <w:rPr>
                <w:b/>
                <w:bCs/>
              </w:rPr>
              <w:t>Earning</w:t>
            </w:r>
            <w:proofErr w:type="spellEnd"/>
            <w:r>
              <w:rPr>
                <w:b/>
                <w:bCs/>
              </w:rPr>
              <w:t xml:space="preserve"> Per Share</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97" w14:textId="77777777" w:rsidR="00E84532" w:rsidRDefault="00E90F46">
            <w:pPr>
              <w:jc w:val="center"/>
              <w:rPr>
                <w:rFonts w:ascii="Calibri" w:eastAsia="Calibri" w:hAnsi="Calibri" w:cs="Calibri"/>
                <w:sz w:val="22"/>
                <w:szCs w:val="22"/>
              </w:rPr>
            </w:pPr>
            <w:r>
              <w:rPr>
                <w:b/>
                <w:bCs/>
              </w:rPr>
              <w:t>B/A</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98" w14:textId="77777777" w:rsidR="00E84532" w:rsidRDefault="00E90F46">
            <w:pPr>
              <w:jc w:val="center"/>
              <w:rPr>
                <w:rFonts w:ascii="Calibri" w:eastAsia="Calibri" w:hAnsi="Calibri" w:cs="Calibri"/>
                <w:sz w:val="22"/>
                <w:szCs w:val="22"/>
              </w:rPr>
            </w:pPr>
            <w:r>
              <w:rPr>
                <w:b/>
                <w:bCs/>
              </w:rPr>
              <w:t>0.20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99" w14:textId="77777777" w:rsidR="00E84532" w:rsidRDefault="00E90F46">
            <w:pPr>
              <w:jc w:val="center"/>
              <w:rPr>
                <w:rFonts w:ascii="Calibri" w:eastAsia="Calibri" w:hAnsi="Calibri" w:cs="Calibri"/>
                <w:sz w:val="22"/>
                <w:szCs w:val="22"/>
              </w:rPr>
            </w:pPr>
            <w:r>
              <w:rPr>
                <w:b/>
                <w:bCs/>
              </w:rPr>
              <w:t>0.63</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9A" w14:textId="77777777" w:rsidR="00E84532" w:rsidRDefault="00E90F46">
            <w:pPr>
              <w:jc w:val="center"/>
              <w:rPr>
                <w:rFonts w:ascii="Calibri" w:eastAsia="Calibri" w:hAnsi="Calibri" w:cs="Calibri"/>
                <w:sz w:val="22"/>
                <w:szCs w:val="22"/>
              </w:rPr>
            </w:pPr>
            <w:r>
              <w:rPr>
                <w:b/>
                <w:bCs/>
              </w:rPr>
              <w:t>0.76</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9B" w14:textId="77777777" w:rsidR="00E84532" w:rsidRDefault="00E90F46">
            <w:pPr>
              <w:jc w:val="center"/>
              <w:rPr>
                <w:rFonts w:ascii="Calibri" w:eastAsia="Calibri" w:hAnsi="Calibri" w:cs="Calibri"/>
                <w:sz w:val="22"/>
                <w:szCs w:val="22"/>
              </w:rPr>
            </w:pPr>
            <w:r>
              <w:rPr>
                <w:b/>
                <w:bCs/>
              </w:rPr>
              <w:t>1.32</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9C" w14:textId="77777777" w:rsidR="00E84532" w:rsidRDefault="00E90F46">
            <w:pPr>
              <w:jc w:val="center"/>
              <w:rPr>
                <w:rFonts w:ascii="Calibri" w:eastAsia="Calibri" w:hAnsi="Calibri" w:cs="Calibri"/>
                <w:sz w:val="22"/>
                <w:szCs w:val="22"/>
              </w:rPr>
            </w:pPr>
            <w:r>
              <w:rPr>
                <w:b/>
                <w:bCs/>
              </w:rPr>
              <w:t>1.11</w:t>
            </w:r>
          </w:p>
        </w:tc>
      </w:tr>
      <w:tr w:rsidR="00E84532" w14:paraId="4F3516A5" w14:textId="77777777">
        <w:trPr>
          <w:trHeight w:val="315"/>
        </w:trPr>
        <w:tc>
          <w:tcPr>
            <w:tcW w:w="2793"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4F35169E" w14:textId="77777777" w:rsidR="00E84532" w:rsidRDefault="00E84532">
            <w:pPr>
              <w:rPr>
                <w:rFonts w:ascii="Calibri" w:eastAsia="Calibri" w:hAnsi="Calibri" w:cs="Calibri"/>
                <w:sz w:val="22"/>
                <w:szCs w:val="22"/>
              </w:rPr>
            </w:pPr>
          </w:p>
        </w:tc>
        <w:tc>
          <w:tcPr>
            <w:tcW w:w="816"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4F35169F" w14:textId="77777777" w:rsidR="00E84532" w:rsidRDefault="00E84532">
            <w:pPr>
              <w:rPr>
                <w:rFonts w:ascii="Calibri" w:eastAsia="Calibri" w:hAnsi="Calibri" w:cs="Calibri"/>
                <w:sz w:val="22"/>
                <w:szCs w:val="22"/>
              </w:rPr>
            </w:pPr>
          </w:p>
        </w:tc>
        <w:tc>
          <w:tcPr>
            <w:tcW w:w="111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4F3516A0" w14:textId="77777777" w:rsidR="00E84532" w:rsidRDefault="00E84532">
            <w:pPr>
              <w:rPr>
                <w:rFonts w:ascii="Calibri" w:eastAsia="Calibri" w:hAnsi="Calibri" w:cs="Calibri"/>
                <w:sz w:val="22"/>
                <w:szCs w:val="22"/>
              </w:rPr>
            </w:pPr>
          </w:p>
        </w:tc>
        <w:tc>
          <w:tcPr>
            <w:tcW w:w="111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4F3516A1" w14:textId="77777777" w:rsidR="00E84532" w:rsidRDefault="00E84532">
            <w:pPr>
              <w:rPr>
                <w:rFonts w:ascii="Calibri" w:eastAsia="Calibri" w:hAnsi="Calibri" w:cs="Calibri"/>
                <w:sz w:val="22"/>
                <w:szCs w:val="22"/>
              </w:rPr>
            </w:pPr>
          </w:p>
        </w:tc>
        <w:tc>
          <w:tcPr>
            <w:tcW w:w="111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4F3516A2" w14:textId="77777777" w:rsidR="00E84532" w:rsidRDefault="00E84532">
            <w:pPr>
              <w:rPr>
                <w:rFonts w:ascii="Calibri" w:eastAsia="Calibri" w:hAnsi="Calibri" w:cs="Calibri"/>
                <w:sz w:val="22"/>
                <w:szCs w:val="22"/>
              </w:rPr>
            </w:pPr>
          </w:p>
        </w:tc>
        <w:tc>
          <w:tcPr>
            <w:tcW w:w="127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4F3516A3" w14:textId="77777777" w:rsidR="00E84532" w:rsidRDefault="00E84532">
            <w:pPr>
              <w:rPr>
                <w:rFonts w:ascii="Calibri" w:eastAsia="Calibri" w:hAnsi="Calibri" w:cs="Calibri"/>
                <w:sz w:val="22"/>
                <w:szCs w:val="22"/>
              </w:rPr>
            </w:pPr>
          </w:p>
        </w:tc>
        <w:tc>
          <w:tcPr>
            <w:tcW w:w="1119"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4F3516A4" w14:textId="77777777" w:rsidR="00E84532" w:rsidRDefault="00E84532">
            <w:pPr>
              <w:rPr>
                <w:rFonts w:ascii="Calibri" w:eastAsia="Calibri" w:hAnsi="Calibri" w:cs="Calibri"/>
                <w:sz w:val="22"/>
                <w:szCs w:val="22"/>
              </w:rPr>
            </w:pPr>
          </w:p>
        </w:tc>
      </w:tr>
      <w:tr w:rsidR="00E84532" w14:paraId="4F3516A7" w14:textId="77777777">
        <w:trPr>
          <w:trHeight w:val="315"/>
        </w:trPr>
        <w:tc>
          <w:tcPr>
            <w:tcW w:w="9355" w:type="dxa"/>
            <w:gridSpan w:val="7"/>
            <w:tcBorders>
              <w:top w:val="single" w:sz="6" w:space="0" w:color="CCCCCC"/>
              <w:left w:val="single" w:sz="6" w:space="0" w:color="CCCCCC"/>
              <w:bottom w:val="single" w:sz="6" w:space="0" w:color="000000"/>
              <w:right w:val="single" w:sz="6" w:space="0" w:color="CCCCCC"/>
            </w:tcBorders>
            <w:tcMar>
              <w:top w:w="0" w:type="dxa"/>
              <w:left w:w="40" w:type="dxa"/>
              <w:bottom w:w="0" w:type="dxa"/>
              <w:right w:w="40" w:type="dxa"/>
            </w:tcMar>
            <w:vAlign w:val="center"/>
          </w:tcPr>
          <w:p w14:paraId="4F3516A6" w14:textId="77777777" w:rsidR="00E84532" w:rsidRDefault="00E90F46">
            <w:pPr>
              <w:jc w:val="center"/>
              <w:rPr>
                <w:rFonts w:ascii="Calibri" w:eastAsia="Calibri" w:hAnsi="Calibri" w:cs="Calibri"/>
                <w:sz w:val="22"/>
                <w:szCs w:val="22"/>
              </w:rPr>
            </w:pPr>
            <w:r>
              <w:rPr>
                <w:b/>
                <w:bCs/>
              </w:rPr>
              <w:t xml:space="preserve">Cash Flow </w:t>
            </w:r>
            <w:proofErr w:type="gramStart"/>
            <w:r>
              <w:rPr>
                <w:b/>
                <w:bCs/>
              </w:rPr>
              <w:t>Ratios:-</w:t>
            </w:r>
            <w:proofErr w:type="gramEnd"/>
          </w:p>
        </w:tc>
      </w:tr>
      <w:tr w:rsidR="00E84532" w14:paraId="4F3516AF"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4F3516A8" w14:textId="77777777" w:rsidR="00E84532" w:rsidRDefault="00E90F46">
            <w:pPr>
              <w:jc w:val="center"/>
              <w:rPr>
                <w:rFonts w:ascii="Calibri" w:eastAsia="Calibri" w:hAnsi="Calibri" w:cs="Calibri"/>
                <w:sz w:val="22"/>
                <w:szCs w:val="22"/>
              </w:rPr>
            </w:pPr>
            <w:r>
              <w:rPr>
                <w:b/>
                <w:bCs/>
              </w:rPr>
              <w:t>Particulars</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A9" w14:textId="77777777" w:rsidR="00E84532" w:rsidRDefault="00E90F46">
            <w:pPr>
              <w:jc w:val="center"/>
              <w:rPr>
                <w:rFonts w:ascii="Calibri" w:eastAsia="Calibri" w:hAnsi="Calibri" w:cs="Calibri"/>
                <w:sz w:val="22"/>
                <w:szCs w:val="22"/>
              </w:rPr>
            </w:pPr>
            <w:r>
              <w:rPr>
                <w:b/>
                <w:bCs/>
              </w:rPr>
              <w:t>Details</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AA" w14:textId="77777777" w:rsidR="00E84532" w:rsidRDefault="00E90F46">
            <w:pPr>
              <w:jc w:val="center"/>
              <w:rPr>
                <w:rFonts w:ascii="Calibri" w:eastAsia="Calibri" w:hAnsi="Calibri" w:cs="Calibri"/>
                <w:sz w:val="22"/>
                <w:szCs w:val="22"/>
              </w:rPr>
            </w:pPr>
            <w:r>
              <w:rPr>
                <w:b/>
                <w:bCs/>
              </w:rPr>
              <w:t>2021</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AB" w14:textId="77777777" w:rsidR="00E84532" w:rsidRDefault="00E90F46">
            <w:pPr>
              <w:jc w:val="center"/>
              <w:rPr>
                <w:rFonts w:ascii="Calibri" w:eastAsia="Calibri" w:hAnsi="Calibri" w:cs="Calibri"/>
                <w:sz w:val="22"/>
                <w:szCs w:val="22"/>
              </w:rPr>
            </w:pPr>
            <w:r>
              <w:rPr>
                <w:b/>
                <w:bCs/>
              </w:rPr>
              <w:t>2022</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AC" w14:textId="77777777" w:rsidR="00E84532" w:rsidRDefault="00E90F46">
            <w:pPr>
              <w:jc w:val="center"/>
              <w:rPr>
                <w:rFonts w:ascii="Calibri" w:eastAsia="Calibri" w:hAnsi="Calibri" w:cs="Calibri"/>
                <w:sz w:val="22"/>
                <w:szCs w:val="22"/>
              </w:rPr>
            </w:pPr>
            <w:r>
              <w:rPr>
                <w:b/>
                <w:bCs/>
              </w:rPr>
              <w:t>2023</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AD" w14:textId="77777777" w:rsidR="00E84532" w:rsidRDefault="00E90F46">
            <w:pPr>
              <w:jc w:val="center"/>
              <w:rPr>
                <w:rFonts w:ascii="Calibri" w:eastAsia="Calibri" w:hAnsi="Calibri" w:cs="Calibri"/>
                <w:sz w:val="22"/>
                <w:szCs w:val="22"/>
              </w:rPr>
            </w:pPr>
            <w:r>
              <w:rPr>
                <w:b/>
                <w:bCs/>
              </w:rPr>
              <w:t>2024</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AE" w14:textId="77777777" w:rsidR="00E84532" w:rsidRDefault="00E90F46">
            <w:pPr>
              <w:jc w:val="center"/>
              <w:rPr>
                <w:rFonts w:ascii="Calibri" w:eastAsia="Calibri" w:hAnsi="Calibri" w:cs="Calibri"/>
                <w:sz w:val="22"/>
                <w:szCs w:val="22"/>
              </w:rPr>
            </w:pPr>
            <w:r>
              <w:rPr>
                <w:b/>
                <w:bCs/>
              </w:rPr>
              <w:t>2025</w:t>
            </w:r>
          </w:p>
        </w:tc>
      </w:tr>
      <w:tr w:rsidR="00E84532" w14:paraId="4F3516B7"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4F3516B0" w14:textId="77777777" w:rsidR="00E84532" w:rsidRDefault="00E90F46">
            <w:pPr>
              <w:jc w:val="center"/>
              <w:rPr>
                <w:rFonts w:ascii="Calibri" w:eastAsia="Calibri" w:hAnsi="Calibri" w:cs="Calibri"/>
                <w:sz w:val="22"/>
                <w:szCs w:val="22"/>
              </w:rPr>
            </w:pPr>
            <w:r>
              <w:lastRenderedPageBreak/>
              <w:t xml:space="preserve">Cash Flow </w:t>
            </w:r>
            <w:proofErr w:type="gramStart"/>
            <w:r>
              <w:t>From</w:t>
            </w:r>
            <w:proofErr w:type="gramEnd"/>
            <w:r>
              <w:t xml:space="preserve"> Operation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B1" w14:textId="77777777" w:rsidR="00E84532" w:rsidRDefault="00E90F46">
            <w:pPr>
              <w:jc w:val="center"/>
              <w:rPr>
                <w:rFonts w:ascii="Calibri" w:eastAsia="Calibri" w:hAnsi="Calibri" w:cs="Calibri"/>
                <w:sz w:val="22"/>
                <w:szCs w:val="22"/>
              </w:rPr>
            </w:pPr>
            <w:r>
              <w:t>A</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B2" w14:textId="77777777" w:rsidR="00E84532" w:rsidRDefault="00E90F46">
            <w:pPr>
              <w:jc w:val="center"/>
              <w:rPr>
                <w:rFonts w:ascii="Calibri" w:eastAsia="Calibri" w:hAnsi="Calibri" w:cs="Calibri"/>
                <w:sz w:val="22"/>
                <w:szCs w:val="22"/>
              </w:rPr>
            </w:pPr>
            <w:r>
              <w:t>1,171.00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B3" w14:textId="77777777" w:rsidR="00E84532" w:rsidRDefault="00E90F46">
            <w:pPr>
              <w:jc w:val="center"/>
              <w:rPr>
                <w:rFonts w:ascii="Calibri" w:eastAsia="Calibri" w:hAnsi="Calibri" w:cs="Calibri"/>
                <w:sz w:val="22"/>
                <w:szCs w:val="22"/>
              </w:rPr>
            </w:pPr>
            <w:r>
              <w:t>1,596.00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B4" w14:textId="77777777" w:rsidR="00E84532" w:rsidRDefault="00E90F46">
            <w:pPr>
              <w:jc w:val="center"/>
              <w:rPr>
                <w:rFonts w:ascii="Calibri" w:eastAsia="Calibri" w:hAnsi="Calibri" w:cs="Calibri"/>
                <w:sz w:val="22"/>
                <w:szCs w:val="22"/>
              </w:rPr>
            </w:pPr>
            <w:r>
              <w:t>2,076.00</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B5" w14:textId="77777777" w:rsidR="00E84532" w:rsidRDefault="00E90F46">
            <w:pPr>
              <w:jc w:val="center"/>
              <w:rPr>
                <w:rFonts w:ascii="Calibri" w:eastAsia="Calibri" w:hAnsi="Calibri" w:cs="Calibri"/>
                <w:sz w:val="22"/>
                <w:szCs w:val="22"/>
              </w:rPr>
            </w:pPr>
            <w:r>
              <w:t>3,135.00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B6" w14:textId="77777777" w:rsidR="00E84532" w:rsidRDefault="00E90F46">
            <w:pPr>
              <w:jc w:val="center"/>
              <w:rPr>
                <w:rFonts w:ascii="Calibri" w:eastAsia="Calibri" w:hAnsi="Calibri" w:cs="Calibri"/>
                <w:sz w:val="22"/>
                <w:szCs w:val="22"/>
              </w:rPr>
            </w:pPr>
            <w:r>
              <w:t>3,366.00</w:t>
            </w:r>
          </w:p>
        </w:tc>
      </w:tr>
      <w:tr w:rsidR="00E84532" w14:paraId="4F3516BF"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4F3516B8" w14:textId="77777777" w:rsidR="00E84532" w:rsidRDefault="00E90F46">
            <w:pPr>
              <w:jc w:val="center"/>
              <w:rPr>
                <w:rFonts w:ascii="Calibri" w:eastAsia="Calibri" w:hAnsi="Calibri" w:cs="Calibri"/>
                <w:sz w:val="22"/>
                <w:szCs w:val="22"/>
              </w:rPr>
            </w:pPr>
            <w:r>
              <w:t>Current Liabilities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B9" w14:textId="77777777" w:rsidR="00E84532" w:rsidRDefault="00E90F46">
            <w:pPr>
              <w:jc w:val="center"/>
              <w:rPr>
                <w:rFonts w:ascii="Calibri" w:eastAsia="Calibri" w:hAnsi="Calibri" w:cs="Calibri"/>
                <w:sz w:val="22"/>
                <w:szCs w:val="22"/>
              </w:rPr>
            </w:pPr>
            <w:r>
              <w:t>B</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BA" w14:textId="77777777" w:rsidR="00E84532" w:rsidRDefault="00E90F46">
            <w:pPr>
              <w:jc w:val="center"/>
              <w:rPr>
                <w:rFonts w:ascii="Calibri" w:eastAsia="Calibri" w:hAnsi="Calibri" w:cs="Calibri"/>
                <w:sz w:val="22"/>
                <w:szCs w:val="22"/>
              </w:rPr>
            </w:pPr>
            <w:r>
              <w:t>5,227.00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BB" w14:textId="77777777" w:rsidR="00E84532" w:rsidRDefault="00E90F46">
            <w:pPr>
              <w:jc w:val="center"/>
              <w:rPr>
                <w:rFonts w:ascii="Calibri" w:eastAsia="Calibri" w:hAnsi="Calibri" w:cs="Calibri"/>
                <w:sz w:val="22"/>
                <w:szCs w:val="22"/>
              </w:rPr>
            </w:pPr>
            <w:r>
              <w:t>7,033.00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BC" w14:textId="77777777" w:rsidR="00E84532" w:rsidRDefault="00E90F46">
            <w:pPr>
              <w:jc w:val="center"/>
              <w:rPr>
                <w:rFonts w:ascii="Calibri" w:eastAsia="Calibri" w:hAnsi="Calibri" w:cs="Calibri"/>
                <w:sz w:val="22"/>
                <w:szCs w:val="22"/>
              </w:rPr>
            </w:pPr>
            <w:r>
              <w:t>7,635.00</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BD" w14:textId="77777777" w:rsidR="00E84532" w:rsidRDefault="00E90F46">
            <w:pPr>
              <w:jc w:val="center"/>
              <w:rPr>
                <w:rFonts w:ascii="Calibri" w:eastAsia="Calibri" w:hAnsi="Calibri" w:cs="Calibri"/>
                <w:sz w:val="22"/>
                <w:szCs w:val="22"/>
              </w:rPr>
            </w:pPr>
            <w:r>
              <w:t>9,893.00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BE" w14:textId="77777777" w:rsidR="00E84532" w:rsidRDefault="00E90F46">
            <w:pPr>
              <w:jc w:val="center"/>
              <w:rPr>
                <w:rFonts w:ascii="Calibri" w:eastAsia="Calibri" w:hAnsi="Calibri" w:cs="Calibri"/>
                <w:sz w:val="22"/>
                <w:szCs w:val="22"/>
              </w:rPr>
            </w:pPr>
            <w:r>
              <w:t>10,665.00</w:t>
            </w:r>
          </w:p>
        </w:tc>
      </w:tr>
      <w:tr w:rsidR="00E84532" w14:paraId="4F3516C7"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4F3516C0" w14:textId="77777777" w:rsidR="00E84532" w:rsidRDefault="00E90F46">
            <w:pPr>
              <w:jc w:val="center"/>
              <w:rPr>
                <w:rFonts w:ascii="Calibri" w:eastAsia="Calibri" w:hAnsi="Calibri" w:cs="Calibri"/>
                <w:sz w:val="22"/>
                <w:szCs w:val="22"/>
              </w:rPr>
            </w:pPr>
            <w:r>
              <w:t>Total Assets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C1" w14:textId="77777777" w:rsidR="00E84532" w:rsidRDefault="00E90F46">
            <w:pPr>
              <w:jc w:val="center"/>
              <w:rPr>
                <w:rFonts w:ascii="Calibri" w:eastAsia="Calibri" w:hAnsi="Calibri" w:cs="Calibri"/>
                <w:sz w:val="22"/>
                <w:szCs w:val="22"/>
              </w:rPr>
            </w:pPr>
            <w:r>
              <w:t>C</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C2" w14:textId="77777777" w:rsidR="00E84532" w:rsidRDefault="00E90F46">
            <w:pPr>
              <w:jc w:val="center"/>
              <w:rPr>
                <w:rFonts w:ascii="Calibri" w:eastAsia="Calibri" w:hAnsi="Calibri" w:cs="Calibri"/>
                <w:sz w:val="22"/>
                <w:szCs w:val="22"/>
              </w:rPr>
            </w:pPr>
            <w:r>
              <w:t>14,868.00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C3" w14:textId="77777777" w:rsidR="00E84532" w:rsidRDefault="00E90F46">
            <w:pPr>
              <w:jc w:val="center"/>
              <w:rPr>
                <w:rFonts w:ascii="Calibri" w:eastAsia="Calibri" w:hAnsi="Calibri" w:cs="Calibri"/>
                <w:sz w:val="22"/>
                <w:szCs w:val="22"/>
              </w:rPr>
            </w:pPr>
            <w:r>
              <w:t>18,748.00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C4" w14:textId="77777777" w:rsidR="00E84532" w:rsidRDefault="00E90F46">
            <w:pPr>
              <w:jc w:val="center"/>
              <w:rPr>
                <w:rFonts w:ascii="Calibri" w:eastAsia="Calibri" w:hAnsi="Calibri" w:cs="Calibri"/>
                <w:sz w:val="22"/>
                <w:szCs w:val="22"/>
              </w:rPr>
            </w:pPr>
            <w:r>
              <w:t>17,600.00</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C5" w14:textId="77777777" w:rsidR="00E84532" w:rsidRDefault="00E90F46">
            <w:pPr>
              <w:jc w:val="center"/>
              <w:rPr>
                <w:rFonts w:ascii="Calibri" w:eastAsia="Calibri" w:hAnsi="Calibri" w:cs="Calibri"/>
                <w:sz w:val="22"/>
                <w:szCs w:val="22"/>
              </w:rPr>
            </w:pPr>
            <w:r>
              <w:t>24,349.00</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C6" w14:textId="77777777" w:rsidR="00E84532" w:rsidRDefault="00E90F46">
            <w:pPr>
              <w:jc w:val="center"/>
              <w:rPr>
                <w:rFonts w:ascii="Calibri" w:eastAsia="Calibri" w:hAnsi="Calibri" w:cs="Calibri"/>
                <w:sz w:val="22"/>
                <w:szCs w:val="22"/>
              </w:rPr>
            </w:pPr>
            <w:r>
              <w:t>26,715.00</w:t>
            </w:r>
          </w:p>
        </w:tc>
      </w:tr>
      <w:tr w:rsidR="00E84532" w14:paraId="4F3516CF"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4F3516C8" w14:textId="77777777" w:rsidR="00E84532" w:rsidRDefault="00E90F46">
            <w:pPr>
              <w:jc w:val="center"/>
              <w:rPr>
                <w:rFonts w:ascii="Calibri" w:eastAsia="Calibri" w:hAnsi="Calibri" w:cs="Calibri"/>
                <w:sz w:val="22"/>
                <w:szCs w:val="22"/>
              </w:rPr>
            </w:pPr>
            <w:r>
              <w:rPr>
                <w:b/>
                <w:bCs/>
              </w:rPr>
              <w:t>Operating Cash Flow Ratio</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C9" w14:textId="77777777" w:rsidR="00E84532" w:rsidRDefault="00E90F46">
            <w:pPr>
              <w:jc w:val="center"/>
              <w:rPr>
                <w:rFonts w:ascii="Calibri" w:eastAsia="Calibri" w:hAnsi="Calibri" w:cs="Calibri"/>
                <w:sz w:val="22"/>
                <w:szCs w:val="22"/>
              </w:rPr>
            </w:pPr>
            <w:r>
              <w:rPr>
                <w:b/>
                <w:bCs/>
              </w:rPr>
              <w:t>A/B</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CA" w14:textId="77777777" w:rsidR="00E84532" w:rsidRDefault="00E90F46">
            <w:pPr>
              <w:jc w:val="center"/>
              <w:rPr>
                <w:rFonts w:ascii="Calibri" w:eastAsia="Calibri" w:hAnsi="Calibri" w:cs="Calibri"/>
                <w:sz w:val="22"/>
                <w:szCs w:val="22"/>
              </w:rPr>
            </w:pPr>
            <w:r>
              <w:rPr>
                <w:b/>
                <w:bCs/>
              </w:rPr>
              <w:t>0.22</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CB" w14:textId="77777777" w:rsidR="00E84532" w:rsidRDefault="00E90F46">
            <w:pPr>
              <w:jc w:val="center"/>
              <w:rPr>
                <w:rFonts w:ascii="Calibri" w:eastAsia="Calibri" w:hAnsi="Calibri" w:cs="Calibri"/>
                <w:sz w:val="22"/>
                <w:szCs w:val="22"/>
              </w:rPr>
            </w:pPr>
            <w:r>
              <w:rPr>
                <w:b/>
                <w:bCs/>
              </w:rPr>
              <w:t>0.23</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CC" w14:textId="77777777" w:rsidR="00E84532" w:rsidRDefault="00E90F46">
            <w:pPr>
              <w:jc w:val="center"/>
              <w:rPr>
                <w:rFonts w:ascii="Calibri" w:eastAsia="Calibri" w:hAnsi="Calibri" w:cs="Calibri"/>
                <w:sz w:val="22"/>
                <w:szCs w:val="22"/>
              </w:rPr>
            </w:pPr>
            <w:r>
              <w:rPr>
                <w:b/>
                <w:bCs/>
              </w:rPr>
              <w:t>0.27</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CD" w14:textId="77777777" w:rsidR="00E84532" w:rsidRDefault="00E90F46">
            <w:pPr>
              <w:jc w:val="center"/>
              <w:rPr>
                <w:rFonts w:ascii="Calibri" w:eastAsia="Calibri" w:hAnsi="Calibri" w:cs="Calibri"/>
                <w:sz w:val="22"/>
                <w:szCs w:val="22"/>
              </w:rPr>
            </w:pPr>
            <w:r>
              <w:rPr>
                <w:b/>
                <w:bCs/>
              </w:rPr>
              <w:t>0.32</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CE" w14:textId="77777777" w:rsidR="00E84532" w:rsidRDefault="00E90F46">
            <w:pPr>
              <w:jc w:val="center"/>
              <w:rPr>
                <w:rFonts w:ascii="Calibri" w:eastAsia="Calibri" w:hAnsi="Calibri" w:cs="Calibri"/>
                <w:sz w:val="22"/>
                <w:szCs w:val="22"/>
              </w:rPr>
            </w:pPr>
            <w:r>
              <w:rPr>
                <w:b/>
                <w:bCs/>
              </w:rPr>
              <w:t>0.32</w:t>
            </w:r>
          </w:p>
        </w:tc>
      </w:tr>
      <w:tr w:rsidR="00E84532" w14:paraId="4F3516D7"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4F3516D0" w14:textId="77777777" w:rsidR="00E84532" w:rsidRDefault="00E90F46">
            <w:pPr>
              <w:jc w:val="center"/>
              <w:rPr>
                <w:rFonts w:ascii="Calibri" w:eastAsia="Calibri" w:hAnsi="Calibri" w:cs="Calibri"/>
                <w:sz w:val="22"/>
                <w:szCs w:val="22"/>
              </w:rPr>
            </w:pPr>
            <w:r>
              <w:rPr>
                <w:b/>
                <w:bCs/>
              </w:rPr>
              <w:t xml:space="preserve">Cash Return </w:t>
            </w:r>
            <w:proofErr w:type="gramStart"/>
            <w:r>
              <w:rPr>
                <w:b/>
                <w:bCs/>
              </w:rPr>
              <w:t>On</w:t>
            </w:r>
            <w:proofErr w:type="gramEnd"/>
            <w:r>
              <w:rPr>
                <w:b/>
                <w:bCs/>
              </w:rPr>
              <w:t xml:space="preserve"> Assets</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D1" w14:textId="77777777" w:rsidR="00E84532" w:rsidRDefault="00E90F46">
            <w:pPr>
              <w:jc w:val="center"/>
              <w:rPr>
                <w:rFonts w:ascii="Calibri" w:eastAsia="Calibri" w:hAnsi="Calibri" w:cs="Calibri"/>
                <w:sz w:val="22"/>
                <w:szCs w:val="22"/>
              </w:rPr>
            </w:pPr>
            <w:r>
              <w:rPr>
                <w:b/>
                <w:bCs/>
              </w:rPr>
              <w:t>A/C</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D2" w14:textId="77777777" w:rsidR="00E84532" w:rsidRDefault="00E90F46">
            <w:pPr>
              <w:jc w:val="center"/>
              <w:rPr>
                <w:rFonts w:ascii="Calibri" w:eastAsia="Calibri" w:hAnsi="Calibri" w:cs="Calibri"/>
                <w:sz w:val="22"/>
                <w:szCs w:val="22"/>
              </w:rPr>
            </w:pPr>
            <w:r>
              <w:rPr>
                <w:b/>
                <w:bCs/>
              </w:rPr>
              <w:t>0.08</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D3" w14:textId="77777777" w:rsidR="00E84532" w:rsidRDefault="00E90F46">
            <w:pPr>
              <w:jc w:val="center"/>
              <w:rPr>
                <w:rFonts w:ascii="Calibri" w:eastAsia="Calibri" w:hAnsi="Calibri" w:cs="Calibri"/>
                <w:sz w:val="22"/>
                <w:szCs w:val="22"/>
              </w:rPr>
            </w:pPr>
            <w:r>
              <w:rPr>
                <w:b/>
                <w:bCs/>
              </w:rPr>
              <w:t>0.09</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D4" w14:textId="77777777" w:rsidR="00E84532" w:rsidRDefault="00E90F46">
            <w:pPr>
              <w:jc w:val="center"/>
              <w:rPr>
                <w:rFonts w:ascii="Calibri" w:eastAsia="Calibri" w:hAnsi="Calibri" w:cs="Calibri"/>
                <w:sz w:val="22"/>
                <w:szCs w:val="22"/>
              </w:rPr>
            </w:pPr>
            <w:r>
              <w:rPr>
                <w:b/>
                <w:bCs/>
              </w:rPr>
              <w:t>0.12</w:t>
            </w:r>
          </w:p>
        </w:tc>
        <w:tc>
          <w:tcPr>
            <w:tcW w:w="127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D5" w14:textId="77777777" w:rsidR="00E84532" w:rsidRDefault="00E90F46">
            <w:pPr>
              <w:jc w:val="center"/>
              <w:rPr>
                <w:rFonts w:ascii="Calibri" w:eastAsia="Calibri" w:hAnsi="Calibri" w:cs="Calibri"/>
                <w:sz w:val="22"/>
                <w:szCs w:val="22"/>
              </w:rPr>
            </w:pPr>
            <w:r>
              <w:rPr>
                <w:b/>
                <w:bCs/>
              </w:rPr>
              <w:t>0.13</w:t>
            </w:r>
          </w:p>
        </w:tc>
        <w:tc>
          <w:tcPr>
            <w:tcW w:w="1119"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4F3516D6" w14:textId="77777777" w:rsidR="00E84532" w:rsidRDefault="00E90F46">
            <w:pPr>
              <w:jc w:val="center"/>
              <w:rPr>
                <w:rFonts w:ascii="Calibri" w:eastAsia="Calibri" w:hAnsi="Calibri" w:cs="Calibri"/>
                <w:sz w:val="22"/>
                <w:szCs w:val="22"/>
              </w:rPr>
            </w:pPr>
            <w:r>
              <w:rPr>
                <w:b/>
                <w:bCs/>
              </w:rPr>
              <w:t>0.13</w:t>
            </w:r>
          </w:p>
        </w:tc>
      </w:tr>
    </w:tbl>
    <w:p w14:paraId="4F3516D8" w14:textId="77777777" w:rsidR="00E84532" w:rsidRDefault="00E84532"/>
    <w:p w14:paraId="4F3516D9" w14:textId="77777777" w:rsidR="00E84532" w:rsidRDefault="00E90F46">
      <w:r>
        <w:br w:type="page"/>
      </w:r>
    </w:p>
    <w:p w14:paraId="4F3516DA" w14:textId="77777777" w:rsidR="00E84532" w:rsidRDefault="00E90F46">
      <w:pPr>
        <w:pStyle w:val="Heading2"/>
      </w:pPr>
      <w:bookmarkStart w:id="64" w:name="_Toc235029558"/>
      <w:r>
        <w:lastRenderedPageBreak/>
        <w:t>Appendix 2: Capital Rationing Analysis</w:t>
      </w:r>
      <w:bookmarkEnd w:id="64"/>
    </w:p>
    <w:tbl>
      <w:tblPr>
        <w:tblStyle w:val="a0"/>
        <w:tblW w:w="930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430"/>
        <w:gridCol w:w="2025"/>
        <w:gridCol w:w="2025"/>
        <w:gridCol w:w="2820"/>
      </w:tblGrid>
      <w:tr w:rsidR="00E84532" w14:paraId="4F3516DF" w14:textId="77777777">
        <w:trPr>
          <w:trHeight w:val="555"/>
        </w:trPr>
        <w:tc>
          <w:tcPr>
            <w:tcW w:w="2430" w:type="dxa"/>
            <w:tcBorders>
              <w:top w:val="single" w:sz="6" w:space="0" w:color="000000"/>
              <w:left w:val="single" w:sz="6" w:space="0" w:color="000000"/>
              <w:bottom w:val="single" w:sz="6" w:space="0" w:color="000000"/>
              <w:right w:val="single" w:sz="6" w:space="0" w:color="000000"/>
            </w:tcBorders>
            <w:shd w:val="clear" w:color="auto" w:fill="6FA8DC"/>
            <w:tcMar>
              <w:top w:w="0" w:type="dxa"/>
              <w:left w:w="40" w:type="dxa"/>
              <w:bottom w:w="0" w:type="dxa"/>
              <w:right w:w="40" w:type="dxa"/>
            </w:tcMar>
            <w:vAlign w:val="bottom"/>
          </w:tcPr>
          <w:p w14:paraId="4F3516DB" w14:textId="77777777" w:rsidR="00E84532" w:rsidRDefault="00E90F46">
            <w:pPr>
              <w:widowControl w:val="0"/>
              <w:spacing w:line="276" w:lineRule="auto"/>
              <w:jc w:val="center"/>
              <w:rPr>
                <w:rFonts w:ascii="Calibri" w:eastAsia="Calibri" w:hAnsi="Calibri" w:cs="Calibri"/>
                <w:sz w:val="22"/>
                <w:szCs w:val="22"/>
              </w:rPr>
            </w:pPr>
            <w:r>
              <w:rPr>
                <w:rFonts w:ascii="Calibri" w:eastAsia="Calibri" w:hAnsi="Calibri" w:cs="Calibri"/>
                <w:b/>
                <w:bCs/>
                <w:sz w:val="22"/>
                <w:szCs w:val="22"/>
              </w:rPr>
              <w:t>Particulars</w:t>
            </w:r>
          </w:p>
        </w:tc>
        <w:tc>
          <w:tcPr>
            <w:tcW w:w="2025" w:type="dxa"/>
            <w:tcBorders>
              <w:top w:val="single" w:sz="6" w:space="0" w:color="000000"/>
              <w:left w:val="single" w:sz="6" w:space="0" w:color="CCCCCC"/>
              <w:bottom w:val="single" w:sz="6" w:space="0" w:color="000000"/>
              <w:right w:val="single" w:sz="6" w:space="0" w:color="000000"/>
            </w:tcBorders>
            <w:shd w:val="clear" w:color="auto" w:fill="6FA8DC"/>
            <w:tcMar>
              <w:top w:w="0" w:type="dxa"/>
              <w:left w:w="40" w:type="dxa"/>
              <w:bottom w:w="0" w:type="dxa"/>
              <w:right w:w="40" w:type="dxa"/>
            </w:tcMar>
            <w:vAlign w:val="bottom"/>
          </w:tcPr>
          <w:p w14:paraId="4F3516DC" w14:textId="77777777" w:rsidR="00E84532" w:rsidRDefault="00E90F46">
            <w:pPr>
              <w:widowControl w:val="0"/>
              <w:spacing w:line="276" w:lineRule="auto"/>
              <w:jc w:val="center"/>
              <w:rPr>
                <w:rFonts w:ascii="Calibri" w:eastAsia="Calibri" w:hAnsi="Calibri" w:cs="Calibri"/>
                <w:sz w:val="22"/>
                <w:szCs w:val="22"/>
              </w:rPr>
            </w:pPr>
            <w:r>
              <w:rPr>
                <w:rFonts w:ascii="Calibri" w:eastAsia="Calibri" w:hAnsi="Calibri" w:cs="Calibri"/>
                <w:b/>
                <w:bCs/>
                <w:sz w:val="22"/>
                <w:szCs w:val="22"/>
              </w:rPr>
              <w:t>Project A + B</w:t>
            </w:r>
          </w:p>
        </w:tc>
        <w:tc>
          <w:tcPr>
            <w:tcW w:w="2025" w:type="dxa"/>
            <w:tcBorders>
              <w:top w:val="single" w:sz="6" w:space="0" w:color="000000"/>
              <w:left w:val="single" w:sz="6" w:space="0" w:color="CCCCCC"/>
              <w:bottom w:val="single" w:sz="6" w:space="0" w:color="000000"/>
              <w:right w:val="single" w:sz="6" w:space="0" w:color="000000"/>
            </w:tcBorders>
            <w:shd w:val="clear" w:color="auto" w:fill="6FA8DC"/>
            <w:tcMar>
              <w:top w:w="0" w:type="dxa"/>
              <w:left w:w="40" w:type="dxa"/>
              <w:bottom w:w="0" w:type="dxa"/>
              <w:right w:w="40" w:type="dxa"/>
            </w:tcMar>
            <w:vAlign w:val="bottom"/>
          </w:tcPr>
          <w:p w14:paraId="4F3516DD" w14:textId="77777777" w:rsidR="00E84532" w:rsidRDefault="00E90F46">
            <w:pPr>
              <w:widowControl w:val="0"/>
              <w:spacing w:line="276" w:lineRule="auto"/>
              <w:jc w:val="center"/>
              <w:rPr>
                <w:rFonts w:ascii="Calibri" w:eastAsia="Calibri" w:hAnsi="Calibri" w:cs="Calibri"/>
                <w:sz w:val="22"/>
                <w:szCs w:val="22"/>
              </w:rPr>
            </w:pPr>
            <w:r>
              <w:rPr>
                <w:rFonts w:ascii="Calibri" w:eastAsia="Calibri" w:hAnsi="Calibri" w:cs="Calibri"/>
                <w:b/>
                <w:bCs/>
                <w:sz w:val="22"/>
                <w:szCs w:val="22"/>
              </w:rPr>
              <w:t>Project A + C</w:t>
            </w:r>
          </w:p>
        </w:tc>
        <w:tc>
          <w:tcPr>
            <w:tcW w:w="2820" w:type="dxa"/>
            <w:tcBorders>
              <w:top w:val="single" w:sz="6" w:space="0" w:color="000000"/>
              <w:left w:val="single" w:sz="6" w:space="0" w:color="CCCCCC"/>
              <w:bottom w:val="single" w:sz="6" w:space="0" w:color="000000"/>
              <w:right w:val="single" w:sz="6" w:space="0" w:color="000000"/>
            </w:tcBorders>
            <w:shd w:val="clear" w:color="auto" w:fill="6FA8DC"/>
            <w:tcMar>
              <w:top w:w="0" w:type="dxa"/>
              <w:left w:w="40" w:type="dxa"/>
              <w:bottom w:w="0" w:type="dxa"/>
              <w:right w:w="40" w:type="dxa"/>
            </w:tcMar>
            <w:vAlign w:val="bottom"/>
          </w:tcPr>
          <w:p w14:paraId="4F3516DE" w14:textId="77777777" w:rsidR="00E84532" w:rsidRDefault="00E90F46">
            <w:pPr>
              <w:widowControl w:val="0"/>
              <w:spacing w:line="276" w:lineRule="auto"/>
              <w:jc w:val="center"/>
              <w:rPr>
                <w:rFonts w:ascii="Calibri" w:eastAsia="Calibri" w:hAnsi="Calibri" w:cs="Calibri"/>
                <w:sz w:val="22"/>
                <w:szCs w:val="22"/>
              </w:rPr>
            </w:pPr>
            <w:r>
              <w:rPr>
                <w:rFonts w:ascii="Calibri" w:eastAsia="Calibri" w:hAnsi="Calibri" w:cs="Calibri"/>
                <w:b/>
                <w:bCs/>
                <w:sz w:val="22"/>
                <w:szCs w:val="22"/>
              </w:rPr>
              <w:t>Project B + C</w:t>
            </w:r>
          </w:p>
        </w:tc>
      </w:tr>
      <w:tr w:rsidR="00E84532" w14:paraId="4F3516E4" w14:textId="77777777">
        <w:trPr>
          <w:trHeight w:val="555"/>
        </w:trPr>
        <w:tc>
          <w:tcPr>
            <w:tcW w:w="2430" w:type="dxa"/>
            <w:tcBorders>
              <w:top w:val="single" w:sz="6" w:space="0" w:color="CCCCCC"/>
              <w:left w:val="single" w:sz="6" w:space="0" w:color="000000"/>
              <w:bottom w:val="single" w:sz="6" w:space="0" w:color="000000"/>
              <w:right w:val="single" w:sz="6" w:space="0" w:color="000000"/>
            </w:tcBorders>
            <w:shd w:val="clear" w:color="auto" w:fill="A2C4C9"/>
            <w:tcMar>
              <w:top w:w="0" w:type="dxa"/>
              <w:left w:w="40" w:type="dxa"/>
              <w:bottom w:w="0" w:type="dxa"/>
              <w:right w:w="40" w:type="dxa"/>
            </w:tcMar>
            <w:vAlign w:val="bottom"/>
          </w:tcPr>
          <w:p w14:paraId="4F3516E0" w14:textId="77777777" w:rsidR="00E84532" w:rsidRDefault="00E90F46">
            <w:pPr>
              <w:widowControl w:val="0"/>
              <w:spacing w:line="276" w:lineRule="auto"/>
              <w:jc w:val="left"/>
              <w:rPr>
                <w:rFonts w:ascii="Calibri" w:eastAsia="Calibri" w:hAnsi="Calibri" w:cs="Calibri"/>
                <w:sz w:val="22"/>
                <w:szCs w:val="22"/>
              </w:rPr>
            </w:pPr>
            <w:r>
              <w:rPr>
                <w:rFonts w:ascii="Calibri" w:eastAsia="Calibri" w:hAnsi="Calibri" w:cs="Calibri"/>
                <w:sz w:val="22"/>
                <w:szCs w:val="22"/>
              </w:rPr>
              <w:t xml:space="preserve">Project </w:t>
            </w:r>
            <w:proofErr w:type="gramStart"/>
            <w:r>
              <w:rPr>
                <w:rFonts w:ascii="Calibri" w:eastAsia="Calibri" w:hAnsi="Calibri" w:cs="Calibri"/>
                <w:sz w:val="22"/>
                <w:szCs w:val="22"/>
              </w:rPr>
              <w:t>A</w:t>
            </w:r>
            <w:proofErr w:type="gramEnd"/>
            <w:r>
              <w:rPr>
                <w:rFonts w:ascii="Calibri" w:eastAsia="Calibri" w:hAnsi="Calibri" w:cs="Calibri"/>
                <w:sz w:val="22"/>
                <w:szCs w:val="22"/>
              </w:rPr>
              <w:t xml:space="preserve"> Investment (£m)</w:t>
            </w:r>
          </w:p>
        </w:tc>
        <w:tc>
          <w:tcPr>
            <w:tcW w:w="2025" w:type="dxa"/>
            <w:tcBorders>
              <w:top w:val="single" w:sz="6" w:space="0" w:color="CCCCCC"/>
              <w:left w:val="single" w:sz="6" w:space="0" w:color="CCCCCC"/>
              <w:bottom w:val="single" w:sz="6" w:space="0" w:color="000000"/>
              <w:right w:val="single" w:sz="6" w:space="0" w:color="000000"/>
            </w:tcBorders>
            <w:shd w:val="clear" w:color="auto" w:fill="A2C4C9"/>
            <w:tcMar>
              <w:top w:w="0" w:type="dxa"/>
              <w:left w:w="40" w:type="dxa"/>
              <w:bottom w:w="0" w:type="dxa"/>
              <w:right w:w="40" w:type="dxa"/>
            </w:tcMar>
            <w:vAlign w:val="bottom"/>
          </w:tcPr>
          <w:p w14:paraId="4F3516E1" w14:textId="77777777" w:rsidR="00E84532" w:rsidRDefault="00E90F46">
            <w:pPr>
              <w:widowControl w:val="0"/>
              <w:spacing w:line="276" w:lineRule="auto"/>
              <w:jc w:val="right"/>
              <w:rPr>
                <w:rFonts w:ascii="Calibri" w:eastAsia="Calibri" w:hAnsi="Calibri" w:cs="Calibri"/>
                <w:sz w:val="22"/>
                <w:szCs w:val="22"/>
              </w:rPr>
            </w:pPr>
            <w:r>
              <w:rPr>
                <w:rFonts w:ascii="Calibri" w:eastAsia="Calibri" w:hAnsi="Calibri" w:cs="Calibri"/>
                <w:sz w:val="22"/>
                <w:szCs w:val="22"/>
              </w:rPr>
              <w:t>50</w:t>
            </w:r>
          </w:p>
        </w:tc>
        <w:tc>
          <w:tcPr>
            <w:tcW w:w="2025" w:type="dxa"/>
            <w:tcBorders>
              <w:top w:val="single" w:sz="6" w:space="0" w:color="CCCCCC"/>
              <w:left w:val="single" w:sz="6" w:space="0" w:color="CCCCCC"/>
              <w:bottom w:val="single" w:sz="6" w:space="0" w:color="000000"/>
              <w:right w:val="single" w:sz="6" w:space="0" w:color="000000"/>
            </w:tcBorders>
            <w:shd w:val="clear" w:color="auto" w:fill="A2C4C9"/>
            <w:tcMar>
              <w:top w:w="0" w:type="dxa"/>
              <w:left w:w="40" w:type="dxa"/>
              <w:bottom w:w="0" w:type="dxa"/>
              <w:right w:w="40" w:type="dxa"/>
            </w:tcMar>
            <w:vAlign w:val="bottom"/>
          </w:tcPr>
          <w:p w14:paraId="4F3516E2" w14:textId="77777777" w:rsidR="00E84532" w:rsidRDefault="00E90F46">
            <w:pPr>
              <w:widowControl w:val="0"/>
              <w:spacing w:line="276" w:lineRule="auto"/>
              <w:jc w:val="right"/>
              <w:rPr>
                <w:rFonts w:ascii="Calibri" w:eastAsia="Calibri" w:hAnsi="Calibri" w:cs="Calibri"/>
                <w:sz w:val="22"/>
                <w:szCs w:val="22"/>
              </w:rPr>
            </w:pPr>
            <w:r>
              <w:rPr>
                <w:rFonts w:ascii="Calibri" w:eastAsia="Calibri" w:hAnsi="Calibri" w:cs="Calibri"/>
                <w:sz w:val="22"/>
                <w:szCs w:val="22"/>
              </w:rPr>
              <w:t>50</w:t>
            </w:r>
          </w:p>
        </w:tc>
        <w:tc>
          <w:tcPr>
            <w:tcW w:w="2820" w:type="dxa"/>
            <w:tcBorders>
              <w:top w:val="single" w:sz="6" w:space="0" w:color="CCCCCC"/>
              <w:left w:val="single" w:sz="6" w:space="0" w:color="CCCCCC"/>
              <w:bottom w:val="single" w:sz="6" w:space="0" w:color="000000"/>
              <w:right w:val="single" w:sz="6" w:space="0" w:color="000000"/>
            </w:tcBorders>
            <w:shd w:val="clear" w:color="auto" w:fill="A2C4C9"/>
            <w:tcMar>
              <w:top w:w="0" w:type="dxa"/>
              <w:left w:w="40" w:type="dxa"/>
              <w:bottom w:w="0" w:type="dxa"/>
              <w:right w:w="40" w:type="dxa"/>
            </w:tcMar>
            <w:vAlign w:val="bottom"/>
          </w:tcPr>
          <w:p w14:paraId="4F3516E3" w14:textId="77777777" w:rsidR="00E84532" w:rsidRDefault="00E90F46">
            <w:pPr>
              <w:widowControl w:val="0"/>
              <w:spacing w:line="276" w:lineRule="auto"/>
              <w:jc w:val="left"/>
              <w:rPr>
                <w:rFonts w:ascii="Calibri" w:eastAsia="Calibri" w:hAnsi="Calibri" w:cs="Calibri"/>
                <w:sz w:val="22"/>
                <w:szCs w:val="22"/>
              </w:rPr>
            </w:pPr>
            <w:r>
              <w:rPr>
                <w:rFonts w:ascii="Calibri" w:eastAsia="Calibri" w:hAnsi="Calibri" w:cs="Calibri"/>
                <w:sz w:val="22"/>
                <w:szCs w:val="22"/>
              </w:rPr>
              <w:t>–</w:t>
            </w:r>
          </w:p>
        </w:tc>
      </w:tr>
      <w:tr w:rsidR="00E84532" w14:paraId="4F3516E9" w14:textId="77777777">
        <w:trPr>
          <w:trHeight w:val="300"/>
        </w:trPr>
        <w:tc>
          <w:tcPr>
            <w:tcW w:w="2430" w:type="dxa"/>
            <w:tcBorders>
              <w:top w:val="single" w:sz="6" w:space="0" w:color="CCCCCC"/>
              <w:left w:val="single" w:sz="6" w:space="0" w:color="000000"/>
              <w:bottom w:val="single" w:sz="6" w:space="0" w:color="000000"/>
              <w:right w:val="single" w:sz="6" w:space="0" w:color="000000"/>
            </w:tcBorders>
            <w:shd w:val="clear" w:color="auto" w:fill="CFE2F3"/>
            <w:tcMar>
              <w:top w:w="0" w:type="dxa"/>
              <w:left w:w="40" w:type="dxa"/>
              <w:bottom w:w="0" w:type="dxa"/>
              <w:right w:w="40" w:type="dxa"/>
            </w:tcMar>
            <w:vAlign w:val="bottom"/>
          </w:tcPr>
          <w:p w14:paraId="4F3516E5" w14:textId="77777777" w:rsidR="00E84532" w:rsidRDefault="00E90F46">
            <w:pPr>
              <w:widowControl w:val="0"/>
              <w:spacing w:line="276" w:lineRule="auto"/>
              <w:jc w:val="left"/>
              <w:rPr>
                <w:rFonts w:ascii="Calibri" w:eastAsia="Calibri" w:hAnsi="Calibri" w:cs="Calibri"/>
                <w:sz w:val="22"/>
                <w:szCs w:val="22"/>
              </w:rPr>
            </w:pPr>
            <w:r>
              <w:rPr>
                <w:rFonts w:ascii="Calibri" w:eastAsia="Calibri" w:hAnsi="Calibri" w:cs="Calibri"/>
                <w:sz w:val="22"/>
                <w:szCs w:val="22"/>
              </w:rPr>
              <w:t>Project B Investment (£m)</w:t>
            </w:r>
          </w:p>
        </w:tc>
        <w:tc>
          <w:tcPr>
            <w:tcW w:w="2025" w:type="dxa"/>
            <w:tcBorders>
              <w:top w:val="single" w:sz="6" w:space="0" w:color="CCCCCC"/>
              <w:left w:val="single" w:sz="6" w:space="0" w:color="CCCCCC"/>
              <w:bottom w:val="single" w:sz="6" w:space="0" w:color="000000"/>
              <w:right w:val="single" w:sz="6" w:space="0" w:color="000000"/>
            </w:tcBorders>
            <w:shd w:val="clear" w:color="auto" w:fill="CFE2F3"/>
            <w:tcMar>
              <w:top w:w="0" w:type="dxa"/>
              <w:left w:w="40" w:type="dxa"/>
              <w:bottom w:w="0" w:type="dxa"/>
              <w:right w:w="40" w:type="dxa"/>
            </w:tcMar>
            <w:vAlign w:val="bottom"/>
          </w:tcPr>
          <w:p w14:paraId="4F3516E6" w14:textId="77777777" w:rsidR="00E84532" w:rsidRDefault="00E90F46">
            <w:pPr>
              <w:widowControl w:val="0"/>
              <w:spacing w:line="276" w:lineRule="auto"/>
              <w:jc w:val="right"/>
              <w:rPr>
                <w:rFonts w:ascii="Calibri" w:eastAsia="Calibri" w:hAnsi="Calibri" w:cs="Calibri"/>
                <w:sz w:val="22"/>
                <w:szCs w:val="22"/>
              </w:rPr>
            </w:pPr>
            <w:r>
              <w:rPr>
                <w:rFonts w:ascii="Calibri" w:eastAsia="Calibri" w:hAnsi="Calibri" w:cs="Calibri"/>
                <w:sz w:val="22"/>
                <w:szCs w:val="22"/>
              </w:rPr>
              <w:t>50</w:t>
            </w:r>
          </w:p>
        </w:tc>
        <w:tc>
          <w:tcPr>
            <w:tcW w:w="2025" w:type="dxa"/>
            <w:tcBorders>
              <w:top w:val="single" w:sz="6" w:space="0" w:color="CCCCCC"/>
              <w:left w:val="single" w:sz="6" w:space="0" w:color="CCCCCC"/>
              <w:bottom w:val="single" w:sz="6" w:space="0" w:color="000000"/>
              <w:right w:val="single" w:sz="6" w:space="0" w:color="000000"/>
            </w:tcBorders>
            <w:shd w:val="clear" w:color="auto" w:fill="CFE2F3"/>
            <w:tcMar>
              <w:top w:w="0" w:type="dxa"/>
              <w:left w:w="40" w:type="dxa"/>
              <w:bottom w:w="0" w:type="dxa"/>
              <w:right w:w="40" w:type="dxa"/>
            </w:tcMar>
            <w:vAlign w:val="bottom"/>
          </w:tcPr>
          <w:p w14:paraId="4F3516E7" w14:textId="77777777" w:rsidR="00E84532" w:rsidRDefault="00E90F46">
            <w:pPr>
              <w:widowControl w:val="0"/>
              <w:spacing w:line="276" w:lineRule="auto"/>
              <w:jc w:val="left"/>
              <w:rPr>
                <w:rFonts w:ascii="Calibri" w:eastAsia="Calibri" w:hAnsi="Calibri" w:cs="Calibri"/>
                <w:sz w:val="22"/>
                <w:szCs w:val="22"/>
              </w:rPr>
            </w:pPr>
            <w:r>
              <w:rPr>
                <w:rFonts w:ascii="Calibri" w:eastAsia="Calibri" w:hAnsi="Calibri" w:cs="Calibri"/>
                <w:sz w:val="22"/>
                <w:szCs w:val="22"/>
              </w:rPr>
              <w:t>–</w:t>
            </w:r>
          </w:p>
        </w:tc>
        <w:tc>
          <w:tcPr>
            <w:tcW w:w="2820" w:type="dxa"/>
            <w:tcBorders>
              <w:top w:val="single" w:sz="6" w:space="0" w:color="CCCCCC"/>
              <w:left w:val="single" w:sz="6" w:space="0" w:color="CCCCCC"/>
              <w:bottom w:val="single" w:sz="6" w:space="0" w:color="000000"/>
              <w:right w:val="single" w:sz="6" w:space="0" w:color="000000"/>
            </w:tcBorders>
            <w:shd w:val="clear" w:color="auto" w:fill="CFE2F3"/>
            <w:tcMar>
              <w:top w:w="0" w:type="dxa"/>
              <w:left w:w="40" w:type="dxa"/>
              <w:bottom w:w="0" w:type="dxa"/>
              <w:right w:w="40" w:type="dxa"/>
            </w:tcMar>
            <w:vAlign w:val="bottom"/>
          </w:tcPr>
          <w:p w14:paraId="4F3516E8" w14:textId="77777777" w:rsidR="00E84532" w:rsidRDefault="00E90F46">
            <w:pPr>
              <w:widowControl w:val="0"/>
              <w:spacing w:line="276" w:lineRule="auto"/>
              <w:jc w:val="right"/>
              <w:rPr>
                <w:rFonts w:ascii="Calibri" w:eastAsia="Calibri" w:hAnsi="Calibri" w:cs="Calibri"/>
                <w:sz w:val="22"/>
                <w:szCs w:val="22"/>
              </w:rPr>
            </w:pPr>
            <w:r>
              <w:rPr>
                <w:rFonts w:ascii="Calibri" w:eastAsia="Calibri" w:hAnsi="Calibri" w:cs="Calibri"/>
                <w:sz w:val="22"/>
                <w:szCs w:val="22"/>
              </w:rPr>
              <w:t>50</w:t>
            </w:r>
          </w:p>
        </w:tc>
      </w:tr>
      <w:tr w:rsidR="00E84532" w14:paraId="4F3516EE" w14:textId="77777777">
        <w:trPr>
          <w:trHeight w:val="300"/>
        </w:trPr>
        <w:tc>
          <w:tcPr>
            <w:tcW w:w="2430" w:type="dxa"/>
            <w:tcBorders>
              <w:top w:val="single" w:sz="6" w:space="0" w:color="CCCCCC"/>
              <w:left w:val="single" w:sz="6" w:space="0" w:color="000000"/>
              <w:bottom w:val="single" w:sz="6" w:space="0" w:color="000000"/>
              <w:right w:val="single" w:sz="6" w:space="0" w:color="000000"/>
            </w:tcBorders>
            <w:shd w:val="clear" w:color="auto" w:fill="A2C4C9"/>
            <w:tcMar>
              <w:top w:w="0" w:type="dxa"/>
              <w:left w:w="40" w:type="dxa"/>
              <w:bottom w:w="0" w:type="dxa"/>
              <w:right w:w="40" w:type="dxa"/>
            </w:tcMar>
            <w:vAlign w:val="bottom"/>
          </w:tcPr>
          <w:p w14:paraId="4F3516EA" w14:textId="77777777" w:rsidR="00E84532" w:rsidRDefault="00E90F46">
            <w:pPr>
              <w:widowControl w:val="0"/>
              <w:spacing w:line="276" w:lineRule="auto"/>
              <w:jc w:val="left"/>
              <w:rPr>
                <w:rFonts w:ascii="Calibri" w:eastAsia="Calibri" w:hAnsi="Calibri" w:cs="Calibri"/>
                <w:sz w:val="22"/>
                <w:szCs w:val="22"/>
              </w:rPr>
            </w:pPr>
            <w:r>
              <w:rPr>
                <w:rFonts w:ascii="Calibri" w:eastAsia="Calibri" w:hAnsi="Calibri" w:cs="Calibri"/>
                <w:sz w:val="22"/>
                <w:szCs w:val="22"/>
              </w:rPr>
              <w:t>Project C Investment (£m)</w:t>
            </w:r>
          </w:p>
        </w:tc>
        <w:tc>
          <w:tcPr>
            <w:tcW w:w="2025" w:type="dxa"/>
            <w:tcBorders>
              <w:top w:val="single" w:sz="6" w:space="0" w:color="CCCCCC"/>
              <w:left w:val="single" w:sz="6" w:space="0" w:color="CCCCCC"/>
              <w:bottom w:val="single" w:sz="6" w:space="0" w:color="000000"/>
              <w:right w:val="single" w:sz="6" w:space="0" w:color="000000"/>
            </w:tcBorders>
            <w:shd w:val="clear" w:color="auto" w:fill="A2C4C9"/>
            <w:tcMar>
              <w:top w:w="0" w:type="dxa"/>
              <w:left w:w="40" w:type="dxa"/>
              <w:bottom w:w="0" w:type="dxa"/>
              <w:right w:w="40" w:type="dxa"/>
            </w:tcMar>
            <w:vAlign w:val="bottom"/>
          </w:tcPr>
          <w:p w14:paraId="4F3516EB" w14:textId="77777777" w:rsidR="00E84532" w:rsidRDefault="00E90F46">
            <w:pPr>
              <w:widowControl w:val="0"/>
              <w:spacing w:line="276" w:lineRule="auto"/>
              <w:jc w:val="left"/>
              <w:rPr>
                <w:rFonts w:ascii="Calibri" w:eastAsia="Calibri" w:hAnsi="Calibri" w:cs="Calibri"/>
                <w:sz w:val="22"/>
                <w:szCs w:val="22"/>
              </w:rPr>
            </w:pPr>
            <w:r>
              <w:rPr>
                <w:rFonts w:ascii="Calibri" w:eastAsia="Calibri" w:hAnsi="Calibri" w:cs="Calibri"/>
                <w:sz w:val="22"/>
                <w:szCs w:val="22"/>
              </w:rPr>
              <w:t>–</w:t>
            </w:r>
          </w:p>
        </w:tc>
        <w:tc>
          <w:tcPr>
            <w:tcW w:w="2025" w:type="dxa"/>
            <w:tcBorders>
              <w:top w:val="single" w:sz="6" w:space="0" w:color="CCCCCC"/>
              <w:left w:val="single" w:sz="6" w:space="0" w:color="CCCCCC"/>
              <w:bottom w:val="single" w:sz="6" w:space="0" w:color="000000"/>
              <w:right w:val="single" w:sz="6" w:space="0" w:color="000000"/>
            </w:tcBorders>
            <w:shd w:val="clear" w:color="auto" w:fill="A2C4C9"/>
            <w:tcMar>
              <w:top w:w="0" w:type="dxa"/>
              <w:left w:w="40" w:type="dxa"/>
              <w:bottom w:w="0" w:type="dxa"/>
              <w:right w:w="40" w:type="dxa"/>
            </w:tcMar>
            <w:vAlign w:val="bottom"/>
          </w:tcPr>
          <w:p w14:paraId="4F3516EC" w14:textId="77777777" w:rsidR="00E84532" w:rsidRDefault="00E90F46">
            <w:pPr>
              <w:widowControl w:val="0"/>
              <w:spacing w:line="276" w:lineRule="auto"/>
              <w:jc w:val="right"/>
              <w:rPr>
                <w:rFonts w:ascii="Calibri" w:eastAsia="Calibri" w:hAnsi="Calibri" w:cs="Calibri"/>
                <w:sz w:val="22"/>
                <w:szCs w:val="22"/>
              </w:rPr>
            </w:pPr>
            <w:r>
              <w:rPr>
                <w:rFonts w:ascii="Calibri" w:eastAsia="Calibri" w:hAnsi="Calibri" w:cs="Calibri"/>
                <w:sz w:val="22"/>
                <w:szCs w:val="22"/>
              </w:rPr>
              <w:t>50</w:t>
            </w:r>
          </w:p>
        </w:tc>
        <w:tc>
          <w:tcPr>
            <w:tcW w:w="2820" w:type="dxa"/>
            <w:tcBorders>
              <w:top w:val="single" w:sz="6" w:space="0" w:color="CCCCCC"/>
              <w:left w:val="single" w:sz="6" w:space="0" w:color="CCCCCC"/>
              <w:bottom w:val="single" w:sz="6" w:space="0" w:color="000000"/>
              <w:right w:val="single" w:sz="6" w:space="0" w:color="000000"/>
            </w:tcBorders>
            <w:shd w:val="clear" w:color="auto" w:fill="A2C4C9"/>
            <w:tcMar>
              <w:top w:w="0" w:type="dxa"/>
              <w:left w:w="40" w:type="dxa"/>
              <w:bottom w:w="0" w:type="dxa"/>
              <w:right w:w="40" w:type="dxa"/>
            </w:tcMar>
            <w:vAlign w:val="bottom"/>
          </w:tcPr>
          <w:p w14:paraId="4F3516ED" w14:textId="77777777" w:rsidR="00E84532" w:rsidRDefault="00E90F46">
            <w:pPr>
              <w:widowControl w:val="0"/>
              <w:spacing w:line="276" w:lineRule="auto"/>
              <w:jc w:val="right"/>
              <w:rPr>
                <w:rFonts w:ascii="Calibri" w:eastAsia="Calibri" w:hAnsi="Calibri" w:cs="Calibri"/>
                <w:sz w:val="22"/>
                <w:szCs w:val="22"/>
              </w:rPr>
            </w:pPr>
            <w:r>
              <w:rPr>
                <w:rFonts w:ascii="Calibri" w:eastAsia="Calibri" w:hAnsi="Calibri" w:cs="Calibri"/>
                <w:sz w:val="22"/>
                <w:szCs w:val="22"/>
              </w:rPr>
              <w:t>50</w:t>
            </w:r>
          </w:p>
        </w:tc>
      </w:tr>
      <w:tr w:rsidR="00E84532" w14:paraId="4F3516F3" w14:textId="77777777">
        <w:trPr>
          <w:trHeight w:val="300"/>
        </w:trPr>
        <w:tc>
          <w:tcPr>
            <w:tcW w:w="2430" w:type="dxa"/>
            <w:tcBorders>
              <w:top w:val="single" w:sz="6" w:space="0" w:color="CCCCCC"/>
              <w:left w:val="single" w:sz="6" w:space="0" w:color="000000"/>
              <w:bottom w:val="single" w:sz="6" w:space="0" w:color="000000"/>
              <w:right w:val="single" w:sz="6" w:space="0" w:color="000000"/>
            </w:tcBorders>
            <w:shd w:val="clear" w:color="auto" w:fill="CFE2F3"/>
            <w:tcMar>
              <w:top w:w="0" w:type="dxa"/>
              <w:left w:w="40" w:type="dxa"/>
              <w:bottom w:w="0" w:type="dxa"/>
              <w:right w:w="40" w:type="dxa"/>
            </w:tcMar>
            <w:vAlign w:val="bottom"/>
          </w:tcPr>
          <w:p w14:paraId="4F3516EF" w14:textId="77777777" w:rsidR="00E84532" w:rsidRDefault="00E90F46">
            <w:pPr>
              <w:widowControl w:val="0"/>
              <w:spacing w:line="276" w:lineRule="auto"/>
              <w:jc w:val="left"/>
              <w:rPr>
                <w:rFonts w:ascii="Calibri" w:eastAsia="Calibri" w:hAnsi="Calibri" w:cs="Calibri"/>
                <w:sz w:val="22"/>
                <w:szCs w:val="22"/>
              </w:rPr>
            </w:pPr>
            <w:r>
              <w:rPr>
                <w:rFonts w:ascii="Calibri" w:eastAsia="Calibri" w:hAnsi="Calibri" w:cs="Calibri"/>
                <w:sz w:val="22"/>
                <w:szCs w:val="22"/>
              </w:rPr>
              <w:t>Total Investment (£m)</w:t>
            </w:r>
          </w:p>
        </w:tc>
        <w:tc>
          <w:tcPr>
            <w:tcW w:w="2025" w:type="dxa"/>
            <w:tcBorders>
              <w:top w:val="single" w:sz="6" w:space="0" w:color="CCCCCC"/>
              <w:left w:val="single" w:sz="6" w:space="0" w:color="CCCCCC"/>
              <w:bottom w:val="single" w:sz="6" w:space="0" w:color="000000"/>
              <w:right w:val="single" w:sz="6" w:space="0" w:color="000000"/>
            </w:tcBorders>
            <w:shd w:val="clear" w:color="auto" w:fill="CFE2F3"/>
            <w:tcMar>
              <w:top w:w="0" w:type="dxa"/>
              <w:left w:w="40" w:type="dxa"/>
              <w:bottom w:w="0" w:type="dxa"/>
              <w:right w:w="40" w:type="dxa"/>
            </w:tcMar>
            <w:vAlign w:val="bottom"/>
          </w:tcPr>
          <w:p w14:paraId="4F3516F0" w14:textId="77777777" w:rsidR="00E84532" w:rsidRDefault="00E90F46">
            <w:pPr>
              <w:widowControl w:val="0"/>
              <w:spacing w:line="276" w:lineRule="auto"/>
              <w:jc w:val="right"/>
              <w:rPr>
                <w:rFonts w:ascii="Calibri" w:eastAsia="Calibri" w:hAnsi="Calibri" w:cs="Calibri"/>
                <w:sz w:val="22"/>
                <w:szCs w:val="22"/>
              </w:rPr>
            </w:pPr>
            <w:r>
              <w:rPr>
                <w:rFonts w:ascii="Calibri" w:eastAsia="Calibri" w:hAnsi="Calibri" w:cs="Calibri"/>
                <w:sz w:val="22"/>
                <w:szCs w:val="22"/>
              </w:rPr>
              <w:t>100</w:t>
            </w:r>
          </w:p>
        </w:tc>
        <w:tc>
          <w:tcPr>
            <w:tcW w:w="2025" w:type="dxa"/>
            <w:tcBorders>
              <w:top w:val="single" w:sz="6" w:space="0" w:color="CCCCCC"/>
              <w:left w:val="single" w:sz="6" w:space="0" w:color="CCCCCC"/>
              <w:bottom w:val="single" w:sz="6" w:space="0" w:color="000000"/>
              <w:right w:val="single" w:sz="6" w:space="0" w:color="000000"/>
            </w:tcBorders>
            <w:shd w:val="clear" w:color="auto" w:fill="CFE2F3"/>
            <w:tcMar>
              <w:top w:w="0" w:type="dxa"/>
              <w:left w:w="40" w:type="dxa"/>
              <w:bottom w:w="0" w:type="dxa"/>
              <w:right w:w="40" w:type="dxa"/>
            </w:tcMar>
            <w:vAlign w:val="bottom"/>
          </w:tcPr>
          <w:p w14:paraId="4F3516F1" w14:textId="77777777" w:rsidR="00E84532" w:rsidRDefault="00E90F46">
            <w:pPr>
              <w:widowControl w:val="0"/>
              <w:spacing w:line="276" w:lineRule="auto"/>
              <w:jc w:val="right"/>
              <w:rPr>
                <w:rFonts w:ascii="Calibri" w:eastAsia="Calibri" w:hAnsi="Calibri" w:cs="Calibri"/>
                <w:sz w:val="22"/>
                <w:szCs w:val="22"/>
              </w:rPr>
            </w:pPr>
            <w:r>
              <w:rPr>
                <w:rFonts w:ascii="Calibri" w:eastAsia="Calibri" w:hAnsi="Calibri" w:cs="Calibri"/>
                <w:sz w:val="22"/>
                <w:szCs w:val="22"/>
              </w:rPr>
              <w:t>100</w:t>
            </w:r>
          </w:p>
        </w:tc>
        <w:tc>
          <w:tcPr>
            <w:tcW w:w="2820" w:type="dxa"/>
            <w:tcBorders>
              <w:top w:val="single" w:sz="6" w:space="0" w:color="CCCCCC"/>
              <w:left w:val="single" w:sz="6" w:space="0" w:color="CCCCCC"/>
              <w:bottom w:val="single" w:sz="6" w:space="0" w:color="000000"/>
              <w:right w:val="single" w:sz="6" w:space="0" w:color="000000"/>
            </w:tcBorders>
            <w:shd w:val="clear" w:color="auto" w:fill="CFE2F3"/>
            <w:tcMar>
              <w:top w:w="0" w:type="dxa"/>
              <w:left w:w="40" w:type="dxa"/>
              <w:bottom w:w="0" w:type="dxa"/>
              <w:right w:w="40" w:type="dxa"/>
            </w:tcMar>
            <w:vAlign w:val="bottom"/>
          </w:tcPr>
          <w:p w14:paraId="4F3516F2" w14:textId="77777777" w:rsidR="00E84532" w:rsidRDefault="00E90F46">
            <w:pPr>
              <w:widowControl w:val="0"/>
              <w:spacing w:line="276" w:lineRule="auto"/>
              <w:jc w:val="right"/>
              <w:rPr>
                <w:rFonts w:ascii="Calibri" w:eastAsia="Calibri" w:hAnsi="Calibri" w:cs="Calibri"/>
                <w:sz w:val="22"/>
                <w:szCs w:val="22"/>
              </w:rPr>
            </w:pPr>
            <w:r>
              <w:rPr>
                <w:rFonts w:ascii="Calibri" w:eastAsia="Calibri" w:hAnsi="Calibri" w:cs="Calibri"/>
                <w:sz w:val="22"/>
                <w:szCs w:val="22"/>
              </w:rPr>
              <w:t>100</w:t>
            </w:r>
          </w:p>
        </w:tc>
      </w:tr>
      <w:tr w:rsidR="00E84532" w14:paraId="4F3516F8" w14:textId="77777777">
        <w:trPr>
          <w:trHeight w:val="300"/>
        </w:trPr>
        <w:tc>
          <w:tcPr>
            <w:tcW w:w="2430" w:type="dxa"/>
            <w:tcBorders>
              <w:top w:val="single" w:sz="6" w:space="0" w:color="CCCCCC"/>
              <w:left w:val="single" w:sz="6" w:space="0" w:color="000000"/>
              <w:bottom w:val="single" w:sz="6" w:space="0" w:color="000000"/>
              <w:right w:val="single" w:sz="6" w:space="0" w:color="000000"/>
            </w:tcBorders>
            <w:shd w:val="clear" w:color="auto" w:fill="A2C4C9"/>
            <w:tcMar>
              <w:top w:w="0" w:type="dxa"/>
              <w:left w:w="40" w:type="dxa"/>
              <w:bottom w:w="0" w:type="dxa"/>
              <w:right w:w="40" w:type="dxa"/>
            </w:tcMar>
            <w:vAlign w:val="bottom"/>
          </w:tcPr>
          <w:p w14:paraId="4F3516F4" w14:textId="77777777" w:rsidR="00E84532" w:rsidRDefault="00E90F46">
            <w:pPr>
              <w:widowControl w:val="0"/>
              <w:spacing w:line="276" w:lineRule="auto"/>
              <w:jc w:val="left"/>
              <w:rPr>
                <w:rFonts w:ascii="Calibri" w:eastAsia="Calibri" w:hAnsi="Calibri" w:cs="Calibri"/>
                <w:sz w:val="22"/>
                <w:szCs w:val="22"/>
              </w:rPr>
            </w:pPr>
            <w:r>
              <w:rPr>
                <w:rFonts w:ascii="Calibri" w:eastAsia="Calibri" w:hAnsi="Calibri" w:cs="Calibri"/>
                <w:sz w:val="22"/>
                <w:szCs w:val="22"/>
              </w:rPr>
              <w:t>Project A NPV (£m)</w:t>
            </w:r>
          </w:p>
        </w:tc>
        <w:tc>
          <w:tcPr>
            <w:tcW w:w="2025" w:type="dxa"/>
            <w:tcBorders>
              <w:top w:val="single" w:sz="6" w:space="0" w:color="CCCCCC"/>
              <w:left w:val="single" w:sz="6" w:space="0" w:color="CCCCCC"/>
              <w:bottom w:val="single" w:sz="6" w:space="0" w:color="000000"/>
              <w:right w:val="single" w:sz="6" w:space="0" w:color="000000"/>
            </w:tcBorders>
            <w:shd w:val="clear" w:color="auto" w:fill="A2C4C9"/>
            <w:tcMar>
              <w:top w:w="0" w:type="dxa"/>
              <w:left w:w="40" w:type="dxa"/>
              <w:bottom w:w="0" w:type="dxa"/>
              <w:right w:w="40" w:type="dxa"/>
            </w:tcMar>
            <w:vAlign w:val="bottom"/>
          </w:tcPr>
          <w:p w14:paraId="4F3516F5" w14:textId="77777777" w:rsidR="00E84532" w:rsidRDefault="00E90F46">
            <w:pPr>
              <w:widowControl w:val="0"/>
              <w:spacing w:line="276" w:lineRule="auto"/>
              <w:jc w:val="right"/>
              <w:rPr>
                <w:rFonts w:ascii="Calibri" w:eastAsia="Calibri" w:hAnsi="Calibri" w:cs="Calibri"/>
                <w:sz w:val="22"/>
                <w:szCs w:val="22"/>
              </w:rPr>
            </w:pPr>
            <w:r>
              <w:rPr>
                <w:rFonts w:ascii="Calibri" w:eastAsia="Calibri" w:hAnsi="Calibri" w:cs="Calibri"/>
                <w:sz w:val="22"/>
                <w:szCs w:val="22"/>
              </w:rPr>
              <w:t>-6.54</w:t>
            </w:r>
          </w:p>
        </w:tc>
        <w:tc>
          <w:tcPr>
            <w:tcW w:w="2025" w:type="dxa"/>
            <w:tcBorders>
              <w:top w:val="single" w:sz="6" w:space="0" w:color="CCCCCC"/>
              <w:left w:val="single" w:sz="6" w:space="0" w:color="CCCCCC"/>
              <w:bottom w:val="single" w:sz="6" w:space="0" w:color="000000"/>
              <w:right w:val="single" w:sz="6" w:space="0" w:color="000000"/>
            </w:tcBorders>
            <w:shd w:val="clear" w:color="auto" w:fill="A2C4C9"/>
            <w:tcMar>
              <w:top w:w="0" w:type="dxa"/>
              <w:left w:w="40" w:type="dxa"/>
              <w:bottom w:w="0" w:type="dxa"/>
              <w:right w:w="40" w:type="dxa"/>
            </w:tcMar>
            <w:vAlign w:val="bottom"/>
          </w:tcPr>
          <w:p w14:paraId="4F3516F6" w14:textId="77777777" w:rsidR="00E84532" w:rsidRDefault="00E90F46">
            <w:pPr>
              <w:widowControl w:val="0"/>
              <w:spacing w:line="276" w:lineRule="auto"/>
              <w:jc w:val="right"/>
              <w:rPr>
                <w:rFonts w:ascii="Calibri" w:eastAsia="Calibri" w:hAnsi="Calibri" w:cs="Calibri"/>
                <w:sz w:val="22"/>
                <w:szCs w:val="22"/>
              </w:rPr>
            </w:pPr>
            <w:r>
              <w:rPr>
                <w:rFonts w:ascii="Calibri" w:eastAsia="Calibri" w:hAnsi="Calibri" w:cs="Calibri"/>
                <w:sz w:val="22"/>
                <w:szCs w:val="22"/>
              </w:rPr>
              <w:t>-6.54</w:t>
            </w:r>
          </w:p>
        </w:tc>
        <w:tc>
          <w:tcPr>
            <w:tcW w:w="2820" w:type="dxa"/>
            <w:tcBorders>
              <w:top w:val="single" w:sz="6" w:space="0" w:color="CCCCCC"/>
              <w:left w:val="single" w:sz="6" w:space="0" w:color="CCCCCC"/>
              <w:bottom w:val="single" w:sz="6" w:space="0" w:color="000000"/>
              <w:right w:val="single" w:sz="6" w:space="0" w:color="000000"/>
            </w:tcBorders>
            <w:shd w:val="clear" w:color="auto" w:fill="A2C4C9"/>
            <w:tcMar>
              <w:top w:w="0" w:type="dxa"/>
              <w:left w:w="40" w:type="dxa"/>
              <w:bottom w:w="0" w:type="dxa"/>
              <w:right w:w="40" w:type="dxa"/>
            </w:tcMar>
            <w:vAlign w:val="bottom"/>
          </w:tcPr>
          <w:p w14:paraId="4F3516F7" w14:textId="77777777" w:rsidR="00E84532" w:rsidRDefault="00E90F46">
            <w:pPr>
              <w:widowControl w:val="0"/>
              <w:spacing w:line="276" w:lineRule="auto"/>
              <w:jc w:val="left"/>
              <w:rPr>
                <w:rFonts w:ascii="Calibri" w:eastAsia="Calibri" w:hAnsi="Calibri" w:cs="Calibri"/>
                <w:sz w:val="22"/>
                <w:szCs w:val="22"/>
              </w:rPr>
            </w:pPr>
            <w:r>
              <w:rPr>
                <w:rFonts w:ascii="Calibri" w:eastAsia="Calibri" w:hAnsi="Calibri" w:cs="Calibri"/>
                <w:sz w:val="22"/>
                <w:szCs w:val="22"/>
              </w:rPr>
              <w:t>–</w:t>
            </w:r>
          </w:p>
        </w:tc>
      </w:tr>
      <w:tr w:rsidR="00E84532" w14:paraId="4F3516FD" w14:textId="77777777">
        <w:trPr>
          <w:trHeight w:val="300"/>
        </w:trPr>
        <w:tc>
          <w:tcPr>
            <w:tcW w:w="2430" w:type="dxa"/>
            <w:tcBorders>
              <w:top w:val="single" w:sz="6" w:space="0" w:color="CCCCCC"/>
              <w:left w:val="single" w:sz="6" w:space="0" w:color="000000"/>
              <w:bottom w:val="single" w:sz="6" w:space="0" w:color="000000"/>
              <w:right w:val="single" w:sz="6" w:space="0" w:color="000000"/>
            </w:tcBorders>
            <w:shd w:val="clear" w:color="auto" w:fill="CFE2F3"/>
            <w:tcMar>
              <w:top w:w="0" w:type="dxa"/>
              <w:left w:w="40" w:type="dxa"/>
              <w:bottom w:w="0" w:type="dxa"/>
              <w:right w:w="40" w:type="dxa"/>
            </w:tcMar>
            <w:vAlign w:val="bottom"/>
          </w:tcPr>
          <w:p w14:paraId="4F3516F9" w14:textId="77777777" w:rsidR="00E84532" w:rsidRDefault="00E90F46">
            <w:pPr>
              <w:widowControl w:val="0"/>
              <w:spacing w:line="276" w:lineRule="auto"/>
              <w:jc w:val="left"/>
              <w:rPr>
                <w:rFonts w:ascii="Calibri" w:eastAsia="Calibri" w:hAnsi="Calibri" w:cs="Calibri"/>
                <w:sz w:val="22"/>
                <w:szCs w:val="22"/>
              </w:rPr>
            </w:pPr>
            <w:r>
              <w:rPr>
                <w:rFonts w:ascii="Calibri" w:eastAsia="Calibri" w:hAnsi="Calibri" w:cs="Calibri"/>
                <w:sz w:val="22"/>
                <w:szCs w:val="22"/>
              </w:rPr>
              <w:t>Project B NPV (£m)</w:t>
            </w:r>
          </w:p>
        </w:tc>
        <w:tc>
          <w:tcPr>
            <w:tcW w:w="2025" w:type="dxa"/>
            <w:tcBorders>
              <w:top w:val="single" w:sz="6" w:space="0" w:color="CCCCCC"/>
              <w:left w:val="single" w:sz="6" w:space="0" w:color="CCCCCC"/>
              <w:bottom w:val="single" w:sz="6" w:space="0" w:color="000000"/>
              <w:right w:val="single" w:sz="6" w:space="0" w:color="000000"/>
            </w:tcBorders>
            <w:shd w:val="clear" w:color="auto" w:fill="CFE2F3"/>
            <w:tcMar>
              <w:top w:w="0" w:type="dxa"/>
              <w:left w:w="40" w:type="dxa"/>
              <w:bottom w:w="0" w:type="dxa"/>
              <w:right w:w="40" w:type="dxa"/>
            </w:tcMar>
            <w:vAlign w:val="bottom"/>
          </w:tcPr>
          <w:p w14:paraId="4F3516FA" w14:textId="77777777" w:rsidR="00E84532" w:rsidRDefault="00E90F46">
            <w:pPr>
              <w:widowControl w:val="0"/>
              <w:spacing w:line="276" w:lineRule="auto"/>
              <w:jc w:val="right"/>
              <w:rPr>
                <w:rFonts w:ascii="Calibri" w:eastAsia="Calibri" w:hAnsi="Calibri" w:cs="Calibri"/>
                <w:sz w:val="22"/>
                <w:szCs w:val="22"/>
              </w:rPr>
            </w:pPr>
            <w:r>
              <w:rPr>
                <w:rFonts w:ascii="Calibri" w:eastAsia="Calibri" w:hAnsi="Calibri" w:cs="Calibri"/>
                <w:sz w:val="22"/>
                <w:szCs w:val="22"/>
              </w:rPr>
              <w:t>-6.07</w:t>
            </w:r>
          </w:p>
        </w:tc>
        <w:tc>
          <w:tcPr>
            <w:tcW w:w="2025" w:type="dxa"/>
            <w:tcBorders>
              <w:top w:val="single" w:sz="6" w:space="0" w:color="CCCCCC"/>
              <w:left w:val="single" w:sz="6" w:space="0" w:color="CCCCCC"/>
              <w:bottom w:val="single" w:sz="6" w:space="0" w:color="000000"/>
              <w:right w:val="single" w:sz="6" w:space="0" w:color="000000"/>
            </w:tcBorders>
            <w:shd w:val="clear" w:color="auto" w:fill="CFE2F3"/>
            <w:tcMar>
              <w:top w:w="0" w:type="dxa"/>
              <w:left w:w="40" w:type="dxa"/>
              <w:bottom w:w="0" w:type="dxa"/>
              <w:right w:w="40" w:type="dxa"/>
            </w:tcMar>
            <w:vAlign w:val="bottom"/>
          </w:tcPr>
          <w:p w14:paraId="4F3516FB" w14:textId="77777777" w:rsidR="00E84532" w:rsidRDefault="00E90F46">
            <w:pPr>
              <w:widowControl w:val="0"/>
              <w:spacing w:line="276" w:lineRule="auto"/>
              <w:jc w:val="left"/>
              <w:rPr>
                <w:rFonts w:ascii="Calibri" w:eastAsia="Calibri" w:hAnsi="Calibri" w:cs="Calibri"/>
                <w:sz w:val="22"/>
                <w:szCs w:val="22"/>
              </w:rPr>
            </w:pPr>
            <w:r>
              <w:rPr>
                <w:rFonts w:ascii="Calibri" w:eastAsia="Calibri" w:hAnsi="Calibri" w:cs="Calibri"/>
                <w:sz w:val="22"/>
                <w:szCs w:val="22"/>
              </w:rPr>
              <w:t>–</w:t>
            </w:r>
          </w:p>
        </w:tc>
        <w:tc>
          <w:tcPr>
            <w:tcW w:w="2820" w:type="dxa"/>
            <w:tcBorders>
              <w:top w:val="single" w:sz="6" w:space="0" w:color="CCCCCC"/>
              <w:left w:val="single" w:sz="6" w:space="0" w:color="CCCCCC"/>
              <w:bottom w:val="single" w:sz="6" w:space="0" w:color="000000"/>
              <w:right w:val="single" w:sz="6" w:space="0" w:color="000000"/>
            </w:tcBorders>
            <w:shd w:val="clear" w:color="auto" w:fill="CFE2F3"/>
            <w:tcMar>
              <w:top w:w="0" w:type="dxa"/>
              <w:left w:w="40" w:type="dxa"/>
              <w:bottom w:w="0" w:type="dxa"/>
              <w:right w:w="40" w:type="dxa"/>
            </w:tcMar>
            <w:vAlign w:val="bottom"/>
          </w:tcPr>
          <w:p w14:paraId="4F3516FC" w14:textId="77777777" w:rsidR="00E84532" w:rsidRDefault="00E90F46">
            <w:pPr>
              <w:widowControl w:val="0"/>
              <w:spacing w:line="276" w:lineRule="auto"/>
              <w:jc w:val="right"/>
              <w:rPr>
                <w:rFonts w:ascii="Calibri" w:eastAsia="Calibri" w:hAnsi="Calibri" w:cs="Calibri"/>
                <w:sz w:val="22"/>
                <w:szCs w:val="22"/>
              </w:rPr>
            </w:pPr>
            <w:r>
              <w:rPr>
                <w:rFonts w:ascii="Calibri" w:eastAsia="Calibri" w:hAnsi="Calibri" w:cs="Calibri"/>
                <w:sz w:val="22"/>
                <w:szCs w:val="22"/>
              </w:rPr>
              <w:t>-6.07</w:t>
            </w:r>
          </w:p>
        </w:tc>
      </w:tr>
      <w:tr w:rsidR="00E84532" w14:paraId="4F351702" w14:textId="77777777">
        <w:trPr>
          <w:trHeight w:val="300"/>
        </w:trPr>
        <w:tc>
          <w:tcPr>
            <w:tcW w:w="2430" w:type="dxa"/>
            <w:tcBorders>
              <w:top w:val="single" w:sz="6" w:space="0" w:color="CCCCCC"/>
              <w:left w:val="single" w:sz="6" w:space="0" w:color="000000"/>
              <w:bottom w:val="single" w:sz="6" w:space="0" w:color="000000"/>
              <w:right w:val="single" w:sz="6" w:space="0" w:color="000000"/>
            </w:tcBorders>
            <w:shd w:val="clear" w:color="auto" w:fill="A2C4C9"/>
            <w:tcMar>
              <w:top w:w="0" w:type="dxa"/>
              <w:left w:w="40" w:type="dxa"/>
              <w:bottom w:w="0" w:type="dxa"/>
              <w:right w:w="40" w:type="dxa"/>
            </w:tcMar>
            <w:vAlign w:val="bottom"/>
          </w:tcPr>
          <w:p w14:paraId="4F3516FE" w14:textId="77777777" w:rsidR="00E84532" w:rsidRDefault="00E90F46">
            <w:pPr>
              <w:widowControl w:val="0"/>
              <w:spacing w:line="276" w:lineRule="auto"/>
              <w:jc w:val="left"/>
              <w:rPr>
                <w:rFonts w:ascii="Calibri" w:eastAsia="Calibri" w:hAnsi="Calibri" w:cs="Calibri"/>
                <w:sz w:val="22"/>
                <w:szCs w:val="22"/>
              </w:rPr>
            </w:pPr>
            <w:r>
              <w:rPr>
                <w:rFonts w:ascii="Calibri" w:eastAsia="Calibri" w:hAnsi="Calibri" w:cs="Calibri"/>
                <w:sz w:val="22"/>
                <w:szCs w:val="22"/>
              </w:rPr>
              <w:t>Project C NPV (£m)</w:t>
            </w:r>
          </w:p>
        </w:tc>
        <w:tc>
          <w:tcPr>
            <w:tcW w:w="2025" w:type="dxa"/>
            <w:tcBorders>
              <w:top w:val="single" w:sz="6" w:space="0" w:color="CCCCCC"/>
              <w:left w:val="single" w:sz="6" w:space="0" w:color="CCCCCC"/>
              <w:bottom w:val="single" w:sz="6" w:space="0" w:color="000000"/>
              <w:right w:val="single" w:sz="6" w:space="0" w:color="000000"/>
            </w:tcBorders>
            <w:shd w:val="clear" w:color="auto" w:fill="A2C4C9"/>
            <w:tcMar>
              <w:top w:w="0" w:type="dxa"/>
              <w:left w:w="40" w:type="dxa"/>
              <w:bottom w:w="0" w:type="dxa"/>
              <w:right w:w="40" w:type="dxa"/>
            </w:tcMar>
            <w:vAlign w:val="bottom"/>
          </w:tcPr>
          <w:p w14:paraId="4F3516FF" w14:textId="77777777" w:rsidR="00E84532" w:rsidRDefault="00E90F46">
            <w:pPr>
              <w:widowControl w:val="0"/>
              <w:spacing w:line="276" w:lineRule="auto"/>
              <w:jc w:val="left"/>
              <w:rPr>
                <w:rFonts w:ascii="Calibri" w:eastAsia="Calibri" w:hAnsi="Calibri" w:cs="Calibri"/>
                <w:sz w:val="22"/>
                <w:szCs w:val="22"/>
              </w:rPr>
            </w:pPr>
            <w:r>
              <w:rPr>
                <w:rFonts w:ascii="Calibri" w:eastAsia="Calibri" w:hAnsi="Calibri" w:cs="Calibri"/>
                <w:sz w:val="22"/>
                <w:szCs w:val="22"/>
              </w:rPr>
              <w:t>–</w:t>
            </w:r>
          </w:p>
        </w:tc>
        <w:tc>
          <w:tcPr>
            <w:tcW w:w="2025" w:type="dxa"/>
            <w:tcBorders>
              <w:top w:val="single" w:sz="6" w:space="0" w:color="CCCCCC"/>
              <w:left w:val="single" w:sz="6" w:space="0" w:color="CCCCCC"/>
              <w:bottom w:val="single" w:sz="6" w:space="0" w:color="000000"/>
              <w:right w:val="single" w:sz="6" w:space="0" w:color="000000"/>
            </w:tcBorders>
            <w:shd w:val="clear" w:color="auto" w:fill="A2C4C9"/>
            <w:tcMar>
              <w:top w:w="0" w:type="dxa"/>
              <w:left w:w="40" w:type="dxa"/>
              <w:bottom w:w="0" w:type="dxa"/>
              <w:right w:w="40" w:type="dxa"/>
            </w:tcMar>
            <w:vAlign w:val="bottom"/>
          </w:tcPr>
          <w:p w14:paraId="4F351700" w14:textId="77777777" w:rsidR="00E84532" w:rsidRDefault="00E90F46">
            <w:pPr>
              <w:widowControl w:val="0"/>
              <w:spacing w:line="276" w:lineRule="auto"/>
              <w:jc w:val="right"/>
              <w:rPr>
                <w:rFonts w:ascii="Calibri" w:eastAsia="Calibri" w:hAnsi="Calibri" w:cs="Calibri"/>
                <w:sz w:val="22"/>
                <w:szCs w:val="22"/>
              </w:rPr>
            </w:pPr>
            <w:r>
              <w:rPr>
                <w:rFonts w:ascii="Calibri" w:eastAsia="Calibri" w:hAnsi="Calibri" w:cs="Calibri"/>
                <w:sz w:val="22"/>
                <w:szCs w:val="22"/>
              </w:rPr>
              <w:t>0.87</w:t>
            </w:r>
          </w:p>
        </w:tc>
        <w:tc>
          <w:tcPr>
            <w:tcW w:w="2820" w:type="dxa"/>
            <w:tcBorders>
              <w:top w:val="single" w:sz="6" w:space="0" w:color="CCCCCC"/>
              <w:left w:val="single" w:sz="6" w:space="0" w:color="CCCCCC"/>
              <w:bottom w:val="single" w:sz="6" w:space="0" w:color="000000"/>
              <w:right w:val="single" w:sz="6" w:space="0" w:color="000000"/>
            </w:tcBorders>
            <w:shd w:val="clear" w:color="auto" w:fill="A2C4C9"/>
            <w:tcMar>
              <w:top w:w="0" w:type="dxa"/>
              <w:left w:w="40" w:type="dxa"/>
              <w:bottom w:w="0" w:type="dxa"/>
              <w:right w:w="40" w:type="dxa"/>
            </w:tcMar>
            <w:vAlign w:val="bottom"/>
          </w:tcPr>
          <w:p w14:paraId="4F351701" w14:textId="77777777" w:rsidR="00E84532" w:rsidRDefault="00E90F46">
            <w:pPr>
              <w:widowControl w:val="0"/>
              <w:spacing w:line="276" w:lineRule="auto"/>
              <w:jc w:val="right"/>
              <w:rPr>
                <w:rFonts w:ascii="Calibri" w:eastAsia="Calibri" w:hAnsi="Calibri" w:cs="Calibri"/>
                <w:sz w:val="22"/>
                <w:szCs w:val="22"/>
              </w:rPr>
            </w:pPr>
            <w:r>
              <w:rPr>
                <w:rFonts w:ascii="Calibri" w:eastAsia="Calibri" w:hAnsi="Calibri" w:cs="Calibri"/>
                <w:sz w:val="22"/>
                <w:szCs w:val="22"/>
              </w:rPr>
              <w:t>0.87</w:t>
            </w:r>
          </w:p>
        </w:tc>
      </w:tr>
      <w:tr w:rsidR="00E84532" w14:paraId="4F351707" w14:textId="77777777">
        <w:trPr>
          <w:trHeight w:val="300"/>
        </w:trPr>
        <w:tc>
          <w:tcPr>
            <w:tcW w:w="2430" w:type="dxa"/>
            <w:tcBorders>
              <w:top w:val="single" w:sz="6" w:space="0" w:color="CCCCCC"/>
              <w:left w:val="single" w:sz="6" w:space="0" w:color="000000"/>
              <w:bottom w:val="single" w:sz="6" w:space="0" w:color="000000"/>
              <w:right w:val="single" w:sz="6" w:space="0" w:color="000000"/>
            </w:tcBorders>
            <w:shd w:val="clear" w:color="auto" w:fill="CFE2F3"/>
            <w:tcMar>
              <w:top w:w="0" w:type="dxa"/>
              <w:left w:w="40" w:type="dxa"/>
              <w:bottom w:w="0" w:type="dxa"/>
              <w:right w:w="40" w:type="dxa"/>
            </w:tcMar>
            <w:vAlign w:val="bottom"/>
          </w:tcPr>
          <w:p w14:paraId="4F351703" w14:textId="77777777" w:rsidR="00E84532" w:rsidRDefault="00E90F46">
            <w:pPr>
              <w:widowControl w:val="0"/>
              <w:spacing w:line="276" w:lineRule="auto"/>
              <w:jc w:val="left"/>
              <w:rPr>
                <w:rFonts w:ascii="Calibri" w:eastAsia="Calibri" w:hAnsi="Calibri" w:cs="Calibri"/>
                <w:sz w:val="22"/>
                <w:szCs w:val="22"/>
              </w:rPr>
            </w:pPr>
            <w:r>
              <w:rPr>
                <w:rFonts w:ascii="Calibri" w:eastAsia="Calibri" w:hAnsi="Calibri" w:cs="Calibri"/>
                <w:sz w:val="22"/>
                <w:szCs w:val="22"/>
              </w:rPr>
              <w:t>Combined NPV (£m)</w:t>
            </w:r>
          </w:p>
        </w:tc>
        <w:tc>
          <w:tcPr>
            <w:tcW w:w="2025" w:type="dxa"/>
            <w:tcBorders>
              <w:top w:val="single" w:sz="6" w:space="0" w:color="CCCCCC"/>
              <w:left w:val="single" w:sz="6" w:space="0" w:color="CCCCCC"/>
              <w:bottom w:val="single" w:sz="6" w:space="0" w:color="000000"/>
              <w:right w:val="single" w:sz="6" w:space="0" w:color="000000"/>
            </w:tcBorders>
            <w:shd w:val="clear" w:color="auto" w:fill="CFE2F3"/>
            <w:tcMar>
              <w:top w:w="0" w:type="dxa"/>
              <w:left w:w="40" w:type="dxa"/>
              <w:bottom w:w="0" w:type="dxa"/>
              <w:right w:w="40" w:type="dxa"/>
            </w:tcMar>
            <w:vAlign w:val="bottom"/>
          </w:tcPr>
          <w:p w14:paraId="4F351704" w14:textId="77777777" w:rsidR="00E84532" w:rsidRDefault="00E90F46">
            <w:pPr>
              <w:widowControl w:val="0"/>
              <w:spacing w:line="276" w:lineRule="auto"/>
              <w:jc w:val="right"/>
              <w:rPr>
                <w:rFonts w:ascii="Calibri" w:eastAsia="Calibri" w:hAnsi="Calibri" w:cs="Calibri"/>
                <w:sz w:val="22"/>
                <w:szCs w:val="22"/>
              </w:rPr>
            </w:pPr>
            <w:r>
              <w:rPr>
                <w:rFonts w:ascii="Calibri" w:eastAsia="Calibri" w:hAnsi="Calibri" w:cs="Calibri"/>
                <w:sz w:val="22"/>
                <w:szCs w:val="22"/>
              </w:rPr>
              <w:t>-12.61</w:t>
            </w:r>
          </w:p>
        </w:tc>
        <w:tc>
          <w:tcPr>
            <w:tcW w:w="2025" w:type="dxa"/>
            <w:tcBorders>
              <w:top w:val="single" w:sz="6" w:space="0" w:color="CCCCCC"/>
              <w:left w:val="single" w:sz="6" w:space="0" w:color="CCCCCC"/>
              <w:bottom w:val="single" w:sz="6" w:space="0" w:color="000000"/>
              <w:right w:val="single" w:sz="6" w:space="0" w:color="000000"/>
            </w:tcBorders>
            <w:shd w:val="clear" w:color="auto" w:fill="CFE2F3"/>
            <w:tcMar>
              <w:top w:w="0" w:type="dxa"/>
              <w:left w:w="40" w:type="dxa"/>
              <w:bottom w:w="0" w:type="dxa"/>
              <w:right w:w="40" w:type="dxa"/>
            </w:tcMar>
            <w:vAlign w:val="bottom"/>
          </w:tcPr>
          <w:p w14:paraId="4F351705" w14:textId="77777777" w:rsidR="00E84532" w:rsidRDefault="00E90F46">
            <w:pPr>
              <w:widowControl w:val="0"/>
              <w:spacing w:line="276" w:lineRule="auto"/>
              <w:jc w:val="right"/>
              <w:rPr>
                <w:rFonts w:ascii="Calibri" w:eastAsia="Calibri" w:hAnsi="Calibri" w:cs="Calibri"/>
                <w:sz w:val="22"/>
                <w:szCs w:val="22"/>
              </w:rPr>
            </w:pPr>
            <w:r>
              <w:rPr>
                <w:rFonts w:ascii="Calibri" w:eastAsia="Calibri" w:hAnsi="Calibri" w:cs="Calibri"/>
                <w:sz w:val="22"/>
                <w:szCs w:val="22"/>
              </w:rPr>
              <w:t>-5.67</w:t>
            </w:r>
          </w:p>
        </w:tc>
        <w:tc>
          <w:tcPr>
            <w:tcW w:w="2820" w:type="dxa"/>
            <w:tcBorders>
              <w:top w:val="single" w:sz="6" w:space="0" w:color="CCCCCC"/>
              <w:left w:val="single" w:sz="6" w:space="0" w:color="CCCCCC"/>
              <w:bottom w:val="single" w:sz="6" w:space="0" w:color="000000"/>
              <w:right w:val="single" w:sz="6" w:space="0" w:color="000000"/>
            </w:tcBorders>
            <w:shd w:val="clear" w:color="auto" w:fill="CFE2F3"/>
            <w:tcMar>
              <w:top w:w="0" w:type="dxa"/>
              <w:left w:w="40" w:type="dxa"/>
              <w:bottom w:w="0" w:type="dxa"/>
              <w:right w:w="40" w:type="dxa"/>
            </w:tcMar>
            <w:vAlign w:val="bottom"/>
          </w:tcPr>
          <w:p w14:paraId="4F351706" w14:textId="77777777" w:rsidR="00E84532" w:rsidRDefault="00E90F46">
            <w:pPr>
              <w:widowControl w:val="0"/>
              <w:spacing w:line="276" w:lineRule="auto"/>
              <w:jc w:val="right"/>
              <w:rPr>
                <w:rFonts w:ascii="Calibri" w:eastAsia="Calibri" w:hAnsi="Calibri" w:cs="Calibri"/>
                <w:sz w:val="22"/>
                <w:szCs w:val="22"/>
              </w:rPr>
            </w:pPr>
            <w:r>
              <w:rPr>
                <w:rFonts w:ascii="Calibri" w:eastAsia="Calibri" w:hAnsi="Calibri" w:cs="Calibri"/>
                <w:sz w:val="22"/>
                <w:szCs w:val="22"/>
              </w:rPr>
              <w:t>-5.2</w:t>
            </w:r>
          </w:p>
        </w:tc>
      </w:tr>
      <w:tr w:rsidR="00E84532" w14:paraId="4F35170C" w14:textId="77777777">
        <w:trPr>
          <w:trHeight w:val="300"/>
        </w:trPr>
        <w:tc>
          <w:tcPr>
            <w:tcW w:w="2430" w:type="dxa"/>
            <w:tcBorders>
              <w:top w:val="single" w:sz="6" w:space="0" w:color="CCCCCC"/>
              <w:left w:val="single" w:sz="6" w:space="0" w:color="000000"/>
              <w:bottom w:val="single" w:sz="6" w:space="0" w:color="000000"/>
              <w:right w:val="single" w:sz="6" w:space="0" w:color="000000"/>
            </w:tcBorders>
            <w:shd w:val="clear" w:color="auto" w:fill="A2C4C9"/>
            <w:tcMar>
              <w:top w:w="0" w:type="dxa"/>
              <w:left w:w="40" w:type="dxa"/>
              <w:bottom w:w="0" w:type="dxa"/>
              <w:right w:w="40" w:type="dxa"/>
            </w:tcMar>
            <w:vAlign w:val="bottom"/>
          </w:tcPr>
          <w:p w14:paraId="4F351708" w14:textId="77777777" w:rsidR="00E84532" w:rsidRDefault="00E90F46">
            <w:pPr>
              <w:widowControl w:val="0"/>
              <w:spacing w:line="276" w:lineRule="auto"/>
              <w:jc w:val="left"/>
              <w:rPr>
                <w:rFonts w:ascii="Calibri" w:eastAsia="Calibri" w:hAnsi="Calibri" w:cs="Calibri"/>
                <w:sz w:val="22"/>
                <w:szCs w:val="22"/>
              </w:rPr>
            </w:pPr>
            <w:r>
              <w:rPr>
                <w:rFonts w:ascii="Calibri" w:eastAsia="Calibri" w:hAnsi="Calibri" w:cs="Calibri"/>
                <w:sz w:val="22"/>
                <w:szCs w:val="22"/>
              </w:rPr>
              <w:t>Total PV of Inflows (£m)</w:t>
            </w:r>
          </w:p>
        </w:tc>
        <w:tc>
          <w:tcPr>
            <w:tcW w:w="2025" w:type="dxa"/>
            <w:tcBorders>
              <w:top w:val="single" w:sz="6" w:space="0" w:color="CCCCCC"/>
              <w:left w:val="single" w:sz="6" w:space="0" w:color="CCCCCC"/>
              <w:bottom w:val="single" w:sz="6" w:space="0" w:color="000000"/>
              <w:right w:val="single" w:sz="6" w:space="0" w:color="000000"/>
            </w:tcBorders>
            <w:shd w:val="clear" w:color="auto" w:fill="A2C4C9"/>
            <w:tcMar>
              <w:top w:w="0" w:type="dxa"/>
              <w:left w:w="40" w:type="dxa"/>
              <w:bottom w:w="0" w:type="dxa"/>
              <w:right w:w="40" w:type="dxa"/>
            </w:tcMar>
            <w:vAlign w:val="bottom"/>
          </w:tcPr>
          <w:p w14:paraId="4F351709" w14:textId="77777777" w:rsidR="00E84532" w:rsidRDefault="00E90F46">
            <w:pPr>
              <w:widowControl w:val="0"/>
              <w:spacing w:line="276" w:lineRule="auto"/>
              <w:jc w:val="right"/>
              <w:rPr>
                <w:rFonts w:ascii="Calibri" w:eastAsia="Calibri" w:hAnsi="Calibri" w:cs="Calibri"/>
                <w:sz w:val="22"/>
                <w:szCs w:val="22"/>
              </w:rPr>
            </w:pPr>
            <w:r>
              <w:rPr>
                <w:rFonts w:ascii="Calibri" w:eastAsia="Calibri" w:hAnsi="Calibri" w:cs="Calibri"/>
                <w:sz w:val="22"/>
                <w:szCs w:val="22"/>
              </w:rPr>
              <w:t>87.39</w:t>
            </w:r>
          </w:p>
        </w:tc>
        <w:tc>
          <w:tcPr>
            <w:tcW w:w="2025" w:type="dxa"/>
            <w:tcBorders>
              <w:top w:val="single" w:sz="6" w:space="0" w:color="CCCCCC"/>
              <w:left w:val="single" w:sz="6" w:space="0" w:color="CCCCCC"/>
              <w:bottom w:val="single" w:sz="6" w:space="0" w:color="000000"/>
              <w:right w:val="single" w:sz="6" w:space="0" w:color="000000"/>
            </w:tcBorders>
            <w:shd w:val="clear" w:color="auto" w:fill="A2C4C9"/>
            <w:tcMar>
              <w:top w:w="0" w:type="dxa"/>
              <w:left w:w="40" w:type="dxa"/>
              <w:bottom w:w="0" w:type="dxa"/>
              <w:right w:w="40" w:type="dxa"/>
            </w:tcMar>
            <w:vAlign w:val="bottom"/>
          </w:tcPr>
          <w:p w14:paraId="4F35170A" w14:textId="77777777" w:rsidR="00E84532" w:rsidRDefault="00E90F46">
            <w:pPr>
              <w:widowControl w:val="0"/>
              <w:spacing w:line="276" w:lineRule="auto"/>
              <w:jc w:val="right"/>
              <w:rPr>
                <w:rFonts w:ascii="Calibri" w:eastAsia="Calibri" w:hAnsi="Calibri" w:cs="Calibri"/>
                <w:sz w:val="22"/>
                <w:szCs w:val="22"/>
              </w:rPr>
            </w:pPr>
            <w:r>
              <w:rPr>
                <w:rFonts w:ascii="Calibri" w:eastAsia="Calibri" w:hAnsi="Calibri" w:cs="Calibri"/>
                <w:sz w:val="22"/>
                <w:szCs w:val="22"/>
              </w:rPr>
              <w:t>94.33</w:t>
            </w:r>
          </w:p>
        </w:tc>
        <w:tc>
          <w:tcPr>
            <w:tcW w:w="2820" w:type="dxa"/>
            <w:tcBorders>
              <w:top w:val="single" w:sz="6" w:space="0" w:color="CCCCCC"/>
              <w:left w:val="single" w:sz="6" w:space="0" w:color="CCCCCC"/>
              <w:bottom w:val="single" w:sz="6" w:space="0" w:color="000000"/>
              <w:right w:val="single" w:sz="6" w:space="0" w:color="000000"/>
            </w:tcBorders>
            <w:shd w:val="clear" w:color="auto" w:fill="A2C4C9"/>
            <w:tcMar>
              <w:top w:w="0" w:type="dxa"/>
              <w:left w:w="40" w:type="dxa"/>
              <w:bottom w:w="0" w:type="dxa"/>
              <w:right w:w="40" w:type="dxa"/>
            </w:tcMar>
            <w:vAlign w:val="bottom"/>
          </w:tcPr>
          <w:p w14:paraId="4F35170B" w14:textId="77777777" w:rsidR="00E84532" w:rsidRDefault="00E90F46">
            <w:pPr>
              <w:widowControl w:val="0"/>
              <w:spacing w:line="276" w:lineRule="auto"/>
              <w:jc w:val="right"/>
              <w:rPr>
                <w:rFonts w:ascii="Calibri" w:eastAsia="Calibri" w:hAnsi="Calibri" w:cs="Calibri"/>
                <w:sz w:val="22"/>
                <w:szCs w:val="22"/>
              </w:rPr>
            </w:pPr>
            <w:r>
              <w:rPr>
                <w:rFonts w:ascii="Calibri" w:eastAsia="Calibri" w:hAnsi="Calibri" w:cs="Calibri"/>
                <w:sz w:val="22"/>
                <w:szCs w:val="22"/>
              </w:rPr>
              <w:t>94.8</w:t>
            </w:r>
          </w:p>
        </w:tc>
      </w:tr>
      <w:tr w:rsidR="00E84532" w14:paraId="4F351711" w14:textId="77777777">
        <w:trPr>
          <w:trHeight w:val="300"/>
        </w:trPr>
        <w:tc>
          <w:tcPr>
            <w:tcW w:w="2430" w:type="dxa"/>
            <w:tcBorders>
              <w:top w:val="single" w:sz="6" w:space="0" w:color="CCCCCC"/>
              <w:left w:val="single" w:sz="6" w:space="0" w:color="000000"/>
              <w:bottom w:val="single" w:sz="6" w:space="0" w:color="000000"/>
              <w:right w:val="single" w:sz="6" w:space="0" w:color="000000"/>
            </w:tcBorders>
            <w:shd w:val="clear" w:color="auto" w:fill="CFE2F3"/>
            <w:tcMar>
              <w:top w:w="0" w:type="dxa"/>
              <w:left w:w="40" w:type="dxa"/>
              <w:bottom w:w="0" w:type="dxa"/>
              <w:right w:w="40" w:type="dxa"/>
            </w:tcMar>
            <w:vAlign w:val="bottom"/>
          </w:tcPr>
          <w:p w14:paraId="4F35170D" w14:textId="77777777" w:rsidR="00E84532" w:rsidRDefault="00E90F46">
            <w:pPr>
              <w:widowControl w:val="0"/>
              <w:spacing w:line="276" w:lineRule="auto"/>
              <w:jc w:val="left"/>
              <w:rPr>
                <w:rFonts w:ascii="Calibri" w:eastAsia="Calibri" w:hAnsi="Calibri" w:cs="Calibri"/>
                <w:sz w:val="22"/>
                <w:szCs w:val="22"/>
              </w:rPr>
            </w:pPr>
            <w:r>
              <w:rPr>
                <w:rFonts w:ascii="Calibri" w:eastAsia="Calibri" w:hAnsi="Calibri" w:cs="Calibri"/>
                <w:sz w:val="22"/>
                <w:szCs w:val="22"/>
              </w:rPr>
              <w:t>Combined PI</w:t>
            </w:r>
          </w:p>
        </w:tc>
        <w:tc>
          <w:tcPr>
            <w:tcW w:w="2025" w:type="dxa"/>
            <w:tcBorders>
              <w:top w:val="single" w:sz="6" w:space="0" w:color="CCCCCC"/>
              <w:left w:val="single" w:sz="6" w:space="0" w:color="CCCCCC"/>
              <w:bottom w:val="single" w:sz="6" w:space="0" w:color="000000"/>
              <w:right w:val="single" w:sz="6" w:space="0" w:color="000000"/>
            </w:tcBorders>
            <w:shd w:val="clear" w:color="auto" w:fill="CFE2F3"/>
            <w:tcMar>
              <w:top w:w="0" w:type="dxa"/>
              <w:left w:w="40" w:type="dxa"/>
              <w:bottom w:w="0" w:type="dxa"/>
              <w:right w:w="40" w:type="dxa"/>
            </w:tcMar>
            <w:vAlign w:val="bottom"/>
          </w:tcPr>
          <w:p w14:paraId="4F35170E" w14:textId="77777777" w:rsidR="00E84532" w:rsidRDefault="00E90F46">
            <w:pPr>
              <w:widowControl w:val="0"/>
              <w:spacing w:line="276" w:lineRule="auto"/>
              <w:jc w:val="right"/>
              <w:rPr>
                <w:rFonts w:ascii="Calibri" w:eastAsia="Calibri" w:hAnsi="Calibri" w:cs="Calibri"/>
                <w:sz w:val="22"/>
                <w:szCs w:val="22"/>
              </w:rPr>
            </w:pPr>
            <w:r>
              <w:rPr>
                <w:rFonts w:ascii="Calibri" w:eastAsia="Calibri" w:hAnsi="Calibri" w:cs="Calibri"/>
                <w:sz w:val="22"/>
                <w:szCs w:val="22"/>
              </w:rPr>
              <w:t>0.87</w:t>
            </w:r>
          </w:p>
        </w:tc>
        <w:tc>
          <w:tcPr>
            <w:tcW w:w="2025" w:type="dxa"/>
            <w:tcBorders>
              <w:top w:val="single" w:sz="6" w:space="0" w:color="CCCCCC"/>
              <w:left w:val="single" w:sz="6" w:space="0" w:color="CCCCCC"/>
              <w:bottom w:val="single" w:sz="6" w:space="0" w:color="000000"/>
              <w:right w:val="single" w:sz="6" w:space="0" w:color="000000"/>
            </w:tcBorders>
            <w:shd w:val="clear" w:color="auto" w:fill="CFE2F3"/>
            <w:tcMar>
              <w:top w:w="0" w:type="dxa"/>
              <w:left w:w="40" w:type="dxa"/>
              <w:bottom w:w="0" w:type="dxa"/>
              <w:right w:w="40" w:type="dxa"/>
            </w:tcMar>
            <w:vAlign w:val="bottom"/>
          </w:tcPr>
          <w:p w14:paraId="4F35170F" w14:textId="77777777" w:rsidR="00E84532" w:rsidRDefault="00E90F46">
            <w:pPr>
              <w:widowControl w:val="0"/>
              <w:spacing w:line="276" w:lineRule="auto"/>
              <w:jc w:val="right"/>
              <w:rPr>
                <w:rFonts w:ascii="Calibri" w:eastAsia="Calibri" w:hAnsi="Calibri" w:cs="Calibri"/>
                <w:sz w:val="22"/>
                <w:szCs w:val="22"/>
              </w:rPr>
            </w:pPr>
            <w:r>
              <w:rPr>
                <w:rFonts w:ascii="Calibri" w:eastAsia="Calibri" w:hAnsi="Calibri" w:cs="Calibri"/>
                <w:sz w:val="22"/>
                <w:szCs w:val="22"/>
              </w:rPr>
              <w:t>0.94</w:t>
            </w:r>
          </w:p>
        </w:tc>
        <w:tc>
          <w:tcPr>
            <w:tcW w:w="2820" w:type="dxa"/>
            <w:tcBorders>
              <w:top w:val="single" w:sz="6" w:space="0" w:color="CCCCCC"/>
              <w:left w:val="single" w:sz="6" w:space="0" w:color="CCCCCC"/>
              <w:bottom w:val="single" w:sz="6" w:space="0" w:color="000000"/>
              <w:right w:val="single" w:sz="6" w:space="0" w:color="000000"/>
            </w:tcBorders>
            <w:shd w:val="clear" w:color="auto" w:fill="CFE2F3"/>
            <w:tcMar>
              <w:top w:w="0" w:type="dxa"/>
              <w:left w:w="40" w:type="dxa"/>
              <w:bottom w:w="0" w:type="dxa"/>
              <w:right w:w="40" w:type="dxa"/>
            </w:tcMar>
            <w:vAlign w:val="bottom"/>
          </w:tcPr>
          <w:p w14:paraId="4F351710" w14:textId="77777777" w:rsidR="00E84532" w:rsidRDefault="00E90F46">
            <w:pPr>
              <w:widowControl w:val="0"/>
              <w:spacing w:line="276" w:lineRule="auto"/>
              <w:jc w:val="right"/>
              <w:rPr>
                <w:rFonts w:ascii="Calibri" w:eastAsia="Calibri" w:hAnsi="Calibri" w:cs="Calibri"/>
                <w:sz w:val="22"/>
                <w:szCs w:val="22"/>
              </w:rPr>
            </w:pPr>
            <w:r>
              <w:rPr>
                <w:rFonts w:ascii="Calibri" w:eastAsia="Calibri" w:hAnsi="Calibri" w:cs="Calibri"/>
                <w:sz w:val="22"/>
                <w:szCs w:val="22"/>
              </w:rPr>
              <w:t>0.95</w:t>
            </w:r>
          </w:p>
        </w:tc>
      </w:tr>
      <w:tr w:rsidR="00E84532" w14:paraId="4F351716" w14:textId="77777777">
        <w:trPr>
          <w:trHeight w:val="300"/>
        </w:trPr>
        <w:tc>
          <w:tcPr>
            <w:tcW w:w="2430" w:type="dxa"/>
            <w:tcBorders>
              <w:top w:val="single" w:sz="6" w:space="0" w:color="CCCCCC"/>
              <w:left w:val="single" w:sz="6" w:space="0" w:color="000000"/>
              <w:bottom w:val="single" w:sz="6" w:space="0" w:color="000000"/>
              <w:right w:val="single" w:sz="6" w:space="0" w:color="000000"/>
            </w:tcBorders>
            <w:shd w:val="clear" w:color="auto" w:fill="A2C4C9"/>
            <w:tcMar>
              <w:top w:w="0" w:type="dxa"/>
              <w:left w:w="40" w:type="dxa"/>
              <w:bottom w:w="0" w:type="dxa"/>
              <w:right w:w="40" w:type="dxa"/>
            </w:tcMar>
            <w:vAlign w:val="bottom"/>
          </w:tcPr>
          <w:p w14:paraId="4F351712" w14:textId="77777777" w:rsidR="00E84532" w:rsidRDefault="00E90F46">
            <w:pPr>
              <w:widowControl w:val="0"/>
              <w:spacing w:line="276" w:lineRule="auto"/>
              <w:jc w:val="left"/>
              <w:rPr>
                <w:rFonts w:ascii="Calibri" w:eastAsia="Calibri" w:hAnsi="Calibri" w:cs="Calibri"/>
                <w:sz w:val="22"/>
                <w:szCs w:val="22"/>
              </w:rPr>
            </w:pPr>
            <w:r>
              <w:rPr>
                <w:rFonts w:ascii="Calibri" w:eastAsia="Calibri" w:hAnsi="Calibri" w:cs="Calibri"/>
                <w:sz w:val="22"/>
                <w:szCs w:val="22"/>
              </w:rPr>
              <w:t>Capital Budget (£m)</w:t>
            </w:r>
          </w:p>
        </w:tc>
        <w:tc>
          <w:tcPr>
            <w:tcW w:w="2025" w:type="dxa"/>
            <w:tcBorders>
              <w:top w:val="single" w:sz="6" w:space="0" w:color="CCCCCC"/>
              <w:left w:val="single" w:sz="6" w:space="0" w:color="CCCCCC"/>
              <w:bottom w:val="single" w:sz="6" w:space="0" w:color="000000"/>
              <w:right w:val="single" w:sz="6" w:space="0" w:color="000000"/>
            </w:tcBorders>
            <w:shd w:val="clear" w:color="auto" w:fill="A2C4C9"/>
            <w:tcMar>
              <w:top w:w="0" w:type="dxa"/>
              <w:left w:w="40" w:type="dxa"/>
              <w:bottom w:w="0" w:type="dxa"/>
              <w:right w:w="40" w:type="dxa"/>
            </w:tcMar>
            <w:vAlign w:val="bottom"/>
          </w:tcPr>
          <w:p w14:paraId="4F351713" w14:textId="77777777" w:rsidR="00E84532" w:rsidRDefault="00E90F46">
            <w:pPr>
              <w:widowControl w:val="0"/>
              <w:spacing w:line="276" w:lineRule="auto"/>
              <w:jc w:val="right"/>
              <w:rPr>
                <w:rFonts w:ascii="Calibri" w:eastAsia="Calibri" w:hAnsi="Calibri" w:cs="Calibri"/>
                <w:sz w:val="22"/>
                <w:szCs w:val="22"/>
              </w:rPr>
            </w:pPr>
            <w:r>
              <w:rPr>
                <w:rFonts w:ascii="Calibri" w:eastAsia="Calibri" w:hAnsi="Calibri" w:cs="Calibri"/>
                <w:sz w:val="22"/>
                <w:szCs w:val="22"/>
              </w:rPr>
              <w:t>100</w:t>
            </w:r>
          </w:p>
        </w:tc>
        <w:tc>
          <w:tcPr>
            <w:tcW w:w="2025" w:type="dxa"/>
            <w:tcBorders>
              <w:top w:val="single" w:sz="6" w:space="0" w:color="CCCCCC"/>
              <w:left w:val="single" w:sz="6" w:space="0" w:color="CCCCCC"/>
              <w:bottom w:val="single" w:sz="6" w:space="0" w:color="000000"/>
              <w:right w:val="single" w:sz="6" w:space="0" w:color="000000"/>
            </w:tcBorders>
            <w:shd w:val="clear" w:color="auto" w:fill="A2C4C9"/>
            <w:tcMar>
              <w:top w:w="0" w:type="dxa"/>
              <w:left w:w="40" w:type="dxa"/>
              <w:bottom w:w="0" w:type="dxa"/>
              <w:right w:w="40" w:type="dxa"/>
            </w:tcMar>
            <w:vAlign w:val="bottom"/>
          </w:tcPr>
          <w:p w14:paraId="4F351714" w14:textId="77777777" w:rsidR="00E84532" w:rsidRDefault="00E90F46">
            <w:pPr>
              <w:widowControl w:val="0"/>
              <w:spacing w:line="276" w:lineRule="auto"/>
              <w:jc w:val="right"/>
              <w:rPr>
                <w:rFonts w:ascii="Calibri" w:eastAsia="Calibri" w:hAnsi="Calibri" w:cs="Calibri"/>
                <w:sz w:val="22"/>
                <w:szCs w:val="22"/>
              </w:rPr>
            </w:pPr>
            <w:r>
              <w:rPr>
                <w:rFonts w:ascii="Calibri" w:eastAsia="Calibri" w:hAnsi="Calibri" w:cs="Calibri"/>
                <w:sz w:val="22"/>
                <w:szCs w:val="22"/>
              </w:rPr>
              <w:t>100</w:t>
            </w:r>
          </w:p>
        </w:tc>
        <w:tc>
          <w:tcPr>
            <w:tcW w:w="2820" w:type="dxa"/>
            <w:tcBorders>
              <w:top w:val="single" w:sz="6" w:space="0" w:color="CCCCCC"/>
              <w:left w:val="single" w:sz="6" w:space="0" w:color="CCCCCC"/>
              <w:bottom w:val="single" w:sz="6" w:space="0" w:color="000000"/>
              <w:right w:val="single" w:sz="6" w:space="0" w:color="000000"/>
            </w:tcBorders>
            <w:shd w:val="clear" w:color="auto" w:fill="A2C4C9"/>
            <w:tcMar>
              <w:top w:w="0" w:type="dxa"/>
              <w:left w:w="40" w:type="dxa"/>
              <w:bottom w:w="0" w:type="dxa"/>
              <w:right w:w="40" w:type="dxa"/>
            </w:tcMar>
            <w:vAlign w:val="bottom"/>
          </w:tcPr>
          <w:p w14:paraId="4F351715" w14:textId="77777777" w:rsidR="00E84532" w:rsidRDefault="00E90F46">
            <w:pPr>
              <w:widowControl w:val="0"/>
              <w:spacing w:line="276" w:lineRule="auto"/>
              <w:jc w:val="right"/>
              <w:rPr>
                <w:rFonts w:ascii="Calibri" w:eastAsia="Calibri" w:hAnsi="Calibri" w:cs="Calibri"/>
                <w:sz w:val="22"/>
                <w:szCs w:val="22"/>
              </w:rPr>
            </w:pPr>
            <w:r>
              <w:rPr>
                <w:rFonts w:ascii="Calibri" w:eastAsia="Calibri" w:hAnsi="Calibri" w:cs="Calibri"/>
                <w:sz w:val="22"/>
                <w:szCs w:val="22"/>
              </w:rPr>
              <w:t>100</w:t>
            </w:r>
          </w:p>
        </w:tc>
      </w:tr>
      <w:tr w:rsidR="00E84532" w14:paraId="4F35171B" w14:textId="77777777">
        <w:trPr>
          <w:trHeight w:val="300"/>
        </w:trPr>
        <w:tc>
          <w:tcPr>
            <w:tcW w:w="2430" w:type="dxa"/>
            <w:tcBorders>
              <w:top w:val="single" w:sz="6" w:space="0" w:color="CCCCCC"/>
              <w:left w:val="single" w:sz="6" w:space="0" w:color="000000"/>
              <w:bottom w:val="single" w:sz="6" w:space="0" w:color="000000"/>
              <w:right w:val="single" w:sz="6" w:space="0" w:color="000000"/>
            </w:tcBorders>
            <w:shd w:val="clear" w:color="auto" w:fill="CFE2F3"/>
            <w:tcMar>
              <w:top w:w="0" w:type="dxa"/>
              <w:left w:w="40" w:type="dxa"/>
              <w:bottom w:w="0" w:type="dxa"/>
              <w:right w:w="40" w:type="dxa"/>
            </w:tcMar>
            <w:vAlign w:val="bottom"/>
          </w:tcPr>
          <w:p w14:paraId="4F351717" w14:textId="77777777" w:rsidR="00E84532" w:rsidRDefault="00E90F46">
            <w:pPr>
              <w:widowControl w:val="0"/>
              <w:spacing w:line="276" w:lineRule="auto"/>
              <w:jc w:val="left"/>
              <w:rPr>
                <w:rFonts w:ascii="Calibri" w:eastAsia="Calibri" w:hAnsi="Calibri" w:cs="Calibri"/>
                <w:sz w:val="22"/>
                <w:szCs w:val="22"/>
              </w:rPr>
            </w:pPr>
            <w:r>
              <w:rPr>
                <w:rFonts w:ascii="Calibri" w:eastAsia="Calibri" w:hAnsi="Calibri" w:cs="Calibri"/>
                <w:sz w:val="22"/>
                <w:szCs w:val="22"/>
              </w:rPr>
              <w:t>Unused Capital (£m)</w:t>
            </w:r>
          </w:p>
        </w:tc>
        <w:tc>
          <w:tcPr>
            <w:tcW w:w="2025" w:type="dxa"/>
            <w:tcBorders>
              <w:top w:val="single" w:sz="6" w:space="0" w:color="CCCCCC"/>
              <w:left w:val="single" w:sz="6" w:space="0" w:color="CCCCCC"/>
              <w:bottom w:val="single" w:sz="6" w:space="0" w:color="000000"/>
              <w:right w:val="single" w:sz="6" w:space="0" w:color="000000"/>
            </w:tcBorders>
            <w:shd w:val="clear" w:color="auto" w:fill="CFE2F3"/>
            <w:tcMar>
              <w:top w:w="0" w:type="dxa"/>
              <w:left w:w="40" w:type="dxa"/>
              <w:bottom w:w="0" w:type="dxa"/>
              <w:right w:w="40" w:type="dxa"/>
            </w:tcMar>
            <w:vAlign w:val="bottom"/>
          </w:tcPr>
          <w:p w14:paraId="4F351718" w14:textId="77777777" w:rsidR="00E84532" w:rsidRDefault="00E90F46">
            <w:pPr>
              <w:widowControl w:val="0"/>
              <w:spacing w:line="276" w:lineRule="auto"/>
              <w:jc w:val="right"/>
              <w:rPr>
                <w:rFonts w:ascii="Calibri" w:eastAsia="Calibri" w:hAnsi="Calibri" w:cs="Calibri"/>
                <w:sz w:val="22"/>
                <w:szCs w:val="22"/>
              </w:rPr>
            </w:pPr>
            <w:r>
              <w:rPr>
                <w:rFonts w:ascii="Calibri" w:eastAsia="Calibri" w:hAnsi="Calibri" w:cs="Calibri"/>
                <w:sz w:val="22"/>
                <w:szCs w:val="22"/>
              </w:rPr>
              <w:t>0</w:t>
            </w:r>
          </w:p>
        </w:tc>
        <w:tc>
          <w:tcPr>
            <w:tcW w:w="2025" w:type="dxa"/>
            <w:tcBorders>
              <w:top w:val="single" w:sz="6" w:space="0" w:color="CCCCCC"/>
              <w:left w:val="single" w:sz="6" w:space="0" w:color="CCCCCC"/>
              <w:bottom w:val="single" w:sz="6" w:space="0" w:color="000000"/>
              <w:right w:val="single" w:sz="6" w:space="0" w:color="000000"/>
            </w:tcBorders>
            <w:shd w:val="clear" w:color="auto" w:fill="CFE2F3"/>
            <w:tcMar>
              <w:top w:w="0" w:type="dxa"/>
              <w:left w:w="40" w:type="dxa"/>
              <w:bottom w:w="0" w:type="dxa"/>
              <w:right w:w="40" w:type="dxa"/>
            </w:tcMar>
            <w:vAlign w:val="bottom"/>
          </w:tcPr>
          <w:p w14:paraId="4F351719" w14:textId="77777777" w:rsidR="00E84532" w:rsidRDefault="00E90F46">
            <w:pPr>
              <w:widowControl w:val="0"/>
              <w:spacing w:line="276" w:lineRule="auto"/>
              <w:jc w:val="right"/>
              <w:rPr>
                <w:rFonts w:ascii="Calibri" w:eastAsia="Calibri" w:hAnsi="Calibri" w:cs="Calibri"/>
                <w:sz w:val="22"/>
                <w:szCs w:val="22"/>
              </w:rPr>
            </w:pPr>
            <w:r>
              <w:rPr>
                <w:rFonts w:ascii="Calibri" w:eastAsia="Calibri" w:hAnsi="Calibri" w:cs="Calibri"/>
                <w:sz w:val="22"/>
                <w:szCs w:val="22"/>
              </w:rPr>
              <w:t>0</w:t>
            </w:r>
          </w:p>
        </w:tc>
        <w:tc>
          <w:tcPr>
            <w:tcW w:w="2820" w:type="dxa"/>
            <w:tcBorders>
              <w:top w:val="single" w:sz="6" w:space="0" w:color="CCCCCC"/>
              <w:left w:val="single" w:sz="6" w:space="0" w:color="CCCCCC"/>
              <w:bottom w:val="single" w:sz="6" w:space="0" w:color="000000"/>
              <w:right w:val="single" w:sz="6" w:space="0" w:color="000000"/>
            </w:tcBorders>
            <w:shd w:val="clear" w:color="auto" w:fill="CFE2F3"/>
            <w:tcMar>
              <w:top w:w="0" w:type="dxa"/>
              <w:left w:w="40" w:type="dxa"/>
              <w:bottom w:w="0" w:type="dxa"/>
              <w:right w:w="40" w:type="dxa"/>
            </w:tcMar>
            <w:vAlign w:val="bottom"/>
          </w:tcPr>
          <w:p w14:paraId="4F35171A" w14:textId="77777777" w:rsidR="00E84532" w:rsidRDefault="00E90F46">
            <w:pPr>
              <w:widowControl w:val="0"/>
              <w:spacing w:line="276" w:lineRule="auto"/>
              <w:jc w:val="right"/>
              <w:rPr>
                <w:rFonts w:ascii="Calibri" w:eastAsia="Calibri" w:hAnsi="Calibri" w:cs="Calibri"/>
                <w:sz w:val="22"/>
                <w:szCs w:val="22"/>
              </w:rPr>
            </w:pPr>
            <w:r>
              <w:rPr>
                <w:rFonts w:ascii="Calibri" w:eastAsia="Calibri" w:hAnsi="Calibri" w:cs="Calibri"/>
                <w:sz w:val="22"/>
                <w:szCs w:val="22"/>
              </w:rPr>
              <w:t>0</w:t>
            </w:r>
          </w:p>
        </w:tc>
      </w:tr>
      <w:tr w:rsidR="00E84532" w14:paraId="4F351720" w14:textId="77777777">
        <w:trPr>
          <w:trHeight w:val="300"/>
        </w:trPr>
        <w:tc>
          <w:tcPr>
            <w:tcW w:w="2430" w:type="dxa"/>
            <w:tcBorders>
              <w:top w:val="single" w:sz="6" w:space="0" w:color="CCCCCC"/>
              <w:left w:val="single" w:sz="6" w:space="0" w:color="000000"/>
              <w:bottom w:val="single" w:sz="6" w:space="0" w:color="000000"/>
              <w:right w:val="single" w:sz="6" w:space="0" w:color="000000"/>
            </w:tcBorders>
            <w:shd w:val="clear" w:color="auto" w:fill="A2C4C9"/>
            <w:tcMar>
              <w:top w:w="0" w:type="dxa"/>
              <w:left w:w="40" w:type="dxa"/>
              <w:bottom w:w="0" w:type="dxa"/>
              <w:right w:w="40" w:type="dxa"/>
            </w:tcMar>
            <w:vAlign w:val="bottom"/>
          </w:tcPr>
          <w:p w14:paraId="4F35171C" w14:textId="77777777" w:rsidR="00E84532" w:rsidRDefault="00E90F46">
            <w:pPr>
              <w:widowControl w:val="0"/>
              <w:spacing w:line="276" w:lineRule="auto"/>
              <w:jc w:val="left"/>
              <w:rPr>
                <w:rFonts w:ascii="Calibri" w:eastAsia="Calibri" w:hAnsi="Calibri" w:cs="Calibri"/>
                <w:sz w:val="22"/>
                <w:szCs w:val="22"/>
              </w:rPr>
            </w:pPr>
            <w:r>
              <w:rPr>
                <w:rFonts w:ascii="Calibri" w:eastAsia="Calibri" w:hAnsi="Calibri" w:cs="Calibri"/>
                <w:sz w:val="22"/>
                <w:szCs w:val="22"/>
              </w:rPr>
              <w:t>Capital Rationing Rank</w:t>
            </w:r>
          </w:p>
        </w:tc>
        <w:tc>
          <w:tcPr>
            <w:tcW w:w="2025" w:type="dxa"/>
            <w:tcBorders>
              <w:top w:val="single" w:sz="6" w:space="0" w:color="CCCCCC"/>
              <w:left w:val="single" w:sz="6" w:space="0" w:color="CCCCCC"/>
              <w:bottom w:val="single" w:sz="6" w:space="0" w:color="000000"/>
              <w:right w:val="single" w:sz="6" w:space="0" w:color="000000"/>
            </w:tcBorders>
            <w:shd w:val="clear" w:color="auto" w:fill="A2C4C9"/>
            <w:tcMar>
              <w:top w:w="0" w:type="dxa"/>
              <w:left w:w="40" w:type="dxa"/>
              <w:bottom w:w="0" w:type="dxa"/>
              <w:right w:w="40" w:type="dxa"/>
            </w:tcMar>
            <w:vAlign w:val="bottom"/>
          </w:tcPr>
          <w:p w14:paraId="4F35171D" w14:textId="77777777" w:rsidR="00E84532" w:rsidRDefault="00E90F46">
            <w:pPr>
              <w:widowControl w:val="0"/>
              <w:spacing w:line="276" w:lineRule="auto"/>
              <w:jc w:val="left"/>
              <w:rPr>
                <w:rFonts w:ascii="Calibri" w:eastAsia="Calibri" w:hAnsi="Calibri" w:cs="Calibri"/>
                <w:sz w:val="22"/>
                <w:szCs w:val="22"/>
              </w:rPr>
            </w:pPr>
            <w:r>
              <w:rPr>
                <w:rFonts w:ascii="Calibri" w:eastAsia="Calibri" w:hAnsi="Calibri" w:cs="Calibri"/>
                <w:sz w:val="22"/>
                <w:szCs w:val="22"/>
              </w:rPr>
              <w:t>3rd</w:t>
            </w:r>
          </w:p>
        </w:tc>
        <w:tc>
          <w:tcPr>
            <w:tcW w:w="2025" w:type="dxa"/>
            <w:tcBorders>
              <w:top w:val="single" w:sz="6" w:space="0" w:color="CCCCCC"/>
              <w:left w:val="single" w:sz="6" w:space="0" w:color="CCCCCC"/>
              <w:bottom w:val="single" w:sz="6" w:space="0" w:color="000000"/>
              <w:right w:val="single" w:sz="6" w:space="0" w:color="000000"/>
            </w:tcBorders>
            <w:shd w:val="clear" w:color="auto" w:fill="A2C4C9"/>
            <w:tcMar>
              <w:top w:w="0" w:type="dxa"/>
              <w:left w:w="40" w:type="dxa"/>
              <w:bottom w:w="0" w:type="dxa"/>
              <w:right w:w="40" w:type="dxa"/>
            </w:tcMar>
            <w:vAlign w:val="bottom"/>
          </w:tcPr>
          <w:p w14:paraId="4F35171E" w14:textId="77777777" w:rsidR="00E84532" w:rsidRDefault="00E90F46">
            <w:pPr>
              <w:widowControl w:val="0"/>
              <w:spacing w:line="276" w:lineRule="auto"/>
              <w:jc w:val="left"/>
              <w:rPr>
                <w:rFonts w:ascii="Calibri" w:eastAsia="Calibri" w:hAnsi="Calibri" w:cs="Calibri"/>
                <w:sz w:val="22"/>
                <w:szCs w:val="22"/>
              </w:rPr>
            </w:pPr>
            <w:r>
              <w:rPr>
                <w:rFonts w:ascii="Calibri" w:eastAsia="Calibri" w:hAnsi="Calibri" w:cs="Calibri"/>
                <w:sz w:val="22"/>
                <w:szCs w:val="22"/>
              </w:rPr>
              <w:t>2nd</w:t>
            </w:r>
          </w:p>
        </w:tc>
        <w:tc>
          <w:tcPr>
            <w:tcW w:w="2820" w:type="dxa"/>
            <w:tcBorders>
              <w:top w:val="single" w:sz="6" w:space="0" w:color="CCCCCC"/>
              <w:left w:val="single" w:sz="6" w:space="0" w:color="CCCCCC"/>
              <w:bottom w:val="single" w:sz="6" w:space="0" w:color="000000"/>
              <w:right w:val="single" w:sz="6" w:space="0" w:color="000000"/>
            </w:tcBorders>
            <w:shd w:val="clear" w:color="auto" w:fill="A2C4C9"/>
            <w:tcMar>
              <w:top w:w="0" w:type="dxa"/>
              <w:left w:w="40" w:type="dxa"/>
              <w:bottom w:w="0" w:type="dxa"/>
              <w:right w:w="40" w:type="dxa"/>
            </w:tcMar>
            <w:vAlign w:val="bottom"/>
          </w:tcPr>
          <w:p w14:paraId="4F35171F" w14:textId="77777777" w:rsidR="00E84532" w:rsidRDefault="00E90F46">
            <w:pPr>
              <w:widowControl w:val="0"/>
              <w:spacing w:line="276" w:lineRule="auto"/>
              <w:jc w:val="left"/>
              <w:rPr>
                <w:rFonts w:ascii="Calibri" w:eastAsia="Calibri" w:hAnsi="Calibri" w:cs="Calibri"/>
                <w:sz w:val="22"/>
                <w:szCs w:val="22"/>
              </w:rPr>
            </w:pPr>
            <w:r>
              <w:rPr>
                <w:rFonts w:ascii="Calibri" w:eastAsia="Calibri" w:hAnsi="Calibri" w:cs="Calibri"/>
                <w:sz w:val="22"/>
                <w:szCs w:val="22"/>
              </w:rPr>
              <w:t>1st</w:t>
            </w:r>
          </w:p>
        </w:tc>
      </w:tr>
      <w:tr w:rsidR="00E84532" w14:paraId="4F351725" w14:textId="77777777">
        <w:trPr>
          <w:trHeight w:val="300"/>
        </w:trPr>
        <w:tc>
          <w:tcPr>
            <w:tcW w:w="2430" w:type="dxa"/>
            <w:tcBorders>
              <w:top w:val="single" w:sz="6" w:space="0" w:color="CCCCCC"/>
              <w:left w:val="single" w:sz="6" w:space="0" w:color="000000"/>
              <w:bottom w:val="single" w:sz="6" w:space="0" w:color="000000"/>
              <w:right w:val="single" w:sz="6" w:space="0" w:color="000000"/>
            </w:tcBorders>
            <w:shd w:val="clear" w:color="auto" w:fill="CFE2F3"/>
            <w:tcMar>
              <w:top w:w="0" w:type="dxa"/>
              <w:left w:w="40" w:type="dxa"/>
              <w:bottom w:w="0" w:type="dxa"/>
              <w:right w:w="40" w:type="dxa"/>
            </w:tcMar>
            <w:vAlign w:val="bottom"/>
          </w:tcPr>
          <w:p w14:paraId="4F351721" w14:textId="77777777" w:rsidR="00E84532" w:rsidRDefault="00E90F46">
            <w:pPr>
              <w:widowControl w:val="0"/>
              <w:spacing w:line="276" w:lineRule="auto"/>
              <w:jc w:val="left"/>
              <w:rPr>
                <w:rFonts w:ascii="Calibri" w:eastAsia="Calibri" w:hAnsi="Calibri" w:cs="Calibri"/>
                <w:sz w:val="22"/>
                <w:szCs w:val="22"/>
              </w:rPr>
            </w:pPr>
            <w:r>
              <w:rPr>
                <w:rFonts w:ascii="Calibri" w:eastAsia="Calibri" w:hAnsi="Calibri" w:cs="Calibri"/>
                <w:sz w:val="22"/>
                <w:szCs w:val="22"/>
              </w:rPr>
              <w:t>Decision</w:t>
            </w:r>
          </w:p>
        </w:tc>
        <w:tc>
          <w:tcPr>
            <w:tcW w:w="2025" w:type="dxa"/>
            <w:tcBorders>
              <w:top w:val="single" w:sz="6" w:space="0" w:color="CCCCCC"/>
              <w:left w:val="single" w:sz="6" w:space="0" w:color="CCCCCC"/>
              <w:bottom w:val="single" w:sz="6" w:space="0" w:color="000000"/>
              <w:right w:val="single" w:sz="6" w:space="0" w:color="000000"/>
            </w:tcBorders>
            <w:shd w:val="clear" w:color="auto" w:fill="CFE2F3"/>
            <w:tcMar>
              <w:top w:w="0" w:type="dxa"/>
              <w:left w:w="40" w:type="dxa"/>
              <w:bottom w:w="0" w:type="dxa"/>
              <w:right w:w="40" w:type="dxa"/>
            </w:tcMar>
            <w:vAlign w:val="bottom"/>
          </w:tcPr>
          <w:p w14:paraId="4F351722" w14:textId="77777777" w:rsidR="00E84532" w:rsidRDefault="00E90F46">
            <w:pPr>
              <w:widowControl w:val="0"/>
              <w:spacing w:line="276" w:lineRule="auto"/>
              <w:jc w:val="left"/>
              <w:rPr>
                <w:rFonts w:ascii="Calibri" w:eastAsia="Calibri" w:hAnsi="Calibri" w:cs="Calibri"/>
                <w:sz w:val="22"/>
                <w:szCs w:val="22"/>
              </w:rPr>
            </w:pPr>
            <w:r>
              <w:rPr>
                <w:rFonts w:ascii="Calibri" w:eastAsia="Calibri" w:hAnsi="Calibri" w:cs="Calibri"/>
                <w:sz w:val="22"/>
                <w:szCs w:val="22"/>
              </w:rPr>
              <w:t>Reject</w:t>
            </w:r>
          </w:p>
        </w:tc>
        <w:tc>
          <w:tcPr>
            <w:tcW w:w="2025" w:type="dxa"/>
            <w:tcBorders>
              <w:top w:val="single" w:sz="6" w:space="0" w:color="CCCCCC"/>
              <w:left w:val="single" w:sz="6" w:space="0" w:color="CCCCCC"/>
              <w:bottom w:val="single" w:sz="6" w:space="0" w:color="000000"/>
              <w:right w:val="single" w:sz="6" w:space="0" w:color="000000"/>
            </w:tcBorders>
            <w:shd w:val="clear" w:color="auto" w:fill="CFE2F3"/>
            <w:tcMar>
              <w:top w:w="0" w:type="dxa"/>
              <w:left w:w="40" w:type="dxa"/>
              <w:bottom w:w="0" w:type="dxa"/>
              <w:right w:w="40" w:type="dxa"/>
            </w:tcMar>
            <w:vAlign w:val="bottom"/>
          </w:tcPr>
          <w:p w14:paraId="4F351723" w14:textId="77777777" w:rsidR="00E84532" w:rsidRDefault="00E90F46">
            <w:pPr>
              <w:widowControl w:val="0"/>
              <w:spacing w:line="276" w:lineRule="auto"/>
              <w:jc w:val="left"/>
              <w:rPr>
                <w:rFonts w:ascii="Calibri" w:eastAsia="Calibri" w:hAnsi="Calibri" w:cs="Calibri"/>
                <w:sz w:val="22"/>
                <w:szCs w:val="22"/>
              </w:rPr>
            </w:pPr>
            <w:r>
              <w:rPr>
                <w:rFonts w:ascii="Calibri" w:eastAsia="Calibri" w:hAnsi="Calibri" w:cs="Calibri"/>
                <w:sz w:val="22"/>
                <w:szCs w:val="22"/>
              </w:rPr>
              <w:t>Reject</w:t>
            </w:r>
          </w:p>
        </w:tc>
        <w:tc>
          <w:tcPr>
            <w:tcW w:w="2820" w:type="dxa"/>
            <w:tcBorders>
              <w:top w:val="single" w:sz="6" w:space="0" w:color="CCCCCC"/>
              <w:left w:val="single" w:sz="6" w:space="0" w:color="CCCCCC"/>
              <w:bottom w:val="single" w:sz="6" w:space="0" w:color="000000"/>
              <w:right w:val="single" w:sz="6" w:space="0" w:color="000000"/>
            </w:tcBorders>
            <w:shd w:val="clear" w:color="auto" w:fill="CFE2F3"/>
            <w:tcMar>
              <w:top w:w="0" w:type="dxa"/>
              <w:left w:w="40" w:type="dxa"/>
              <w:bottom w:w="0" w:type="dxa"/>
              <w:right w:w="40" w:type="dxa"/>
            </w:tcMar>
            <w:vAlign w:val="bottom"/>
          </w:tcPr>
          <w:p w14:paraId="4F351724" w14:textId="77777777" w:rsidR="00E84532" w:rsidRDefault="00E90F46">
            <w:pPr>
              <w:widowControl w:val="0"/>
              <w:spacing w:line="276" w:lineRule="auto"/>
              <w:jc w:val="left"/>
              <w:rPr>
                <w:rFonts w:ascii="Calibri" w:eastAsia="Calibri" w:hAnsi="Calibri" w:cs="Calibri"/>
                <w:sz w:val="22"/>
                <w:szCs w:val="22"/>
              </w:rPr>
            </w:pPr>
            <w:r>
              <w:rPr>
                <w:rFonts w:ascii="Calibri" w:eastAsia="Calibri" w:hAnsi="Calibri" w:cs="Calibri"/>
                <w:sz w:val="22"/>
                <w:szCs w:val="22"/>
              </w:rPr>
              <w:t>Best two-project combination</w:t>
            </w:r>
          </w:p>
        </w:tc>
      </w:tr>
    </w:tbl>
    <w:p w14:paraId="4F351726" w14:textId="77777777" w:rsidR="00E84532" w:rsidRDefault="00E84532"/>
    <w:p w14:paraId="4F351727" w14:textId="77777777" w:rsidR="00E84532" w:rsidRDefault="00E90F46">
      <w:r>
        <w:br w:type="page"/>
      </w:r>
    </w:p>
    <w:p w14:paraId="4F351728" w14:textId="77777777" w:rsidR="00E84532" w:rsidRDefault="00E90F46">
      <w:pPr>
        <w:pStyle w:val="Heading2"/>
      </w:pPr>
      <w:bookmarkStart w:id="65" w:name="_Toc235029559"/>
      <w:r>
        <w:lastRenderedPageBreak/>
        <w:t>Appendix 3</w:t>
      </w:r>
      <w:proofErr w:type="gramStart"/>
      <w:r>
        <w:t>: :</w:t>
      </w:r>
      <w:proofErr w:type="gramEnd"/>
      <w:r>
        <w:t xml:space="preserve"> Income Statement of 2021 and 2022</w:t>
      </w:r>
      <w:bookmarkEnd w:id="65"/>
    </w:p>
    <w:p w14:paraId="4F351729" w14:textId="77777777" w:rsidR="00E84532" w:rsidRDefault="00E90F46">
      <w:r>
        <w:rPr>
          <w:noProof/>
        </w:rPr>
        <w:drawing>
          <wp:inline distT="114300" distB="114300" distL="114300" distR="114300" wp14:anchorId="4F35178A" wp14:editId="4F35178B">
            <wp:extent cx="5943600" cy="3708400"/>
            <wp:effectExtent l="0" t="0" r="0" b="0"/>
            <wp:docPr id="24" name="image37.png"/>
            <wp:cNvGraphicFramePr/>
            <a:graphic xmlns:a="http://schemas.openxmlformats.org/drawingml/2006/main">
              <a:graphicData uri="http://schemas.openxmlformats.org/drawingml/2006/picture">
                <pic:pic xmlns:pic="http://schemas.openxmlformats.org/drawingml/2006/picture">
                  <pic:nvPicPr>
                    <pic:cNvPr id="0" name="image37.png"/>
                    <pic:cNvPicPr preferRelativeResize="0"/>
                  </pic:nvPicPr>
                  <pic:blipFill>
                    <a:blip r:embed="rId54"/>
                    <a:srcRect/>
                    <a:stretch>
                      <a:fillRect/>
                    </a:stretch>
                  </pic:blipFill>
                  <pic:spPr>
                    <a:xfrm>
                      <a:off x="0" y="0"/>
                      <a:ext cx="5943600" cy="3708400"/>
                    </a:xfrm>
                    <a:prstGeom prst="rect">
                      <a:avLst/>
                    </a:prstGeom>
                    <a:ln/>
                  </pic:spPr>
                </pic:pic>
              </a:graphicData>
            </a:graphic>
          </wp:inline>
        </w:drawing>
      </w:r>
    </w:p>
    <w:p w14:paraId="4F35172A" w14:textId="77777777" w:rsidR="00E84532" w:rsidRDefault="00E90F46">
      <w:r>
        <w:br w:type="page"/>
      </w:r>
    </w:p>
    <w:p w14:paraId="4F35172B" w14:textId="77777777" w:rsidR="00E84532" w:rsidRDefault="00E90F46">
      <w:pPr>
        <w:pStyle w:val="Heading2"/>
      </w:pPr>
      <w:bookmarkStart w:id="66" w:name="_Toc235029560"/>
      <w:r>
        <w:lastRenderedPageBreak/>
        <w:t>Appendix 4</w:t>
      </w:r>
      <w:proofErr w:type="gramStart"/>
      <w:r>
        <w:t>: :</w:t>
      </w:r>
      <w:proofErr w:type="gramEnd"/>
      <w:r>
        <w:t xml:space="preserve"> Income Statement of 2023 and 2024</w:t>
      </w:r>
      <w:bookmarkEnd w:id="66"/>
    </w:p>
    <w:p w14:paraId="4F35172C" w14:textId="77777777" w:rsidR="00E84532" w:rsidRDefault="00E90F46">
      <w:r>
        <w:rPr>
          <w:noProof/>
        </w:rPr>
        <w:drawing>
          <wp:inline distT="114300" distB="114300" distL="114300" distR="114300" wp14:anchorId="4F35178C" wp14:editId="4F35178D">
            <wp:extent cx="5943600" cy="3873500"/>
            <wp:effectExtent l="0" t="0" r="0" b="0"/>
            <wp:docPr id="41" name="image45.png"/>
            <wp:cNvGraphicFramePr/>
            <a:graphic xmlns:a="http://schemas.openxmlformats.org/drawingml/2006/main">
              <a:graphicData uri="http://schemas.openxmlformats.org/drawingml/2006/picture">
                <pic:pic xmlns:pic="http://schemas.openxmlformats.org/drawingml/2006/picture">
                  <pic:nvPicPr>
                    <pic:cNvPr id="0" name="image45.png"/>
                    <pic:cNvPicPr preferRelativeResize="0"/>
                  </pic:nvPicPr>
                  <pic:blipFill>
                    <a:blip r:embed="rId55"/>
                    <a:srcRect/>
                    <a:stretch>
                      <a:fillRect/>
                    </a:stretch>
                  </pic:blipFill>
                  <pic:spPr>
                    <a:xfrm>
                      <a:off x="0" y="0"/>
                      <a:ext cx="5943600" cy="3873500"/>
                    </a:xfrm>
                    <a:prstGeom prst="rect">
                      <a:avLst/>
                    </a:prstGeom>
                    <a:ln/>
                  </pic:spPr>
                </pic:pic>
              </a:graphicData>
            </a:graphic>
          </wp:inline>
        </w:drawing>
      </w:r>
    </w:p>
    <w:p w14:paraId="4F35172D" w14:textId="77777777" w:rsidR="00E84532" w:rsidRDefault="00E90F46">
      <w:r>
        <w:br w:type="page"/>
      </w:r>
    </w:p>
    <w:p w14:paraId="4F35172E" w14:textId="77777777" w:rsidR="00E84532" w:rsidRDefault="00E90F46">
      <w:pPr>
        <w:pStyle w:val="Heading2"/>
      </w:pPr>
      <w:bookmarkStart w:id="67" w:name="_Toc235029561"/>
      <w:r>
        <w:lastRenderedPageBreak/>
        <w:t>Appendix 5: Income Statement of 2025</w:t>
      </w:r>
      <w:bookmarkEnd w:id="67"/>
    </w:p>
    <w:p w14:paraId="4F35172F" w14:textId="77777777" w:rsidR="00E84532" w:rsidRDefault="00E90F46">
      <w:pPr>
        <w:jc w:val="center"/>
      </w:pPr>
      <w:r>
        <w:rPr>
          <w:noProof/>
        </w:rPr>
        <w:drawing>
          <wp:inline distT="114300" distB="114300" distL="114300" distR="114300" wp14:anchorId="4F35178E" wp14:editId="4F35178F">
            <wp:extent cx="5038725" cy="3152775"/>
            <wp:effectExtent l="0" t="0" r="0" b="0"/>
            <wp:docPr id="22" name="image39.png"/>
            <wp:cNvGraphicFramePr/>
            <a:graphic xmlns:a="http://schemas.openxmlformats.org/drawingml/2006/main">
              <a:graphicData uri="http://schemas.openxmlformats.org/drawingml/2006/picture">
                <pic:pic xmlns:pic="http://schemas.openxmlformats.org/drawingml/2006/picture">
                  <pic:nvPicPr>
                    <pic:cNvPr id="0" name="image39.png"/>
                    <pic:cNvPicPr preferRelativeResize="0"/>
                  </pic:nvPicPr>
                  <pic:blipFill>
                    <a:blip r:embed="rId56"/>
                    <a:srcRect/>
                    <a:stretch>
                      <a:fillRect/>
                    </a:stretch>
                  </pic:blipFill>
                  <pic:spPr>
                    <a:xfrm>
                      <a:off x="0" y="0"/>
                      <a:ext cx="5038725" cy="3152775"/>
                    </a:xfrm>
                    <a:prstGeom prst="rect">
                      <a:avLst/>
                    </a:prstGeom>
                    <a:ln/>
                  </pic:spPr>
                </pic:pic>
              </a:graphicData>
            </a:graphic>
          </wp:inline>
        </w:drawing>
      </w:r>
    </w:p>
    <w:p w14:paraId="4F351730" w14:textId="77777777" w:rsidR="00E84532" w:rsidRDefault="00E84532"/>
    <w:p w14:paraId="4F351731" w14:textId="77777777" w:rsidR="00E84532" w:rsidRDefault="00E84532"/>
    <w:sectPr w:rsidR="00E84532" w:rsidSect="00190458">
      <w:headerReference w:type="default" r:id="rId57"/>
      <w:footerReference w:type="default" r:id="rId58"/>
      <w:headerReference w:type="first" r:id="rId59"/>
      <w:footerReference w:type="first" r:id="rId60"/>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05B959" w14:textId="77777777" w:rsidR="004A5A83" w:rsidRDefault="004A5A83">
      <w:pPr>
        <w:spacing w:line="240" w:lineRule="auto"/>
      </w:pPr>
      <w:r>
        <w:separator/>
      </w:r>
    </w:p>
  </w:endnote>
  <w:endnote w:type="continuationSeparator" w:id="0">
    <w:p w14:paraId="0D61F15A" w14:textId="77777777" w:rsidR="004A5A83" w:rsidRDefault="004A5A8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B61A6ABD-6870-4077-8624-29DAFA1368E0}"/>
  </w:font>
  <w:font w:name="SimSun">
    <w:altName w:val="宋体"/>
    <w:panose1 w:val="02010600030101010101"/>
    <w:charset w:val="86"/>
    <w:family w:val="auto"/>
    <w:pitch w:val="variable"/>
    <w:sig w:usb0="00000203" w:usb1="288F0000" w:usb2="00000016" w:usb3="00000000" w:csb0="00040001" w:csb1="00000000"/>
  </w:font>
  <w:font w:name="Shruti">
    <w:panose1 w:val="02000500000000000000"/>
    <w:charset w:val="00"/>
    <w:family w:val="swiss"/>
    <w:pitch w:val="variable"/>
    <w:sig w:usb0="00040003" w:usb1="00000000" w:usb2="00000000" w:usb3="00000000" w:csb0="00000001" w:csb1="00000000"/>
  </w:font>
  <w:font w:name="Arial Unicode MS">
    <w:panose1 w:val="020B0604020202020204"/>
    <w:charset w:val="80"/>
    <w:family w:val="swiss"/>
    <w:pitch w:val="variable"/>
    <w:sig w:usb0="F7FFAFFF" w:usb1="E9DFFFFF" w:usb2="0000003F" w:usb3="00000000" w:csb0="003F01FF" w:csb1="00000000"/>
    <w:embedRegular r:id="rId2" w:subsetted="1" w:fontKey="{3D7F3280-5215-42DB-820C-E7412B944C93}"/>
  </w:font>
  <w:font w:name="Calibri">
    <w:panose1 w:val="020F0502020204030204"/>
    <w:charset w:val="00"/>
    <w:family w:val="swiss"/>
    <w:pitch w:val="variable"/>
    <w:sig w:usb0="E4002EFF" w:usb1="C200ACFF" w:usb2="00000009" w:usb3="00000000" w:csb0="000001FF" w:csb1="00000000"/>
    <w:embedRegular r:id="rId3" w:fontKey="{F97269E3-CB1A-4F43-9167-8069F7805885}"/>
    <w:embedBold r:id="rId4" w:fontKey="{C21FDB4A-A193-4C29-8241-C2ADBE23135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3517AC" w14:textId="45A884FA" w:rsidR="00E84532" w:rsidRDefault="00E90F46">
    <w:pPr>
      <w:jc w:val="right"/>
    </w:pPr>
    <w:r>
      <w:fldChar w:fldCharType="begin"/>
    </w:r>
    <w:r>
      <w:instrText>PAGE</w:instrText>
    </w:r>
    <w:r>
      <w:fldChar w:fldCharType="separate"/>
    </w:r>
    <w:r w:rsidR="00190458">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3517AE" w14:textId="77777777" w:rsidR="00E84532" w:rsidRDefault="00E84532"/>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A533B3" w14:textId="77777777" w:rsidR="004A5A83" w:rsidRDefault="004A5A83">
      <w:pPr>
        <w:spacing w:line="240" w:lineRule="auto"/>
      </w:pPr>
      <w:r>
        <w:separator/>
      </w:r>
    </w:p>
  </w:footnote>
  <w:footnote w:type="continuationSeparator" w:id="0">
    <w:p w14:paraId="0FDB7E1E" w14:textId="77777777" w:rsidR="004A5A83" w:rsidRDefault="004A5A8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3517AB" w14:textId="77777777" w:rsidR="00E84532" w:rsidRDefault="00E84532"/>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3517AD" w14:textId="77777777" w:rsidR="00E84532" w:rsidRDefault="00E84532"/>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2324CB7"/>
    <w:multiLevelType w:val="multilevel"/>
    <w:tmpl w:val="B38EE6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256702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isplayBackgroundShap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4532"/>
    <w:rsid w:val="00190458"/>
    <w:rsid w:val="002D7663"/>
    <w:rsid w:val="004A5A83"/>
    <w:rsid w:val="004D1D24"/>
    <w:rsid w:val="00601CCA"/>
    <w:rsid w:val="00624AFA"/>
    <w:rsid w:val="006A092B"/>
    <w:rsid w:val="00880D3C"/>
    <w:rsid w:val="00993532"/>
    <w:rsid w:val="00A14316"/>
    <w:rsid w:val="00AB7A8D"/>
    <w:rsid w:val="00C44CEA"/>
    <w:rsid w:val="00CD7CB7"/>
    <w:rsid w:val="00E84532"/>
    <w:rsid w:val="00E90F46"/>
    <w:rsid w:val="00EB5528"/>
    <w:rsid w:val="00ED7F45"/>
    <w:rsid w:val="00EE558D"/>
    <w:rsid w:val="00F02CF0"/>
    <w:rsid w:val="00F4698C"/>
    <w:rsid w:val="00F91341"/>
  </w:rsids>
  <m:mathPr>
    <m:mathFont m:val="Cambria Math"/>
    <m:brkBin m:val="before"/>
    <m:brkBinSub m:val="--"/>
    <m:smallFrac m:val="0"/>
    <m:dispDef/>
    <m:lMargin m:val="0"/>
    <m:rMargin m:val="0"/>
    <m:defJc m:val="centerGroup"/>
    <m:wrapIndent m:val="1440"/>
    <m:intLim m:val="subSup"/>
    <m:naryLim m:val="undOvr"/>
  </m:mathPr>
  <w:themeFontLang w:val="en-IN" w:eastAsia="zh-C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351355"/>
  <w15:docId w15:val="{08972D7F-FB93-41AE-86B6-04E29BCC5B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i/>
      <w:iCs/>
      <w:sz w:val="26"/>
      <w:szCs w:val="26"/>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1">
    <w:name w:val="toc 1"/>
    <w:basedOn w:val="Normal"/>
    <w:next w:val="Normal"/>
    <w:autoRedefine/>
    <w:uiPriority w:val="39"/>
    <w:unhideWhenUsed/>
    <w:rsid w:val="00190458"/>
    <w:pPr>
      <w:spacing w:after="100"/>
    </w:pPr>
  </w:style>
  <w:style w:type="paragraph" w:styleId="TOC2">
    <w:name w:val="toc 2"/>
    <w:basedOn w:val="Normal"/>
    <w:next w:val="Normal"/>
    <w:autoRedefine/>
    <w:uiPriority w:val="39"/>
    <w:unhideWhenUsed/>
    <w:rsid w:val="00190458"/>
    <w:pPr>
      <w:spacing w:after="100"/>
      <w:ind w:left="240"/>
    </w:pPr>
  </w:style>
  <w:style w:type="paragraph" w:styleId="TOC3">
    <w:name w:val="toc 3"/>
    <w:basedOn w:val="Normal"/>
    <w:next w:val="Normal"/>
    <w:autoRedefine/>
    <w:uiPriority w:val="39"/>
    <w:unhideWhenUsed/>
    <w:rsid w:val="00190458"/>
    <w:pPr>
      <w:spacing w:after="100"/>
      <w:ind w:left="480"/>
    </w:pPr>
  </w:style>
  <w:style w:type="character" w:styleId="Hyperlink">
    <w:name w:val="Hyperlink"/>
    <w:basedOn w:val="DefaultParagraphFont"/>
    <w:uiPriority w:val="99"/>
    <w:unhideWhenUsed/>
    <w:rsid w:val="0019045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png"/><Relationship Id="rId47" Type="http://schemas.openxmlformats.org/officeDocument/2006/relationships/image" Target="media/image41.png"/><Relationship Id="rId50" Type="http://schemas.openxmlformats.org/officeDocument/2006/relationships/image" Target="media/image44.png"/><Relationship Id="rId55" Type="http://schemas.openxmlformats.org/officeDocument/2006/relationships/image" Target="media/image46.png"/><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image" Target="media/image23.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png"/><Relationship Id="rId53" Type="http://schemas.openxmlformats.org/officeDocument/2006/relationships/hyperlink" Target="https://finance.yahoo.com/news/heres-why-compass-group-lon-072742897.html" TargetMode="External"/><Relationship Id="rId58" Type="http://schemas.openxmlformats.org/officeDocument/2006/relationships/footer" Target="footer1.xml"/><Relationship Id="rId5" Type="http://schemas.openxmlformats.org/officeDocument/2006/relationships/footnotes" Target="footnotes.xml"/><Relationship Id="rId61" Type="http://schemas.openxmlformats.org/officeDocument/2006/relationships/fontTable" Target="fontTable.xml"/><Relationship Id="rId19" Type="http://schemas.openxmlformats.org/officeDocument/2006/relationships/image" Target="media/image1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image" Target="media/image42.png"/><Relationship Id="rId56" Type="http://schemas.openxmlformats.org/officeDocument/2006/relationships/image" Target="media/image47.png"/><Relationship Id="rId8" Type="http://schemas.openxmlformats.org/officeDocument/2006/relationships/image" Target="media/image2.png"/><Relationship Id="rId51" Type="http://schemas.openxmlformats.org/officeDocument/2006/relationships/hyperlink" Target="https://finance.yahoo.com/quote/CPG.L/financials/"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59" Type="http://schemas.openxmlformats.org/officeDocument/2006/relationships/header" Target="header2.xml"/><Relationship Id="rId20" Type="http://schemas.openxmlformats.org/officeDocument/2006/relationships/image" Target="media/image14.png"/><Relationship Id="rId41" Type="http://schemas.openxmlformats.org/officeDocument/2006/relationships/image" Target="media/image35.png"/><Relationship Id="rId54" Type="http://schemas.openxmlformats.org/officeDocument/2006/relationships/image" Target="media/image45.png"/><Relationship Id="rId62"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43.png"/><Relationship Id="rId57" Type="http://schemas.openxmlformats.org/officeDocument/2006/relationships/header" Target="header1.xml"/><Relationship Id="rId10" Type="http://schemas.openxmlformats.org/officeDocument/2006/relationships/image" Target="media/image4.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hyperlink" Target="https://www.researchgate.net/publication/361845680_A_Literature_Review_on_the_Net_Present_Value_NPV_Valuation_Method" TargetMode="External"/><Relationship Id="rId6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TotalTime>
  <Pages>53</Pages>
  <Words>8530</Words>
  <Characters>48621</Characters>
  <Application>Microsoft Office Word</Application>
  <DocSecurity>0</DocSecurity>
  <Lines>405</Lines>
  <Paragraphs>114</Paragraphs>
  <ScaleCrop>false</ScaleCrop>
  <Company/>
  <LinksUpToDate>false</LinksUpToDate>
  <CharactersWithSpaces>57037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Shethbansari14@outlook.com</cp:lastModifiedBy>
  <cp:revision>20</cp:revision>
  <dcterms:created xsi:type="dcterms:W3CDTF">2026-07-15T12:06:00Z</dcterms:created>
  <dcterms:modified xsi:type="dcterms:W3CDTF">2026-08-12T00:15:00Z</dcterms:modified>
</cp:coreProperties>
</file>