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r w:rsidR="00C057F4">
        <w:t>Rhys Jones</w:t>
      </w:r>
    </w:p>
    <w:p w:rsidR="007E4409" w:rsidRDefault="00922B60">
      <w:r>
        <w:t>PC 6662</w:t>
      </w:r>
      <w:r w:rsidR="00575AC9">
        <w:t xml:space="preserve"> </w:t>
      </w:r>
      <w:r w:rsidR="007E4409">
        <w:t xml:space="preserve"> South Wales Police</w:t>
      </w:r>
    </w:p>
    <w:p w:rsidR="00C057F4" w:rsidRDefault="007E4409">
      <w:r>
        <w:t xml:space="preserve">Student Number: </w:t>
      </w:r>
      <w:r w:rsidR="00922B60">
        <w:t>1920627</w:t>
      </w:r>
    </w:p>
    <w:p w:rsidR="007E4409" w:rsidRDefault="00922B60">
      <w:r>
        <w:t>Exam 2 – 17/08/2020</w:t>
      </w:r>
    </w:p>
    <w:p w:rsidR="00682F3B" w:rsidRDefault="00682F3B"/>
    <w:p w:rsidR="00682F3B" w:rsidRDefault="00682F3B">
      <w:r>
        <w:t>Question 1</w:t>
      </w:r>
    </w:p>
    <w:p w:rsidR="00C057F4" w:rsidRDefault="006F7BE2">
      <w:r>
        <w:t xml:space="preserve">A person driving a mechanically propelled vehicle on a road or any public place must stop the vehicle when required to do so by a constable or a traffic officer. Failing to comply is an offence under this section. </w:t>
      </w:r>
    </w:p>
    <w:p w:rsidR="00C057F4" w:rsidRDefault="00C057F4">
      <w:r>
        <w:t xml:space="preserve">A road under section 192 – is any road or highway to which the public has access and includes any bridges over which a road passes. </w:t>
      </w:r>
    </w:p>
    <w:p w:rsidR="00682F3B" w:rsidRDefault="00682F3B"/>
    <w:p w:rsidR="00682F3B" w:rsidRDefault="00682F3B"/>
    <w:p w:rsidR="00682F3B" w:rsidRDefault="00682F3B">
      <w:r>
        <w:t>Question 2</w:t>
      </w:r>
    </w:p>
    <w:p w:rsidR="00682F3B" w:rsidRDefault="00C057F4">
      <w:r>
        <w:t xml:space="preserve">Section 6 Road traffic act 1988 is the requirement for a preliminary test. Failing to do so under this section can result in arrest under section 6D(2) – or section 7 if at a police station. </w:t>
      </w:r>
    </w:p>
    <w:p w:rsidR="00C057F4" w:rsidRDefault="00C057F4">
      <w:r>
        <w:t xml:space="preserve">A person must provide details of insurance and address under this section. </w:t>
      </w:r>
    </w:p>
    <w:p w:rsidR="00682F3B" w:rsidRDefault="00682F3B"/>
    <w:p w:rsidR="00682F3B" w:rsidRDefault="00682F3B" w:rsidP="00682F3B">
      <w:r>
        <w:t>Question 3</w:t>
      </w:r>
    </w:p>
    <w:p w:rsidR="00682F3B" w:rsidRDefault="00C057F4">
      <w:r>
        <w:t xml:space="preserve">A person driving a </w:t>
      </w:r>
      <w:r w:rsidR="006F7BE2">
        <w:t>mechanically</w:t>
      </w:r>
      <w:r>
        <w:t xml:space="preserve"> propelled vehicle on a road or other public place without due care and attention or without reasonable consideration for other persons using that road or place commits and offence. </w:t>
      </w:r>
    </w:p>
    <w:p w:rsidR="00682F3B" w:rsidRDefault="00682F3B"/>
    <w:p w:rsidR="00682F3B" w:rsidRDefault="00682F3B" w:rsidP="00682F3B">
      <w:r>
        <w:t>Question 4</w:t>
      </w:r>
    </w:p>
    <w:p w:rsidR="00682F3B" w:rsidRDefault="00C057F4">
      <w:r>
        <w:t xml:space="preserve">The effective use of roads policing can stop criminality spread through the country. For example ANPR cameras can notify police that a suspect vehicle is in a particular area and is wanted for drugs offences. The police can then intercept that vehicle. </w:t>
      </w:r>
    </w:p>
    <w:p w:rsidR="00C057F4" w:rsidRDefault="00C057F4">
      <w:r>
        <w:t xml:space="preserve">The effective use of section 163 (stopping a vehicle) can also prevent criminality from happening at the earliest stage possible. Also looking deeper into the background of the driver and then finding out that they are driving otherwise in accordance with a license (section 87) or driving with no insurance. An officer can then seize that vehicle under section 165A Road traffic act 1988 and prevent any further criminality from happening. </w:t>
      </w:r>
    </w:p>
    <w:p w:rsidR="00682F3B" w:rsidRDefault="00682F3B"/>
    <w:p w:rsidR="006F7BE2" w:rsidRDefault="006F7BE2"/>
    <w:p w:rsidR="006F7BE2" w:rsidRDefault="006F7BE2"/>
    <w:p w:rsidR="00682F3B" w:rsidRDefault="00682F3B" w:rsidP="00682F3B">
      <w:r>
        <w:lastRenderedPageBreak/>
        <w:t>Question 5</w:t>
      </w:r>
    </w:p>
    <w:p w:rsidR="006F7BE2" w:rsidRDefault="00C057F4">
      <w:r>
        <w:t>Section 165A</w:t>
      </w:r>
      <w:r w:rsidR="006F7BE2">
        <w:t xml:space="preserve"> is the requirement to provide driving license, proof of insurance and proof of MOT certificate. </w:t>
      </w:r>
    </w:p>
    <w:p w:rsidR="00682F3B" w:rsidRDefault="006F7BE2">
      <w:r>
        <w:t>A</w:t>
      </w:r>
      <w:r w:rsidR="00C057F4">
        <w:t xml:space="preserve">llows a constable to seize a vehicle if they have reasonable grounds to believe that the person driving that vehicle is either driving without insurance, driving without a license or is a disqualified driver. </w:t>
      </w:r>
    </w:p>
    <w:p w:rsidR="00C057F4" w:rsidRDefault="00C057F4">
      <w:r>
        <w:t xml:space="preserve">Section 165 also allows an officer to enter </w:t>
      </w:r>
      <w:r w:rsidR="006F7BE2">
        <w:t>premises</w:t>
      </w:r>
      <w:r>
        <w:t xml:space="preserve"> if they suspect that there is a vehicle at that particular address and the person that the constable suspects was driving that vehicle is inside that address. </w:t>
      </w:r>
    </w:p>
    <w:p w:rsidR="00682F3B" w:rsidRDefault="00682F3B"/>
    <w:p w:rsidR="00682F3B" w:rsidRDefault="00682F3B" w:rsidP="00682F3B">
      <w:r>
        <w:t>Question 6</w:t>
      </w:r>
    </w:p>
    <w:p w:rsidR="00682F3B" w:rsidRDefault="00C057F4">
      <w:r>
        <w:t xml:space="preserve">A road traffic collision occurs on any road or highway to which the public has access. Someone must be injured. At an RTC if someone is injured then Vehicles number plate, name and address must be exchanged. </w:t>
      </w:r>
      <w:r w:rsidR="006F7BE2">
        <w:t>It is an offence not to report a RTC under section 170 RTA 1988.</w:t>
      </w:r>
    </w:p>
    <w:p w:rsidR="006F7BE2" w:rsidRDefault="006F7BE2"/>
    <w:p w:rsidR="00682F3B" w:rsidRDefault="00682F3B" w:rsidP="00682F3B">
      <w:r>
        <w:t>Question 7</w:t>
      </w:r>
    </w:p>
    <w:p w:rsidR="00682F3B" w:rsidRDefault="00C057F4">
      <w:r>
        <w:t xml:space="preserve">The role of a family liaison officer is to provide support for the family who have lost a loved one. The FLO will support and assist with anything the family need or want in relation to information about the investigation and be there for them in court etc. where the investigation will be finalised. The FLO has a duty of care for the family and is there to provide reassurance, be there for a chat when the family are at their lowest and to answer any questions to which the family may have. </w:t>
      </w:r>
    </w:p>
    <w:p w:rsidR="00682F3B" w:rsidRDefault="00682F3B"/>
    <w:p w:rsidR="00682F3B" w:rsidRDefault="00682F3B" w:rsidP="00682F3B">
      <w:r>
        <w:t>Question 8</w:t>
      </w:r>
    </w:p>
    <w:p w:rsidR="00682F3B" w:rsidRDefault="00C057F4">
      <w:r>
        <w:t>If someone is involved in a road traffic collision and someone is injured then that person must report the collision. Failing to do so is an offence under this section. A person must report the incident, give details of their insurance, name, address and produce driving licence. If involved in a RTC a driver is also required to give sample of breath at the roadside, under section 6 RTA 1988. If the driver fails to provide then that is an offence under section 6D(2) at the roadside and section 7 RTA 1988 at a police station.</w:t>
      </w:r>
    </w:p>
    <w:p w:rsidR="00682F3B" w:rsidRDefault="00682F3B"/>
    <w:p w:rsidR="00682F3B" w:rsidRDefault="00682F3B" w:rsidP="00682F3B">
      <w:r>
        <w:t>Question 9</w:t>
      </w:r>
    </w:p>
    <w:p w:rsidR="00682F3B" w:rsidRDefault="00C057F4">
      <w:r>
        <w:t xml:space="preserve">Section 4 outlines the offence of driving whilst unfit through drink or drugs. If a constable suspects that someone is unfit through drink or drugs and has reasonable ground to believe that the person driving that vehicle is inside an address then they have the power under section 6E to enter that address. The officer can then require a breath test under section 6 RTA 1988. Failing to provide is an offence of failing to cooperate under section 6D(2) and section 7 at a police station. </w:t>
      </w:r>
    </w:p>
    <w:p w:rsidR="006F7BE2" w:rsidRDefault="006F7BE2">
      <w:r>
        <w:t xml:space="preserve">A constable has a power under 6E to enter </w:t>
      </w:r>
      <w:r w:rsidR="008A1C5A">
        <w:t xml:space="preserve">a house and arrest a person for being over the prescribed limit (section 5 RTA). The arrest would be under Section 6D RTA 1988. </w:t>
      </w:r>
    </w:p>
    <w:p w:rsidR="00682F3B" w:rsidRDefault="00682F3B"/>
    <w:p w:rsidR="00682F3B" w:rsidRDefault="00682F3B" w:rsidP="00682F3B">
      <w:r>
        <w:t>Question 10</w:t>
      </w:r>
    </w:p>
    <w:p w:rsidR="00682F3B" w:rsidRDefault="00C057F4">
      <w:r>
        <w:t>A person causes the death of another</w:t>
      </w:r>
      <w:r w:rsidR="008F073A">
        <w:t xml:space="preserve"> person</w:t>
      </w:r>
      <w:r>
        <w:t xml:space="preserve"> by driving a mechanically propelled vehicle dangerously on a road or any other public place is guilty of an offence. </w:t>
      </w:r>
    </w:p>
    <w:p w:rsidR="008F073A" w:rsidRDefault="008F073A">
      <w:r>
        <w:t>A mechanically propelled vehicle is propelled by</w:t>
      </w:r>
    </w:p>
    <w:p w:rsidR="008F073A" w:rsidRDefault="008F073A"/>
    <w:p w:rsidR="008F073A" w:rsidRDefault="008F073A">
      <w:r>
        <w:t>Steam</w:t>
      </w:r>
    </w:p>
    <w:p w:rsidR="008F073A" w:rsidRDefault="008F073A">
      <w:r>
        <w:t>Electric</w:t>
      </w:r>
    </w:p>
    <w:p w:rsidR="008F073A" w:rsidRDefault="008F073A">
      <w:r>
        <w:t>Petrol</w:t>
      </w:r>
    </w:p>
    <w:p w:rsidR="008F073A" w:rsidRDefault="008F073A">
      <w:r>
        <w:t>Diesel</w:t>
      </w:r>
    </w:p>
    <w:p w:rsidR="008F073A" w:rsidRDefault="008F073A">
      <w:r>
        <w:t>Oil</w:t>
      </w:r>
    </w:p>
    <w:p w:rsidR="008F073A" w:rsidRDefault="008F073A">
      <w:r>
        <w:t>gas</w:t>
      </w:r>
      <w:bookmarkStart w:id="0" w:name="_GoBack"/>
      <w:bookmarkEnd w:id="0"/>
    </w:p>
    <w:p w:rsidR="00682F3B" w:rsidRDefault="00682F3B"/>
    <w:p w:rsidR="00C057F4" w:rsidRDefault="00C057F4"/>
    <w:p w:rsidR="00682F3B" w:rsidRDefault="00682F3B" w:rsidP="00682F3B">
      <w:r>
        <w:t>Question 11</w:t>
      </w:r>
    </w:p>
    <w:p w:rsidR="00C057F4" w:rsidRDefault="00C057F4" w:rsidP="00682F3B">
      <w:r>
        <w:t>The national prescribed limits are as follows:</w:t>
      </w:r>
    </w:p>
    <w:p w:rsidR="00C057F4" w:rsidRDefault="00C057F4" w:rsidP="00682F3B">
      <w:r>
        <w:t>35 – breath</w:t>
      </w:r>
    </w:p>
    <w:p w:rsidR="00C057F4" w:rsidRDefault="00C057F4" w:rsidP="00682F3B">
      <w:r>
        <w:t>80 – blood</w:t>
      </w:r>
    </w:p>
    <w:p w:rsidR="00C057F4" w:rsidRDefault="00C057F4" w:rsidP="00682F3B">
      <w:r>
        <w:t xml:space="preserve">107 – urine </w:t>
      </w:r>
    </w:p>
    <w:p w:rsidR="00C057F4" w:rsidRDefault="00C057F4" w:rsidP="00682F3B">
      <w:r>
        <w:t>10 – cocaine</w:t>
      </w:r>
    </w:p>
    <w:p w:rsidR="00C057F4" w:rsidRDefault="00C057F4" w:rsidP="00682F3B">
      <w:r>
        <w:t xml:space="preserve">2 – cannabis </w:t>
      </w:r>
    </w:p>
    <w:p w:rsidR="00C057F4" w:rsidRDefault="00C057F4" w:rsidP="00682F3B">
      <w:r>
        <w:t xml:space="preserve">Being over the limit for alcohol is an offence under section 5 RTA and a constable has a power to arrest under section 6D RTA 1988. </w:t>
      </w:r>
    </w:p>
    <w:p w:rsidR="00682F3B" w:rsidRDefault="00682F3B"/>
    <w:p w:rsidR="00682F3B" w:rsidRDefault="00682F3B"/>
    <w:p w:rsidR="00682F3B" w:rsidRDefault="00682F3B" w:rsidP="00682F3B">
      <w:r>
        <w:t>Question 12</w:t>
      </w:r>
    </w:p>
    <w:p w:rsidR="00C057F4" w:rsidRDefault="00C057F4" w:rsidP="00682F3B">
      <w:r>
        <w:t xml:space="preserve">People who could be present at a suspect interview are: </w:t>
      </w:r>
    </w:p>
    <w:p w:rsidR="00C057F4" w:rsidRDefault="00C057F4" w:rsidP="00682F3B">
      <w:r>
        <w:t>Appropriate adult:</w:t>
      </w:r>
    </w:p>
    <w:p w:rsidR="00C057F4" w:rsidRDefault="00C057F4" w:rsidP="00682F3B">
      <w:r>
        <w:t xml:space="preserve">An appropriate adult could be in the interview if the suspect being interviewed is either under 18 or has an sort of learning difficulties or mental health issues or seen to be vulnerable. The role of the appropriate adult is not only to observe, but to ensure the police are conducting the interview in correspondence with the pace codes of practice (Code C). the appropriate adult also ensures that the suspect interview is being conducted fairly and that the questions are simple enough to be </w:t>
      </w:r>
      <w:r>
        <w:lastRenderedPageBreak/>
        <w:t xml:space="preserve">understood by the suspect and that the interviewing officers are not boing oppressive. Although an appropriate adult can play a big part in the interview, they cannot answer the questions for the suspect and they are not there to be a legal advisor. </w:t>
      </w:r>
    </w:p>
    <w:p w:rsidR="00C057F4" w:rsidRDefault="00C057F4" w:rsidP="00682F3B">
      <w:r>
        <w:t>Solicitor:</w:t>
      </w:r>
    </w:p>
    <w:p w:rsidR="00C057F4" w:rsidRDefault="00C057F4" w:rsidP="00682F3B">
      <w:r>
        <w:t xml:space="preserve">A solicitor is the suspects legal advisor and can advise their client what to say, based on the evidence the police have gathered, and would have disclosed to the solicitor. The solicitor cannot answer the questions for their client and they cannot tell their client not to answer something. It is up to the person you are interviewing whether they want to answer the questions or not. </w:t>
      </w:r>
    </w:p>
    <w:p w:rsidR="008A1C5A" w:rsidRDefault="008A1C5A" w:rsidP="00682F3B">
      <w:r>
        <w:t>Suspect:</w:t>
      </w:r>
    </w:p>
    <w:p w:rsidR="008A1C5A" w:rsidRDefault="008A1C5A" w:rsidP="00682F3B">
      <w:r>
        <w:t>Role is simply to answer the questions put to them by the interviewing officers and answer them truthfully.</w:t>
      </w:r>
    </w:p>
    <w:p w:rsidR="00682F3B" w:rsidRDefault="00682F3B" w:rsidP="00682F3B">
      <w:r>
        <w:t>Question 13</w:t>
      </w:r>
    </w:p>
    <w:p w:rsidR="00682F3B" w:rsidRDefault="00C057F4">
      <w:r>
        <w:t xml:space="preserve">The </w:t>
      </w:r>
      <w:r w:rsidR="006F7BE2">
        <w:t>police-interviewing</w:t>
      </w:r>
      <w:r>
        <w:t xml:space="preserve"> model is the peace model. The model stands for:</w:t>
      </w:r>
    </w:p>
    <w:p w:rsidR="00C057F4" w:rsidRDefault="00C057F4">
      <w:r w:rsidRPr="006F7BE2">
        <w:rPr>
          <w:b/>
        </w:rPr>
        <w:t>Planning and preparation</w:t>
      </w:r>
      <w:r>
        <w:t xml:space="preserve"> – making sure that you have all the questions and lines of enquiry at the ready to go into the interview, ensuring that you do not forget to ask the suspect something. </w:t>
      </w:r>
    </w:p>
    <w:p w:rsidR="00C057F4" w:rsidRDefault="00C057F4">
      <w:r w:rsidRPr="006F7BE2">
        <w:rPr>
          <w:b/>
        </w:rPr>
        <w:t>Engage and explain</w:t>
      </w:r>
      <w:r>
        <w:t xml:space="preserve"> – it is important to engage with the person you are interviewing and building a rapport is key to help the person gain confidence in you as an interviewing officer and about the process. This may mean you gather more information than you would if a poor rapport was built. Explaining the process of what is happening and if they do not understand a question, you can break it down for them so it is easier to understand. </w:t>
      </w:r>
    </w:p>
    <w:p w:rsidR="006F7BE2" w:rsidRDefault="006F7BE2">
      <w:r w:rsidRPr="006F7BE2">
        <w:rPr>
          <w:b/>
        </w:rPr>
        <w:t>Assess</w:t>
      </w:r>
      <w:r>
        <w:t xml:space="preserve"> – Assess the information the person is providing you with (if any) and write question to probe on topics you </w:t>
      </w:r>
      <w:r w:rsidR="008A1C5A">
        <w:t xml:space="preserve">would like to ask further questions about. </w:t>
      </w:r>
    </w:p>
    <w:p w:rsidR="006F7BE2" w:rsidRDefault="006F7BE2">
      <w:r>
        <w:rPr>
          <w:b/>
        </w:rPr>
        <w:t>Challenge and clarify</w:t>
      </w:r>
      <w:r>
        <w:t xml:space="preserve">– clarify what the suspect has said in their account and challenge any points you may have picked up on that may be inconsistent in the suspects account with any evidence you may have. </w:t>
      </w:r>
    </w:p>
    <w:p w:rsidR="006F7BE2" w:rsidRDefault="006F7BE2">
      <w:r w:rsidRPr="006F7BE2">
        <w:rPr>
          <w:b/>
        </w:rPr>
        <w:t>Evaluation</w:t>
      </w:r>
      <w:r>
        <w:t xml:space="preserve"> – evaluate the interview and go back through everything making sure you </w:t>
      </w:r>
      <w:r w:rsidR="008A1C5A">
        <w:t>have not</w:t>
      </w:r>
      <w:r>
        <w:t xml:space="preserve"> missed anything out. </w:t>
      </w:r>
    </w:p>
    <w:p w:rsidR="00C057F4" w:rsidRDefault="00C057F4"/>
    <w:p w:rsidR="00682F3B" w:rsidRDefault="00682F3B"/>
    <w:p w:rsidR="00C057F4" w:rsidRDefault="00682F3B" w:rsidP="00682F3B">
      <w:r>
        <w:t>Question 14</w:t>
      </w:r>
    </w:p>
    <w:p w:rsidR="00C057F4" w:rsidRDefault="00C057F4" w:rsidP="00682F3B">
      <w:r>
        <w:t xml:space="preserve">Any coercive and controlling behaviour amounting to the emotional, physical or psychological effect on that person’s ability to go about their day-to-day activities. The coercive control happens when a person is </w:t>
      </w:r>
      <w:r w:rsidR="008A1C5A">
        <w:t>in either an intimate relationship or a</w:t>
      </w:r>
      <w:r>
        <w:t xml:space="preserve"> family relationship irrespective of gender or sexuality. </w:t>
      </w:r>
    </w:p>
    <w:p w:rsidR="006F7BE2" w:rsidRDefault="006F7BE2" w:rsidP="00682F3B">
      <w:r>
        <w:t xml:space="preserve">Any behaviour that controls what the victim does, </w:t>
      </w:r>
      <w:r w:rsidR="008A1C5A">
        <w:t>whom</w:t>
      </w:r>
      <w:r>
        <w:t xml:space="preserve"> they talk to, where they go, how they get to and from work, what they eat etc. </w:t>
      </w:r>
      <w:r w:rsidR="008A1C5A">
        <w:t xml:space="preserve">forces the victim to clean the house top to bottom and in some cases, locks them in the house while they go down the pub. If the house is not clean when they come back or something is not in the right place the perpetrator often will beat the victim of the coercive or controlling behaviour. </w:t>
      </w:r>
    </w:p>
    <w:p w:rsidR="00682F3B" w:rsidRDefault="00682F3B"/>
    <w:p w:rsidR="00682F3B" w:rsidRDefault="00682F3B" w:rsidP="00682F3B">
      <w:r>
        <w:t>Question 15</w:t>
      </w:r>
    </w:p>
    <w:p w:rsidR="00682F3B" w:rsidRDefault="00C057F4">
      <w:r>
        <w:t>The</w:t>
      </w:r>
      <w:r w:rsidR="008A1C5A">
        <w:t xml:space="preserve"> new offence outlines the </w:t>
      </w:r>
      <w:r>
        <w:t xml:space="preserve">offence of coercive control </w:t>
      </w:r>
      <w:r w:rsidR="008A1C5A">
        <w:t xml:space="preserve">and allows the police to file </w:t>
      </w:r>
      <w:r>
        <w:t xml:space="preserve">a PPN – public protection notice. This must be filled in at every incident of domestic abuse, stalking or harassment. </w:t>
      </w:r>
      <w:r w:rsidR="008A1C5A">
        <w:t>If</w:t>
      </w:r>
      <w:r>
        <w:t xml:space="preserve"> the perpetrator poses a threat to the victim then the police can request a DVPN which is authorised by a superintendent or above. This must be heard in the magistrates court within 48 hours and then a DVPO must be requested, which can allow the victim some breathing space from the perpetrator and can last between 14 – 28 days. </w:t>
      </w:r>
    </w:p>
    <w:p w:rsidR="00682F3B" w:rsidRDefault="00682F3B"/>
    <w:p w:rsidR="008A1C5A" w:rsidRDefault="008A1C5A"/>
    <w:p w:rsidR="00682F3B" w:rsidRDefault="00682F3B" w:rsidP="00682F3B">
      <w:r>
        <w:t>Question 16</w:t>
      </w:r>
    </w:p>
    <w:p w:rsidR="008A1C5A" w:rsidRDefault="007D71F7">
      <w:r>
        <w:t xml:space="preserve">Section 46 allows a police officer to remove a child from an address where the officer believes the child is in immediate danger and it would not be safe to leave them there. The reasons for this could be that the parents of that child are drug users or alcoholics. </w:t>
      </w:r>
    </w:p>
    <w:p w:rsidR="008A1C5A" w:rsidRDefault="007D71F7">
      <w:r>
        <w:t xml:space="preserve">The child is walking around in dirty clothes or no clothes. The home is dirty and damp. The child’s face is happy to see you. They look malnourished. Shy in communicating. As police officers we can also prevent the removal of a child for a hospital where they are staying. Section 46 is a PPO and can last up to 72 hours. </w:t>
      </w:r>
    </w:p>
    <w:p w:rsidR="00682F3B" w:rsidRDefault="007D71F7">
      <w:r>
        <w:t xml:space="preserve">At no point should this time limit be exceeded. Places of safety could include family </w:t>
      </w:r>
      <w:r w:rsidR="008A1C5A">
        <w:t>member’s</w:t>
      </w:r>
      <w:r>
        <w:t xml:space="preserve"> houses or social services suitable accommodation. At a very last </w:t>
      </w:r>
      <w:r w:rsidR="008A1C5A">
        <w:t>resort,</w:t>
      </w:r>
      <w:r>
        <w:t xml:space="preserve"> should we use a police </w:t>
      </w:r>
      <w:r w:rsidR="008A1C5A">
        <w:t>station. Preferably,</w:t>
      </w:r>
      <w:r>
        <w:t xml:space="preserve"> social services will take the child into their care. </w:t>
      </w:r>
    </w:p>
    <w:p w:rsidR="008A1C5A" w:rsidRDefault="008A1C5A">
      <w:r>
        <w:t xml:space="preserve">Could also carry out an EPO if the child’s life is at risk by staying at that property. </w:t>
      </w:r>
    </w:p>
    <w:p w:rsidR="00682F3B" w:rsidRDefault="00682F3B"/>
    <w:p w:rsidR="00682F3B" w:rsidRDefault="00682F3B" w:rsidP="00682F3B">
      <w:r>
        <w:t>Question 17</w:t>
      </w:r>
    </w:p>
    <w:p w:rsidR="007D71F7" w:rsidRDefault="007D71F7" w:rsidP="00682F3B">
      <w:r>
        <w:t xml:space="preserve">Child cruelty amounts to emotional, physical, and sexual and neglect. The way in which a child’s natural development is affected and the effects on their physical and mental health. Child cruelty and the physical aspect of it can have a defence under section 58 Children’s act 2004 of reasonable chastisement, providing the parents or legal guardians of that child can evidence the physical harm done to that child. This will not be a defence in 2022. This abuse will then amount to common assault. </w:t>
      </w:r>
    </w:p>
    <w:p w:rsidR="00682F3B" w:rsidRDefault="00682F3B"/>
    <w:p w:rsidR="00682F3B" w:rsidRDefault="00682F3B"/>
    <w:p w:rsidR="007D71F7" w:rsidRDefault="007D71F7"/>
    <w:p w:rsidR="00682F3B" w:rsidRDefault="00682F3B" w:rsidP="00682F3B">
      <w:r>
        <w:t>Question 18</w:t>
      </w:r>
    </w:p>
    <w:p w:rsidR="00682F3B" w:rsidRDefault="007D71F7">
      <w:r>
        <w:t xml:space="preserve">Identifying the amount of risk that the child is under is important as to whether the removal of the child from that address is necessary under section 46 children act 1989. It is also important to assessment living conditions of the child in the address in which they reside. If the child is seen to be </w:t>
      </w:r>
      <w:r>
        <w:lastRenderedPageBreak/>
        <w:t xml:space="preserve">in immediate need of help then an EPO can also be considered and section 44 Criminal justice and public protection act can be used. </w:t>
      </w:r>
    </w:p>
    <w:p w:rsidR="007D71F7" w:rsidRDefault="007D71F7"/>
    <w:p w:rsidR="00682F3B" w:rsidRDefault="00682F3B"/>
    <w:p w:rsidR="00682F3B" w:rsidRDefault="00682F3B" w:rsidP="00682F3B">
      <w:r>
        <w:t>Question 19</w:t>
      </w:r>
    </w:p>
    <w:p w:rsidR="007D71F7" w:rsidRDefault="007D71F7" w:rsidP="00682F3B">
      <w:r>
        <w:t xml:space="preserve">PPN -  it is important that a PPN is filled in for ever domestic abuse, stalking and harassment case and it is used to notify partner agencies of what has gone on, so they can identify possible perpetrators and those who pose a risk to the victim and the general public. The cases the PPN is served for are then brought to the attention of a MARAC which is the multi-agency risk assessment conference. Liaising with social services and the ambulance service is important. Safeguarding the victim is the main reason for the PPN. Without the information gathered from this it would be difficult to collate the evidence and begin the investigation. </w:t>
      </w:r>
    </w:p>
    <w:p w:rsidR="007D71F7" w:rsidRDefault="007D71F7" w:rsidP="00682F3B">
      <w:r>
        <w:t xml:space="preserve">It is vital that a PPN includes all relevant information and gathers information about the victim and the perpetrator and can also then be referred to the MAPPA which deals with offenders of violent and serious sexual assaults. MASH is also important to safeguard the victims and gather any evidence around the perpetrator and stopping the victim being contacted or traced. </w:t>
      </w:r>
    </w:p>
    <w:p w:rsidR="00682F3B" w:rsidRDefault="00682F3B"/>
    <w:p w:rsidR="00682F3B" w:rsidRDefault="00682F3B"/>
    <w:p w:rsidR="00682F3B" w:rsidRDefault="00682F3B" w:rsidP="00682F3B">
      <w:r>
        <w:t>Question 20</w:t>
      </w:r>
    </w:p>
    <w:p w:rsidR="00682F3B" w:rsidRDefault="007D71F7">
      <w:r>
        <w:t xml:space="preserve">A DVPN is a Domestic violence protection notice. It is authorised by a superintendent or above and must be heard by the magistrate within 48 hours. It must be served to the perpetrator by a constable and in paper copy. It can outline the conditions of what the person is allowed to do and where they are allowed to go, usually no where near the address where the victim resides. The perpetrator cannot be remanded in custody in order to serve the DVPN. Once the DVPN time period has finished a DVPO can be used to extend the same conditions for between 14-28 days. This must be heard by the magistrate within 48 of the DVPN being served and any breach of either of these notices will result in the arrest of the suspect to which the notice was served. The suspect must then be in court to account for their action within 24 hours of the breach unless on a weekend. </w:t>
      </w:r>
    </w:p>
    <w:p w:rsidR="00682F3B" w:rsidRDefault="00682F3B"/>
    <w:p w:rsidR="00682F3B" w:rsidRDefault="00682F3B" w:rsidP="00682F3B">
      <w:r>
        <w:t>Question 21</w:t>
      </w:r>
    </w:p>
    <w:p w:rsidR="00682F3B" w:rsidRDefault="006F7BE2">
      <w:r>
        <w:t xml:space="preserve">Child sexual exploitation is where a person or persons take advantage of a person sexually. The person believes they are in a loving relationship and they are getting everything they want or need in exchange for sexual favours. For example, a 25 year old male may say to a 17 year old girl that they will buy them alcohol and expensive clothing etc. if they sleep with them and live with them. This then becomes a regular thing when the male invites his mates round to engage in the same sexual activity. It is quite simply taking advantage of a child sexually and the child thinks it is a normal loving relationship and they are being treated well because they are getting everything they want. </w:t>
      </w:r>
    </w:p>
    <w:p w:rsidR="00682F3B" w:rsidRDefault="00682F3B"/>
    <w:p w:rsidR="00682F3B" w:rsidRDefault="00682F3B" w:rsidP="00682F3B">
      <w:r>
        <w:t>Question 22</w:t>
      </w:r>
    </w:p>
    <w:p w:rsidR="00682F3B" w:rsidRDefault="006F7BE2">
      <w:r>
        <w:lastRenderedPageBreak/>
        <w:t xml:space="preserve">Sarah’s law is a person called Sarah wood who produced in 2009 a written article about ensuring that all partner agencies knew about the child sexual offenders in their area. It ensured that the police knew the individuals who posed a risk to children in the community. </w:t>
      </w:r>
    </w:p>
    <w:p w:rsidR="008A1C5A" w:rsidRDefault="008A1C5A">
      <w:r>
        <w:t>Discloses the child sex offender to the appropriate partner agencies and allows them to collate action plans to protect the vulnerable and stop the perpetrators from re-offending.</w:t>
      </w:r>
    </w:p>
    <w:p w:rsidR="00682F3B" w:rsidRDefault="00682F3B"/>
    <w:p w:rsidR="00682F3B" w:rsidRDefault="00682F3B" w:rsidP="00682F3B">
      <w:r>
        <w:t>Question 23</w:t>
      </w:r>
    </w:p>
    <w:p w:rsidR="00682F3B" w:rsidRDefault="006F7BE2">
      <w:r>
        <w:t xml:space="preserve">The matter of consent has to be a person’s free agreement and capacity to agree to the sexual activity. The court can outline that the person did not consent if they were unconscious. Alternatively, if they consented to the activity and then fell asleep, that is rape, as they did not consent at the time of the activity. In addition, if the person is under the age of 13 then consent does not matter, as a person under 13 cannot consent. </w:t>
      </w:r>
    </w:p>
    <w:p w:rsidR="008A1C5A" w:rsidRDefault="008A1C5A">
      <w:r>
        <w:t xml:space="preserve">The court can look at whether the victim has any physical marks linked with them struggling during the rape. This may prove vital when proving that the victim did not consent to the sexual activity. </w:t>
      </w:r>
    </w:p>
    <w:p w:rsidR="00682F3B" w:rsidRDefault="00682F3B"/>
    <w:p w:rsidR="00682F3B" w:rsidRDefault="00682F3B" w:rsidP="00682F3B">
      <w:r>
        <w:t>Question 24</w:t>
      </w:r>
    </w:p>
    <w:p w:rsidR="00682F3B" w:rsidRDefault="006F7BE2">
      <w:r>
        <w:t>Overriding objectives:</w:t>
      </w:r>
    </w:p>
    <w:p w:rsidR="006F7BE2" w:rsidRDefault="006F7BE2" w:rsidP="006F7BE2">
      <w:pPr>
        <w:pStyle w:val="ListParagraph"/>
        <w:numPr>
          <w:ilvl w:val="0"/>
          <w:numId w:val="1"/>
        </w:numPr>
      </w:pPr>
      <w:r>
        <w:t xml:space="preserve">When answering questions must provide the truth the whole truth and nothing but the truth. </w:t>
      </w:r>
    </w:p>
    <w:p w:rsidR="006F7BE2" w:rsidRDefault="006F7BE2" w:rsidP="006F7BE2">
      <w:pPr>
        <w:pStyle w:val="ListParagraph"/>
        <w:numPr>
          <w:ilvl w:val="0"/>
          <w:numId w:val="1"/>
        </w:numPr>
      </w:pPr>
      <w:r>
        <w:t>All evidence must be disclosed</w:t>
      </w:r>
    </w:p>
    <w:p w:rsidR="006F7BE2" w:rsidRDefault="006F7BE2" w:rsidP="006F7BE2">
      <w:pPr>
        <w:pStyle w:val="ListParagraph"/>
        <w:numPr>
          <w:ilvl w:val="0"/>
          <w:numId w:val="1"/>
        </w:numPr>
      </w:pPr>
      <w:r>
        <w:t xml:space="preserve">Persons under 18 must have an appropriate adult </w:t>
      </w:r>
    </w:p>
    <w:p w:rsidR="006F7BE2" w:rsidRDefault="006F7BE2" w:rsidP="006F7BE2">
      <w:pPr>
        <w:ind w:left="360"/>
      </w:pPr>
      <w:r>
        <w:t>In court, the jury will decide on the defendant being not guilty or guilty once they have heard all the evidence.</w:t>
      </w:r>
    </w:p>
    <w:p w:rsidR="006F7BE2" w:rsidRDefault="006F7BE2" w:rsidP="006F7BE2">
      <w:pPr>
        <w:ind w:left="360"/>
      </w:pPr>
      <w:r>
        <w:t xml:space="preserve">The judge will also allow the court to free flow and will only intervene if something is not relevant or the defence is being oppressive when asking questions. </w:t>
      </w:r>
    </w:p>
    <w:p w:rsidR="00682F3B" w:rsidRDefault="00682F3B"/>
    <w:p w:rsidR="00682F3B" w:rsidRDefault="00682F3B" w:rsidP="00682F3B">
      <w:r>
        <w:t>Question 25</w:t>
      </w:r>
    </w:p>
    <w:p w:rsidR="00682F3B" w:rsidRDefault="006F7BE2" w:rsidP="00682F3B">
      <w:r>
        <w:t xml:space="preserve">The full code test is where the CPS think they have enough evidence to prosecute. If the evidence provided is poor then they will not go ahead with the prosecution. </w:t>
      </w:r>
    </w:p>
    <w:p w:rsidR="006F7BE2" w:rsidRDefault="006F7BE2" w:rsidP="00682F3B"/>
    <w:p w:rsidR="00682F3B" w:rsidRDefault="00682F3B" w:rsidP="00682F3B"/>
    <w:sectPr w:rsidR="00682F3B" w:rsidSect="007D71F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71F7" w:rsidRDefault="007D71F7" w:rsidP="007D71F7">
      <w:pPr>
        <w:spacing w:after="0" w:line="240" w:lineRule="auto"/>
      </w:pPr>
      <w:r>
        <w:separator/>
      </w:r>
    </w:p>
  </w:endnote>
  <w:endnote w:type="continuationSeparator" w:id="0">
    <w:p w:rsidR="007D71F7" w:rsidRDefault="007D71F7" w:rsidP="007D71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C5A" w:rsidRDefault="00EA1267" w:rsidP="00EA1267">
    <w:pPr>
      <w:pStyle w:val="Footer"/>
      <w:rPr>
        <w:color w:val="000000"/>
        <w:sz w:val="17"/>
      </w:rPr>
    </w:pPr>
    <w:bookmarkStart w:id="3" w:name="TITUS1FooterEvenPages"/>
    <w:r>
      <w:rPr>
        <w:color w:val="000000"/>
        <w:sz w:val="17"/>
      </w:rPr>
      <w:t> </w:t>
    </w:r>
  </w:p>
  <w:bookmarkEnd w:id="3"/>
  <w:p w:rsidR="008A1C5A" w:rsidRDefault="008A1C5A" w:rsidP="008A1C5A">
    <w:pPr>
      <w:pStyle w:val="Footer"/>
    </w:pPr>
  </w:p>
  <w:p w:rsidR="007D71F7" w:rsidRDefault="007D71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1F7" w:rsidRDefault="00EA1267" w:rsidP="00EA1267">
    <w:pPr>
      <w:pStyle w:val="Footer"/>
      <w:rPr>
        <w:color w:val="000000"/>
        <w:sz w:val="17"/>
      </w:rPr>
    </w:pPr>
    <w:bookmarkStart w:id="4" w:name="TITUS1FooterPrimary"/>
    <w:r>
      <w:rPr>
        <w:color w:val="000000"/>
        <w:sz w:val="17"/>
      </w:rPr>
      <w:t> </w:t>
    </w:r>
  </w:p>
  <w:bookmarkEnd w:id="4"/>
  <w:p w:rsidR="007D71F7" w:rsidRDefault="007D71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1F7" w:rsidRDefault="00EA1267" w:rsidP="00EA1267">
    <w:pPr>
      <w:pStyle w:val="Footer"/>
      <w:rPr>
        <w:color w:val="000000"/>
        <w:sz w:val="17"/>
      </w:rPr>
    </w:pPr>
    <w:bookmarkStart w:id="6" w:name="TITUS1FooterFirstPage"/>
    <w:r>
      <w:rPr>
        <w:color w:val="000000"/>
        <w:sz w:val="17"/>
      </w:rPr>
      <w:t> </w:t>
    </w:r>
  </w:p>
  <w:bookmarkEnd w:id="6"/>
  <w:p w:rsidR="007D71F7" w:rsidRDefault="007D71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71F7" w:rsidRDefault="007D71F7" w:rsidP="007D71F7">
      <w:pPr>
        <w:spacing w:after="0" w:line="240" w:lineRule="auto"/>
      </w:pPr>
      <w:r>
        <w:separator/>
      </w:r>
    </w:p>
  </w:footnote>
  <w:footnote w:type="continuationSeparator" w:id="0">
    <w:p w:rsidR="007D71F7" w:rsidRDefault="007D71F7" w:rsidP="007D71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C5A" w:rsidRDefault="00EA1267" w:rsidP="00EA1267">
    <w:pPr>
      <w:pStyle w:val="Header"/>
      <w:rPr>
        <w:color w:val="000000"/>
        <w:sz w:val="17"/>
      </w:rPr>
    </w:pPr>
    <w:bookmarkStart w:id="1" w:name="TITUS1HeaderEvenPages"/>
    <w:r>
      <w:rPr>
        <w:color w:val="000000"/>
        <w:sz w:val="17"/>
      </w:rPr>
      <w:t> </w:t>
    </w:r>
  </w:p>
  <w:bookmarkEnd w:id="1"/>
  <w:p w:rsidR="008A1C5A" w:rsidRDefault="008A1C5A" w:rsidP="008A1C5A">
    <w:pPr>
      <w:pStyle w:val="Header"/>
    </w:pPr>
  </w:p>
  <w:p w:rsidR="007D71F7" w:rsidRDefault="007D71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1F7" w:rsidRDefault="00EA1267" w:rsidP="00EA1267">
    <w:pPr>
      <w:pStyle w:val="Header"/>
      <w:rPr>
        <w:color w:val="000000"/>
        <w:sz w:val="17"/>
      </w:rPr>
    </w:pPr>
    <w:bookmarkStart w:id="2" w:name="TITUS1HeaderPrimary"/>
    <w:r>
      <w:rPr>
        <w:color w:val="000000"/>
        <w:sz w:val="17"/>
      </w:rPr>
      <w:t> </w:t>
    </w:r>
  </w:p>
  <w:bookmarkEnd w:id="2"/>
  <w:p w:rsidR="007D71F7" w:rsidRDefault="007D71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1F7" w:rsidRDefault="00EA1267" w:rsidP="00EA1267">
    <w:pPr>
      <w:pStyle w:val="Header"/>
      <w:rPr>
        <w:color w:val="000000"/>
        <w:sz w:val="17"/>
      </w:rPr>
    </w:pPr>
    <w:bookmarkStart w:id="5" w:name="TITUS1HeaderFirstPage"/>
    <w:r>
      <w:rPr>
        <w:color w:val="000000"/>
        <w:sz w:val="17"/>
      </w:rPr>
      <w:t> </w:t>
    </w:r>
  </w:p>
  <w:bookmarkEnd w:id="5"/>
  <w:p w:rsidR="007D71F7" w:rsidRDefault="007D71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2D2A2C"/>
    <w:multiLevelType w:val="hybridMultilevel"/>
    <w:tmpl w:val="5846E146"/>
    <w:lvl w:ilvl="0" w:tplc="B17EC738">
      <w:start w:val="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575AC9"/>
    <w:rsid w:val="00682F3B"/>
    <w:rsid w:val="006F7BE2"/>
    <w:rsid w:val="007D71F7"/>
    <w:rsid w:val="007E4409"/>
    <w:rsid w:val="00877432"/>
    <w:rsid w:val="008A1C5A"/>
    <w:rsid w:val="008F073A"/>
    <w:rsid w:val="00922B60"/>
    <w:rsid w:val="00C057F4"/>
    <w:rsid w:val="00EA12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82DAD"/>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1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71F7"/>
  </w:style>
  <w:style w:type="paragraph" w:styleId="Footer">
    <w:name w:val="footer"/>
    <w:basedOn w:val="Normal"/>
    <w:link w:val="FooterChar"/>
    <w:uiPriority w:val="99"/>
    <w:unhideWhenUsed/>
    <w:rsid w:val="007D71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71F7"/>
  </w:style>
  <w:style w:type="paragraph" w:styleId="ListParagraph">
    <w:name w:val="List Paragraph"/>
    <w:basedOn w:val="Normal"/>
    <w:uiPriority w:val="34"/>
    <w:qFormat/>
    <w:rsid w:val="006F7B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7</Pages>
  <Words>2227</Words>
  <Characters>12696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Jones,Rhys swp6662</cp:lastModifiedBy>
  <cp:revision>6</cp:revision>
  <dcterms:created xsi:type="dcterms:W3CDTF">2020-08-17T11:29:00Z</dcterms:created>
  <dcterms:modified xsi:type="dcterms:W3CDTF">2020-08-17T14:02:00Z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