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88A3C" w14:textId="0BADA58B" w:rsidR="00771540" w:rsidRDefault="00771540" w:rsidP="00771540">
      <w:pPr>
        <w:ind w:left="3288"/>
        <w:rPr>
          <w:rFonts w:ascii="Arial" w:eastAsia="Arial" w:hAnsi="Arial" w:cs="Arial"/>
          <w:sz w:val="22"/>
          <w:szCs w:val="22"/>
        </w:rPr>
      </w:pPr>
      <w:r>
        <w:rPr>
          <w:rFonts w:ascii="Arial" w:eastAsia="Arial" w:hAnsi="Arial" w:cs="Arial"/>
          <w:sz w:val="22"/>
          <w:szCs w:val="22"/>
        </w:rPr>
        <w:t xml:space="preserve">   </w:t>
      </w:r>
      <w:proofErr w:type="spellStart"/>
      <w:proofErr w:type="gramStart"/>
      <w:r>
        <w:rPr>
          <w:rFonts w:ascii="Arial" w:eastAsia="Arial" w:hAnsi="Arial" w:cs="Arial"/>
          <w:sz w:val="22"/>
          <w:szCs w:val="22"/>
        </w:rPr>
        <w:t>Name:Nargess</w:t>
      </w:r>
      <w:proofErr w:type="spellEnd"/>
      <w:proofErr w:type="gramEnd"/>
      <w:r>
        <w:rPr>
          <w:rFonts w:ascii="Arial" w:eastAsia="Arial" w:hAnsi="Arial" w:cs="Arial"/>
          <w:sz w:val="22"/>
          <w:szCs w:val="22"/>
        </w:rPr>
        <w:t xml:space="preserve"> Abasi</w:t>
      </w:r>
    </w:p>
    <w:p w14:paraId="6A04B4F4" w14:textId="6EBE62FD" w:rsidR="00771540" w:rsidRDefault="00771540" w:rsidP="00771540">
      <w:pPr>
        <w:ind w:left="3288"/>
        <w:rPr>
          <w:rFonts w:ascii="Arial" w:eastAsia="Arial" w:hAnsi="Arial" w:cs="Arial"/>
          <w:sz w:val="22"/>
          <w:szCs w:val="22"/>
        </w:rPr>
      </w:pPr>
      <w:r>
        <w:rPr>
          <w:rFonts w:ascii="Arial" w:eastAsia="Arial" w:hAnsi="Arial" w:cs="Arial"/>
          <w:sz w:val="22"/>
          <w:szCs w:val="22"/>
        </w:rPr>
        <w:t>Student Number:2010987</w:t>
      </w:r>
    </w:p>
    <w:p w14:paraId="2652D5A3" w14:textId="783DA1AA" w:rsidR="00771540" w:rsidRDefault="00771540" w:rsidP="00771540">
      <w:pPr>
        <w:ind w:left="3288"/>
        <w:rPr>
          <w:rFonts w:ascii="Arial" w:eastAsia="Arial" w:hAnsi="Arial" w:cs="Arial"/>
          <w:sz w:val="22"/>
          <w:szCs w:val="22"/>
        </w:rPr>
      </w:pPr>
      <w:r>
        <w:rPr>
          <w:rFonts w:ascii="Arial" w:eastAsia="Arial" w:hAnsi="Arial" w:cs="Arial"/>
          <w:sz w:val="22"/>
          <w:szCs w:val="22"/>
        </w:rPr>
        <w:t>DIGITAL SKILLS AND RESEARCH METHODS</w:t>
      </w:r>
    </w:p>
    <w:p w14:paraId="33BE5FFF" w14:textId="6FFCEA1D" w:rsidR="00771540" w:rsidRDefault="00771540" w:rsidP="00771540">
      <w:pPr>
        <w:ind w:left="3288"/>
        <w:rPr>
          <w:rFonts w:ascii="Arial" w:eastAsia="Arial" w:hAnsi="Arial" w:cs="Arial"/>
          <w:sz w:val="22"/>
          <w:szCs w:val="22"/>
        </w:rPr>
      </w:pPr>
      <w:r>
        <w:rPr>
          <w:rFonts w:ascii="Arial" w:eastAsia="Arial" w:hAnsi="Arial" w:cs="Arial"/>
          <w:sz w:val="22"/>
          <w:szCs w:val="22"/>
        </w:rPr>
        <w:t>LCHS4007_BIRM</w:t>
      </w:r>
    </w:p>
    <w:p w14:paraId="405490FA" w14:textId="07E1C354" w:rsidR="00771540" w:rsidRDefault="00771540" w:rsidP="00771540">
      <w:pPr>
        <w:ind w:left="3288"/>
        <w:rPr>
          <w:rFonts w:ascii="Arial" w:eastAsia="Arial" w:hAnsi="Arial" w:cs="Arial"/>
          <w:sz w:val="22"/>
          <w:szCs w:val="22"/>
        </w:rPr>
      </w:pPr>
      <w:r>
        <w:rPr>
          <w:rFonts w:ascii="Arial" w:eastAsia="Arial" w:hAnsi="Arial" w:cs="Arial"/>
          <w:sz w:val="22"/>
          <w:szCs w:val="22"/>
        </w:rPr>
        <w:t>LECTURER’S NAME: ALIYUDA ALI</w:t>
      </w:r>
    </w:p>
    <w:p w14:paraId="10BED2F0" w14:textId="59930D09" w:rsidR="00771540" w:rsidRDefault="00771540" w:rsidP="00771540">
      <w:pPr>
        <w:ind w:left="3288"/>
        <w:rPr>
          <w:rFonts w:ascii="Arial" w:eastAsia="Arial" w:hAnsi="Arial" w:cs="Arial"/>
          <w:sz w:val="22"/>
          <w:szCs w:val="22"/>
        </w:rPr>
      </w:pPr>
      <w:r>
        <w:rPr>
          <w:rFonts w:ascii="Arial" w:eastAsia="Arial" w:hAnsi="Arial" w:cs="Arial"/>
          <w:sz w:val="22"/>
          <w:szCs w:val="22"/>
        </w:rPr>
        <w:t>ASSIGNMENT TITLE: RESEARCH REPORT</w:t>
      </w:r>
    </w:p>
    <w:p w14:paraId="38B5E686" w14:textId="77777777" w:rsidR="00771540" w:rsidRDefault="00771540">
      <w:pPr>
        <w:rPr>
          <w:rFonts w:ascii="Arial" w:eastAsia="Arial" w:hAnsi="Arial" w:cs="Arial"/>
          <w:sz w:val="22"/>
          <w:szCs w:val="22"/>
        </w:rPr>
      </w:pPr>
      <w:r>
        <w:rPr>
          <w:rFonts w:ascii="Arial" w:eastAsia="Arial" w:hAnsi="Arial" w:cs="Arial"/>
          <w:sz w:val="22"/>
          <w:szCs w:val="22"/>
        </w:rPr>
        <w:br w:type="page"/>
      </w:r>
    </w:p>
    <w:p w14:paraId="5E676C0E" w14:textId="6B4869D6" w:rsidR="00771540" w:rsidRDefault="00771540" w:rsidP="3A0EAABD">
      <w:pPr>
        <w:rPr>
          <w:rFonts w:ascii="Arial" w:eastAsia="Arial" w:hAnsi="Arial" w:cs="Arial"/>
          <w:sz w:val="22"/>
          <w:szCs w:val="22"/>
        </w:rPr>
      </w:pPr>
    </w:p>
    <w:p w14:paraId="6D67CCA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Section 1: Introducing the Research Paper</w:t>
      </w:r>
    </w:p>
    <w:p w14:paraId="4223518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The research paper is titled "A cross-sectional study of discipline-based self-perceived digital literacy competencies of nursing students." It is authored by Konstantina Martzoukou, Errol Sadullah Luders, Jane Mair, Petros Kostagiolas, Neil Johnson, Fiona Work, and Crystal Fulton, and it was published in 2024. </w:t>
      </w:r>
    </w:p>
    <w:p w14:paraId="5FFC664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0EC029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The main problem and the sample population  </w:t>
      </w:r>
    </w:p>
    <w:p w14:paraId="292C241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The main issue looked at in this study is the uneven and inconsistent level of digital literacy among frontline healthcare workers. Although the COVID19 pandemic greatly increased the need for digital changes and virtual learning in healthcare, higher education programs have been slow to adapt. Current educational frameworks focus too much on basic device operation. They often ignore the necessary behavioural changes, professional attitudes, and skills needed to use information quickly and effectively in today's connected clinical environments. Because training lacks a complete approach, students often depend on informal trial-and-error methods. This can lead to lower confidence and increased anxiety when trying to use digital tools in patient care. </w:t>
      </w:r>
    </w:p>
    <w:p w14:paraId="1D703F2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63262C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To explore this unequal quality of education, the authors looked at a dataset from a cross-sectional survey conducted at a university in Scotland. The target population mainly included undergraduate, pre-registration nursing students in various specialties, including adult, mental health, and child nursing, along with smaller, less-represented groups of midwifery and paramedic students. </w:t>
      </w:r>
    </w:p>
    <w:p w14:paraId="06042FF5"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69B07E60" w14:textId="77777777" w:rsidR="00771540" w:rsidRDefault="00771540" w:rsidP="00771540">
      <w:pPr>
        <w:rPr>
          <w:rFonts w:ascii="Arial" w:eastAsia="Arial" w:hAnsi="Arial" w:cs="Arial"/>
          <w:sz w:val="22"/>
          <w:szCs w:val="22"/>
        </w:rPr>
      </w:pPr>
    </w:p>
    <w:p w14:paraId="32ED27CE" w14:textId="77777777" w:rsidR="00771540" w:rsidRDefault="00771540" w:rsidP="00771540">
      <w:pPr>
        <w:rPr>
          <w:rFonts w:ascii="Arial" w:eastAsia="Arial" w:hAnsi="Arial" w:cs="Arial"/>
          <w:sz w:val="22"/>
          <w:szCs w:val="22"/>
        </w:rPr>
      </w:pPr>
    </w:p>
    <w:p w14:paraId="4F1CD823" w14:textId="77777777" w:rsidR="00771540" w:rsidRDefault="00771540" w:rsidP="00771540">
      <w:pPr>
        <w:rPr>
          <w:rFonts w:ascii="Arial" w:eastAsia="Arial" w:hAnsi="Arial" w:cs="Arial"/>
          <w:sz w:val="22"/>
          <w:szCs w:val="22"/>
        </w:rPr>
      </w:pPr>
    </w:p>
    <w:p w14:paraId="209C897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Importance to UK Health and Social Care  </w:t>
      </w:r>
    </w:p>
    <w:p w14:paraId="3051558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Building these skills is crucial for the health of the UK population and the broader social care system. A workforce that is digitally </w:t>
      </w:r>
      <w:proofErr w:type="spellStart"/>
      <w:r w:rsidRPr="3A0EAABD">
        <w:rPr>
          <w:rFonts w:ascii="Arial" w:eastAsia="Arial" w:hAnsi="Arial" w:cs="Arial"/>
          <w:sz w:val="22"/>
          <w:szCs w:val="22"/>
        </w:rPr>
        <w:t>knowledgable</w:t>
      </w:r>
      <w:proofErr w:type="spellEnd"/>
      <w:r w:rsidRPr="3A0EAABD">
        <w:rPr>
          <w:rFonts w:ascii="Arial" w:eastAsia="Arial" w:hAnsi="Arial" w:cs="Arial"/>
          <w:sz w:val="22"/>
          <w:szCs w:val="22"/>
        </w:rPr>
        <w:t xml:space="preserve"> is linked to better patient outcomes, improved staff experiences, and more efficient working methods. Acknowledging this need, the Royal College of Nursing (RCN) stated that using data and technology should no longer be seen as a specialized area. Instead, every modern healthcare worker must become an "e-nurse" who can fully use technology for patients. Additionally, the National Health Service (NHS) supports this by outlining six key areas of essential digital skills, such as information literacy, collaboration, and digital research. This shows that strong digital knowledge is essential for providing high-quality, evidence-based healthcare today.</w:t>
      </w:r>
    </w:p>
    <w:p w14:paraId="3B4B96C1" w14:textId="77777777" w:rsidR="00771540" w:rsidRDefault="00771540" w:rsidP="00771540">
      <w:pPr>
        <w:rPr>
          <w:rFonts w:ascii="Arial" w:eastAsia="Arial" w:hAnsi="Arial" w:cs="Arial"/>
          <w:sz w:val="22"/>
          <w:szCs w:val="22"/>
        </w:rPr>
      </w:pPr>
    </w:p>
    <w:p w14:paraId="5DE33B1C" w14:textId="77777777" w:rsidR="00771540" w:rsidRDefault="00771540" w:rsidP="00771540">
      <w:pPr>
        <w:rPr>
          <w:rFonts w:ascii="Arial" w:eastAsia="Arial" w:hAnsi="Arial" w:cs="Arial"/>
          <w:sz w:val="22"/>
          <w:szCs w:val="22"/>
        </w:rPr>
      </w:pPr>
      <w:r>
        <w:rPr>
          <w:rFonts w:ascii="Arial" w:eastAsia="Arial" w:hAnsi="Arial" w:cs="Arial"/>
          <w:sz w:val="22"/>
          <w:szCs w:val="22"/>
        </w:rPr>
        <w:br w:type="page"/>
      </w:r>
    </w:p>
    <w:p w14:paraId="715F8892" w14:textId="77777777" w:rsidR="00771540" w:rsidRDefault="00771540" w:rsidP="00771540">
      <w:pPr>
        <w:rPr>
          <w:rFonts w:ascii="Arial" w:eastAsia="Arial" w:hAnsi="Arial" w:cs="Arial"/>
          <w:sz w:val="22"/>
          <w:szCs w:val="22"/>
        </w:rPr>
      </w:pPr>
    </w:p>
    <w:p w14:paraId="79073C5A" w14:textId="77777777" w:rsidR="00771540" w:rsidRDefault="00771540" w:rsidP="00771540">
      <w:pPr>
        <w:rPr>
          <w:rFonts w:ascii="Arial" w:eastAsia="Arial" w:hAnsi="Arial" w:cs="Arial"/>
          <w:sz w:val="22"/>
          <w:szCs w:val="22"/>
        </w:rPr>
      </w:pPr>
      <w:r>
        <w:rPr>
          <w:rFonts w:ascii="Arial" w:eastAsia="Arial" w:hAnsi="Arial" w:cs="Arial"/>
          <w:sz w:val="22"/>
          <w:szCs w:val="22"/>
        </w:rPr>
        <w:br w:type="page"/>
      </w:r>
    </w:p>
    <w:p w14:paraId="25A33784" w14:textId="2F34DB3A" w:rsidR="00771540" w:rsidRDefault="00771540" w:rsidP="00771540">
      <w:pPr>
        <w:rPr>
          <w:rFonts w:ascii="Arial" w:eastAsia="Arial" w:hAnsi="Arial" w:cs="Arial"/>
          <w:sz w:val="22"/>
          <w:szCs w:val="22"/>
        </w:rPr>
      </w:pPr>
    </w:p>
    <w:p w14:paraId="01958F4F" w14:textId="77777777" w:rsidR="00771540" w:rsidRDefault="00771540" w:rsidP="00771540">
      <w:pPr>
        <w:pStyle w:val="Heading2"/>
        <w:rPr>
          <w:rFonts w:ascii="Arial" w:eastAsia="Arial" w:hAnsi="Arial" w:cs="Arial"/>
          <w:sz w:val="22"/>
          <w:szCs w:val="22"/>
        </w:rPr>
      </w:pPr>
      <w:r w:rsidRPr="3A0EAABD">
        <w:t>Section 2: Understanding the Purpose and Research Question</w:t>
      </w:r>
    </w:p>
    <w:p w14:paraId="61A780B2" w14:textId="77777777" w:rsidR="00771540" w:rsidRDefault="00771540" w:rsidP="00771540">
      <w:pPr>
        <w:pStyle w:val="Heading3"/>
        <w:rPr>
          <w:rFonts w:ascii="Arial" w:eastAsia="Arial" w:hAnsi="Arial" w:cs="Arial"/>
          <w:sz w:val="22"/>
          <w:szCs w:val="22"/>
        </w:rPr>
      </w:pPr>
      <w:r w:rsidRPr="3A0EAABD">
        <w:rPr>
          <w:rFonts w:ascii="Arial" w:eastAsia="Arial" w:hAnsi="Arial" w:cs="Arial"/>
          <w:sz w:val="22"/>
          <w:szCs w:val="22"/>
        </w:rPr>
        <w:t>Study Aim and Purpose</w:t>
      </w:r>
    </w:p>
    <w:p w14:paraId="720112F1"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The main goal of this study is to explore the self-assessed digital literacy skills of healthcare students in higher education. This will be done using a newly adapted evaluation tool focused on their field. The research aims to expose areas of digital inequality among different groups. This information will help educational institutions create more inclusive curricula that prepare future professionals for today's technology-driven clinical settings.</w:t>
      </w:r>
    </w:p>
    <w:p w14:paraId="2E408A88" w14:textId="77777777" w:rsidR="00771540" w:rsidRDefault="00771540" w:rsidP="00771540">
      <w:pPr>
        <w:pStyle w:val="Heading3"/>
        <w:rPr>
          <w:rFonts w:ascii="Arial" w:eastAsia="Arial" w:hAnsi="Arial" w:cs="Arial"/>
          <w:sz w:val="22"/>
          <w:szCs w:val="22"/>
        </w:rPr>
      </w:pPr>
      <w:r w:rsidRPr="3A0EAABD">
        <w:rPr>
          <w:rFonts w:ascii="Arial" w:eastAsia="Arial" w:hAnsi="Arial" w:cs="Arial"/>
          <w:sz w:val="22"/>
          <w:szCs w:val="22"/>
        </w:rPr>
        <w:t>Research Hypotheses</w:t>
      </w:r>
    </w:p>
    <w:p w14:paraId="7D0F5B4B"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To meet these goals and examine demographic differences within the main nursing dataset, the authors propose two key hypotheses:</w:t>
      </w:r>
    </w:p>
    <w:p w14:paraId="512E4EE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H1: Self-assessed digital skills of students will relate to differences in age among different generational groups.</w:t>
      </w:r>
    </w:p>
    <w:p w14:paraId="7896852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H2: Self-assessed digital skills of students will relate to the type of course taken (pre-registration and post-registration courses).</w:t>
      </w:r>
    </w:p>
    <w:p w14:paraId="4180208F" w14:textId="77777777" w:rsidR="00771540" w:rsidRDefault="00771540" w:rsidP="00771540">
      <w:pPr>
        <w:rPr>
          <w:rFonts w:ascii="Arial" w:eastAsia="Arial" w:hAnsi="Arial" w:cs="Arial"/>
          <w:sz w:val="22"/>
          <w:szCs w:val="22"/>
        </w:rPr>
      </w:pPr>
    </w:p>
    <w:p w14:paraId="6B6DE8AF"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Section 3: Understanding the Research Methods  </w:t>
      </w:r>
    </w:p>
    <w:p w14:paraId="7284808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Methodological Paradigms Defined  </w:t>
      </w:r>
    </w:p>
    <w:p w14:paraId="6042A35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Research methodology is the framework used to investigate problems, gather evidence, and </w:t>
      </w:r>
      <w:proofErr w:type="spellStart"/>
      <w:r w:rsidRPr="3A0EAABD">
        <w:rPr>
          <w:rFonts w:ascii="Arial" w:eastAsia="Arial" w:hAnsi="Arial" w:cs="Arial"/>
          <w:sz w:val="22"/>
          <w:szCs w:val="22"/>
        </w:rPr>
        <w:t>analyze</w:t>
      </w:r>
      <w:proofErr w:type="spellEnd"/>
      <w:r w:rsidRPr="3A0EAABD">
        <w:rPr>
          <w:rFonts w:ascii="Arial" w:eastAsia="Arial" w:hAnsi="Arial" w:cs="Arial"/>
          <w:sz w:val="22"/>
          <w:szCs w:val="22"/>
        </w:rPr>
        <w:t xml:space="preserve"> data. Choosing the right approach aligns research goals with practical analysis tools.</w:t>
      </w:r>
    </w:p>
    <w:p w14:paraId="778014CB"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07AA9CB2"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Quantitative Research: This method focuses on collecting and </w:t>
      </w:r>
      <w:proofErr w:type="spellStart"/>
      <w:r w:rsidRPr="3A0EAABD">
        <w:rPr>
          <w:rFonts w:ascii="Arial" w:eastAsia="Arial" w:hAnsi="Arial" w:cs="Arial"/>
          <w:sz w:val="22"/>
          <w:szCs w:val="22"/>
        </w:rPr>
        <w:t>analyzing</w:t>
      </w:r>
      <w:proofErr w:type="spellEnd"/>
      <w:r w:rsidRPr="3A0EAABD">
        <w:rPr>
          <w:rFonts w:ascii="Arial" w:eastAsia="Arial" w:hAnsi="Arial" w:cs="Arial"/>
          <w:sz w:val="22"/>
          <w:szCs w:val="22"/>
        </w:rPr>
        <w:t xml:space="preserve"> numerical data in a systematic way. Its main purpose is to find objective patterns, establish statistical connections, test formal hypotheses, and generalize results to a larger population. It uses structured tools like closed-ended surveys or controlled experiments to ensure consistency and reduce researcher bias.</w:t>
      </w:r>
    </w:p>
    <w:p w14:paraId="374A105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2F618B82"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Qualitative Research: This method </w:t>
      </w:r>
      <w:proofErr w:type="gramStart"/>
      <w:r w:rsidRPr="3A0EAABD">
        <w:rPr>
          <w:rFonts w:ascii="Arial" w:eastAsia="Arial" w:hAnsi="Arial" w:cs="Arial"/>
          <w:sz w:val="22"/>
          <w:szCs w:val="22"/>
        </w:rPr>
        <w:t>looks into</w:t>
      </w:r>
      <w:proofErr w:type="gramEnd"/>
      <w:r w:rsidRPr="3A0EAABD">
        <w:rPr>
          <w:rFonts w:ascii="Arial" w:eastAsia="Arial" w:hAnsi="Arial" w:cs="Arial"/>
          <w:sz w:val="22"/>
          <w:szCs w:val="22"/>
        </w:rPr>
        <w:t xml:space="preserve"> the subjective meanings, experiences, opinions, and views of people. Instead of simplifying feedback into statistics, qualitative studies collect rich, descriptive data through open-ended interviews, focus groups, or observations. This approach highlights context, details, and motivations to explore the complex reasons behind human </w:t>
      </w:r>
      <w:proofErr w:type="spellStart"/>
      <w:r w:rsidRPr="3A0EAABD">
        <w:rPr>
          <w:rFonts w:ascii="Arial" w:eastAsia="Arial" w:hAnsi="Arial" w:cs="Arial"/>
          <w:sz w:val="22"/>
          <w:szCs w:val="22"/>
        </w:rPr>
        <w:t>behavior</w:t>
      </w:r>
      <w:proofErr w:type="spellEnd"/>
      <w:r w:rsidRPr="3A0EAABD">
        <w:rPr>
          <w:rFonts w:ascii="Arial" w:eastAsia="Arial" w:hAnsi="Arial" w:cs="Arial"/>
          <w:sz w:val="22"/>
          <w:szCs w:val="22"/>
        </w:rPr>
        <w:t>.</w:t>
      </w:r>
    </w:p>
    <w:p w14:paraId="4C31D30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2E7923A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Mixed-Methods Research: This approach combines both quantitative and qualitative methods in one study. By merging numerical data with descriptive narratives, researchers get a more complete understanding of a topic. This mix helps explain broad trends seen in quantitative data with finer insights from qualitative data.</w:t>
      </w:r>
    </w:p>
    <w:p w14:paraId="7859D0C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lastRenderedPageBreak/>
        <w:t xml:space="preserve"> </w:t>
      </w:r>
    </w:p>
    <w:p w14:paraId="28AA4518"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Methodological Identification of the Study  </w:t>
      </w:r>
    </w:p>
    <w:p w14:paraId="2729809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The empirical study by </w:t>
      </w:r>
      <w:proofErr w:type="spellStart"/>
      <w:r w:rsidRPr="3A0EAABD">
        <w:rPr>
          <w:rFonts w:ascii="Arial" w:eastAsia="Arial" w:hAnsi="Arial" w:cs="Arial"/>
          <w:sz w:val="22"/>
          <w:szCs w:val="22"/>
        </w:rPr>
        <w:t>Martzoukou</w:t>
      </w:r>
      <w:proofErr w:type="spellEnd"/>
      <w:r w:rsidRPr="3A0EAABD">
        <w:rPr>
          <w:rFonts w:ascii="Arial" w:eastAsia="Arial" w:hAnsi="Arial" w:cs="Arial"/>
          <w:sz w:val="22"/>
          <w:szCs w:val="22"/>
        </w:rPr>
        <w:t xml:space="preserve"> et al. (2024) uses a cross-sectional quantitative research design while incorporating some qualitative elements. In straightforward terms, a cross-sectional study captures data from participants at one specific point in time, rather than tracking changes over an extended period.</w:t>
      </w:r>
    </w:p>
    <w:p w14:paraId="7E35DBC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33DDF8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Although this study is part of a bigger project, this paper focuses on data from nursing, midwifery, and paramedic students. The authors mention that this paper discusses the project's quantitative aspect. However, since the main survey combined structured numerical scales with open-ended questions, it uses qualitative insights to support its quantitative framework. This approach allows the authors to measure digital literacy gaps while also capturing detailed student reflections.  </w:t>
      </w:r>
    </w:p>
    <w:p w14:paraId="27B4FD5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656878A1"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Data Collection Paradigms: Primary vs. Secondary  </w:t>
      </w:r>
    </w:p>
    <w:p w14:paraId="73E899E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A key part of any methodology is figuring out where the empirical evidence comes from, which distinguishes between primary and secondary data collection.</w:t>
      </w:r>
    </w:p>
    <w:p w14:paraId="3D64C52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5DEB3BDB"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Primary Data Collection: This happens when researchers collect new, firsthand data directly from participants to answer their current research questions. Methods include creating custom surveys, conducting interviews, or performing original experiments. This approach offers complete control over data relevance and accuracy, but it can be </w:t>
      </w:r>
      <w:proofErr w:type="gramStart"/>
      <w:r w:rsidRPr="3A0EAABD">
        <w:rPr>
          <w:rFonts w:ascii="Arial" w:eastAsia="Arial" w:hAnsi="Arial" w:cs="Arial"/>
          <w:sz w:val="22"/>
          <w:szCs w:val="22"/>
        </w:rPr>
        <w:t>resource-intensive</w:t>
      </w:r>
      <w:proofErr w:type="gramEnd"/>
      <w:r w:rsidRPr="3A0EAABD">
        <w:rPr>
          <w:rFonts w:ascii="Arial" w:eastAsia="Arial" w:hAnsi="Arial" w:cs="Arial"/>
          <w:sz w:val="22"/>
          <w:szCs w:val="22"/>
        </w:rPr>
        <w:t>.</w:t>
      </w:r>
    </w:p>
    <w:p w14:paraId="24643B98"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44EF37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Secondary Data Collection: This involves </w:t>
      </w:r>
      <w:proofErr w:type="spellStart"/>
      <w:r w:rsidRPr="3A0EAABD">
        <w:rPr>
          <w:rFonts w:ascii="Arial" w:eastAsia="Arial" w:hAnsi="Arial" w:cs="Arial"/>
          <w:sz w:val="22"/>
          <w:szCs w:val="22"/>
        </w:rPr>
        <w:t>analyzing</w:t>
      </w:r>
      <w:proofErr w:type="spellEnd"/>
      <w:r w:rsidRPr="3A0EAABD">
        <w:rPr>
          <w:rFonts w:ascii="Arial" w:eastAsia="Arial" w:hAnsi="Arial" w:cs="Arial"/>
          <w:sz w:val="22"/>
          <w:szCs w:val="22"/>
        </w:rPr>
        <w:t xml:space="preserve"> existing data that others have already gathered for different purposes. Examples include public census databases or hospital records. While this method can save costs, the researcher has no control over how the original data was collected or organized.</w:t>
      </w:r>
    </w:p>
    <w:p w14:paraId="53DDD28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FE2396A" w14:textId="77777777" w:rsidR="00771540" w:rsidRDefault="00771540" w:rsidP="00771540">
      <w:pPr>
        <w:rPr>
          <w:rFonts w:ascii="Arial" w:eastAsia="Arial" w:hAnsi="Arial" w:cs="Arial"/>
          <w:sz w:val="22"/>
          <w:szCs w:val="22"/>
        </w:rPr>
      </w:pPr>
      <w:proofErr w:type="spellStart"/>
      <w:r w:rsidRPr="3A0EAABD">
        <w:rPr>
          <w:rFonts w:ascii="Arial" w:eastAsia="Arial" w:hAnsi="Arial" w:cs="Arial"/>
          <w:sz w:val="22"/>
          <w:szCs w:val="22"/>
        </w:rPr>
        <w:t>Martzoukou</w:t>
      </w:r>
      <w:proofErr w:type="spellEnd"/>
      <w:r w:rsidRPr="3A0EAABD">
        <w:rPr>
          <w:rFonts w:ascii="Arial" w:eastAsia="Arial" w:hAnsi="Arial" w:cs="Arial"/>
          <w:sz w:val="22"/>
          <w:szCs w:val="22"/>
        </w:rPr>
        <w:t xml:space="preserve"> et al. (2024) used primary data collection. Instead of relying on existing student records or historical databases, the research team directly sent an online questionnaire to current students to gather new data focused on healthcare digital literacy trends.</w:t>
      </w:r>
    </w:p>
    <w:p w14:paraId="24C1967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1B5152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Specific Data Collection Implementation  </w:t>
      </w:r>
    </w:p>
    <w:p w14:paraId="0AF8C060" w14:textId="77777777" w:rsidR="00771540" w:rsidRDefault="00771540" w:rsidP="00771540">
      <w:pPr>
        <w:spacing w:line="360" w:lineRule="auto"/>
        <w:rPr>
          <w:rFonts w:ascii="Arial" w:eastAsia="Arial" w:hAnsi="Arial" w:cs="Arial"/>
          <w:sz w:val="22"/>
          <w:szCs w:val="22"/>
        </w:rPr>
      </w:pPr>
      <w:r w:rsidRPr="3A0EAABD">
        <w:rPr>
          <w:rFonts w:ascii="Arial" w:eastAsia="Arial" w:hAnsi="Arial" w:cs="Arial"/>
          <w:sz w:val="22"/>
          <w:szCs w:val="22"/>
        </w:rPr>
        <w:t>The primary data collection phase took place over two months, from November to December 2021. The researchers sent an electronic questionnaire to students in the School of Nursing, Midwifery, and Paramedic Practice at a university in Scotland.</w:t>
      </w:r>
    </w:p>
    <w:p w14:paraId="03F8E27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E15B76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lastRenderedPageBreak/>
        <w:t xml:space="preserve">The data collection tool was developed through a two-step process:  </w:t>
      </w:r>
    </w:p>
    <w:p w14:paraId="222A4DD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4BF87C48"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Consultation Phase: The team worked with academic staff and active students to gather specific requirements for the discipline.  </w:t>
      </w:r>
    </w:p>
    <w:p w14:paraId="16C4ADD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124D3F1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Instrument Repurposing: The researchers adapted a validated general self-assessment tool for digital competencies to better reflect digital needs in healthcare settings.</w:t>
      </w:r>
    </w:p>
    <w:p w14:paraId="3879004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150BCDB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The resulting questionnaire assessed student self-perceptions across nine different digital literacy areas, such as ICT skills, information literacy, digital research, and digital innovation. The tool collected quantitative data through structured scales and qualitative feedback from open-ended questions about how students learn new tools, keep up-to-date, and tackle academic technical challenges.</w:t>
      </w:r>
    </w:p>
    <w:p w14:paraId="00DF312F"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0D6E93C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Data Analysis Techniques  </w:t>
      </w:r>
    </w:p>
    <w:p w14:paraId="6628A3AB"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To </w:t>
      </w:r>
      <w:proofErr w:type="spellStart"/>
      <w:r w:rsidRPr="3A0EAABD">
        <w:rPr>
          <w:rFonts w:ascii="Arial" w:eastAsia="Arial" w:hAnsi="Arial" w:cs="Arial"/>
          <w:sz w:val="22"/>
          <w:szCs w:val="22"/>
        </w:rPr>
        <w:t>analyze</w:t>
      </w:r>
      <w:proofErr w:type="spellEnd"/>
      <w:r w:rsidRPr="3A0EAABD">
        <w:rPr>
          <w:rFonts w:ascii="Arial" w:eastAsia="Arial" w:hAnsi="Arial" w:cs="Arial"/>
          <w:sz w:val="22"/>
          <w:szCs w:val="22"/>
        </w:rPr>
        <w:t xml:space="preserve"> the collected data, researchers used two separate analytical processes based on data type:</w:t>
      </w:r>
    </w:p>
    <w:p w14:paraId="401BC30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0416CFD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Quantitative Data Analysis: Numerical data from structured scales were handled using descriptive and inferential statistics. First, descriptive statistical analysis (frequencies, percentages, and means) provided a baseline for competency levels. Since the data distribution was non-parametric, the authors employed statistical tests to compare subgroups. They used the Mann-Whitney U-test to find significant differences between two independent groups (like pre-registration versus post-registration course types) and the Kruskal-</w:t>
      </w:r>
      <w:proofErr w:type="gramStart"/>
      <w:r w:rsidRPr="3A0EAABD">
        <w:rPr>
          <w:rFonts w:ascii="Arial" w:eastAsia="Arial" w:hAnsi="Arial" w:cs="Arial"/>
          <w:sz w:val="22"/>
          <w:szCs w:val="22"/>
        </w:rPr>
        <w:t>Wallis</w:t>
      </w:r>
      <w:proofErr w:type="gramEnd"/>
      <w:r w:rsidRPr="3A0EAABD">
        <w:rPr>
          <w:rFonts w:ascii="Arial" w:eastAsia="Arial" w:hAnsi="Arial" w:cs="Arial"/>
          <w:sz w:val="22"/>
          <w:szCs w:val="22"/>
        </w:rPr>
        <w:t xml:space="preserve"> test to assess variations across different age groups.</w:t>
      </w:r>
    </w:p>
    <w:p w14:paraId="7A30708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2F5ABE52"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Qualitative Data Analysis: Text data from open-ended survey responses were </w:t>
      </w:r>
      <w:proofErr w:type="spellStart"/>
      <w:r w:rsidRPr="3A0EAABD">
        <w:rPr>
          <w:rFonts w:ascii="Arial" w:eastAsia="Arial" w:hAnsi="Arial" w:cs="Arial"/>
          <w:sz w:val="22"/>
          <w:szCs w:val="22"/>
        </w:rPr>
        <w:t>analyzed</w:t>
      </w:r>
      <w:proofErr w:type="spellEnd"/>
      <w:r w:rsidRPr="3A0EAABD">
        <w:rPr>
          <w:rFonts w:ascii="Arial" w:eastAsia="Arial" w:hAnsi="Arial" w:cs="Arial"/>
          <w:sz w:val="22"/>
          <w:szCs w:val="22"/>
        </w:rPr>
        <w:t xml:space="preserve"> using thematic analysis. The researchers reviewed the text line-by-line, assigned codes to recurring themes, and grouped these codes into overarching concepts. This qualitative analysis showed that students often rely on informal "trial-and-error" methods, shedding light on specific skill gaps identified in the statistical findings.</w:t>
      </w:r>
    </w:p>
    <w:p w14:paraId="4744153F" w14:textId="77777777" w:rsidR="00771540" w:rsidRDefault="00771540" w:rsidP="00771540">
      <w:pPr>
        <w:rPr>
          <w:rFonts w:ascii="Arial" w:eastAsia="Arial" w:hAnsi="Arial" w:cs="Arial"/>
          <w:sz w:val="22"/>
          <w:szCs w:val="22"/>
        </w:rPr>
      </w:pPr>
    </w:p>
    <w:p w14:paraId="19EFFA5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Section 4: Key Findings and Results Analysis</w:t>
      </w:r>
    </w:p>
    <w:p w14:paraId="2663970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55A59C9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Sample Demographics and Participation</w:t>
      </w:r>
    </w:p>
    <w:p w14:paraId="4D753DC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25CFA481"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lastRenderedPageBreak/>
        <w:t xml:space="preserve">The study used a primary dataset from an online survey. The overall response rate was about 15% (N = 182 valid student respondents). The sample reflected historical demographic trends in the UK healthcare workforce, with a strong majority of female participants (93.4%, n = 170) compared to male participants (6.6%, n = 12). </w:t>
      </w:r>
    </w:p>
    <w:p w14:paraId="29E6BEF5"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14388B88"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The sample was divided across generations and course pathways as follows:</w:t>
      </w:r>
    </w:p>
    <w:p w14:paraId="584DA1AB" w14:textId="77777777" w:rsidR="00771540" w:rsidRDefault="00771540" w:rsidP="00771540">
      <w:r>
        <w:rPr>
          <w:noProof/>
        </w:rPr>
        <w:drawing>
          <wp:inline distT="0" distB="0" distL="0" distR="0" wp14:anchorId="12FCFD3F" wp14:editId="31EE8C29">
            <wp:extent cx="5724525" cy="2733675"/>
            <wp:effectExtent l="0" t="0" r="0" b="0"/>
            <wp:docPr id="2146907523" name="drawing" descr="The image displays a table presenting the distribution of respondents across different generational categories, including Generation Z, Millennial Generation Y, Generation X, and Baby Boomers, along with their respective percentages and participant cou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907523" name="drawing" descr="The image displays a table presenting the distribution of respondents across different generational categories, including Generation Z, Millennial Generation Y, Generation X, and Baby Boomers, along with their respective percentages and participant counts.&#10;&#10;AI-generated content may be incorrect."/>
                    <pic:cNvPicPr/>
                  </pic:nvPicPr>
                  <pic:blipFill>
                    <a:blip r:embed="rId7">
                      <a:extLst>
                        <a:ext uri="{28A0092B-C50C-407E-A947-70E740481C1C}">
                          <a14:useLocalDpi xmlns:a14="http://schemas.microsoft.com/office/drawing/2010/main"/>
                        </a:ext>
                      </a:extLst>
                    </a:blip>
                    <a:stretch>
                      <a:fillRect/>
                    </a:stretch>
                  </pic:blipFill>
                  <pic:spPr>
                    <a:xfrm>
                      <a:off x="0" y="0"/>
                      <a:ext cx="5724525" cy="2733675"/>
                    </a:xfrm>
                    <a:prstGeom prst="rect">
                      <a:avLst/>
                    </a:prstGeom>
                  </pic:spPr>
                </pic:pic>
              </a:graphicData>
            </a:graphic>
          </wp:inline>
        </w:drawing>
      </w:r>
    </w:p>
    <w:p w14:paraId="353FFEF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3259F3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Hypothesis Testing Outcomes</w:t>
      </w:r>
    </w:p>
    <w:p w14:paraId="0559545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4F04C41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Using non-parametric statistical analysis, specifically the Mann-Whitney U-test and Kruskal-</w:t>
      </w:r>
      <w:proofErr w:type="gramStart"/>
      <w:r w:rsidRPr="3A0EAABD">
        <w:rPr>
          <w:rFonts w:ascii="Arial" w:eastAsia="Arial" w:hAnsi="Arial" w:cs="Arial"/>
          <w:sz w:val="22"/>
          <w:szCs w:val="22"/>
        </w:rPr>
        <w:t>Wallis</w:t>
      </w:r>
      <w:proofErr w:type="gramEnd"/>
      <w:r w:rsidRPr="3A0EAABD">
        <w:rPr>
          <w:rFonts w:ascii="Arial" w:eastAsia="Arial" w:hAnsi="Arial" w:cs="Arial"/>
          <w:sz w:val="22"/>
          <w:szCs w:val="22"/>
        </w:rPr>
        <w:t xml:space="preserve"> test, the researchers tested the two main working hypotheses from Section 2:</w:t>
      </w:r>
    </w:p>
    <w:p w14:paraId="04E3EC05"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6E235B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H1: (Age Correlation): Supported. The tests showed that self-assessed digital skills varied significantly by generation. Younger students (Generation Z) felt they were more digitally capable than older generations. </w:t>
      </w:r>
    </w:p>
    <w:p w14:paraId="1F3456C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5F2A05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H2: (Course Type Correlation): Supported. A significant difference in digital capability was found between different registration pathways. Students in pre-registration pathways assessed themselves as more competent in most digital areas than their post-registration counterparts. </w:t>
      </w:r>
    </w:p>
    <w:p w14:paraId="37FEB181"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40EC71A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Key Analytical Takeaway: While older post-registration students have much more practical experience in clinical environments, they reported having significantly lower self-perceived digital skills and need focused support in IT and academic study skills. </w:t>
      </w:r>
    </w:p>
    <w:p w14:paraId="49D14B6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D4623D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lastRenderedPageBreak/>
        <w:t>Core Digital Literacy Trends: Strengths vs. Gaps</w:t>
      </w:r>
    </w:p>
    <w:p w14:paraId="06DA4AF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F79FD5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A key finding of the study was that no digital competency dimension received an "expert" overall rating. Instead, the student group rated their overall digital ability to complete academic tasks at an "intermediate" level. </w:t>
      </w:r>
    </w:p>
    <w:p w14:paraId="05F964E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4BA19C0F"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1. Areas of Strength ("Advanced" Competencies)</w:t>
      </w:r>
    </w:p>
    <w:p w14:paraId="11ECBBA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41E6AA3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Students expressed high confidence and self-assessed advanced skills (frequent mode value of 4) in five everyday application areas:</w:t>
      </w:r>
    </w:p>
    <w:p w14:paraId="491DBA1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14787BE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Everyday Participation as a Digital Citizen</w:t>
      </w:r>
    </w:p>
    <w:p w14:paraId="6D359F82"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General ICT Proficiency (basic device operation)</w:t>
      </w:r>
    </w:p>
    <w:p w14:paraId="3D353B95"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Basic Digital Communication</w:t>
      </w:r>
    </w:p>
    <w:p w14:paraId="3E3B989F"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Digital Creation (everyday social media platforms/tools)</w:t>
      </w:r>
    </w:p>
    <w:p w14:paraId="0F5AEF45"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Digital Wellbeing</w:t>
      </w:r>
    </w:p>
    <w:p w14:paraId="2E99E5EF"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6116E0AF"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2. Areas of Vulnerability ("Novice" or "Basic" Gaps)</w:t>
      </w:r>
    </w:p>
    <w:p w14:paraId="45B671C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03373E0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Troublingly, no advanced or expert scores were obtained in the specific digital skills vital for higher education and modern professional work. Significant gaps were evident in:</w:t>
      </w:r>
    </w:p>
    <w:p w14:paraId="79535381"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0CB7683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Information Literacy &amp; Digital Research: Students often struggled with critically assessing healthcare data, organizing research datasets, using digital appraisal software, and doing formal academic referencing. </w:t>
      </w:r>
    </w:p>
    <w:p w14:paraId="7325C332"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Digital Innovation &amp; Identity Management: They reported lower abilities with advanced technical systems like telehealth applications, data visualization, and simulation-based electronic environments.</w:t>
      </w:r>
    </w:p>
    <w:p w14:paraId="0ABE3E5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F6B508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Learning Strategies: Open-ended feedback showed that students mostly relied on stressful, unguided "trial-and-error" methods to deal with software problems. This often led to significant academic anxiety and frustration when systems did not work.</w:t>
      </w:r>
    </w:p>
    <w:p w14:paraId="155E968A" w14:textId="77777777" w:rsidR="00771540" w:rsidRDefault="00771540" w:rsidP="00771540">
      <w:pPr>
        <w:rPr>
          <w:rFonts w:ascii="Arial" w:eastAsia="Arial" w:hAnsi="Arial" w:cs="Arial"/>
          <w:sz w:val="22"/>
          <w:szCs w:val="22"/>
        </w:rPr>
      </w:pPr>
      <w:r>
        <w:rPr>
          <w:rFonts w:ascii="Arial" w:eastAsia="Arial" w:hAnsi="Arial" w:cs="Arial"/>
          <w:sz w:val="22"/>
          <w:szCs w:val="22"/>
        </w:rPr>
        <w:br w:type="page"/>
      </w:r>
      <w:r w:rsidRPr="3A0EAABD">
        <w:rPr>
          <w:rFonts w:ascii="Arial" w:eastAsia="Arial" w:hAnsi="Arial" w:cs="Arial"/>
          <w:sz w:val="22"/>
          <w:szCs w:val="22"/>
        </w:rPr>
        <w:lastRenderedPageBreak/>
        <w:t>Section 1: Introducing the Research Paper</w:t>
      </w:r>
    </w:p>
    <w:p w14:paraId="68C1E62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The research paper is titled "A cross-sectional study of discipline-based self-perceived digital literacy competencies of nursing students." It is authored by Konstantina Martzoukou, Errol Sadullah Luders, Jane Mair, Petros Kostagiolas, Neil Johnson, Fiona Work, and Crystal Fulton, and it was published in 2024. </w:t>
      </w:r>
    </w:p>
    <w:p w14:paraId="71A64A1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137546D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The main problem and the sample population  </w:t>
      </w:r>
    </w:p>
    <w:p w14:paraId="152BBB4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The main issue looked at in this study is the uneven and inconsistent level of digital literacy among frontline healthcare workers. Although the COVID19 pandemic greatly increased the need for digital changes and virtual learning in healthcare, higher education programs have been slow to adapt. Current educational frameworks focus too much on basic device operation. They often ignore the necessary behavioural changes, professional attitudes, and skills needed to use information quickly and effectively in today's connected clinical environments. Because training lacks a complete approach, students often depend on informal trial-and-error methods. This can lead to lower confidence and increased anxiety when trying to use digital tools in patient care. </w:t>
      </w:r>
    </w:p>
    <w:p w14:paraId="49BCD22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6BD7454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To explore this unequal quality of education, the authors looked at a dataset from a cross-sectional survey conducted at a university in Scotland. The target population mainly included undergraduate, pre-registration nursing students in various specialties, including adult, mental health, and child nursing, along with smaller, less-represented groups of midwifery and paramedic students. </w:t>
      </w:r>
    </w:p>
    <w:p w14:paraId="3C89EBEB"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122C6D84" w14:textId="77777777" w:rsidR="00771540" w:rsidRDefault="00771540" w:rsidP="00771540">
      <w:pPr>
        <w:rPr>
          <w:rFonts w:ascii="Arial" w:eastAsia="Arial" w:hAnsi="Arial" w:cs="Arial"/>
          <w:sz w:val="22"/>
          <w:szCs w:val="22"/>
        </w:rPr>
      </w:pPr>
    </w:p>
    <w:p w14:paraId="4D721DF2" w14:textId="77777777" w:rsidR="00771540" w:rsidRDefault="00771540" w:rsidP="00771540">
      <w:pPr>
        <w:rPr>
          <w:rFonts w:ascii="Arial" w:eastAsia="Arial" w:hAnsi="Arial" w:cs="Arial"/>
          <w:sz w:val="22"/>
          <w:szCs w:val="22"/>
        </w:rPr>
      </w:pPr>
    </w:p>
    <w:p w14:paraId="2DF3A136" w14:textId="77777777" w:rsidR="00771540" w:rsidRDefault="00771540" w:rsidP="00771540">
      <w:pPr>
        <w:rPr>
          <w:rFonts w:ascii="Arial" w:eastAsia="Arial" w:hAnsi="Arial" w:cs="Arial"/>
          <w:sz w:val="22"/>
          <w:szCs w:val="22"/>
        </w:rPr>
      </w:pPr>
    </w:p>
    <w:p w14:paraId="767C555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Importance to UK Health and Social Care  </w:t>
      </w:r>
    </w:p>
    <w:p w14:paraId="1AE35B81"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Building these skills is crucial for the health of the UK population and the broader social care system. A workforce that is digitally </w:t>
      </w:r>
      <w:proofErr w:type="spellStart"/>
      <w:r w:rsidRPr="3A0EAABD">
        <w:rPr>
          <w:rFonts w:ascii="Arial" w:eastAsia="Arial" w:hAnsi="Arial" w:cs="Arial"/>
          <w:sz w:val="22"/>
          <w:szCs w:val="22"/>
        </w:rPr>
        <w:t>knowledgable</w:t>
      </w:r>
      <w:proofErr w:type="spellEnd"/>
      <w:r w:rsidRPr="3A0EAABD">
        <w:rPr>
          <w:rFonts w:ascii="Arial" w:eastAsia="Arial" w:hAnsi="Arial" w:cs="Arial"/>
          <w:sz w:val="22"/>
          <w:szCs w:val="22"/>
        </w:rPr>
        <w:t xml:space="preserve"> is linked to better patient outcomes, improved staff experiences, and more efficient working methods. Acknowledging this need, the Royal College of Nursing (RCN) stated that using data and technology should no longer be seen as a specialized area. Instead, every modern healthcare worker must become an "e-nurse" who can fully use technology for patients. Additionally, the National Health Service (NHS) supports this by outlining six key areas of essential digital skills, such as information literacy, collaboration, and digital research. This shows that strong digital knowledge is essential for providing high-quality, evidence-based healthcare today.</w:t>
      </w:r>
    </w:p>
    <w:p w14:paraId="1F3A1671" w14:textId="77777777" w:rsidR="00771540" w:rsidRDefault="00771540" w:rsidP="00771540">
      <w:pPr>
        <w:rPr>
          <w:rFonts w:ascii="Arial" w:eastAsia="Arial" w:hAnsi="Arial" w:cs="Arial"/>
          <w:sz w:val="22"/>
          <w:szCs w:val="22"/>
        </w:rPr>
      </w:pPr>
    </w:p>
    <w:p w14:paraId="127BB7D5" w14:textId="77777777" w:rsidR="00771540" w:rsidRDefault="00771540" w:rsidP="00771540">
      <w:pPr>
        <w:rPr>
          <w:rFonts w:ascii="Arial" w:eastAsia="Arial" w:hAnsi="Arial" w:cs="Arial"/>
          <w:sz w:val="22"/>
          <w:szCs w:val="22"/>
        </w:rPr>
      </w:pPr>
      <w:r>
        <w:rPr>
          <w:rFonts w:ascii="Arial" w:eastAsia="Arial" w:hAnsi="Arial" w:cs="Arial"/>
          <w:sz w:val="22"/>
          <w:szCs w:val="22"/>
        </w:rPr>
        <w:br w:type="page"/>
      </w:r>
    </w:p>
    <w:p w14:paraId="2F48247F" w14:textId="77777777" w:rsidR="00771540" w:rsidRDefault="00771540" w:rsidP="00771540">
      <w:pPr>
        <w:rPr>
          <w:rFonts w:ascii="Arial" w:eastAsia="Arial" w:hAnsi="Arial" w:cs="Arial"/>
          <w:sz w:val="22"/>
          <w:szCs w:val="22"/>
        </w:rPr>
      </w:pPr>
    </w:p>
    <w:p w14:paraId="7DACE5DD" w14:textId="77777777" w:rsidR="00771540" w:rsidRDefault="00771540" w:rsidP="00771540">
      <w:pPr>
        <w:rPr>
          <w:rFonts w:ascii="Arial" w:eastAsia="Arial" w:hAnsi="Arial" w:cs="Arial"/>
          <w:sz w:val="22"/>
          <w:szCs w:val="22"/>
        </w:rPr>
      </w:pPr>
      <w:r>
        <w:rPr>
          <w:rFonts w:ascii="Arial" w:eastAsia="Arial" w:hAnsi="Arial" w:cs="Arial"/>
          <w:sz w:val="22"/>
          <w:szCs w:val="22"/>
        </w:rPr>
        <w:br w:type="page"/>
      </w:r>
    </w:p>
    <w:p w14:paraId="6CFB454B" w14:textId="77777777" w:rsidR="00771540" w:rsidRDefault="00771540" w:rsidP="00771540">
      <w:pPr>
        <w:rPr>
          <w:rFonts w:ascii="Arial" w:eastAsia="Arial" w:hAnsi="Arial" w:cs="Arial"/>
          <w:sz w:val="22"/>
          <w:szCs w:val="22"/>
        </w:rPr>
      </w:pPr>
    </w:p>
    <w:p w14:paraId="7E9E51BE" w14:textId="77777777" w:rsidR="00771540" w:rsidRDefault="00771540" w:rsidP="00771540">
      <w:pPr>
        <w:pStyle w:val="Heading2"/>
        <w:rPr>
          <w:rFonts w:ascii="Arial" w:eastAsia="Arial" w:hAnsi="Arial" w:cs="Arial"/>
          <w:sz w:val="22"/>
          <w:szCs w:val="22"/>
        </w:rPr>
      </w:pPr>
      <w:r w:rsidRPr="3A0EAABD">
        <w:t>Section 2: Understanding the Purpose and Research Question</w:t>
      </w:r>
    </w:p>
    <w:p w14:paraId="1AB2DDD6" w14:textId="77777777" w:rsidR="00771540" w:rsidRDefault="00771540" w:rsidP="00771540">
      <w:pPr>
        <w:pStyle w:val="Heading3"/>
        <w:rPr>
          <w:rFonts w:ascii="Arial" w:eastAsia="Arial" w:hAnsi="Arial" w:cs="Arial"/>
          <w:sz w:val="22"/>
          <w:szCs w:val="22"/>
        </w:rPr>
      </w:pPr>
      <w:r w:rsidRPr="3A0EAABD">
        <w:rPr>
          <w:rFonts w:ascii="Arial" w:eastAsia="Arial" w:hAnsi="Arial" w:cs="Arial"/>
          <w:sz w:val="22"/>
          <w:szCs w:val="22"/>
        </w:rPr>
        <w:t>Study Aim and Purpose</w:t>
      </w:r>
    </w:p>
    <w:p w14:paraId="5AF51F4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The main goal of this study is to explore the self-assessed digital literacy skills of healthcare students in higher education. This will be done using a newly adapted evaluation tool focused on their field. The research aims to expose areas of digital inequality among different groups. This information will help educational institutions create more inclusive curricula that prepare future professionals for today's technology-driven clinical settings.</w:t>
      </w:r>
    </w:p>
    <w:p w14:paraId="08BEAE88" w14:textId="77777777" w:rsidR="00771540" w:rsidRDefault="00771540" w:rsidP="00771540">
      <w:pPr>
        <w:pStyle w:val="Heading3"/>
        <w:rPr>
          <w:rFonts w:ascii="Arial" w:eastAsia="Arial" w:hAnsi="Arial" w:cs="Arial"/>
          <w:sz w:val="22"/>
          <w:szCs w:val="22"/>
        </w:rPr>
      </w:pPr>
      <w:r w:rsidRPr="3A0EAABD">
        <w:rPr>
          <w:rFonts w:ascii="Arial" w:eastAsia="Arial" w:hAnsi="Arial" w:cs="Arial"/>
          <w:sz w:val="22"/>
          <w:szCs w:val="22"/>
        </w:rPr>
        <w:t>Research Hypotheses</w:t>
      </w:r>
    </w:p>
    <w:p w14:paraId="163A5DEB"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To meet these goals and examine demographic differences within the main nursing dataset, the authors propose two key hypotheses:</w:t>
      </w:r>
    </w:p>
    <w:p w14:paraId="5831B0E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H1: Self-assessed digital skills of students will relate to differences in age among different generational groups.</w:t>
      </w:r>
    </w:p>
    <w:p w14:paraId="055D428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H2: Self-assessed digital skills of students will relate to the type of course taken (pre-registration and post-registration courses).</w:t>
      </w:r>
    </w:p>
    <w:p w14:paraId="65CED584" w14:textId="77777777" w:rsidR="00771540" w:rsidRDefault="00771540" w:rsidP="00771540">
      <w:pPr>
        <w:rPr>
          <w:rFonts w:ascii="Arial" w:eastAsia="Arial" w:hAnsi="Arial" w:cs="Arial"/>
          <w:sz w:val="22"/>
          <w:szCs w:val="22"/>
        </w:rPr>
      </w:pPr>
    </w:p>
    <w:p w14:paraId="4AE20EE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Section 3: Understanding the Research Methods  </w:t>
      </w:r>
    </w:p>
    <w:p w14:paraId="5D63A27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Methodological Paradigms Defined  </w:t>
      </w:r>
    </w:p>
    <w:p w14:paraId="525C9F8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Research methodology is the framework used to investigate problems, gather evidence, and </w:t>
      </w:r>
      <w:proofErr w:type="spellStart"/>
      <w:r w:rsidRPr="3A0EAABD">
        <w:rPr>
          <w:rFonts w:ascii="Arial" w:eastAsia="Arial" w:hAnsi="Arial" w:cs="Arial"/>
          <w:sz w:val="22"/>
          <w:szCs w:val="22"/>
        </w:rPr>
        <w:t>analyze</w:t>
      </w:r>
      <w:proofErr w:type="spellEnd"/>
      <w:r w:rsidRPr="3A0EAABD">
        <w:rPr>
          <w:rFonts w:ascii="Arial" w:eastAsia="Arial" w:hAnsi="Arial" w:cs="Arial"/>
          <w:sz w:val="22"/>
          <w:szCs w:val="22"/>
        </w:rPr>
        <w:t xml:space="preserve"> data. Choosing the right approach aligns research goals with practical analysis tools.</w:t>
      </w:r>
    </w:p>
    <w:p w14:paraId="4661A26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2AA08D35"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Quantitative Research: This method focuses on collecting and </w:t>
      </w:r>
      <w:proofErr w:type="spellStart"/>
      <w:r w:rsidRPr="3A0EAABD">
        <w:rPr>
          <w:rFonts w:ascii="Arial" w:eastAsia="Arial" w:hAnsi="Arial" w:cs="Arial"/>
          <w:sz w:val="22"/>
          <w:szCs w:val="22"/>
        </w:rPr>
        <w:t>analyzing</w:t>
      </w:r>
      <w:proofErr w:type="spellEnd"/>
      <w:r w:rsidRPr="3A0EAABD">
        <w:rPr>
          <w:rFonts w:ascii="Arial" w:eastAsia="Arial" w:hAnsi="Arial" w:cs="Arial"/>
          <w:sz w:val="22"/>
          <w:szCs w:val="22"/>
        </w:rPr>
        <w:t xml:space="preserve"> numerical data in a systematic way. Its main purpose is to find objective patterns, establish statistical connections, test formal hypotheses, and generalize results to a larger population. It uses structured tools like closed-ended surveys or controlled experiments to ensure consistency and reduce researcher bias.</w:t>
      </w:r>
    </w:p>
    <w:p w14:paraId="6C55F5C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8C2D718"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Qualitative Research: This method </w:t>
      </w:r>
      <w:proofErr w:type="gramStart"/>
      <w:r w:rsidRPr="3A0EAABD">
        <w:rPr>
          <w:rFonts w:ascii="Arial" w:eastAsia="Arial" w:hAnsi="Arial" w:cs="Arial"/>
          <w:sz w:val="22"/>
          <w:szCs w:val="22"/>
        </w:rPr>
        <w:t>looks into</w:t>
      </w:r>
      <w:proofErr w:type="gramEnd"/>
      <w:r w:rsidRPr="3A0EAABD">
        <w:rPr>
          <w:rFonts w:ascii="Arial" w:eastAsia="Arial" w:hAnsi="Arial" w:cs="Arial"/>
          <w:sz w:val="22"/>
          <w:szCs w:val="22"/>
        </w:rPr>
        <w:t xml:space="preserve"> the subjective meanings, experiences, opinions, and views of people. Instead of simplifying feedback into statistics, qualitative studies collect rich, descriptive data through open-ended interviews, focus groups, or observations. This approach highlights context, details, and motivations to explore the complex reasons behind human </w:t>
      </w:r>
      <w:proofErr w:type="spellStart"/>
      <w:r w:rsidRPr="3A0EAABD">
        <w:rPr>
          <w:rFonts w:ascii="Arial" w:eastAsia="Arial" w:hAnsi="Arial" w:cs="Arial"/>
          <w:sz w:val="22"/>
          <w:szCs w:val="22"/>
        </w:rPr>
        <w:t>behavior</w:t>
      </w:r>
      <w:proofErr w:type="spellEnd"/>
      <w:r w:rsidRPr="3A0EAABD">
        <w:rPr>
          <w:rFonts w:ascii="Arial" w:eastAsia="Arial" w:hAnsi="Arial" w:cs="Arial"/>
          <w:sz w:val="22"/>
          <w:szCs w:val="22"/>
        </w:rPr>
        <w:t>.</w:t>
      </w:r>
    </w:p>
    <w:p w14:paraId="25C27AA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0E9193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Mixed-Methods Research: This approach combines both quantitative and qualitative methods in one study. By merging numerical data with descriptive narratives, researchers get a more complete understanding of a topic. This mix helps explain broad trends seen in quantitative data with finer insights from qualitative data.</w:t>
      </w:r>
    </w:p>
    <w:p w14:paraId="797908B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lastRenderedPageBreak/>
        <w:t xml:space="preserve"> </w:t>
      </w:r>
    </w:p>
    <w:p w14:paraId="334FC44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Methodological Identification of the Study  </w:t>
      </w:r>
    </w:p>
    <w:p w14:paraId="162A687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The empirical study by </w:t>
      </w:r>
      <w:proofErr w:type="spellStart"/>
      <w:r w:rsidRPr="3A0EAABD">
        <w:rPr>
          <w:rFonts w:ascii="Arial" w:eastAsia="Arial" w:hAnsi="Arial" w:cs="Arial"/>
          <w:sz w:val="22"/>
          <w:szCs w:val="22"/>
        </w:rPr>
        <w:t>Martzoukou</w:t>
      </w:r>
      <w:proofErr w:type="spellEnd"/>
      <w:r w:rsidRPr="3A0EAABD">
        <w:rPr>
          <w:rFonts w:ascii="Arial" w:eastAsia="Arial" w:hAnsi="Arial" w:cs="Arial"/>
          <w:sz w:val="22"/>
          <w:szCs w:val="22"/>
        </w:rPr>
        <w:t xml:space="preserve"> et al. (2024) uses a cross-sectional quantitative research design while incorporating some qualitative elements. In straightforward terms, a cross-sectional study captures data from participants at one specific point in time, rather than tracking changes over an extended period.</w:t>
      </w:r>
    </w:p>
    <w:p w14:paraId="73F629F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45B4E44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Although this study is part of a bigger project, this paper focuses on data from nursing, midwifery, and paramedic students. The authors mention that this paper discusses the project's quantitative aspect. However, since the main survey combined structured numerical scales with open-ended questions, it uses qualitative insights to support its quantitative framework. This approach allows the authors to measure digital literacy gaps while also capturing detailed student reflections.  </w:t>
      </w:r>
    </w:p>
    <w:p w14:paraId="47A6B29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611E1E2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Data Collection Paradigms: Primary vs. Secondary  </w:t>
      </w:r>
    </w:p>
    <w:p w14:paraId="5B787D9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A key part of any methodology is figuring out where the empirical evidence comes from, which distinguishes between primary and secondary data collection.</w:t>
      </w:r>
    </w:p>
    <w:p w14:paraId="3876CA25"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4035C17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Primary Data Collection: This happens when researchers collect new, firsthand data directly from participants to answer their current research questions. Methods include creating custom surveys, conducting interviews, or performing original experiments. This approach offers complete control over data relevance and accuracy, but it can be </w:t>
      </w:r>
      <w:proofErr w:type="gramStart"/>
      <w:r w:rsidRPr="3A0EAABD">
        <w:rPr>
          <w:rFonts w:ascii="Arial" w:eastAsia="Arial" w:hAnsi="Arial" w:cs="Arial"/>
          <w:sz w:val="22"/>
          <w:szCs w:val="22"/>
        </w:rPr>
        <w:t>resource-intensive</w:t>
      </w:r>
      <w:proofErr w:type="gramEnd"/>
      <w:r w:rsidRPr="3A0EAABD">
        <w:rPr>
          <w:rFonts w:ascii="Arial" w:eastAsia="Arial" w:hAnsi="Arial" w:cs="Arial"/>
          <w:sz w:val="22"/>
          <w:szCs w:val="22"/>
        </w:rPr>
        <w:t>.</w:t>
      </w:r>
    </w:p>
    <w:p w14:paraId="694AB0E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171E8E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Secondary Data Collection: This involves </w:t>
      </w:r>
      <w:proofErr w:type="spellStart"/>
      <w:r w:rsidRPr="3A0EAABD">
        <w:rPr>
          <w:rFonts w:ascii="Arial" w:eastAsia="Arial" w:hAnsi="Arial" w:cs="Arial"/>
          <w:sz w:val="22"/>
          <w:szCs w:val="22"/>
        </w:rPr>
        <w:t>analyzing</w:t>
      </w:r>
      <w:proofErr w:type="spellEnd"/>
      <w:r w:rsidRPr="3A0EAABD">
        <w:rPr>
          <w:rFonts w:ascii="Arial" w:eastAsia="Arial" w:hAnsi="Arial" w:cs="Arial"/>
          <w:sz w:val="22"/>
          <w:szCs w:val="22"/>
        </w:rPr>
        <w:t xml:space="preserve"> existing data that others have already gathered for different purposes. Examples include public census databases or hospital records. While this method can save costs, the researcher has no control over how the original data was collected or organized.</w:t>
      </w:r>
    </w:p>
    <w:p w14:paraId="3A01F031"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76859D8" w14:textId="77777777" w:rsidR="00771540" w:rsidRDefault="00771540" w:rsidP="00771540">
      <w:pPr>
        <w:rPr>
          <w:rFonts w:ascii="Arial" w:eastAsia="Arial" w:hAnsi="Arial" w:cs="Arial"/>
          <w:sz w:val="22"/>
          <w:szCs w:val="22"/>
        </w:rPr>
      </w:pPr>
      <w:proofErr w:type="spellStart"/>
      <w:r w:rsidRPr="3A0EAABD">
        <w:rPr>
          <w:rFonts w:ascii="Arial" w:eastAsia="Arial" w:hAnsi="Arial" w:cs="Arial"/>
          <w:sz w:val="22"/>
          <w:szCs w:val="22"/>
        </w:rPr>
        <w:t>Martzoukou</w:t>
      </w:r>
      <w:proofErr w:type="spellEnd"/>
      <w:r w:rsidRPr="3A0EAABD">
        <w:rPr>
          <w:rFonts w:ascii="Arial" w:eastAsia="Arial" w:hAnsi="Arial" w:cs="Arial"/>
          <w:sz w:val="22"/>
          <w:szCs w:val="22"/>
        </w:rPr>
        <w:t xml:space="preserve"> et al. (2024) used primary data collection. Instead of relying on existing student records or historical databases, the research team directly sent an online questionnaire to current students to gather new data focused on healthcare digital literacy trends.</w:t>
      </w:r>
    </w:p>
    <w:p w14:paraId="794BAFB2"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67A0462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Specific Data Collection Implementation  </w:t>
      </w:r>
    </w:p>
    <w:p w14:paraId="0AB06E89" w14:textId="77777777" w:rsidR="00771540" w:rsidRDefault="00771540" w:rsidP="00771540">
      <w:pPr>
        <w:spacing w:line="360" w:lineRule="auto"/>
        <w:rPr>
          <w:rFonts w:ascii="Arial" w:eastAsia="Arial" w:hAnsi="Arial" w:cs="Arial"/>
          <w:sz w:val="22"/>
          <w:szCs w:val="22"/>
        </w:rPr>
      </w:pPr>
      <w:r w:rsidRPr="3A0EAABD">
        <w:rPr>
          <w:rFonts w:ascii="Arial" w:eastAsia="Arial" w:hAnsi="Arial" w:cs="Arial"/>
          <w:sz w:val="22"/>
          <w:szCs w:val="22"/>
        </w:rPr>
        <w:t>The primary data collection phase took place over two months, from November to December 2021. The researchers sent an electronic questionnaire to students in the School of Nursing, Midwifery, and Paramedic Practice at a university in Scotland.</w:t>
      </w:r>
    </w:p>
    <w:p w14:paraId="2D8D36D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1D7EA5D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lastRenderedPageBreak/>
        <w:t xml:space="preserve">The data collection tool was developed through a two-step process:  </w:t>
      </w:r>
    </w:p>
    <w:p w14:paraId="1EADC02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0AB0E90B"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Consultation Phase: The team worked with academic staff and active students to gather specific requirements for the discipline.  </w:t>
      </w:r>
    </w:p>
    <w:p w14:paraId="3FE8F4C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67046A4F"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Instrument Repurposing: The researchers adapted a validated general self-assessment tool for digital competencies to better reflect digital needs in healthcare settings.</w:t>
      </w:r>
    </w:p>
    <w:p w14:paraId="2F6F52F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5CCF51C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The resulting questionnaire assessed student self-perceptions across nine different digital literacy areas, such as ICT skills, information literacy, digital research, and digital innovation. The tool collected quantitative data through structured scales and qualitative feedback from open-ended questions about how students learn new tools, keep up-to-date, and tackle academic technical challenges.</w:t>
      </w:r>
    </w:p>
    <w:p w14:paraId="188237E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56A6B018"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Data Analysis Techniques  </w:t>
      </w:r>
    </w:p>
    <w:p w14:paraId="53BE5E2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To </w:t>
      </w:r>
      <w:proofErr w:type="spellStart"/>
      <w:r w:rsidRPr="3A0EAABD">
        <w:rPr>
          <w:rFonts w:ascii="Arial" w:eastAsia="Arial" w:hAnsi="Arial" w:cs="Arial"/>
          <w:sz w:val="22"/>
          <w:szCs w:val="22"/>
        </w:rPr>
        <w:t>analyze</w:t>
      </w:r>
      <w:proofErr w:type="spellEnd"/>
      <w:r w:rsidRPr="3A0EAABD">
        <w:rPr>
          <w:rFonts w:ascii="Arial" w:eastAsia="Arial" w:hAnsi="Arial" w:cs="Arial"/>
          <w:sz w:val="22"/>
          <w:szCs w:val="22"/>
        </w:rPr>
        <w:t xml:space="preserve"> the collected data, researchers used two separate analytical processes based on data type:</w:t>
      </w:r>
    </w:p>
    <w:p w14:paraId="492E414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0E8A1A9B"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Quantitative Data Analysis: Numerical data from structured scales were handled using descriptive and inferential statistics. First, descriptive statistical analysis (frequencies, percentages, and means) provided a baseline for competency levels. Since the data distribution was non-parametric, the authors employed statistical tests to compare subgroups. They used the Mann-Whitney U-test to find significant differences between two independent groups (like pre-registration versus post-registration course types) and the Kruskal-</w:t>
      </w:r>
      <w:proofErr w:type="gramStart"/>
      <w:r w:rsidRPr="3A0EAABD">
        <w:rPr>
          <w:rFonts w:ascii="Arial" w:eastAsia="Arial" w:hAnsi="Arial" w:cs="Arial"/>
          <w:sz w:val="22"/>
          <w:szCs w:val="22"/>
        </w:rPr>
        <w:t>Wallis</w:t>
      </w:r>
      <w:proofErr w:type="gramEnd"/>
      <w:r w:rsidRPr="3A0EAABD">
        <w:rPr>
          <w:rFonts w:ascii="Arial" w:eastAsia="Arial" w:hAnsi="Arial" w:cs="Arial"/>
          <w:sz w:val="22"/>
          <w:szCs w:val="22"/>
        </w:rPr>
        <w:t xml:space="preserve"> test to assess variations across different age groups.</w:t>
      </w:r>
    </w:p>
    <w:p w14:paraId="632B646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12B8ABA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Qualitative Data Analysis: Text data from open-ended survey responses were </w:t>
      </w:r>
      <w:proofErr w:type="spellStart"/>
      <w:r w:rsidRPr="3A0EAABD">
        <w:rPr>
          <w:rFonts w:ascii="Arial" w:eastAsia="Arial" w:hAnsi="Arial" w:cs="Arial"/>
          <w:sz w:val="22"/>
          <w:szCs w:val="22"/>
        </w:rPr>
        <w:t>analyzed</w:t>
      </w:r>
      <w:proofErr w:type="spellEnd"/>
      <w:r w:rsidRPr="3A0EAABD">
        <w:rPr>
          <w:rFonts w:ascii="Arial" w:eastAsia="Arial" w:hAnsi="Arial" w:cs="Arial"/>
          <w:sz w:val="22"/>
          <w:szCs w:val="22"/>
        </w:rPr>
        <w:t xml:space="preserve"> using thematic analysis. The researchers reviewed the text line-by-line, assigned codes to recurring themes, and grouped these codes into overarching concepts. This qualitative analysis showed that students often rely on informal "trial-and-error" methods, shedding light on specific skill gaps identified in the statistical findings.</w:t>
      </w:r>
    </w:p>
    <w:p w14:paraId="519ECBE9" w14:textId="77777777" w:rsidR="00771540" w:rsidRDefault="00771540" w:rsidP="00771540">
      <w:pPr>
        <w:rPr>
          <w:rFonts w:ascii="Arial" w:eastAsia="Arial" w:hAnsi="Arial" w:cs="Arial"/>
          <w:sz w:val="22"/>
          <w:szCs w:val="22"/>
        </w:rPr>
      </w:pPr>
    </w:p>
    <w:p w14:paraId="54018F1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Section 4: Key Findings and Results Analysis</w:t>
      </w:r>
    </w:p>
    <w:p w14:paraId="5ADB89A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33D724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Sample Demographics and Participation</w:t>
      </w:r>
    </w:p>
    <w:p w14:paraId="57563C7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2259F121"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lastRenderedPageBreak/>
        <w:t xml:space="preserve">The study used a primary dataset from an online survey. The overall response rate was about 15% (N = 182 valid student respondents). The sample reflected historical demographic trends in the UK healthcare workforce, with a strong majority of female participants (93.4%, n = 170) compared to male participants (6.6%, n = 12). </w:t>
      </w:r>
    </w:p>
    <w:p w14:paraId="6F84414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FC9F74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The sample was divided across generations and course pathways as follows:</w:t>
      </w:r>
    </w:p>
    <w:p w14:paraId="4220EDA9" w14:textId="77777777" w:rsidR="00771540" w:rsidRDefault="00771540" w:rsidP="00771540">
      <w:r>
        <w:rPr>
          <w:noProof/>
        </w:rPr>
        <w:drawing>
          <wp:inline distT="0" distB="0" distL="0" distR="0" wp14:anchorId="3EE50D71" wp14:editId="0D46BA5A">
            <wp:extent cx="5724525" cy="2733675"/>
            <wp:effectExtent l="0" t="0" r="0" b="0"/>
            <wp:docPr id="1234067590" name="drawing" descr="The image displays a table presenting the distribution of respondents across different generational categories, including Generation Z, Millennial Generation Y, Generation X, and Baby Boomers, along with their respective percentages and participant cou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67590" name="drawing" descr="The image displays a table presenting the distribution of respondents across different generational categories, including Generation Z, Millennial Generation Y, Generation X, and Baby Boomers, along with their respective percentages and participant counts.&#10;&#10;AI-generated content may be incorrect."/>
                    <pic:cNvPicPr/>
                  </pic:nvPicPr>
                  <pic:blipFill>
                    <a:blip r:embed="rId7">
                      <a:extLst>
                        <a:ext uri="{28A0092B-C50C-407E-A947-70E740481C1C}">
                          <a14:useLocalDpi xmlns:a14="http://schemas.microsoft.com/office/drawing/2010/main"/>
                        </a:ext>
                      </a:extLst>
                    </a:blip>
                    <a:stretch>
                      <a:fillRect/>
                    </a:stretch>
                  </pic:blipFill>
                  <pic:spPr>
                    <a:xfrm>
                      <a:off x="0" y="0"/>
                      <a:ext cx="5724525" cy="2733675"/>
                    </a:xfrm>
                    <a:prstGeom prst="rect">
                      <a:avLst/>
                    </a:prstGeom>
                  </pic:spPr>
                </pic:pic>
              </a:graphicData>
            </a:graphic>
          </wp:inline>
        </w:drawing>
      </w:r>
    </w:p>
    <w:p w14:paraId="044A381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2E55F5E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Hypothesis Testing Outcomes</w:t>
      </w:r>
    </w:p>
    <w:p w14:paraId="32C7D0A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69C4473"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Using non-parametric statistical analysis, specifically the Mann-Whitney U-test and Kruskal-</w:t>
      </w:r>
      <w:proofErr w:type="gramStart"/>
      <w:r w:rsidRPr="3A0EAABD">
        <w:rPr>
          <w:rFonts w:ascii="Arial" w:eastAsia="Arial" w:hAnsi="Arial" w:cs="Arial"/>
          <w:sz w:val="22"/>
          <w:szCs w:val="22"/>
        </w:rPr>
        <w:t>Wallis</w:t>
      </w:r>
      <w:proofErr w:type="gramEnd"/>
      <w:r w:rsidRPr="3A0EAABD">
        <w:rPr>
          <w:rFonts w:ascii="Arial" w:eastAsia="Arial" w:hAnsi="Arial" w:cs="Arial"/>
          <w:sz w:val="22"/>
          <w:szCs w:val="22"/>
        </w:rPr>
        <w:t xml:space="preserve"> test, the researchers tested the two main working hypotheses from Section 2:</w:t>
      </w:r>
    </w:p>
    <w:p w14:paraId="23FAC8F2"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66FBA53B"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H1: (Age Correlation): Supported. The tests showed that self-assessed digital skills varied significantly by generation. Younger students (Generation Z) felt they were more digitally capable than older generations. </w:t>
      </w:r>
    </w:p>
    <w:p w14:paraId="5EFEC6E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6F21C9D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H2: (Course Type Correlation): Supported. A significant difference in digital capability was found between different registration pathways. Students in pre-registration pathways assessed themselves as more competent in most digital areas than their post-registration counterparts. </w:t>
      </w:r>
    </w:p>
    <w:p w14:paraId="7E49E85E"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4644A4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Key Analytical Takeaway: While older post-registration students have much more practical experience in clinical environments, they reported having significantly lower self-perceived digital skills and need focused support in IT and academic study skills. </w:t>
      </w:r>
    </w:p>
    <w:p w14:paraId="4682171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07BD18C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lastRenderedPageBreak/>
        <w:t>Core Digital Literacy Trends: Strengths vs. Gaps</w:t>
      </w:r>
    </w:p>
    <w:p w14:paraId="7C6CB6C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71ACCF6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A key finding of the study was that no digital competency dimension received an "expert" overall rating. Instead, the student group rated their overall digital ability to complete academic tasks at an "intermediate" level. </w:t>
      </w:r>
    </w:p>
    <w:p w14:paraId="0D9C830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485C2FD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1. Areas of Strength ("Advanced" Competencies)</w:t>
      </w:r>
    </w:p>
    <w:p w14:paraId="13A4F639"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A86A061"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Students expressed high confidence and self-assessed advanced skills (frequent mode value of 4) in five everyday application areas:</w:t>
      </w:r>
    </w:p>
    <w:p w14:paraId="59C38181"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C4C0AA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Everyday Participation as a Digital Citizen</w:t>
      </w:r>
    </w:p>
    <w:p w14:paraId="4C418BDF"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General ICT Proficiency (basic device operation)</w:t>
      </w:r>
    </w:p>
    <w:p w14:paraId="099FD6B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Basic Digital Communication</w:t>
      </w:r>
    </w:p>
    <w:p w14:paraId="53FDB347"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Digital Creation (everyday social media platforms/tools)</w:t>
      </w:r>
    </w:p>
    <w:p w14:paraId="46D3817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Digital Wellbeing</w:t>
      </w:r>
    </w:p>
    <w:p w14:paraId="3B1B51F5"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2223EAA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2. Areas of Vulnerability ("Novice" or "Basic" Gaps)</w:t>
      </w:r>
    </w:p>
    <w:p w14:paraId="56EE3A3F"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0C3D6F76"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Troublingly, no advanced or expert scores were obtained in the specific digital skills vital for higher education and modern professional work. Significant gaps were evident in:</w:t>
      </w:r>
    </w:p>
    <w:p w14:paraId="2BE9BCEA"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41011594"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Information Literacy &amp; Digital Research: Students often struggled with critically assessing healthcare data, organizing research datasets, using digital appraisal software, and doing formal academic referencing. </w:t>
      </w:r>
    </w:p>
    <w:p w14:paraId="61A5ADEC"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Digital Innovation &amp; Identity Management: They reported lower abilities with advanced technical systems like telehealth applications, data visualization, and simulation-based electronic environments.</w:t>
      </w:r>
    </w:p>
    <w:p w14:paraId="2C0E2ACD"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 xml:space="preserve"> </w:t>
      </w:r>
    </w:p>
    <w:p w14:paraId="368CBBD0" w14:textId="77777777" w:rsidR="00771540" w:rsidRDefault="00771540" w:rsidP="00771540">
      <w:pPr>
        <w:rPr>
          <w:rFonts w:ascii="Arial" w:eastAsia="Arial" w:hAnsi="Arial" w:cs="Arial"/>
          <w:sz w:val="22"/>
          <w:szCs w:val="22"/>
        </w:rPr>
      </w:pPr>
      <w:r w:rsidRPr="3A0EAABD">
        <w:rPr>
          <w:rFonts w:ascii="Arial" w:eastAsia="Arial" w:hAnsi="Arial" w:cs="Arial"/>
          <w:sz w:val="22"/>
          <w:szCs w:val="22"/>
        </w:rPr>
        <w:t>Learning Strategies: Open-ended feedback showed that students mostly relied on stressful, unguided "trial-and-error" methods to deal with software problems. This often led to significant academic anxiety and frustration when systems did not work.</w:t>
      </w:r>
    </w:p>
    <w:p w14:paraId="72F63B28" w14:textId="500DDD06" w:rsidR="3A0EAABD" w:rsidRDefault="3A0EAABD" w:rsidP="3A0EAABD">
      <w:pPr>
        <w:rPr>
          <w:rFonts w:ascii="Arial" w:eastAsia="Arial" w:hAnsi="Arial" w:cs="Arial"/>
          <w:sz w:val="22"/>
          <w:szCs w:val="22"/>
        </w:rPr>
      </w:pPr>
    </w:p>
    <w:p w14:paraId="426F7876" w14:textId="6E2352C5" w:rsidR="72154A93" w:rsidRDefault="72154A93" w:rsidP="3A0EAABD">
      <w:pPr>
        <w:pStyle w:val="Heading2"/>
        <w:rPr>
          <w:rFonts w:ascii="Arial" w:eastAsia="Arial" w:hAnsi="Arial" w:cs="Arial"/>
          <w:sz w:val="22"/>
          <w:szCs w:val="22"/>
        </w:rPr>
      </w:pPr>
      <w:r w:rsidRPr="3A0EAABD">
        <w:lastRenderedPageBreak/>
        <w:t>Section 2: Understanding the Purpose and Research Question</w:t>
      </w:r>
    </w:p>
    <w:p w14:paraId="1D38947E" w14:textId="5AC9E0CE" w:rsidR="72154A93" w:rsidRDefault="72154A93" w:rsidP="3A0EAABD">
      <w:pPr>
        <w:pStyle w:val="Heading3"/>
        <w:rPr>
          <w:rFonts w:ascii="Arial" w:eastAsia="Arial" w:hAnsi="Arial" w:cs="Arial"/>
          <w:sz w:val="22"/>
          <w:szCs w:val="22"/>
        </w:rPr>
      </w:pPr>
      <w:r w:rsidRPr="3A0EAABD">
        <w:rPr>
          <w:rFonts w:ascii="Arial" w:eastAsia="Arial" w:hAnsi="Arial" w:cs="Arial"/>
          <w:sz w:val="22"/>
          <w:szCs w:val="22"/>
        </w:rPr>
        <w:t>Study Aim and Purpose</w:t>
      </w:r>
    </w:p>
    <w:p w14:paraId="2AC31A90" w14:textId="7DAD42A5" w:rsidR="72154A93" w:rsidRDefault="72154A93" w:rsidP="3A0EAABD">
      <w:pPr>
        <w:rPr>
          <w:rFonts w:ascii="Arial" w:eastAsia="Arial" w:hAnsi="Arial" w:cs="Arial"/>
          <w:sz w:val="22"/>
          <w:szCs w:val="22"/>
        </w:rPr>
      </w:pPr>
      <w:r w:rsidRPr="3A0EAABD">
        <w:rPr>
          <w:rFonts w:ascii="Arial" w:eastAsia="Arial" w:hAnsi="Arial" w:cs="Arial"/>
          <w:sz w:val="22"/>
          <w:szCs w:val="22"/>
        </w:rPr>
        <w:t>The main goal of this study is to explore the self-assessed digital literacy skills of healthcare students in higher education. This will be done using a newly adapted evaluation tool focused on their field. The research aims to expose areas of digital inequality among different groups. This information will help educational institutions create more inclusive curricula that prepare future professionals for today's technology-driven clinical settings.</w:t>
      </w:r>
    </w:p>
    <w:p w14:paraId="6984F5B0" w14:textId="26C5CD82" w:rsidR="72154A93" w:rsidRDefault="72154A93" w:rsidP="3A0EAABD">
      <w:pPr>
        <w:pStyle w:val="Heading3"/>
        <w:rPr>
          <w:rFonts w:ascii="Arial" w:eastAsia="Arial" w:hAnsi="Arial" w:cs="Arial"/>
          <w:sz w:val="22"/>
          <w:szCs w:val="22"/>
        </w:rPr>
      </w:pPr>
      <w:r w:rsidRPr="3A0EAABD">
        <w:rPr>
          <w:rFonts w:ascii="Arial" w:eastAsia="Arial" w:hAnsi="Arial" w:cs="Arial"/>
          <w:sz w:val="22"/>
          <w:szCs w:val="22"/>
        </w:rPr>
        <w:t>Research Hypotheses</w:t>
      </w:r>
    </w:p>
    <w:p w14:paraId="54D37DEE" w14:textId="295FC6D7" w:rsidR="72154A93" w:rsidRDefault="72154A93" w:rsidP="3A0EAABD">
      <w:pPr>
        <w:rPr>
          <w:rFonts w:ascii="Arial" w:eastAsia="Arial" w:hAnsi="Arial" w:cs="Arial"/>
          <w:sz w:val="22"/>
          <w:szCs w:val="22"/>
        </w:rPr>
      </w:pPr>
      <w:r w:rsidRPr="3A0EAABD">
        <w:rPr>
          <w:rFonts w:ascii="Arial" w:eastAsia="Arial" w:hAnsi="Arial" w:cs="Arial"/>
          <w:sz w:val="22"/>
          <w:szCs w:val="22"/>
        </w:rPr>
        <w:t>To meet these goals and examine demographic differences within the main nursing dataset, the authors propose two key hypotheses:</w:t>
      </w:r>
    </w:p>
    <w:p w14:paraId="53FFDC10" w14:textId="1B1B1BAC" w:rsidR="72154A93" w:rsidRDefault="72154A93" w:rsidP="3A0EAABD">
      <w:pPr>
        <w:rPr>
          <w:rFonts w:ascii="Arial" w:eastAsia="Arial" w:hAnsi="Arial" w:cs="Arial"/>
          <w:sz w:val="22"/>
          <w:szCs w:val="22"/>
        </w:rPr>
      </w:pPr>
      <w:r w:rsidRPr="3A0EAABD">
        <w:rPr>
          <w:rFonts w:ascii="Arial" w:eastAsia="Arial" w:hAnsi="Arial" w:cs="Arial"/>
          <w:sz w:val="22"/>
          <w:szCs w:val="22"/>
        </w:rPr>
        <w:t>H1: Self-assessed digital skills of students will relate to differences in age among different generational groups.</w:t>
      </w:r>
    </w:p>
    <w:p w14:paraId="339F56B2" w14:textId="6C317C08" w:rsidR="72154A93" w:rsidRDefault="72154A93" w:rsidP="3A0EAABD">
      <w:pPr>
        <w:rPr>
          <w:rFonts w:ascii="Arial" w:eastAsia="Arial" w:hAnsi="Arial" w:cs="Arial"/>
          <w:sz w:val="22"/>
          <w:szCs w:val="22"/>
        </w:rPr>
      </w:pPr>
      <w:r w:rsidRPr="3A0EAABD">
        <w:rPr>
          <w:rFonts w:ascii="Arial" w:eastAsia="Arial" w:hAnsi="Arial" w:cs="Arial"/>
          <w:sz w:val="22"/>
          <w:szCs w:val="22"/>
        </w:rPr>
        <w:t>H2: Self-assessed digital skills of students will relate to the type of course taken (pre-registration and post-registration courses).</w:t>
      </w:r>
    </w:p>
    <w:p w14:paraId="1335DF3C" w14:textId="6FD759AD" w:rsidR="3A0EAABD" w:rsidRDefault="3A0EAABD" w:rsidP="3A0EAABD">
      <w:pPr>
        <w:rPr>
          <w:rFonts w:ascii="Arial" w:eastAsia="Arial" w:hAnsi="Arial" w:cs="Arial"/>
          <w:sz w:val="22"/>
          <w:szCs w:val="22"/>
        </w:rPr>
      </w:pPr>
    </w:p>
    <w:p w14:paraId="16176B33" w14:textId="44E244C4"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Section 3: Understanding the Research Methods  </w:t>
      </w:r>
    </w:p>
    <w:p w14:paraId="66BCBD6E" w14:textId="002E919F"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Methodological Paradigms Defined  </w:t>
      </w:r>
    </w:p>
    <w:p w14:paraId="7CC3860E" w14:textId="76F82AC5" w:rsidR="36FC011F" w:rsidRDefault="36FC011F" w:rsidP="3A0EAABD">
      <w:pPr>
        <w:rPr>
          <w:rFonts w:ascii="Arial" w:eastAsia="Arial" w:hAnsi="Arial" w:cs="Arial"/>
          <w:sz w:val="22"/>
          <w:szCs w:val="22"/>
        </w:rPr>
      </w:pPr>
      <w:r w:rsidRPr="3A0EAABD">
        <w:rPr>
          <w:rFonts w:ascii="Arial" w:eastAsia="Arial" w:hAnsi="Arial" w:cs="Arial"/>
          <w:sz w:val="22"/>
          <w:szCs w:val="22"/>
        </w:rPr>
        <w:t>Research methodology is the framework used to investigate problems, gather evidence, and analyze data. Choosing the right approach aligns research goals with practical analysis tools.</w:t>
      </w:r>
    </w:p>
    <w:p w14:paraId="332F74A8" w14:textId="52FAE860"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4E07FE23" w14:textId="232F5796" w:rsidR="36FC011F" w:rsidRDefault="36FC011F" w:rsidP="3A0EAABD">
      <w:pPr>
        <w:rPr>
          <w:rFonts w:ascii="Arial" w:eastAsia="Arial" w:hAnsi="Arial" w:cs="Arial"/>
          <w:sz w:val="22"/>
          <w:szCs w:val="22"/>
        </w:rPr>
      </w:pPr>
      <w:r w:rsidRPr="3A0EAABD">
        <w:rPr>
          <w:rFonts w:ascii="Arial" w:eastAsia="Arial" w:hAnsi="Arial" w:cs="Arial"/>
          <w:sz w:val="22"/>
          <w:szCs w:val="22"/>
        </w:rPr>
        <w:t>Quantitative Research: This method focuses on collecting and analyzing numerical data in a systematic way. Its main purpose is to find objective patterns, establish statistical connections, test formal hypotheses, and generalize results to a larger population. It uses structured tools like closed-ended surveys or controlled experiments to ensure consistency and reduce researcher bias.</w:t>
      </w:r>
    </w:p>
    <w:p w14:paraId="33AA1EB2" w14:textId="6B376060"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443219A1" w14:textId="42C0BC93"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Qualitative Research: This method </w:t>
      </w:r>
      <w:proofErr w:type="gramStart"/>
      <w:r w:rsidRPr="3A0EAABD">
        <w:rPr>
          <w:rFonts w:ascii="Arial" w:eastAsia="Arial" w:hAnsi="Arial" w:cs="Arial"/>
          <w:sz w:val="22"/>
          <w:szCs w:val="22"/>
        </w:rPr>
        <w:t>looks into</w:t>
      </w:r>
      <w:proofErr w:type="gramEnd"/>
      <w:r w:rsidRPr="3A0EAABD">
        <w:rPr>
          <w:rFonts w:ascii="Arial" w:eastAsia="Arial" w:hAnsi="Arial" w:cs="Arial"/>
          <w:sz w:val="22"/>
          <w:szCs w:val="22"/>
        </w:rPr>
        <w:t xml:space="preserve"> the subjective meanings, experiences, opinions, and views of people. Instead of simplifying feedback into statistics, qualitative studies collect rich, descriptive data through open-ended interviews, focus groups, or observations. This approach highlights context, details, and motivations to explore the complex reasons behind human behavior.</w:t>
      </w:r>
    </w:p>
    <w:p w14:paraId="70869828" w14:textId="1D13F6D7"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5416F807" w14:textId="021DDF7C" w:rsidR="36FC011F" w:rsidRDefault="36FC011F" w:rsidP="3A0EAABD">
      <w:pPr>
        <w:rPr>
          <w:rFonts w:ascii="Arial" w:eastAsia="Arial" w:hAnsi="Arial" w:cs="Arial"/>
          <w:sz w:val="22"/>
          <w:szCs w:val="22"/>
        </w:rPr>
      </w:pPr>
      <w:r w:rsidRPr="3A0EAABD">
        <w:rPr>
          <w:rFonts w:ascii="Arial" w:eastAsia="Arial" w:hAnsi="Arial" w:cs="Arial"/>
          <w:sz w:val="22"/>
          <w:szCs w:val="22"/>
        </w:rPr>
        <w:t>Mixed-Methods Research: This approach combines both quantitative and qualitative methods in one study. By merging numerical data with descriptive narratives, researchers get a more complete understanding of a topic. This mix helps explain broad trends seen in quantitative data with finer insights from qualitative data.</w:t>
      </w:r>
    </w:p>
    <w:p w14:paraId="764F5B14" w14:textId="50FCD980"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2513570F" w14:textId="6FCE7B39" w:rsidR="36FC011F" w:rsidRDefault="36FC011F" w:rsidP="3A0EAABD">
      <w:pPr>
        <w:rPr>
          <w:rFonts w:ascii="Arial" w:eastAsia="Arial" w:hAnsi="Arial" w:cs="Arial"/>
          <w:sz w:val="22"/>
          <w:szCs w:val="22"/>
        </w:rPr>
      </w:pPr>
      <w:r w:rsidRPr="3A0EAABD">
        <w:rPr>
          <w:rFonts w:ascii="Arial" w:eastAsia="Arial" w:hAnsi="Arial" w:cs="Arial"/>
          <w:sz w:val="22"/>
          <w:szCs w:val="22"/>
        </w:rPr>
        <w:lastRenderedPageBreak/>
        <w:t xml:space="preserve">Methodological Identification of the Study  </w:t>
      </w:r>
    </w:p>
    <w:p w14:paraId="2E8F2746" w14:textId="762C674F" w:rsidR="36FC011F" w:rsidRDefault="36FC011F" w:rsidP="3A0EAABD">
      <w:pPr>
        <w:rPr>
          <w:rFonts w:ascii="Arial" w:eastAsia="Arial" w:hAnsi="Arial" w:cs="Arial"/>
          <w:sz w:val="22"/>
          <w:szCs w:val="22"/>
        </w:rPr>
      </w:pPr>
      <w:r w:rsidRPr="3A0EAABD">
        <w:rPr>
          <w:rFonts w:ascii="Arial" w:eastAsia="Arial" w:hAnsi="Arial" w:cs="Arial"/>
          <w:sz w:val="22"/>
          <w:szCs w:val="22"/>
        </w:rPr>
        <w:t>The empirical study by Martzoukou et al. (2024) uses a cross-sectional quantitative research design while incorporating some qualitative elements. In straightforward terms, a cross-sectional study captures data from participants at one specific point in time, rather than tracking changes over an extended period.</w:t>
      </w:r>
    </w:p>
    <w:p w14:paraId="5131486E" w14:textId="24A08AE3"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76E15C4D" w14:textId="42D9DAD9"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Although this study is part of a bigger project, this paper focuses on data from nursing, midwifery, and paramedic students. The authors mention that this paper discusses the project's quantitative aspect. However, since the main survey combined structured numerical scales with open-ended questions, it uses qualitative insights to support its quantitative framework. This approach allows the authors to measure digital literacy gaps while also capturing detailed student reflections.  </w:t>
      </w:r>
    </w:p>
    <w:p w14:paraId="7170EC10" w14:textId="32800BCD"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5BCA5DA1" w14:textId="00365D60"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Data Collection Paradigms: Primary vs. Secondary  </w:t>
      </w:r>
    </w:p>
    <w:p w14:paraId="33DA1146" w14:textId="60CB21CE" w:rsidR="36FC011F" w:rsidRDefault="36FC011F" w:rsidP="3A0EAABD">
      <w:pPr>
        <w:rPr>
          <w:rFonts w:ascii="Arial" w:eastAsia="Arial" w:hAnsi="Arial" w:cs="Arial"/>
          <w:sz w:val="22"/>
          <w:szCs w:val="22"/>
        </w:rPr>
      </w:pPr>
      <w:r w:rsidRPr="3A0EAABD">
        <w:rPr>
          <w:rFonts w:ascii="Arial" w:eastAsia="Arial" w:hAnsi="Arial" w:cs="Arial"/>
          <w:sz w:val="22"/>
          <w:szCs w:val="22"/>
        </w:rPr>
        <w:t>A key part of any methodology is figuring out where the empirical evidence comes from, which distinguishes between primary and secondary data collection.</w:t>
      </w:r>
    </w:p>
    <w:p w14:paraId="07E634C2" w14:textId="14990EA4"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2F3DAA3C" w14:textId="5DE3DC3A"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Primary Data Collection: This happens when researchers collect new, firsthand data directly from participants to answer their current research questions. Methods include creating custom surveys, conducting interviews, or performing original experiments. This approach offers complete control over data relevance and accuracy, but it can be </w:t>
      </w:r>
      <w:proofErr w:type="gramStart"/>
      <w:r w:rsidRPr="3A0EAABD">
        <w:rPr>
          <w:rFonts w:ascii="Arial" w:eastAsia="Arial" w:hAnsi="Arial" w:cs="Arial"/>
          <w:sz w:val="22"/>
          <w:szCs w:val="22"/>
        </w:rPr>
        <w:t>resource-intensive</w:t>
      </w:r>
      <w:proofErr w:type="gramEnd"/>
      <w:r w:rsidRPr="3A0EAABD">
        <w:rPr>
          <w:rFonts w:ascii="Arial" w:eastAsia="Arial" w:hAnsi="Arial" w:cs="Arial"/>
          <w:sz w:val="22"/>
          <w:szCs w:val="22"/>
        </w:rPr>
        <w:t>.</w:t>
      </w:r>
    </w:p>
    <w:p w14:paraId="3548AA28" w14:textId="2FA4852B"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2294FE0D" w14:textId="660B1692" w:rsidR="36FC011F" w:rsidRDefault="36FC011F" w:rsidP="3A0EAABD">
      <w:pPr>
        <w:rPr>
          <w:rFonts w:ascii="Arial" w:eastAsia="Arial" w:hAnsi="Arial" w:cs="Arial"/>
          <w:sz w:val="22"/>
          <w:szCs w:val="22"/>
        </w:rPr>
      </w:pPr>
      <w:r w:rsidRPr="3A0EAABD">
        <w:rPr>
          <w:rFonts w:ascii="Arial" w:eastAsia="Arial" w:hAnsi="Arial" w:cs="Arial"/>
          <w:sz w:val="22"/>
          <w:szCs w:val="22"/>
        </w:rPr>
        <w:t>Secondary Data Collection: This involves analyzing existing data that others have already gathered for different purposes. Examples include public census databases or hospital records. While this method can save costs, the researcher has no control over how the original data was collected or organized.</w:t>
      </w:r>
    </w:p>
    <w:p w14:paraId="3E6987FF" w14:textId="4963999B"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01F63B93" w14:textId="4043B1C9" w:rsidR="36FC011F" w:rsidRDefault="36FC011F" w:rsidP="3A0EAABD">
      <w:pPr>
        <w:rPr>
          <w:rFonts w:ascii="Arial" w:eastAsia="Arial" w:hAnsi="Arial" w:cs="Arial"/>
          <w:sz w:val="22"/>
          <w:szCs w:val="22"/>
        </w:rPr>
      </w:pPr>
      <w:r w:rsidRPr="3A0EAABD">
        <w:rPr>
          <w:rFonts w:ascii="Arial" w:eastAsia="Arial" w:hAnsi="Arial" w:cs="Arial"/>
          <w:sz w:val="22"/>
          <w:szCs w:val="22"/>
        </w:rPr>
        <w:t>Martzoukou et al. (2024) used primary data collection. Instead of relying on existing student records or historical databases, the research team directly sent an online questionnaire to current students to gather new data focused on healthcare digital literacy trends.</w:t>
      </w:r>
    </w:p>
    <w:p w14:paraId="0FAFBD98" w14:textId="668E4F97"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5BED41F8" w14:textId="3BA53BBD"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Specific Data Collection Implementation  </w:t>
      </w:r>
    </w:p>
    <w:p w14:paraId="021244B4" w14:textId="2080B012" w:rsidR="36FC011F" w:rsidRDefault="36FC011F" w:rsidP="3A0EAABD">
      <w:pPr>
        <w:spacing w:line="360" w:lineRule="auto"/>
        <w:rPr>
          <w:rFonts w:ascii="Arial" w:eastAsia="Arial" w:hAnsi="Arial" w:cs="Arial"/>
          <w:sz w:val="22"/>
          <w:szCs w:val="22"/>
        </w:rPr>
      </w:pPr>
      <w:r w:rsidRPr="3A0EAABD">
        <w:rPr>
          <w:rFonts w:ascii="Arial" w:eastAsia="Arial" w:hAnsi="Arial" w:cs="Arial"/>
          <w:sz w:val="22"/>
          <w:szCs w:val="22"/>
        </w:rPr>
        <w:t>The primary data collection phase took place over two months, from November to December 2021. The researchers sent an electronic questionnaire to students in the School of Nursing, Midwifery, and Paramedic Practice at a university in Scotland.</w:t>
      </w:r>
    </w:p>
    <w:p w14:paraId="4699D48F" w14:textId="31B54436"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33235F89" w14:textId="0A58E867"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The data collection tool was developed through a two-step process:  </w:t>
      </w:r>
    </w:p>
    <w:p w14:paraId="31E4939D" w14:textId="7DDF35D3" w:rsidR="36FC011F" w:rsidRDefault="36FC011F" w:rsidP="3A0EAABD">
      <w:pPr>
        <w:rPr>
          <w:rFonts w:ascii="Arial" w:eastAsia="Arial" w:hAnsi="Arial" w:cs="Arial"/>
          <w:sz w:val="22"/>
          <w:szCs w:val="22"/>
        </w:rPr>
      </w:pPr>
      <w:r w:rsidRPr="3A0EAABD">
        <w:rPr>
          <w:rFonts w:ascii="Arial" w:eastAsia="Arial" w:hAnsi="Arial" w:cs="Arial"/>
          <w:sz w:val="22"/>
          <w:szCs w:val="22"/>
        </w:rPr>
        <w:lastRenderedPageBreak/>
        <w:t xml:space="preserve"> </w:t>
      </w:r>
    </w:p>
    <w:p w14:paraId="509A15B0" w14:textId="4491C712"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Consultation Phase: The team worked with academic staff and active students to gather specific requirements for the discipline.  </w:t>
      </w:r>
    </w:p>
    <w:p w14:paraId="23C55489" w14:textId="0BCA29BC"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1DEAF663" w14:textId="0C44098B" w:rsidR="36FC011F" w:rsidRDefault="36FC011F" w:rsidP="3A0EAABD">
      <w:pPr>
        <w:rPr>
          <w:rFonts w:ascii="Arial" w:eastAsia="Arial" w:hAnsi="Arial" w:cs="Arial"/>
          <w:sz w:val="22"/>
          <w:szCs w:val="22"/>
        </w:rPr>
      </w:pPr>
      <w:r w:rsidRPr="3A0EAABD">
        <w:rPr>
          <w:rFonts w:ascii="Arial" w:eastAsia="Arial" w:hAnsi="Arial" w:cs="Arial"/>
          <w:sz w:val="22"/>
          <w:szCs w:val="22"/>
        </w:rPr>
        <w:t>Instrument Repurposing: The researchers adapted a validated general self-assessment tool for digital competencies to better reflect digital needs in healthcare settings.</w:t>
      </w:r>
    </w:p>
    <w:p w14:paraId="5915A1CB" w14:textId="50A58353"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5CC3F6AC" w14:textId="6E9B1630" w:rsidR="36FC011F" w:rsidRDefault="36FC011F" w:rsidP="3A0EAABD">
      <w:pPr>
        <w:rPr>
          <w:rFonts w:ascii="Arial" w:eastAsia="Arial" w:hAnsi="Arial" w:cs="Arial"/>
          <w:sz w:val="22"/>
          <w:szCs w:val="22"/>
        </w:rPr>
      </w:pPr>
      <w:r w:rsidRPr="3A0EAABD">
        <w:rPr>
          <w:rFonts w:ascii="Arial" w:eastAsia="Arial" w:hAnsi="Arial" w:cs="Arial"/>
          <w:sz w:val="22"/>
          <w:szCs w:val="22"/>
        </w:rPr>
        <w:t>The resulting questionnaire assessed student self-perceptions across nine different digital literacy areas, such as ICT skills, information literacy, digital research, and digital innovation. The tool collected quantitative data through structured scales and qualitative feedback from open-ended questions about how students learn new tools, keep up-to-date, and tackle academic technical challenges.</w:t>
      </w:r>
    </w:p>
    <w:p w14:paraId="5B333881" w14:textId="4008B34E"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0E6F546D" w14:textId="70420F37"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Data Analysis Techniques  </w:t>
      </w:r>
    </w:p>
    <w:p w14:paraId="2E45989E" w14:textId="5F9573BA" w:rsidR="36FC011F" w:rsidRDefault="36FC011F" w:rsidP="3A0EAABD">
      <w:pPr>
        <w:rPr>
          <w:rFonts w:ascii="Arial" w:eastAsia="Arial" w:hAnsi="Arial" w:cs="Arial"/>
          <w:sz w:val="22"/>
          <w:szCs w:val="22"/>
        </w:rPr>
      </w:pPr>
      <w:r w:rsidRPr="3A0EAABD">
        <w:rPr>
          <w:rFonts w:ascii="Arial" w:eastAsia="Arial" w:hAnsi="Arial" w:cs="Arial"/>
          <w:sz w:val="22"/>
          <w:szCs w:val="22"/>
        </w:rPr>
        <w:t>To analyze the collected data, researchers used two separate analytical processes based on data type:</w:t>
      </w:r>
    </w:p>
    <w:p w14:paraId="54DEBFE0" w14:textId="79249712"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57C6CF43" w14:textId="2C09C63A" w:rsidR="36FC011F" w:rsidRDefault="36FC011F" w:rsidP="3A0EAABD">
      <w:pPr>
        <w:rPr>
          <w:rFonts w:ascii="Arial" w:eastAsia="Arial" w:hAnsi="Arial" w:cs="Arial"/>
          <w:sz w:val="22"/>
          <w:szCs w:val="22"/>
        </w:rPr>
      </w:pPr>
      <w:r w:rsidRPr="3A0EAABD">
        <w:rPr>
          <w:rFonts w:ascii="Arial" w:eastAsia="Arial" w:hAnsi="Arial" w:cs="Arial"/>
          <w:sz w:val="22"/>
          <w:szCs w:val="22"/>
        </w:rPr>
        <w:t>Quantitative Data Analysis: Numerical data from structured scales were handled using descriptive and inferential statistics. First, descriptive statistical analysis (frequencies, percentages, and means) provided a baseline for competency levels. Since the data distribution was non-parametric, the authors employed statistical tests to compare subgroups. They used the Mann-Whitney U-test to find significant differences between two independent groups (like pre-registration versus post-registration course types) and the Kruskal-</w:t>
      </w:r>
      <w:proofErr w:type="gramStart"/>
      <w:r w:rsidRPr="3A0EAABD">
        <w:rPr>
          <w:rFonts w:ascii="Arial" w:eastAsia="Arial" w:hAnsi="Arial" w:cs="Arial"/>
          <w:sz w:val="22"/>
          <w:szCs w:val="22"/>
        </w:rPr>
        <w:t>Wallis</w:t>
      </w:r>
      <w:proofErr w:type="gramEnd"/>
      <w:r w:rsidRPr="3A0EAABD">
        <w:rPr>
          <w:rFonts w:ascii="Arial" w:eastAsia="Arial" w:hAnsi="Arial" w:cs="Arial"/>
          <w:sz w:val="22"/>
          <w:szCs w:val="22"/>
        </w:rPr>
        <w:t xml:space="preserve"> test to assess variations across different age groups.</w:t>
      </w:r>
    </w:p>
    <w:p w14:paraId="765078CD" w14:textId="59D0F10A" w:rsidR="36FC011F" w:rsidRDefault="36FC011F" w:rsidP="3A0EAABD">
      <w:pPr>
        <w:rPr>
          <w:rFonts w:ascii="Arial" w:eastAsia="Arial" w:hAnsi="Arial" w:cs="Arial"/>
          <w:sz w:val="22"/>
          <w:szCs w:val="22"/>
        </w:rPr>
      </w:pPr>
      <w:r w:rsidRPr="3A0EAABD">
        <w:rPr>
          <w:rFonts w:ascii="Arial" w:eastAsia="Arial" w:hAnsi="Arial" w:cs="Arial"/>
          <w:sz w:val="22"/>
          <w:szCs w:val="22"/>
        </w:rPr>
        <w:t xml:space="preserve"> </w:t>
      </w:r>
    </w:p>
    <w:p w14:paraId="6BEAF096" w14:textId="17837EBA" w:rsidR="36FC011F" w:rsidRDefault="36FC011F" w:rsidP="3A0EAABD">
      <w:pPr>
        <w:rPr>
          <w:rFonts w:ascii="Arial" w:eastAsia="Arial" w:hAnsi="Arial" w:cs="Arial"/>
          <w:sz w:val="22"/>
          <w:szCs w:val="22"/>
        </w:rPr>
      </w:pPr>
      <w:r w:rsidRPr="3A0EAABD">
        <w:rPr>
          <w:rFonts w:ascii="Arial" w:eastAsia="Arial" w:hAnsi="Arial" w:cs="Arial"/>
          <w:sz w:val="22"/>
          <w:szCs w:val="22"/>
        </w:rPr>
        <w:t>Qualitative Data Analysis: Text data from open-ended survey responses were analyzed using thematic analysis. The researchers reviewed the text line-by-line, assigned codes to recurring themes, and grouped these codes into overarching concepts. This qualitative analysis showed that students often rely on informal "trial-and-error" methods, shedding light on specific skill gaps identified in the statistical findings.</w:t>
      </w:r>
    </w:p>
    <w:p w14:paraId="42BBF5BF" w14:textId="2FCF0BAC" w:rsidR="3A0EAABD" w:rsidRDefault="3A0EAABD" w:rsidP="3A0EAABD">
      <w:pPr>
        <w:rPr>
          <w:rFonts w:ascii="Arial" w:eastAsia="Arial" w:hAnsi="Arial" w:cs="Arial"/>
          <w:sz w:val="22"/>
          <w:szCs w:val="22"/>
        </w:rPr>
      </w:pPr>
    </w:p>
    <w:p w14:paraId="1C957090" w14:textId="1CD31032" w:rsidR="108B1304" w:rsidRDefault="108B1304" w:rsidP="3A0EAABD">
      <w:pPr>
        <w:rPr>
          <w:rFonts w:ascii="Arial" w:eastAsia="Arial" w:hAnsi="Arial" w:cs="Arial"/>
          <w:sz w:val="22"/>
          <w:szCs w:val="22"/>
        </w:rPr>
      </w:pPr>
      <w:r w:rsidRPr="3A0EAABD">
        <w:rPr>
          <w:rFonts w:ascii="Arial" w:eastAsia="Arial" w:hAnsi="Arial" w:cs="Arial"/>
          <w:sz w:val="22"/>
          <w:szCs w:val="22"/>
        </w:rPr>
        <w:t>Section 4: Key Findings and Results Analysis</w:t>
      </w:r>
    </w:p>
    <w:p w14:paraId="14ECD56F" w14:textId="00413B01"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23F39A88" w14:textId="5772DDD6" w:rsidR="108B1304" w:rsidRDefault="108B1304" w:rsidP="3A0EAABD">
      <w:pPr>
        <w:rPr>
          <w:rFonts w:ascii="Arial" w:eastAsia="Arial" w:hAnsi="Arial" w:cs="Arial"/>
          <w:sz w:val="22"/>
          <w:szCs w:val="22"/>
        </w:rPr>
      </w:pPr>
      <w:r w:rsidRPr="3A0EAABD">
        <w:rPr>
          <w:rFonts w:ascii="Arial" w:eastAsia="Arial" w:hAnsi="Arial" w:cs="Arial"/>
          <w:sz w:val="22"/>
          <w:szCs w:val="22"/>
        </w:rPr>
        <w:t>Sample Demographics and Participation</w:t>
      </w:r>
    </w:p>
    <w:p w14:paraId="0EA22FDD" w14:textId="51E75C82"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0EC950AC" w14:textId="73335897"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The study used a primary dataset from an online survey. The overall response rate was about 15% (N = 182 valid student respondents). The sample reflected historical </w:t>
      </w:r>
      <w:r w:rsidRPr="3A0EAABD">
        <w:rPr>
          <w:rFonts w:ascii="Arial" w:eastAsia="Arial" w:hAnsi="Arial" w:cs="Arial"/>
          <w:sz w:val="22"/>
          <w:szCs w:val="22"/>
        </w:rPr>
        <w:lastRenderedPageBreak/>
        <w:t xml:space="preserve">demographic trends in the UK healthcare workforce, with a strong majority of female participants (93.4%, n = 170) compared to male participants (6.6%, n = 12). </w:t>
      </w:r>
    </w:p>
    <w:p w14:paraId="031595FD" w14:textId="48FB7BA0"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6EBD897C" w14:textId="2F2FD489" w:rsidR="108B1304" w:rsidRDefault="108B1304" w:rsidP="3A0EAABD">
      <w:pPr>
        <w:rPr>
          <w:rFonts w:ascii="Arial" w:eastAsia="Arial" w:hAnsi="Arial" w:cs="Arial"/>
          <w:sz w:val="22"/>
          <w:szCs w:val="22"/>
        </w:rPr>
      </w:pPr>
      <w:r w:rsidRPr="3A0EAABD">
        <w:rPr>
          <w:rFonts w:ascii="Arial" w:eastAsia="Arial" w:hAnsi="Arial" w:cs="Arial"/>
          <w:sz w:val="22"/>
          <w:szCs w:val="22"/>
        </w:rPr>
        <w:t>The sample was divided across generations and course pathways as follows:</w:t>
      </w:r>
    </w:p>
    <w:p w14:paraId="5F989928" w14:textId="17B1D4C2" w:rsidR="51E812A8" w:rsidRDefault="51E812A8" w:rsidP="3A0EAABD">
      <w:r>
        <w:rPr>
          <w:noProof/>
        </w:rPr>
        <w:drawing>
          <wp:inline distT="0" distB="0" distL="0" distR="0" wp14:anchorId="67E502E4" wp14:editId="6B732F97">
            <wp:extent cx="5724525" cy="2733675"/>
            <wp:effectExtent l="0" t="0" r="0" b="0"/>
            <wp:docPr id="3945382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538223" name="Picture 394538223"/>
                    <pic:cNvPicPr/>
                  </pic:nvPicPr>
                  <pic:blipFill>
                    <a:blip r:embed="rId7">
                      <a:extLst>
                        <a:ext uri="{28A0092B-C50C-407E-A947-70E740481C1C}">
                          <a14:useLocalDpi xmlns:a14="http://schemas.microsoft.com/office/drawing/2010/main"/>
                        </a:ext>
                      </a:extLst>
                    </a:blip>
                    <a:stretch>
                      <a:fillRect/>
                    </a:stretch>
                  </pic:blipFill>
                  <pic:spPr>
                    <a:xfrm>
                      <a:off x="0" y="0"/>
                      <a:ext cx="5724525" cy="2733675"/>
                    </a:xfrm>
                    <a:prstGeom prst="rect">
                      <a:avLst/>
                    </a:prstGeom>
                  </pic:spPr>
                </pic:pic>
              </a:graphicData>
            </a:graphic>
          </wp:inline>
        </w:drawing>
      </w:r>
    </w:p>
    <w:p w14:paraId="405C964C" w14:textId="2A4662DB"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2A85C343" w14:textId="5151AE1E" w:rsidR="108B1304" w:rsidRDefault="108B1304" w:rsidP="3A0EAABD">
      <w:pPr>
        <w:rPr>
          <w:rFonts w:ascii="Arial" w:eastAsia="Arial" w:hAnsi="Arial" w:cs="Arial"/>
          <w:sz w:val="22"/>
          <w:szCs w:val="22"/>
        </w:rPr>
      </w:pPr>
      <w:r w:rsidRPr="3A0EAABD">
        <w:rPr>
          <w:rFonts w:ascii="Arial" w:eastAsia="Arial" w:hAnsi="Arial" w:cs="Arial"/>
          <w:sz w:val="22"/>
          <w:szCs w:val="22"/>
        </w:rPr>
        <w:t>Hypothesis Testing Outcomes</w:t>
      </w:r>
    </w:p>
    <w:p w14:paraId="5AA52CE1" w14:textId="6ECF928B"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6FE23987" w14:textId="18319118" w:rsidR="108B1304" w:rsidRDefault="108B1304" w:rsidP="3A0EAABD">
      <w:pPr>
        <w:rPr>
          <w:rFonts w:ascii="Arial" w:eastAsia="Arial" w:hAnsi="Arial" w:cs="Arial"/>
          <w:sz w:val="22"/>
          <w:szCs w:val="22"/>
        </w:rPr>
      </w:pPr>
      <w:r w:rsidRPr="3A0EAABD">
        <w:rPr>
          <w:rFonts w:ascii="Arial" w:eastAsia="Arial" w:hAnsi="Arial" w:cs="Arial"/>
          <w:sz w:val="22"/>
          <w:szCs w:val="22"/>
        </w:rPr>
        <w:t>Using non-parametric statistical analysis, specifically the Mann-Whitney U-test and Kruskal-</w:t>
      </w:r>
      <w:proofErr w:type="gramStart"/>
      <w:r w:rsidRPr="3A0EAABD">
        <w:rPr>
          <w:rFonts w:ascii="Arial" w:eastAsia="Arial" w:hAnsi="Arial" w:cs="Arial"/>
          <w:sz w:val="22"/>
          <w:szCs w:val="22"/>
        </w:rPr>
        <w:t>Wallis</w:t>
      </w:r>
      <w:proofErr w:type="gramEnd"/>
      <w:r w:rsidRPr="3A0EAABD">
        <w:rPr>
          <w:rFonts w:ascii="Arial" w:eastAsia="Arial" w:hAnsi="Arial" w:cs="Arial"/>
          <w:sz w:val="22"/>
          <w:szCs w:val="22"/>
        </w:rPr>
        <w:t xml:space="preserve"> test, the researchers tested the two main working hypotheses from Section 2:</w:t>
      </w:r>
    </w:p>
    <w:p w14:paraId="79A20B21" w14:textId="4BCAC87D"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2174F5E7" w14:textId="584F8B72" w:rsidR="108B1304" w:rsidRDefault="108B1304" w:rsidP="3A0EAABD">
      <w:pPr>
        <w:rPr>
          <w:rFonts w:ascii="Arial" w:eastAsia="Arial" w:hAnsi="Arial" w:cs="Arial"/>
          <w:sz w:val="22"/>
          <w:szCs w:val="22"/>
        </w:rPr>
      </w:pPr>
      <w:r w:rsidRPr="3A0EAABD">
        <w:rPr>
          <w:rFonts w:ascii="Arial" w:eastAsia="Arial" w:hAnsi="Arial" w:cs="Arial"/>
          <w:sz w:val="22"/>
          <w:szCs w:val="22"/>
        </w:rPr>
        <w:t>H</w:t>
      </w:r>
      <w:r w:rsidR="57EF3FBB" w:rsidRPr="3A0EAABD">
        <w:rPr>
          <w:rFonts w:ascii="Arial" w:eastAsia="Arial" w:hAnsi="Arial" w:cs="Arial"/>
          <w:sz w:val="22"/>
          <w:szCs w:val="22"/>
        </w:rPr>
        <w:t>1:</w:t>
      </w:r>
      <w:r w:rsidRPr="3A0EAABD">
        <w:rPr>
          <w:rFonts w:ascii="Arial" w:eastAsia="Arial" w:hAnsi="Arial" w:cs="Arial"/>
          <w:sz w:val="22"/>
          <w:szCs w:val="22"/>
        </w:rPr>
        <w:t xml:space="preserve"> (Age Correlation): Supported. The tests showed that self-assessed digital skills varied significantly by generation. Younger students (Generation Z) felt they were more digitally capable than older generations. </w:t>
      </w:r>
    </w:p>
    <w:p w14:paraId="74D16C8F" w14:textId="1FD169FC"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0E259A2A" w14:textId="253FD497" w:rsidR="108B1304" w:rsidRDefault="108B1304" w:rsidP="3A0EAABD">
      <w:pPr>
        <w:rPr>
          <w:rFonts w:ascii="Arial" w:eastAsia="Arial" w:hAnsi="Arial" w:cs="Arial"/>
          <w:sz w:val="22"/>
          <w:szCs w:val="22"/>
        </w:rPr>
      </w:pPr>
      <w:r w:rsidRPr="3A0EAABD">
        <w:rPr>
          <w:rFonts w:ascii="Arial" w:eastAsia="Arial" w:hAnsi="Arial" w:cs="Arial"/>
          <w:sz w:val="22"/>
          <w:szCs w:val="22"/>
        </w:rPr>
        <w:t>H2</w:t>
      </w:r>
      <w:r w:rsidR="17D1129A" w:rsidRPr="3A0EAABD">
        <w:rPr>
          <w:rFonts w:ascii="Arial" w:eastAsia="Arial" w:hAnsi="Arial" w:cs="Arial"/>
          <w:sz w:val="22"/>
          <w:szCs w:val="22"/>
        </w:rPr>
        <w:t>:</w:t>
      </w:r>
      <w:r w:rsidRPr="3A0EAABD">
        <w:rPr>
          <w:rFonts w:ascii="Arial" w:eastAsia="Arial" w:hAnsi="Arial" w:cs="Arial"/>
          <w:sz w:val="22"/>
          <w:szCs w:val="22"/>
        </w:rPr>
        <w:t xml:space="preserve"> (Course Type Correlation): Supported. A significant difference in digital capability was found between different registration pathways. Students in pre-registration pathways assessed themselves as more competent in most digital areas than their post-registration counterparts. </w:t>
      </w:r>
    </w:p>
    <w:p w14:paraId="61F71930" w14:textId="7556ADA1"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45115F7F" w14:textId="4ED5E4E0"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Key Analytical Takeaway: While older post-registration students have much more practical experience in clinical environments, they reported having significantly lower self-perceived digital skills and need focused support in IT and academic study skills. </w:t>
      </w:r>
    </w:p>
    <w:p w14:paraId="601A471C" w14:textId="5DCBC5BF"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312C8592" w14:textId="79FF56A1" w:rsidR="108B1304" w:rsidRDefault="108B1304" w:rsidP="3A0EAABD">
      <w:pPr>
        <w:rPr>
          <w:rFonts w:ascii="Arial" w:eastAsia="Arial" w:hAnsi="Arial" w:cs="Arial"/>
          <w:sz w:val="22"/>
          <w:szCs w:val="22"/>
        </w:rPr>
      </w:pPr>
      <w:r w:rsidRPr="3A0EAABD">
        <w:rPr>
          <w:rFonts w:ascii="Arial" w:eastAsia="Arial" w:hAnsi="Arial" w:cs="Arial"/>
          <w:sz w:val="22"/>
          <w:szCs w:val="22"/>
        </w:rPr>
        <w:t>Core Digital Literacy Trends: Strengths vs. Gaps</w:t>
      </w:r>
    </w:p>
    <w:p w14:paraId="09F339D6" w14:textId="7E6982DB" w:rsidR="108B1304" w:rsidRDefault="108B1304" w:rsidP="3A0EAABD">
      <w:pPr>
        <w:rPr>
          <w:rFonts w:ascii="Arial" w:eastAsia="Arial" w:hAnsi="Arial" w:cs="Arial"/>
          <w:sz w:val="22"/>
          <w:szCs w:val="22"/>
        </w:rPr>
      </w:pPr>
      <w:r w:rsidRPr="3A0EAABD">
        <w:rPr>
          <w:rFonts w:ascii="Arial" w:eastAsia="Arial" w:hAnsi="Arial" w:cs="Arial"/>
          <w:sz w:val="22"/>
          <w:szCs w:val="22"/>
        </w:rPr>
        <w:lastRenderedPageBreak/>
        <w:t xml:space="preserve"> </w:t>
      </w:r>
    </w:p>
    <w:p w14:paraId="047D6DE3" w14:textId="671B1467"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A key finding of the study was that no digital competency dimension received an "expert" overall rating. Instead, the student group rated their overall digital ability to complete academic tasks at an "intermediate" level. </w:t>
      </w:r>
    </w:p>
    <w:p w14:paraId="14B955EA" w14:textId="5340544A"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0D822295" w14:textId="26280B91" w:rsidR="108B1304" w:rsidRDefault="108B1304" w:rsidP="3A0EAABD">
      <w:pPr>
        <w:rPr>
          <w:rFonts w:ascii="Arial" w:eastAsia="Arial" w:hAnsi="Arial" w:cs="Arial"/>
          <w:sz w:val="22"/>
          <w:szCs w:val="22"/>
        </w:rPr>
      </w:pPr>
      <w:r w:rsidRPr="3A0EAABD">
        <w:rPr>
          <w:rFonts w:ascii="Arial" w:eastAsia="Arial" w:hAnsi="Arial" w:cs="Arial"/>
          <w:sz w:val="22"/>
          <w:szCs w:val="22"/>
        </w:rPr>
        <w:t>1. Areas of Strength ("Advanced" Competencies)</w:t>
      </w:r>
    </w:p>
    <w:p w14:paraId="5637ADBE" w14:textId="34512183"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0E767760" w14:textId="37E2EA12" w:rsidR="108B1304" w:rsidRDefault="108B1304" w:rsidP="3A0EAABD">
      <w:pPr>
        <w:rPr>
          <w:rFonts w:ascii="Arial" w:eastAsia="Arial" w:hAnsi="Arial" w:cs="Arial"/>
          <w:sz w:val="22"/>
          <w:szCs w:val="22"/>
        </w:rPr>
      </w:pPr>
      <w:r w:rsidRPr="3A0EAABD">
        <w:rPr>
          <w:rFonts w:ascii="Arial" w:eastAsia="Arial" w:hAnsi="Arial" w:cs="Arial"/>
          <w:sz w:val="22"/>
          <w:szCs w:val="22"/>
        </w:rPr>
        <w:t>Students expressed high confidence and self-assessed advanced skills (frequent mode value of 4) in five everyday application areas:</w:t>
      </w:r>
    </w:p>
    <w:p w14:paraId="5CFD8A2F" w14:textId="49C48B61"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51F99BE0" w14:textId="4FA72098" w:rsidR="108B1304" w:rsidRDefault="108B1304" w:rsidP="3A0EAABD">
      <w:pPr>
        <w:rPr>
          <w:rFonts w:ascii="Arial" w:eastAsia="Arial" w:hAnsi="Arial" w:cs="Arial"/>
          <w:sz w:val="22"/>
          <w:szCs w:val="22"/>
        </w:rPr>
      </w:pPr>
      <w:r w:rsidRPr="3A0EAABD">
        <w:rPr>
          <w:rFonts w:ascii="Arial" w:eastAsia="Arial" w:hAnsi="Arial" w:cs="Arial"/>
          <w:sz w:val="22"/>
          <w:szCs w:val="22"/>
        </w:rPr>
        <w:t>- Everyday Participation as a Digital Citizen</w:t>
      </w:r>
    </w:p>
    <w:p w14:paraId="3292480F" w14:textId="461A5F53" w:rsidR="108B1304" w:rsidRDefault="108B1304" w:rsidP="3A0EAABD">
      <w:pPr>
        <w:rPr>
          <w:rFonts w:ascii="Arial" w:eastAsia="Arial" w:hAnsi="Arial" w:cs="Arial"/>
          <w:sz w:val="22"/>
          <w:szCs w:val="22"/>
        </w:rPr>
      </w:pPr>
      <w:r w:rsidRPr="3A0EAABD">
        <w:rPr>
          <w:rFonts w:ascii="Arial" w:eastAsia="Arial" w:hAnsi="Arial" w:cs="Arial"/>
          <w:sz w:val="22"/>
          <w:szCs w:val="22"/>
        </w:rPr>
        <w:t>- General ICT Proficiency (basic device operation)</w:t>
      </w:r>
    </w:p>
    <w:p w14:paraId="0B023F3E" w14:textId="3CA395EB" w:rsidR="108B1304" w:rsidRDefault="108B1304" w:rsidP="3A0EAABD">
      <w:pPr>
        <w:rPr>
          <w:rFonts w:ascii="Arial" w:eastAsia="Arial" w:hAnsi="Arial" w:cs="Arial"/>
          <w:sz w:val="22"/>
          <w:szCs w:val="22"/>
        </w:rPr>
      </w:pPr>
      <w:r w:rsidRPr="3A0EAABD">
        <w:rPr>
          <w:rFonts w:ascii="Arial" w:eastAsia="Arial" w:hAnsi="Arial" w:cs="Arial"/>
          <w:sz w:val="22"/>
          <w:szCs w:val="22"/>
        </w:rPr>
        <w:t>- Basic Digital Communication</w:t>
      </w:r>
    </w:p>
    <w:p w14:paraId="6DF456DA" w14:textId="4EA1A946" w:rsidR="108B1304" w:rsidRDefault="108B1304" w:rsidP="3A0EAABD">
      <w:pPr>
        <w:rPr>
          <w:rFonts w:ascii="Arial" w:eastAsia="Arial" w:hAnsi="Arial" w:cs="Arial"/>
          <w:sz w:val="22"/>
          <w:szCs w:val="22"/>
        </w:rPr>
      </w:pPr>
      <w:r w:rsidRPr="3A0EAABD">
        <w:rPr>
          <w:rFonts w:ascii="Arial" w:eastAsia="Arial" w:hAnsi="Arial" w:cs="Arial"/>
          <w:sz w:val="22"/>
          <w:szCs w:val="22"/>
        </w:rPr>
        <w:t>- Digital Creation (everyday social media platforms/tools)</w:t>
      </w:r>
    </w:p>
    <w:p w14:paraId="66664453" w14:textId="787EF071" w:rsidR="108B1304" w:rsidRDefault="108B1304" w:rsidP="3A0EAABD">
      <w:pPr>
        <w:rPr>
          <w:rFonts w:ascii="Arial" w:eastAsia="Arial" w:hAnsi="Arial" w:cs="Arial"/>
          <w:sz w:val="22"/>
          <w:szCs w:val="22"/>
        </w:rPr>
      </w:pPr>
      <w:r w:rsidRPr="3A0EAABD">
        <w:rPr>
          <w:rFonts w:ascii="Arial" w:eastAsia="Arial" w:hAnsi="Arial" w:cs="Arial"/>
          <w:sz w:val="22"/>
          <w:szCs w:val="22"/>
        </w:rPr>
        <w:t>- Digital Wellbeing</w:t>
      </w:r>
    </w:p>
    <w:p w14:paraId="65C20402" w14:textId="4B6C0416"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75094CEA" w14:textId="5B7B1CDB" w:rsidR="108B1304" w:rsidRDefault="108B1304" w:rsidP="3A0EAABD">
      <w:pPr>
        <w:rPr>
          <w:rFonts w:ascii="Arial" w:eastAsia="Arial" w:hAnsi="Arial" w:cs="Arial"/>
          <w:sz w:val="22"/>
          <w:szCs w:val="22"/>
        </w:rPr>
      </w:pPr>
      <w:r w:rsidRPr="3A0EAABD">
        <w:rPr>
          <w:rFonts w:ascii="Arial" w:eastAsia="Arial" w:hAnsi="Arial" w:cs="Arial"/>
          <w:sz w:val="22"/>
          <w:szCs w:val="22"/>
        </w:rPr>
        <w:t>2. Areas of Vulnerability ("Novice" or "Basic" Gaps)</w:t>
      </w:r>
    </w:p>
    <w:p w14:paraId="6732D44B" w14:textId="6C5B4626"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3488AD65" w14:textId="68731C21" w:rsidR="108B1304" w:rsidRDefault="108B1304" w:rsidP="3A0EAABD">
      <w:pPr>
        <w:rPr>
          <w:rFonts w:ascii="Arial" w:eastAsia="Arial" w:hAnsi="Arial" w:cs="Arial"/>
          <w:sz w:val="22"/>
          <w:szCs w:val="22"/>
        </w:rPr>
      </w:pPr>
      <w:r w:rsidRPr="3A0EAABD">
        <w:rPr>
          <w:rFonts w:ascii="Arial" w:eastAsia="Arial" w:hAnsi="Arial" w:cs="Arial"/>
          <w:sz w:val="22"/>
          <w:szCs w:val="22"/>
        </w:rPr>
        <w:t>Troublingly, no advanced or expert scores were obtained in the specific digital skills vital for higher education and modern professional work. Significant gaps were evident in:</w:t>
      </w:r>
    </w:p>
    <w:p w14:paraId="44693578" w14:textId="151ED520"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52604A35" w14:textId="0EEB119D"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Information Literacy &amp; Digital Research: Students often struggled with critically assessing healthcare data, organizing research datasets, using digital appraisal software, and doing formal academic referencing. </w:t>
      </w:r>
    </w:p>
    <w:p w14:paraId="511717F1" w14:textId="30E508D1" w:rsidR="108B1304" w:rsidRDefault="108B1304" w:rsidP="3A0EAABD">
      <w:pPr>
        <w:rPr>
          <w:rFonts w:ascii="Arial" w:eastAsia="Arial" w:hAnsi="Arial" w:cs="Arial"/>
          <w:sz w:val="22"/>
          <w:szCs w:val="22"/>
        </w:rPr>
      </w:pPr>
      <w:r w:rsidRPr="3A0EAABD">
        <w:rPr>
          <w:rFonts w:ascii="Arial" w:eastAsia="Arial" w:hAnsi="Arial" w:cs="Arial"/>
          <w:sz w:val="22"/>
          <w:szCs w:val="22"/>
        </w:rPr>
        <w:t>- Digital Innovation &amp; Identity Management: They reported lower abilities with advanced technical systems like telehealth applications, data visualization, and simulation-based electronic environments.</w:t>
      </w:r>
    </w:p>
    <w:p w14:paraId="6DAF8E6F" w14:textId="56F97710" w:rsidR="108B1304" w:rsidRDefault="108B1304" w:rsidP="3A0EAABD">
      <w:pPr>
        <w:rPr>
          <w:rFonts w:ascii="Arial" w:eastAsia="Arial" w:hAnsi="Arial" w:cs="Arial"/>
          <w:sz w:val="22"/>
          <w:szCs w:val="22"/>
        </w:rPr>
      </w:pPr>
      <w:r w:rsidRPr="3A0EAABD">
        <w:rPr>
          <w:rFonts w:ascii="Arial" w:eastAsia="Arial" w:hAnsi="Arial" w:cs="Arial"/>
          <w:sz w:val="22"/>
          <w:szCs w:val="22"/>
        </w:rPr>
        <w:t xml:space="preserve"> </w:t>
      </w:r>
    </w:p>
    <w:p w14:paraId="1FF2A720" w14:textId="6DF877E6" w:rsidR="108B1304" w:rsidRDefault="108B1304" w:rsidP="3A0EAABD">
      <w:pPr>
        <w:rPr>
          <w:rFonts w:ascii="Arial" w:eastAsia="Arial" w:hAnsi="Arial" w:cs="Arial"/>
          <w:sz w:val="22"/>
          <w:szCs w:val="22"/>
        </w:rPr>
      </w:pPr>
      <w:r w:rsidRPr="3A0EAABD">
        <w:rPr>
          <w:rFonts w:ascii="Arial" w:eastAsia="Arial" w:hAnsi="Arial" w:cs="Arial"/>
          <w:sz w:val="22"/>
          <w:szCs w:val="22"/>
        </w:rPr>
        <w:t>Learning Strategies: Open-ended feedback showed that students mostly relied on stressful, unguided "trial-and-error" methods to deal with software problems. This often led to significant academic anxiety and frustration when systems did not work.</w:t>
      </w:r>
    </w:p>
    <w:sectPr w:rsidR="108B1304">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F95E2" w14:textId="77777777" w:rsidR="00DF4056" w:rsidRDefault="00DF4056" w:rsidP="00771540">
      <w:pPr>
        <w:spacing w:after="0" w:line="240" w:lineRule="auto"/>
      </w:pPr>
      <w:r>
        <w:separator/>
      </w:r>
    </w:p>
  </w:endnote>
  <w:endnote w:type="continuationSeparator" w:id="0">
    <w:p w14:paraId="6D2A1A8C" w14:textId="77777777" w:rsidR="00DF4056" w:rsidRDefault="00DF4056" w:rsidP="00771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haroni">
    <w:charset w:val="B1"/>
    <w:family w:val="auto"/>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5062400"/>
      <w:docPartObj>
        <w:docPartGallery w:val="Page Numbers (Bottom of Page)"/>
        <w:docPartUnique/>
      </w:docPartObj>
    </w:sdtPr>
    <w:sdtContent>
      <w:p w14:paraId="0E2B067F" w14:textId="5480B47A" w:rsidR="00771540" w:rsidRDefault="00771540">
        <w:pPr>
          <w:pStyle w:val="Footer"/>
        </w:pPr>
        <w:r>
          <w:fldChar w:fldCharType="begin"/>
        </w:r>
        <w:r>
          <w:instrText>PAGE   \* MERGEFORMAT</w:instrText>
        </w:r>
        <w:r>
          <w:fldChar w:fldCharType="separate"/>
        </w:r>
        <w:r>
          <w:t>2</w:t>
        </w:r>
        <w:r>
          <w:fldChar w:fldCharType="end"/>
        </w:r>
      </w:p>
    </w:sdtContent>
  </w:sdt>
  <w:p w14:paraId="0C220A37" w14:textId="77777777" w:rsidR="00771540" w:rsidRDefault="00771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3650A" w14:textId="77777777" w:rsidR="00DF4056" w:rsidRDefault="00DF4056" w:rsidP="00771540">
      <w:pPr>
        <w:spacing w:after="0" w:line="240" w:lineRule="auto"/>
      </w:pPr>
      <w:r>
        <w:separator/>
      </w:r>
    </w:p>
  </w:footnote>
  <w:footnote w:type="continuationSeparator" w:id="0">
    <w:p w14:paraId="064BE7CD" w14:textId="77777777" w:rsidR="00DF4056" w:rsidRDefault="00DF4056" w:rsidP="007715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F72D0"/>
    <w:multiLevelType w:val="hybridMultilevel"/>
    <w:tmpl w:val="C1707178"/>
    <w:lvl w:ilvl="0" w:tplc="6B924B80">
      <w:start w:val="1"/>
      <w:numFmt w:val="decimal"/>
      <w:lvlText w:val="%1."/>
      <w:lvlJc w:val="left"/>
      <w:pPr>
        <w:ind w:left="720" w:hanging="360"/>
      </w:pPr>
    </w:lvl>
    <w:lvl w:ilvl="1" w:tplc="D9565BFC">
      <w:start w:val="1"/>
      <w:numFmt w:val="lowerLetter"/>
      <w:lvlText w:val="%2."/>
      <w:lvlJc w:val="left"/>
      <w:pPr>
        <w:ind w:left="1440" w:hanging="360"/>
      </w:pPr>
    </w:lvl>
    <w:lvl w:ilvl="2" w:tplc="38A467E4">
      <w:start w:val="1"/>
      <w:numFmt w:val="lowerRoman"/>
      <w:lvlText w:val="%3."/>
      <w:lvlJc w:val="right"/>
      <w:pPr>
        <w:ind w:left="2160" w:hanging="180"/>
      </w:pPr>
    </w:lvl>
    <w:lvl w:ilvl="3" w:tplc="0504E82E">
      <w:start w:val="1"/>
      <w:numFmt w:val="decimal"/>
      <w:lvlText w:val="%4."/>
      <w:lvlJc w:val="left"/>
      <w:pPr>
        <w:ind w:left="2880" w:hanging="360"/>
      </w:pPr>
    </w:lvl>
    <w:lvl w:ilvl="4" w:tplc="CE809214">
      <w:start w:val="1"/>
      <w:numFmt w:val="lowerLetter"/>
      <w:lvlText w:val="%5."/>
      <w:lvlJc w:val="left"/>
      <w:pPr>
        <w:ind w:left="3600" w:hanging="360"/>
      </w:pPr>
    </w:lvl>
    <w:lvl w:ilvl="5" w:tplc="6E9499A2">
      <w:start w:val="1"/>
      <w:numFmt w:val="lowerRoman"/>
      <w:lvlText w:val="%6."/>
      <w:lvlJc w:val="right"/>
      <w:pPr>
        <w:ind w:left="4320" w:hanging="180"/>
      </w:pPr>
    </w:lvl>
    <w:lvl w:ilvl="6" w:tplc="5436FBCC">
      <w:start w:val="1"/>
      <w:numFmt w:val="decimal"/>
      <w:lvlText w:val="%7."/>
      <w:lvlJc w:val="left"/>
      <w:pPr>
        <w:ind w:left="5040" w:hanging="360"/>
      </w:pPr>
    </w:lvl>
    <w:lvl w:ilvl="7" w:tplc="4D820736">
      <w:start w:val="1"/>
      <w:numFmt w:val="lowerLetter"/>
      <w:lvlText w:val="%8."/>
      <w:lvlJc w:val="left"/>
      <w:pPr>
        <w:ind w:left="5760" w:hanging="360"/>
      </w:pPr>
    </w:lvl>
    <w:lvl w:ilvl="8" w:tplc="033A3B68">
      <w:start w:val="1"/>
      <w:numFmt w:val="lowerRoman"/>
      <w:lvlText w:val="%9."/>
      <w:lvlJc w:val="right"/>
      <w:pPr>
        <w:ind w:left="6480" w:hanging="180"/>
      </w:pPr>
    </w:lvl>
  </w:abstractNum>
  <w:num w:numId="1" w16cid:durableId="2062240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58F75D"/>
    <w:rsid w:val="00083591"/>
    <w:rsid w:val="00771540"/>
    <w:rsid w:val="00C97E08"/>
    <w:rsid w:val="00DF4056"/>
    <w:rsid w:val="0AC351EE"/>
    <w:rsid w:val="0EBDEED3"/>
    <w:rsid w:val="107FB6E7"/>
    <w:rsid w:val="108B1304"/>
    <w:rsid w:val="145C3C5F"/>
    <w:rsid w:val="1705540D"/>
    <w:rsid w:val="17D1129A"/>
    <w:rsid w:val="201C0AE2"/>
    <w:rsid w:val="20437AEA"/>
    <w:rsid w:val="21BB95A9"/>
    <w:rsid w:val="24BE51BA"/>
    <w:rsid w:val="2509227C"/>
    <w:rsid w:val="25DEE4B4"/>
    <w:rsid w:val="2FCB611C"/>
    <w:rsid w:val="323B7426"/>
    <w:rsid w:val="36FC011F"/>
    <w:rsid w:val="3A0EAABD"/>
    <w:rsid w:val="3C684DC0"/>
    <w:rsid w:val="3C9B054A"/>
    <w:rsid w:val="3CF089E7"/>
    <w:rsid w:val="41E6431C"/>
    <w:rsid w:val="462B6384"/>
    <w:rsid w:val="4D17C6D9"/>
    <w:rsid w:val="4ECDC9A2"/>
    <w:rsid w:val="51A19A13"/>
    <w:rsid w:val="51AF8837"/>
    <w:rsid w:val="51E812A8"/>
    <w:rsid w:val="56B32682"/>
    <w:rsid w:val="571FC7F0"/>
    <w:rsid w:val="57EF3FBB"/>
    <w:rsid w:val="5A7933E7"/>
    <w:rsid w:val="5C93B83E"/>
    <w:rsid w:val="61A3D992"/>
    <w:rsid w:val="66F487FC"/>
    <w:rsid w:val="6F9D1639"/>
    <w:rsid w:val="72154A93"/>
    <w:rsid w:val="76A8BD60"/>
    <w:rsid w:val="79C34B4B"/>
    <w:rsid w:val="7A28E6E1"/>
    <w:rsid w:val="7C734CD1"/>
    <w:rsid w:val="7E58F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573F1"/>
  <w15:chartTrackingRefBased/>
  <w15:docId w15:val="{625F7D4B-3DFC-4B1E-BE9E-5DCFB557F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A0EAABD"/>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paragraph" w:styleId="Header">
    <w:name w:val="header"/>
    <w:basedOn w:val="Normal"/>
    <w:link w:val="HeaderChar"/>
    <w:uiPriority w:val="99"/>
    <w:unhideWhenUsed/>
    <w:rsid w:val="00771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540"/>
  </w:style>
  <w:style w:type="paragraph" w:styleId="Footer">
    <w:name w:val="footer"/>
    <w:basedOn w:val="Normal"/>
    <w:link w:val="FooterChar"/>
    <w:uiPriority w:val="99"/>
    <w:unhideWhenUsed/>
    <w:rsid w:val="00771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haron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5020</Words>
  <Characters>28617</Characters>
  <Application>Microsoft Office Word</Application>
  <DocSecurity>0</DocSecurity>
  <Lines>238</Lines>
  <Paragraphs>67</Paragraphs>
  <ScaleCrop>false</ScaleCrop>
  <Company/>
  <LinksUpToDate>false</LinksUpToDate>
  <CharactersWithSpaces>33570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Nargess Abasi (2010987)</dc:creator>
  <cp:keywords/>
  <dc:description/>
  <cp:lastModifiedBy>Nargess Abasi (2010987)</cp:lastModifiedBy>
  <cp:revision>3</cp:revision>
  <dcterms:created xsi:type="dcterms:W3CDTF">2026-07-06T19:29:00Z</dcterms:created>
  <dcterms:modified xsi:type="dcterms:W3CDTF">2026-07-14T09:04:00Z</dcterms:modified>
</cp:coreProperties>
</file>