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2BE773" w14:textId="690E0370"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0DF297BD" w:rsidR="33572C6E" w:rsidRDefault="7908378C" w:rsidP="33572C6E">
            <w:pPr>
              <w:ind w:right="237"/>
              <w:rPr>
                <w:b/>
                <w:bCs/>
                <w:color w:val="auto"/>
                <w:sz w:val="32"/>
                <w:szCs w:val="32"/>
              </w:rPr>
            </w:pPr>
            <w:r w:rsidRPr="33572C6E">
              <w:rPr>
                <w:b/>
                <w:bCs/>
                <w:color w:val="auto"/>
                <w:sz w:val="32"/>
                <w:szCs w:val="32"/>
              </w:rPr>
              <w:t>Learner name</w:t>
            </w:r>
            <w:r w:rsidR="00CC466F">
              <w:rPr>
                <w:b/>
                <w:bCs/>
                <w:color w:val="auto"/>
                <w:sz w:val="32"/>
                <w:szCs w:val="32"/>
              </w:rPr>
              <w:t>: Dylan Baldwin</w:t>
            </w:r>
          </w:p>
          <w:p w14:paraId="2EB3F239" w14:textId="77777777" w:rsidR="00CC466F" w:rsidRDefault="00CC466F" w:rsidP="33572C6E">
            <w:pPr>
              <w:ind w:right="237"/>
              <w:rPr>
                <w:b/>
                <w:bCs/>
                <w:color w:val="auto"/>
                <w:sz w:val="32"/>
                <w:szCs w:val="32"/>
              </w:rPr>
            </w:pPr>
          </w:p>
          <w:p w14:paraId="7883A53E" w14:textId="4993B1D8" w:rsidR="7908378C" w:rsidRDefault="7908378C" w:rsidP="33572C6E">
            <w:pPr>
              <w:ind w:right="237"/>
              <w:rPr>
                <w:b/>
                <w:bCs/>
                <w:color w:val="auto"/>
                <w:sz w:val="32"/>
                <w:szCs w:val="32"/>
              </w:rPr>
            </w:pPr>
            <w:r w:rsidRPr="33572C6E">
              <w:rPr>
                <w:b/>
                <w:bCs/>
                <w:color w:val="auto"/>
                <w:sz w:val="32"/>
                <w:szCs w:val="32"/>
              </w:rPr>
              <w:t>Learner’s University Registration Number:</w:t>
            </w:r>
            <w:r w:rsidR="00CC466F">
              <w:rPr>
                <w:b/>
                <w:bCs/>
                <w:color w:val="auto"/>
                <w:sz w:val="32"/>
                <w:szCs w:val="32"/>
              </w:rPr>
              <w:t xml:space="preserve"> 2029486</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505EAE"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xml:space="preserve">, an apple.dot file, or a Microsoft publisher file as </w:t>
      </w:r>
      <w:proofErr w:type="spellStart"/>
      <w:r w:rsidR="00582870" w:rsidRPr="5CE196A1">
        <w:rPr>
          <w:i/>
          <w:iCs/>
          <w:sz w:val="24"/>
          <w:szCs w:val="24"/>
        </w:rPr>
        <w:t>Turnitin</w:t>
      </w:r>
      <w:proofErr w:type="spellEnd"/>
      <w:r w:rsidR="00582870" w:rsidRPr="5CE196A1">
        <w:rPr>
          <w:i/>
          <w:iCs/>
          <w:sz w:val="24"/>
          <w:szCs w:val="24"/>
        </w:rPr>
        <w:t xml:space="preserve">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513B4D10" w:rsidR="5B843AF0" w:rsidRDefault="5B843AF0" w:rsidP="5B843AF0">
      <w:pPr>
        <w:ind w:right="237"/>
        <w:jc w:val="both"/>
        <w:rPr>
          <w:rFonts w:eastAsia="Arial"/>
          <w:color w:val="000000" w:themeColor="text1"/>
          <w:sz w:val="24"/>
          <w:szCs w:val="24"/>
        </w:rPr>
      </w:pPr>
    </w:p>
    <w:p w14:paraId="75888FB5" w14:textId="533C70F7" w:rsidR="00CC466F" w:rsidRDefault="00CC466F" w:rsidP="00CC466F">
      <w:pPr>
        <w:rPr>
          <w:sz w:val="24"/>
        </w:rPr>
      </w:pPr>
      <w:r>
        <w:rPr>
          <w:sz w:val="24"/>
        </w:rPr>
        <w:t xml:space="preserve">As police officers, we have a duty to protect those who are vulnerable within our communities and offer safeguarding and support in order to better protect them from coming into harm’s way. Together, with the help of other agencies we must do our upmost in order to prevent vulnerable people from being exploited and preventing re-victimisation. Asquith and </w:t>
      </w:r>
      <w:proofErr w:type="spellStart"/>
      <w:r>
        <w:rPr>
          <w:sz w:val="24"/>
        </w:rPr>
        <w:t>Bartkowiak</w:t>
      </w:r>
      <w:proofErr w:type="spellEnd"/>
      <w:r>
        <w:rPr>
          <w:sz w:val="24"/>
        </w:rPr>
        <w:t>-Theron (2021) states that by considering the vulnerability of a person in targeted violence will help us to understand the cause of the violence and the vital role of the police and other stakeholders have in preventing further harm to the vulnerable person. In this essay, I will be discussing an incident where I have played a significant role with a victim of crime and critically analysing the appropriateness of different approaches by the police and other professionals in supporting and managing vulnerable people.</w:t>
      </w:r>
    </w:p>
    <w:p w14:paraId="50C6A0FA" w14:textId="77777777" w:rsidR="00CC466F" w:rsidRDefault="00CC466F" w:rsidP="00CC466F">
      <w:pPr>
        <w:rPr>
          <w:sz w:val="24"/>
        </w:rPr>
      </w:pPr>
    </w:p>
    <w:p w14:paraId="12FE09D1" w14:textId="4ABC3B0A" w:rsidR="00CC466F" w:rsidRDefault="00CC466F" w:rsidP="00CC466F">
      <w:pPr>
        <w:rPr>
          <w:sz w:val="24"/>
        </w:rPr>
      </w:pPr>
      <w:r>
        <w:rPr>
          <w:sz w:val="24"/>
        </w:rPr>
        <w:t>There are many different aspects that can make a person vulnerable. A publication from Mechanic and Tanner (2007) states vulnerabilities include a person’s race or ethnicity that can lead to discrimination. A person’s social network or lack of support where they may be living in poverty or deprives areas. This also ties in to the location a person may be living in where it may be a rural or a low-density population with inadequate facilities and employment opportunities. Another factor that can make a person vulnerable is their personal factors such as physical or cognitive impairments, illnesses or childhood abuse or deprivation.</w:t>
      </w:r>
    </w:p>
    <w:p w14:paraId="3231CEB1" w14:textId="77777777" w:rsidR="00CC466F" w:rsidRDefault="00CC466F" w:rsidP="00CC466F">
      <w:pPr>
        <w:rPr>
          <w:sz w:val="24"/>
        </w:rPr>
      </w:pPr>
    </w:p>
    <w:p w14:paraId="36CB6288" w14:textId="77777777" w:rsidR="00CC466F" w:rsidRDefault="00CC466F" w:rsidP="00CC466F">
      <w:pPr>
        <w:rPr>
          <w:sz w:val="24"/>
        </w:rPr>
      </w:pPr>
      <w:r>
        <w:rPr>
          <w:sz w:val="24"/>
        </w:rPr>
        <w:t xml:space="preserve">The incident that I will be discussing relates to a fraud whereby a vulnerable male who suffers from learning difficulties has been coerced into giving a female in excess of £2000 over the course of a couple of weeks. The male knew of the female through </w:t>
      </w:r>
      <w:r>
        <w:rPr>
          <w:sz w:val="24"/>
        </w:rPr>
        <w:lastRenderedPageBreak/>
        <w:t xml:space="preserve">mutual friends but had never had a conversation or met this female before. The female has added the male on Facebook and started to send him messages and befriending him. Due to the male’s vulnerabilities, he was unable to identify the female’s motive.  The female has asked for money on several different occasions, using excuses such as she needs to buy her children food and she needs to pay for an operation she is having in London. There were also occasions where the female would ask the male to meet up with her in a variety of different locations and he would withdraw money for her from a cash machine that she would take and then leave. The male was of the opinion throughout that they were forming a relationship, but he was in fact being exploited as a vulnerable male. The offence came to light when the male’s mother, who helps him with his banking noticed a substantial amount of money missing from his account and questioned him about it, where he explained where it had gone. Research from </w:t>
      </w:r>
      <w:r w:rsidRPr="00191AE1">
        <w:rPr>
          <w:color w:val="000000" w:themeColor="text1"/>
          <w:sz w:val="24"/>
        </w:rPr>
        <w:t xml:space="preserve">Lichtenberg et al (2016) </w:t>
      </w:r>
      <w:r>
        <w:rPr>
          <w:sz w:val="24"/>
        </w:rPr>
        <w:t>suggests that a psychological vulnerability is a common factor in fraud cases, with a vulnerable person twice as likely to be the victim of fraud.</w:t>
      </w:r>
    </w:p>
    <w:p w14:paraId="338FB973" w14:textId="77777777" w:rsidR="00CC466F" w:rsidRDefault="00CC466F" w:rsidP="00CC466F">
      <w:pPr>
        <w:rPr>
          <w:sz w:val="24"/>
        </w:rPr>
      </w:pPr>
      <w:r>
        <w:rPr>
          <w:sz w:val="24"/>
        </w:rPr>
        <w:t>When police officers are responding to vulnerable victims, the THRIVE approach has been implemented which stands for threat, risk, harm, investigation, vulnerability and engagement. The college of policing (2021, online) states that applying the THRIVE approach requires the following four steps to be followed:</w:t>
      </w:r>
    </w:p>
    <w:p w14:paraId="2BCA338A" w14:textId="77777777" w:rsidR="00CC466F" w:rsidRDefault="00CC466F" w:rsidP="00CC466F">
      <w:pPr>
        <w:pStyle w:val="ListParagraph"/>
        <w:numPr>
          <w:ilvl w:val="0"/>
          <w:numId w:val="50"/>
        </w:numPr>
        <w:overflowPunct/>
        <w:autoSpaceDE/>
        <w:autoSpaceDN/>
        <w:adjustRightInd/>
        <w:spacing w:after="160" w:line="259" w:lineRule="auto"/>
        <w:textAlignment w:val="auto"/>
        <w:rPr>
          <w:sz w:val="24"/>
        </w:rPr>
      </w:pPr>
      <w:r>
        <w:rPr>
          <w:sz w:val="24"/>
        </w:rPr>
        <w:t xml:space="preserve">Identify the individuals vulnerability or vulnerabilities </w:t>
      </w:r>
    </w:p>
    <w:p w14:paraId="072808E8" w14:textId="77777777" w:rsidR="00CC466F" w:rsidRDefault="00CC466F" w:rsidP="00CC466F">
      <w:pPr>
        <w:pStyle w:val="ListParagraph"/>
        <w:numPr>
          <w:ilvl w:val="0"/>
          <w:numId w:val="50"/>
        </w:numPr>
        <w:overflowPunct/>
        <w:autoSpaceDE/>
        <w:autoSpaceDN/>
        <w:adjustRightInd/>
        <w:spacing w:after="160" w:line="259" w:lineRule="auto"/>
        <w:textAlignment w:val="auto"/>
        <w:rPr>
          <w:sz w:val="24"/>
        </w:rPr>
      </w:pPr>
      <w:r>
        <w:rPr>
          <w:sz w:val="24"/>
        </w:rPr>
        <w:t>Understand how the vulnerabilities interact with the situation to create harm or risk</w:t>
      </w:r>
    </w:p>
    <w:p w14:paraId="25EA629B" w14:textId="77777777" w:rsidR="00CC466F" w:rsidRDefault="00CC466F" w:rsidP="00CC466F">
      <w:pPr>
        <w:pStyle w:val="ListParagraph"/>
        <w:numPr>
          <w:ilvl w:val="0"/>
          <w:numId w:val="50"/>
        </w:numPr>
        <w:overflowPunct/>
        <w:autoSpaceDE/>
        <w:autoSpaceDN/>
        <w:adjustRightInd/>
        <w:spacing w:after="160" w:line="259" w:lineRule="auto"/>
        <w:textAlignment w:val="auto"/>
        <w:rPr>
          <w:sz w:val="24"/>
        </w:rPr>
      </w:pPr>
      <w:r>
        <w:rPr>
          <w:sz w:val="24"/>
        </w:rPr>
        <w:t xml:space="preserve">Assess the level of harm or risk or harm </w:t>
      </w:r>
    </w:p>
    <w:p w14:paraId="2BD5A23C" w14:textId="77777777" w:rsidR="00CC466F" w:rsidRDefault="00CC466F" w:rsidP="00CC466F">
      <w:pPr>
        <w:pStyle w:val="ListParagraph"/>
        <w:numPr>
          <w:ilvl w:val="0"/>
          <w:numId w:val="50"/>
        </w:numPr>
        <w:overflowPunct/>
        <w:autoSpaceDE/>
        <w:autoSpaceDN/>
        <w:adjustRightInd/>
        <w:spacing w:after="160" w:line="259" w:lineRule="auto"/>
        <w:textAlignment w:val="auto"/>
        <w:rPr>
          <w:sz w:val="24"/>
        </w:rPr>
      </w:pPr>
      <w:r>
        <w:rPr>
          <w:sz w:val="24"/>
        </w:rPr>
        <w:t>Take proportionate and appropriate action if required, involving partners where they have the relevant skills and resources</w:t>
      </w:r>
    </w:p>
    <w:p w14:paraId="3DBDAE0A" w14:textId="77777777" w:rsidR="00CC466F" w:rsidRDefault="00CC466F" w:rsidP="00CC466F">
      <w:pPr>
        <w:rPr>
          <w:sz w:val="24"/>
        </w:rPr>
      </w:pPr>
      <w:r>
        <w:rPr>
          <w:sz w:val="24"/>
        </w:rPr>
        <w:t>These steps allow police officers to appropriately safeguard vulnerable people based on their unique and individual needs.</w:t>
      </w:r>
    </w:p>
    <w:p w14:paraId="30CA9218" w14:textId="5C443916" w:rsidR="00CC466F" w:rsidRDefault="00CC466F" w:rsidP="00CC466F">
      <w:pPr>
        <w:rPr>
          <w:sz w:val="24"/>
        </w:rPr>
      </w:pPr>
      <w:r>
        <w:rPr>
          <w:sz w:val="24"/>
        </w:rPr>
        <w:t xml:space="preserve">As response police officers, we do not have enough time to effectively deal with victims, especially those who are vulnerable with additional needs as much as we would like. This is due to a high demand with currently very low resources to deal with the demand, with institute for government (online, 2019) stating that victims are becoming less satisfied as fewer offences are resulting in charges which could be as a result of less budget and fewer staff and officers. When managing and supporting a vulnerable victim of crime, the police are usually the first point of contact within the broad system of supporting vulnerable people. The initial response from police would be to assess the person’s needs which can be done through communicating with the person to identify vulnerabilities and concerns which will allow us respond and share information with partner agencies. In the first instance and before leaving a vulnerable person, initial safeguarding advice should be provided to try and minimise any immediate threats or risks to that person. In relation to this incident, I have instantly assessed and been able to identify that the male involved was vulnerable and sceptical to this kind of fraud again should the relevant support not be put in place. I provided short term support by providing advice on how to keep safe while using social media and to not give out any bank details or money to people he does not know. In this instance this, I believe that this was effective and appropriate as the first way to support the male as he still lives at home with his mother who was present while I attended to speak with him. This allowed the male’s mother to also listen to the advice and to monitor and be able to check in on him. However, in this </w:t>
      </w:r>
      <w:r>
        <w:rPr>
          <w:sz w:val="24"/>
        </w:rPr>
        <w:lastRenderedPageBreak/>
        <w:t>instance the presence of an appropriate adult and parent to also assist with safeguarding the male was advantageous as it provided additional security and a person to be able to safeguard him on a more consistent level. Without his mother being able to safeguard him, it is likely that the male would be open to re-victimisation.</w:t>
      </w:r>
    </w:p>
    <w:p w14:paraId="404EF0C9" w14:textId="77777777" w:rsidR="00CC466F" w:rsidRDefault="00CC466F" w:rsidP="00CC466F">
      <w:pPr>
        <w:rPr>
          <w:sz w:val="24"/>
        </w:rPr>
      </w:pPr>
    </w:p>
    <w:p w14:paraId="6653821A" w14:textId="1FC8CE8E" w:rsidR="00CC466F" w:rsidRDefault="00CC466F" w:rsidP="00CC466F">
      <w:pPr>
        <w:rPr>
          <w:sz w:val="24"/>
        </w:rPr>
      </w:pPr>
      <w:r>
        <w:rPr>
          <w:sz w:val="24"/>
        </w:rPr>
        <w:t xml:space="preserve">After initially supporting a victim, we as police officers submit victim referral forms that the victim support team can view and will then contact the victim to provide further support. In addition to this referral that I submitted for the male a high risk public protection notification was submitted for the awareness of these partner agencies who can also intervene and provide support and manage the male. Information from the public protection notification I submitted for the male was shared with relevant partner agencies for their attention in order for them to provide support and manage the male. </w:t>
      </w:r>
    </w:p>
    <w:p w14:paraId="75A8D960" w14:textId="77777777" w:rsidR="00CC466F" w:rsidRDefault="00CC466F" w:rsidP="00CC466F">
      <w:pPr>
        <w:rPr>
          <w:sz w:val="24"/>
        </w:rPr>
      </w:pPr>
    </w:p>
    <w:p w14:paraId="2CB3020D" w14:textId="77777777" w:rsidR="00CC466F" w:rsidRDefault="00CC466F" w:rsidP="00CC466F">
      <w:pPr>
        <w:rPr>
          <w:sz w:val="24"/>
        </w:rPr>
      </w:pPr>
      <w:r>
        <w:rPr>
          <w:sz w:val="24"/>
        </w:rPr>
        <w:t xml:space="preserve">Police management alone is not enough to ensure the safeguarding of vulnerable victims. Long-term support and management of vulnerable people requires the support of other agencies who form the multi-agency safeguarding hub (MASH). As </w:t>
      </w:r>
      <w:proofErr w:type="spellStart"/>
      <w:r>
        <w:rPr>
          <w:sz w:val="24"/>
        </w:rPr>
        <w:t>Shorrock</w:t>
      </w:r>
      <w:proofErr w:type="spellEnd"/>
      <w:r>
        <w:rPr>
          <w:sz w:val="24"/>
        </w:rPr>
        <w:t xml:space="preserve"> et al (2019) states, MASH was introduced in 2010 and aims to safeguard people by sharing information and making joint decisions and interventions. Although it should be noted that MASH currently prioritise children with plans in place to start reaching adults more over the next few years. MASH incorporates a variety of different agencies being health, education, social services and the police. The College of Policing (2015, online) states that the co-operation between agencies is important to avoid any case from going without any action and to be able to facilitate every case individually by looking at the entire picture of the circumstances. This is done by identifying any risks early, improve information sharing, joint decision making and a coordinated approach to assessing managing and reducing risk.</w:t>
      </w:r>
    </w:p>
    <w:p w14:paraId="6A62880F" w14:textId="12F86065" w:rsidR="00CC466F" w:rsidRDefault="00CC466F" w:rsidP="00CC466F">
      <w:pPr>
        <w:rPr>
          <w:sz w:val="24"/>
        </w:rPr>
      </w:pPr>
      <w:r>
        <w:rPr>
          <w:sz w:val="24"/>
        </w:rPr>
        <w:t>At first, hearing what MASH does sound like it would make a difference as having someone from every agency come together to discuss one person will allow an individual and strategic plan to be put in place based on that individual’s needs, can only be a positive and productive plan. However, in a study from Stephenson (2013) she has explored and raised the issues and challenges from multi-agency working that can make it ineffective and problematic. One issue raised from Stephenson is the restrictions that the Data Protection Act put on information sharing, with relevant agencies not having access to relevant information they need, which is a core part of the MASH set up and undermining the whole process. In addition to this, poor communication between the involved agencies has been a major factor in safeguarding failures. Again, communication is the focal point of MASH therefore poor communication can have serious consequences on the involved subject. Further research from McGuire et at (2021) states that there is a lot of acceptance that multiagency working is beneficial, however there was not much evidence to support this.</w:t>
      </w:r>
    </w:p>
    <w:p w14:paraId="5D96AB9A" w14:textId="77777777" w:rsidR="00CC466F" w:rsidRDefault="00CC466F" w:rsidP="00CC466F">
      <w:pPr>
        <w:rPr>
          <w:sz w:val="24"/>
        </w:rPr>
      </w:pPr>
    </w:p>
    <w:p w14:paraId="610A9165" w14:textId="61F407DA" w:rsidR="00CC466F" w:rsidRDefault="00CC466F" w:rsidP="00CC466F">
      <w:pPr>
        <w:rPr>
          <w:sz w:val="24"/>
        </w:rPr>
      </w:pPr>
      <w:r>
        <w:rPr>
          <w:sz w:val="24"/>
        </w:rPr>
        <w:t xml:space="preserve">When supporting and managing a vulnerable person who has been the victim of a crime, the main aim should always to be try and prevent re-victimisation. This is important as we have a duty to protect the public, especially vulnerable people who are unable to protect themselves from abuse, harm or neglect. Re-victimisation accounts for a considerable amount of crime, with a report from the College of Policing (online, 2021) stating that 5% of victims experience 60% of crimes and once </w:t>
      </w:r>
      <w:r>
        <w:rPr>
          <w:sz w:val="24"/>
        </w:rPr>
        <w:lastRenderedPageBreak/>
        <w:t xml:space="preserve">a person has been a victim of crime the likelihood of them being a victim again increases. </w:t>
      </w:r>
    </w:p>
    <w:p w14:paraId="69DE1700" w14:textId="77777777" w:rsidR="00CC466F" w:rsidRDefault="00CC466F" w:rsidP="00CC466F">
      <w:pPr>
        <w:rPr>
          <w:sz w:val="24"/>
        </w:rPr>
      </w:pPr>
    </w:p>
    <w:p w14:paraId="6D78C9BF" w14:textId="63A003B3" w:rsidR="00CC466F" w:rsidRDefault="00CC466F" w:rsidP="00CC466F">
      <w:pPr>
        <w:rPr>
          <w:sz w:val="24"/>
        </w:rPr>
      </w:pPr>
      <w:r>
        <w:rPr>
          <w:sz w:val="24"/>
        </w:rPr>
        <w:t xml:space="preserve">To see if the structure in place to tackle re-victimisation or re-offending works, we can apply an evidenced based approach which will assist in decision making and strategic planning by analysing what has worked and what hasn’t worked previously. College of Policing (online, 2021) state that crime is mostly associated with the same offenders, victims and places. Focussing action on repeat victims and offenders is said to be an effective way to allocate resources for crime reduction. It is also stated that the way the police treat and interact with people by treating everyone equally, making fair and informed decisions and by being respectful can encourage cooperation from offenders. </w:t>
      </w:r>
    </w:p>
    <w:p w14:paraId="0CBACDC3" w14:textId="77777777" w:rsidR="00CC466F" w:rsidRDefault="00CC466F" w:rsidP="00CC466F">
      <w:pPr>
        <w:rPr>
          <w:sz w:val="24"/>
        </w:rPr>
      </w:pPr>
    </w:p>
    <w:p w14:paraId="4DE0A078" w14:textId="7C969DA9" w:rsidR="00CC466F" w:rsidRDefault="00CC466F" w:rsidP="00CC466F">
      <w:pPr>
        <w:rPr>
          <w:sz w:val="24"/>
        </w:rPr>
      </w:pPr>
      <w:r>
        <w:rPr>
          <w:sz w:val="24"/>
        </w:rPr>
        <w:t>Evidence shows some people are at greater risk of crime than others and their risk of re-victimisation also increases, usually as a result of vulnerabilities. Targeting crime prevention strategies towards the people who are most at risk is believed to help in reducing re-victimisation which in turn will reduce crime. It is likely that those with some form of vulnerability that increases the odds of them not being able to safeguard themselves are more at risk of re-victimisation. However, by working with these people and focussing resources on the vulnerable then rates of re-victimisation should decrease. Latest figures show that 52% of violent incidents are repeat victims which is lower than 74% in 1995, showing that targeting resources does work. In addition to this, evidence shows that offender targeting can also be effective to prevent re-victimisation. A study by Farrell et al (1998) found that crime fell by 60% in an area when they targeted prolific burglars and implemented target hardening on homes. Most evidence shows that a targeted response to victims and offenders will have the greatest benefits of preventing re-victimisation and re-offending. While targeting the sources appears to be the most effective response, resources may not allow for the same people to be constantly targeted and monitored. This may also lead to a reduction in certain crime but there is also the possibility of different people then being targeted or offenders changing their offending causing a rise in a different area or a different crime.</w:t>
      </w:r>
    </w:p>
    <w:p w14:paraId="392B5BEC" w14:textId="77777777" w:rsidR="00CC466F" w:rsidRDefault="00CC466F" w:rsidP="00CC466F">
      <w:pPr>
        <w:rPr>
          <w:sz w:val="24"/>
        </w:rPr>
      </w:pPr>
    </w:p>
    <w:p w14:paraId="3D78EDA4" w14:textId="77777777" w:rsidR="00CC466F" w:rsidRPr="0088790C" w:rsidRDefault="00CC466F" w:rsidP="00CC466F">
      <w:pPr>
        <w:rPr>
          <w:sz w:val="24"/>
        </w:rPr>
      </w:pPr>
      <w:r>
        <w:rPr>
          <w:sz w:val="24"/>
        </w:rPr>
        <w:t>To conclude, the approaches used by police and professionals to safeguard vulnerable people does have a good structure as it begins with the attending officer carrying out their own assessment and feeding that information through the system to other agencies. This then allows them to put a unique plan in place for that individual’s needs. However, it appears this structure still requires some work due to the issues raised such as miscommunication between agencies which can cause problems for the individual in question. Preventing re-victimisation and re-offending also brings challenges with an evidence based approach being utilised to try and tackle it. Targeting resources over time has shown to be effective in both reducing the likelihood of someone being a victim of crime again and preventing offending. However, there is still room for improvement in this area as 52% of violent incidents are still repeat victims.</w:t>
      </w:r>
    </w:p>
    <w:p w14:paraId="6B0844CA" w14:textId="0D4A3382" w:rsidR="00CC466F" w:rsidRDefault="00CC466F" w:rsidP="5B843AF0">
      <w:pPr>
        <w:ind w:right="237"/>
        <w:jc w:val="both"/>
        <w:rPr>
          <w:rFonts w:eastAsia="Arial"/>
          <w:color w:val="000000" w:themeColor="text1"/>
          <w:sz w:val="24"/>
          <w:szCs w:val="24"/>
        </w:rPr>
      </w:pPr>
    </w:p>
    <w:p w14:paraId="72A6B8EC" w14:textId="3B5E9AE9" w:rsidR="00CC466F" w:rsidRPr="00CC466F" w:rsidRDefault="00CC466F" w:rsidP="5B843AF0">
      <w:pPr>
        <w:ind w:right="237"/>
        <w:jc w:val="both"/>
        <w:rPr>
          <w:rFonts w:eastAsia="Arial"/>
          <w:b/>
          <w:color w:val="000000" w:themeColor="text1"/>
          <w:sz w:val="24"/>
          <w:szCs w:val="24"/>
        </w:rPr>
      </w:pPr>
      <w:r>
        <w:rPr>
          <w:rFonts w:eastAsia="Arial"/>
          <w:b/>
          <w:color w:val="000000" w:themeColor="text1"/>
          <w:sz w:val="24"/>
          <w:szCs w:val="24"/>
        </w:rPr>
        <w:t>Word Count: 2,015</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B0989EF" w14:textId="0AF66D78" w:rsidR="00025650" w:rsidRPr="00CC466F" w:rsidRDefault="00E676F7" w:rsidP="00CC466F">
      <w:pPr>
        <w:overflowPunct/>
        <w:autoSpaceDE/>
        <w:autoSpaceDN/>
        <w:adjustRightInd/>
        <w:textAlignment w:val="auto"/>
        <w:rPr>
          <w:b/>
          <w:bCs/>
          <w:sz w:val="24"/>
          <w:szCs w:val="24"/>
        </w:rPr>
      </w:pPr>
      <w:r w:rsidRPr="5CE196A1">
        <w:rPr>
          <w:b/>
          <w:bCs/>
          <w:sz w:val="24"/>
          <w:szCs w:val="24"/>
        </w:rPr>
        <w:br w:type="page"/>
      </w:r>
      <w:r w:rsidR="5B843AF0"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429C762A" w:rsidR="005C76DE" w:rsidRDefault="005C76DE" w:rsidP="5CE196A1">
      <w:pPr>
        <w:ind w:right="237"/>
        <w:jc w:val="both"/>
        <w:rPr>
          <w:b/>
          <w:bCs/>
          <w:sz w:val="24"/>
          <w:szCs w:val="24"/>
        </w:rPr>
      </w:pPr>
      <w:r w:rsidRPr="5CE196A1">
        <w:rPr>
          <w:b/>
          <w:bCs/>
          <w:sz w:val="24"/>
          <w:szCs w:val="24"/>
        </w:rPr>
        <w:t>ANSWER:</w:t>
      </w:r>
    </w:p>
    <w:p w14:paraId="076E01D4" w14:textId="22005D3D" w:rsidR="00CC466F" w:rsidRDefault="00CC466F" w:rsidP="5CE196A1">
      <w:pPr>
        <w:ind w:right="237"/>
        <w:jc w:val="both"/>
        <w:rPr>
          <w:b/>
          <w:bCs/>
          <w:sz w:val="24"/>
          <w:szCs w:val="24"/>
        </w:rPr>
      </w:pPr>
    </w:p>
    <w:p w14:paraId="7EB2029E" w14:textId="574BC4A2" w:rsidR="00CC466F" w:rsidRDefault="00CC466F" w:rsidP="00CC466F">
      <w:pPr>
        <w:rPr>
          <w:sz w:val="24"/>
        </w:rPr>
      </w:pPr>
      <w:r w:rsidRPr="00CC466F">
        <w:rPr>
          <w:sz w:val="24"/>
        </w:rPr>
        <w:t xml:space="preserve">Domestic abuse and violence is one of the biggest challenging in policing as of late. Domestic abuse is on the rise and is starting to take over as the main category of incidents that we are attending as response officers. The office of national statistics (online, 2021) reported that in the year ending in March 2021, 1,459,663 incidents of domestic abuse were reported to police in England and Wales. This was an increase of 79,407 from the previous year. However, we should consider that the increase has several factors such as improved police recording and improved victim confidence which leads to more people reporting incidents in addition to a general rise. There are several factor that cause an increase in domestic abuse, however over the last couple of years the Covid-19 pandemic has had a huge impact on the increase. The measures introduced in the United Kingdom to prevent the spread of Covid-19 forced people to stay at home and reduced interaction with others significantly. </w:t>
      </w:r>
      <w:proofErr w:type="spellStart"/>
      <w:r w:rsidRPr="00CC466F">
        <w:rPr>
          <w:sz w:val="24"/>
        </w:rPr>
        <w:t>Ivandic</w:t>
      </w:r>
      <w:proofErr w:type="spellEnd"/>
      <w:r w:rsidRPr="00CC466F">
        <w:rPr>
          <w:sz w:val="24"/>
        </w:rPr>
        <w:t xml:space="preserve"> et al (2020) states that this is likely to have an impact on the patterns of domestic abuse in addition to the social and financial uncertainty causing existing conflict in a household to worsen. During this essay, I will discuss a domestic abuse incident I have attended and critically assess the challenges associated with it and the strategies developed for effective policing of domestic incidents.</w:t>
      </w:r>
    </w:p>
    <w:p w14:paraId="10C3525F" w14:textId="77777777" w:rsidR="00CC466F" w:rsidRPr="00CC466F" w:rsidRDefault="00CC466F" w:rsidP="00CC466F">
      <w:pPr>
        <w:rPr>
          <w:sz w:val="24"/>
        </w:rPr>
      </w:pPr>
    </w:p>
    <w:p w14:paraId="0E1B5EFD" w14:textId="477C2DBA" w:rsidR="00CC466F" w:rsidRDefault="00CC466F" w:rsidP="00CC466F">
      <w:pPr>
        <w:rPr>
          <w:sz w:val="24"/>
        </w:rPr>
      </w:pPr>
      <w:r w:rsidRPr="00CC466F">
        <w:rPr>
          <w:sz w:val="24"/>
        </w:rPr>
        <w:t xml:space="preserve">The domestic abuse incident that I attended was a report of historic physical and sexual abuse on a female victim that took place over a 15 year period and was only reported to the police a couple of months after the relationship had ended. The nature of the offences were serious and the victim was ready to report and discuss the incident with the police. Domestic abuse incidents can be complex due to a number of variables with this incident providing many challenges that caused it to be complex. The first challenge that this incident posed was the length of time that this abuse has been going on for. A 15 year period is a substantial amount of time which caused its own challenges alone. Firstly, the victim was giving a statement and trying to remember multiple incidents that had taken place in a chronological order. The first few incidents happened 15 years ago, meaning that it was difficult to get a detailed and accurate account of what happened which in turns effects the evidence of the case. This was difficult as many of the more serious offences happened during the initial abuse meaning that there was more evidential difficulties for the more serious incidents. Incidents being reported late after they have happened and even not being reported at all is a common theme. Gartner and MacMillan (1995) states that victims of intimate violence are less likely to define their victimisation as criminal acts and also state that men and women see intimate violence less seriously than stranger violence, a possible explanation to why my victim took so long to report the incidents. </w:t>
      </w:r>
    </w:p>
    <w:p w14:paraId="01F31B54" w14:textId="77777777" w:rsidR="00CC466F" w:rsidRPr="00CC466F" w:rsidRDefault="00CC466F" w:rsidP="00CC466F">
      <w:pPr>
        <w:rPr>
          <w:sz w:val="24"/>
        </w:rPr>
      </w:pPr>
    </w:p>
    <w:p w14:paraId="470A4FBC" w14:textId="77777777" w:rsidR="00CC466F" w:rsidRDefault="00CC466F" w:rsidP="00CC466F">
      <w:pPr>
        <w:rPr>
          <w:sz w:val="24"/>
        </w:rPr>
      </w:pPr>
      <w:r w:rsidRPr="00CC466F">
        <w:rPr>
          <w:sz w:val="24"/>
        </w:rPr>
        <w:t xml:space="preserve">As previously mentioned, there were going to be a lot of evidential difficulties relating to the abuse disclosed in this case. All of the incidents occurred in isolated environments where only the victim and her partner were present, meaning they would all be the victims word against the offender’s word. The only additional evidence the victim has was images of some of the injuries caused which do corroborate the victims version of events. In order to prove an offence has been committed and to secure a prosecution, the evidence must prove a person’s guilt </w:t>
      </w:r>
      <w:r w:rsidRPr="00CC466F">
        <w:rPr>
          <w:sz w:val="24"/>
        </w:rPr>
        <w:lastRenderedPageBreak/>
        <w:t>beyond all reasonable doubt, meaning that one word against another will more than likely not prove this. However, in relation to sexual offences the Crown Prosecution Service (CPS) (Online, 2021) states that prosecutors should not apply the one versus one feature in a negative way while assessing the case as one person’s word can be enough to have a realistic prospect of conviction. This would have been a benefit for my victim as there were no independent witnesses or other evidence other than from the victim herself.</w:t>
      </w:r>
    </w:p>
    <w:p w14:paraId="4B17BF7D" w14:textId="72A1DF8E" w:rsidR="00CC466F" w:rsidRPr="00CC466F" w:rsidRDefault="00CC466F" w:rsidP="00CC466F">
      <w:pPr>
        <w:rPr>
          <w:sz w:val="24"/>
        </w:rPr>
      </w:pPr>
      <w:r w:rsidRPr="00CC466F">
        <w:rPr>
          <w:sz w:val="24"/>
        </w:rPr>
        <w:t xml:space="preserve"> </w:t>
      </w:r>
    </w:p>
    <w:p w14:paraId="115EE11C" w14:textId="77777777" w:rsidR="00CC466F" w:rsidRDefault="00CC466F" w:rsidP="00CC466F">
      <w:pPr>
        <w:rPr>
          <w:sz w:val="24"/>
        </w:rPr>
      </w:pPr>
      <w:r w:rsidRPr="00CC466F">
        <w:rPr>
          <w:sz w:val="24"/>
        </w:rPr>
        <w:t>Another challenge that present itself for this incident was the statutory time limit (STL) of a lot of the offences had been passed a long time ago. A STL refers to a period of time that a person can report an incident to begin legal proceedings in addition to an amount of time that a prosecution must be made after the report. The physical abuse reported by the victim amounted to common assaults and assaults causing actual bodily harm with the CPS (online, 2022) stating that the STL for a common assault is two years after the incident had taken place and a prosecution decision must be met within six months from the time of the complaint. Due to the length of time that had passed between the incidents and the victim reporting them, the STL had already passed and as a result, no action would be able to be taken relating to some of the incidents that took place. A STL in reality can prevent offenders from being held accountable for their actions due to victims not having the courage to report the incident for some time. Jackson and Johnstone (2022) states that STL are a positive in the sense that it prevents authorities and the justice system form using time and resources for minor offences that happened a long time ago. However, it can be argued that any domestic violence cases should not amount to a minor offence. They also argue that limitation periods do not bring closure to those affected by the incident.</w:t>
      </w:r>
    </w:p>
    <w:p w14:paraId="691A055C" w14:textId="61DDB468" w:rsidR="00CC466F" w:rsidRPr="00CC466F" w:rsidRDefault="00CC466F" w:rsidP="00CC466F">
      <w:pPr>
        <w:rPr>
          <w:sz w:val="24"/>
        </w:rPr>
      </w:pPr>
      <w:r w:rsidRPr="00CC466F">
        <w:rPr>
          <w:sz w:val="24"/>
        </w:rPr>
        <w:t xml:space="preserve"> </w:t>
      </w:r>
    </w:p>
    <w:p w14:paraId="264C8A4B" w14:textId="596535B0" w:rsidR="00CC466F" w:rsidRDefault="00CC466F" w:rsidP="00CC466F">
      <w:pPr>
        <w:rPr>
          <w:sz w:val="24"/>
        </w:rPr>
      </w:pPr>
      <w:r w:rsidRPr="00CC466F">
        <w:rPr>
          <w:sz w:val="24"/>
        </w:rPr>
        <w:t>The final challenge, which is something that happens on an almost daily basis, is the victim decided she wanted to withdraw her support a short time after making the report. On speaking to the victim, she stated that she no longer wanted to proceed with aby sort of complaint as since the relationship ended, she has not heard from the offender and was happy to forget that it ever happened. The victim and offender also had two children together, with the victim stating that the offender is still the father to her children and she does not want to cause any trouble between the children and him or to be the reason they grow up without a father. When the victim of domestic abuse withdraws or does not support any action, it makes it difficult to be able to hold the offender accountable. Ellison (2002) states that in a lot of cases, victim withdrawal was crucial in making a decision not to charge an offender and ultimately bringing the case to an end. Ellison goes on to say that research shows that the withdrawal or non-supportive victim will not pose a realistic prospect of prosecution due to the evidence being insufficient. As a result, it is vital to always support and reassure victims as best as possible to ensure they see the process through the legal system to get the best opportunity at bringing the offender to justice.</w:t>
      </w:r>
    </w:p>
    <w:p w14:paraId="1AC97FE0" w14:textId="77777777" w:rsidR="00CC466F" w:rsidRPr="00CC466F" w:rsidRDefault="00CC466F" w:rsidP="00CC466F">
      <w:pPr>
        <w:rPr>
          <w:sz w:val="24"/>
        </w:rPr>
      </w:pPr>
    </w:p>
    <w:p w14:paraId="616219FD" w14:textId="73CD7711" w:rsidR="00CC466F" w:rsidRDefault="00CC466F" w:rsidP="00CC466F">
      <w:pPr>
        <w:rPr>
          <w:sz w:val="24"/>
        </w:rPr>
      </w:pPr>
      <w:r w:rsidRPr="00CC466F">
        <w:rPr>
          <w:sz w:val="24"/>
        </w:rPr>
        <w:t xml:space="preserve">Domestic abuse can have both short and long term effect on the victim meaning that different people will have different needs. In order to meets these needs and provide a service to the victims, effective strategies will need to be out in place to deal with challenging situations and provide guidance and support to police officers who are dealing with the incident. When we attend at any domestic call, the priority is to </w:t>
      </w:r>
      <w:r w:rsidRPr="00CC466F">
        <w:rPr>
          <w:sz w:val="24"/>
        </w:rPr>
        <w:lastRenderedPageBreak/>
        <w:t>ensure that everyone will be safeguarded in some way when we leave the situation by taking some sort of positive action. Positive action can come in a variety of forms, such as separating both parties in order for them to have some time apart to calm down, arresting anyone who has committed an offence and by signposting to any other agencies who could help and assisting the process by completing referrals. If a person has been the victim of a domestic related offence, there are strategies in place to help us safeguard them when the offender has been released from police custody for example.</w:t>
      </w:r>
    </w:p>
    <w:p w14:paraId="2C5DAF1B" w14:textId="77777777" w:rsidR="00CC466F" w:rsidRPr="00CC466F" w:rsidRDefault="00CC466F" w:rsidP="00CC466F">
      <w:pPr>
        <w:rPr>
          <w:sz w:val="24"/>
        </w:rPr>
      </w:pPr>
    </w:p>
    <w:p w14:paraId="0B8BE856" w14:textId="29DDC611" w:rsidR="00CC466F" w:rsidRDefault="00CC466F" w:rsidP="00CC466F">
      <w:pPr>
        <w:rPr>
          <w:sz w:val="24"/>
        </w:rPr>
      </w:pPr>
      <w:r w:rsidRPr="00CC466F">
        <w:rPr>
          <w:sz w:val="24"/>
        </w:rPr>
        <w:t xml:space="preserve">As per the official government website (GOV 2020, online) the introduction of Domestic Violence Protection notices (DVPN) in 2014 provide the police with further immediate safeguarding of a victim when a perpetrator is released from custody but there is insufficient evidence to charge a person with any offence and apply bail conditions to them. The DVPN acts as an emergency non-molestation order and eviction notice that is served upon the offender by the police who then have 48 hours to apply for a Domestic Violence Protection Order (DVPO) from the magistrate’s court. If a DVPO is granted it prevents the perpetrator from attending the address or contacting the victim for up to 28 days, allowing them some breathing space from the perpetrator. The effectiveness of DVPN and DVPO is not really known due to the little research that has been conducted. A study conducted by </w:t>
      </w:r>
      <w:proofErr w:type="spellStart"/>
      <w:r w:rsidRPr="00CC466F">
        <w:rPr>
          <w:sz w:val="24"/>
        </w:rPr>
        <w:t>Ewin</w:t>
      </w:r>
      <w:proofErr w:type="spellEnd"/>
      <w:r w:rsidRPr="00CC466F">
        <w:rPr>
          <w:sz w:val="24"/>
        </w:rPr>
        <w:t xml:space="preserve"> et al (2020) states that from the 27 police services that replied to their Freedom of Information request, 10 of them reported a decrease in their use from 2016 to 2018 with another 10 also seeing an increase in their use. Their study also concluded that the difference between DVPN applications being made and a DVPO being implemented was 19%, meaning that the courts were turning away quite a number of applications. This is surprising as the criteria for a DVPO to be implemented only requires a low risk of violence or the threat of it towards the victim.</w:t>
      </w:r>
    </w:p>
    <w:p w14:paraId="3C043EF6" w14:textId="77777777" w:rsidR="00CC466F" w:rsidRPr="00CC466F" w:rsidRDefault="00CC466F" w:rsidP="00CC466F">
      <w:pPr>
        <w:rPr>
          <w:sz w:val="24"/>
        </w:rPr>
      </w:pPr>
    </w:p>
    <w:p w14:paraId="115CF486" w14:textId="3173C641" w:rsidR="00CC466F" w:rsidRDefault="00CC466F" w:rsidP="00CC466F">
      <w:pPr>
        <w:rPr>
          <w:sz w:val="24"/>
        </w:rPr>
      </w:pPr>
      <w:r w:rsidRPr="00CC466F">
        <w:rPr>
          <w:sz w:val="24"/>
        </w:rPr>
        <w:t>After any domestic incident, a Public Protection Notification (PPN) report is always submitted and has the capability of being shared with relevant partner agencies. The PPN covers questions relating to domestic abuse, stalking and harassment and contains a series of yes or no questions that will allow the completing officer to decide on a standard, medium or high risk based on the answers given from the victim. If the victim is willing, this information will then be passed on to partner agencies who will also help and support them as a result of the domestic abuse. A Multi Agency Safeguarding Hub (MASH) meeting will take place where they will discuss the person’s needs and how they can be supported. Support will then be provided to ensure the ongoing safeguarding of the victim and to try and manage and reduce the risk of them being subject to abuse and violence again.</w:t>
      </w:r>
    </w:p>
    <w:p w14:paraId="41898501" w14:textId="77777777" w:rsidR="00CC466F" w:rsidRPr="00CC466F" w:rsidRDefault="00CC466F" w:rsidP="00CC466F">
      <w:pPr>
        <w:rPr>
          <w:sz w:val="24"/>
        </w:rPr>
      </w:pPr>
    </w:p>
    <w:p w14:paraId="361D84E2" w14:textId="498520BC" w:rsidR="00CC466F" w:rsidRDefault="00CC466F" w:rsidP="00CC466F">
      <w:pPr>
        <w:rPr>
          <w:sz w:val="24"/>
        </w:rPr>
      </w:pPr>
      <w:r w:rsidRPr="00CC466F">
        <w:rPr>
          <w:sz w:val="24"/>
        </w:rPr>
        <w:t xml:space="preserve">To conclude, domestic abuse incidents are one of the most challenging and complex incidents that the police deal with. This was true for the incident that I had dealt with as a variety of different hurdles were overcome and a lot of different aspects caused it to be challenging such as the amount of time that had passed since a lot of the incidents and the evidential difficulties with all the of the incidents being the offender and victim meaning it was all one word against the other. The added hurdle of the victim and offender having children also caused problems as the offender was still acting as a parent and the victim did not want to come in between her children and their dad. There are a number of different strategies that police officers use to </w:t>
      </w:r>
      <w:r w:rsidRPr="00CC466F">
        <w:rPr>
          <w:sz w:val="24"/>
        </w:rPr>
        <w:lastRenderedPageBreak/>
        <w:t>effectively deal with domestic incidents with taking positive action the focus. As discussed, these range from simply separating both parties to give them time away from each other or arresting any offender for any offences they have committed against the other. In the case that there is not enough evidence to charge with offences, an offender can be given a DVPN with a DVPO then being sought to try and safeguard the victim for up to 28 days. As already stated, domestic incidents seem to be on the rise and we have a responsibility to take robust action against offenders to try and decrease and protect the public as best as possible.</w:t>
      </w:r>
    </w:p>
    <w:p w14:paraId="13459C79" w14:textId="2D5BA16F" w:rsidR="00CC466F" w:rsidRDefault="00CC466F" w:rsidP="00CC466F">
      <w:pPr>
        <w:rPr>
          <w:sz w:val="24"/>
        </w:rPr>
      </w:pPr>
    </w:p>
    <w:p w14:paraId="2F4CEAB4" w14:textId="1328642D" w:rsidR="00CC466F" w:rsidRPr="00CC466F" w:rsidRDefault="00CC466F" w:rsidP="00CC466F">
      <w:pPr>
        <w:rPr>
          <w:b/>
          <w:sz w:val="24"/>
        </w:rPr>
      </w:pPr>
      <w:r>
        <w:rPr>
          <w:b/>
          <w:sz w:val="24"/>
        </w:rPr>
        <w:t>Word Count: 2,000</w:t>
      </w:r>
    </w:p>
    <w:p w14:paraId="0305AA15" w14:textId="77777777" w:rsidR="00CC466F" w:rsidRPr="00CC466F" w:rsidRDefault="00CC466F" w:rsidP="5CE196A1">
      <w:pPr>
        <w:ind w:right="237"/>
        <w:jc w:val="both"/>
        <w:rPr>
          <w:b/>
          <w:bCs/>
          <w:sz w:val="32"/>
          <w:szCs w:val="24"/>
        </w:rPr>
      </w:pP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Reference how effective information and intelligence was used within your operation, and how you used specialist intelligence </w:t>
            </w:r>
            <w:proofErr w:type="spellStart"/>
            <w:r w:rsidRPr="5CE196A1">
              <w:rPr>
                <w:rFonts w:eastAsia="Arial"/>
                <w:color w:val="000000" w:themeColor="text1"/>
                <w:sz w:val="24"/>
                <w:szCs w:val="24"/>
              </w:rPr>
              <w:t>toles</w:t>
            </w:r>
            <w:proofErr w:type="spellEnd"/>
            <w:r w:rsidRPr="5CE196A1">
              <w:rPr>
                <w:rFonts w:eastAsia="Arial"/>
                <w:color w:val="000000" w:themeColor="text1"/>
                <w:sz w:val="24"/>
                <w:szCs w:val="24"/>
              </w:rPr>
              <w:t xml:space="preserve">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331214C" w:rsidR="0FF883D4" w:rsidRDefault="5CE196A1" w:rsidP="5CE196A1">
      <w:r w:rsidRPr="5CE196A1">
        <w:rPr>
          <w:rFonts w:eastAsia="Arial"/>
          <w:b/>
          <w:bCs/>
          <w:color w:val="000000" w:themeColor="text1"/>
          <w:sz w:val="24"/>
          <w:szCs w:val="24"/>
        </w:rPr>
        <w:t xml:space="preserve">Signed: </w:t>
      </w:r>
      <w:proofErr w:type="spellStart"/>
      <w:r w:rsidR="006C3F64">
        <w:rPr>
          <w:rFonts w:eastAsia="Arial"/>
          <w:b/>
          <w:bCs/>
          <w:color w:val="000000" w:themeColor="text1"/>
          <w:sz w:val="24"/>
          <w:szCs w:val="24"/>
        </w:rPr>
        <w:t>D.Baldwin</w:t>
      </w:r>
      <w:proofErr w:type="spellEnd"/>
    </w:p>
    <w:p w14:paraId="563192E7" w14:textId="7A83C86F" w:rsidR="0FF883D4" w:rsidRDefault="5CE196A1" w:rsidP="5CE196A1">
      <w:r w:rsidRPr="5CE196A1">
        <w:rPr>
          <w:rFonts w:eastAsia="Arial"/>
          <w:b/>
          <w:bCs/>
          <w:color w:val="000000" w:themeColor="text1"/>
          <w:sz w:val="24"/>
          <w:szCs w:val="24"/>
        </w:rPr>
        <w:t xml:space="preserve"> </w:t>
      </w:r>
    </w:p>
    <w:p w14:paraId="482B2B3A" w14:textId="6735F0A0" w:rsidR="0FF883D4" w:rsidRPr="006C3F64" w:rsidRDefault="5CE196A1" w:rsidP="006C3F64">
      <w:pPr>
        <w:sectPr w:rsidR="0FF883D4" w:rsidRPr="006C3F64" w:rsidSect="006C3F64">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r w:rsidRPr="5CE196A1">
        <w:rPr>
          <w:rFonts w:eastAsia="Arial"/>
          <w:b/>
          <w:bCs/>
          <w:color w:val="000000" w:themeColor="text1"/>
          <w:sz w:val="24"/>
          <w:szCs w:val="24"/>
        </w:rPr>
        <w:t>Date:</w:t>
      </w:r>
      <w:r w:rsidR="006C3F64">
        <w:t xml:space="preserve"> </w:t>
      </w:r>
      <w:r w:rsidR="006C3F64">
        <w:rPr>
          <w:b/>
          <w:bCs/>
          <w:sz w:val="24"/>
          <w:szCs w:val="24"/>
          <w:lang w:eastAsia="zh-TW"/>
        </w:rPr>
        <w:t>30/10/2022</w:t>
      </w:r>
      <w:bookmarkStart w:id="7" w:name="_GoBack"/>
      <w:bookmarkEnd w:id="7"/>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8413EB2"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A0EEE75" w14:textId="67FA24D2" w:rsidR="006C3F64" w:rsidRDefault="006C3F64" w:rsidP="00EA28F1">
      <w:pPr>
        <w:keepNext/>
        <w:spacing w:before="240" w:after="60"/>
        <w:ind w:right="237"/>
        <w:jc w:val="both"/>
        <w:rPr>
          <w:sz w:val="24"/>
          <w:szCs w:val="24"/>
        </w:rPr>
      </w:pPr>
    </w:p>
    <w:p w14:paraId="5CA32B48" w14:textId="77777777" w:rsidR="006C3F64" w:rsidRDefault="006C3F64" w:rsidP="006C3F64">
      <w:pPr>
        <w:rPr>
          <w:color w:val="222222"/>
          <w:shd w:val="clear" w:color="auto" w:fill="FFFFFF"/>
        </w:rPr>
      </w:pPr>
      <w:r>
        <w:rPr>
          <w:color w:val="222222"/>
          <w:shd w:val="clear" w:color="auto" w:fill="FFFFFF"/>
        </w:rPr>
        <w:t xml:space="preserve">Asquith, N.L. and </w:t>
      </w:r>
      <w:proofErr w:type="spellStart"/>
      <w:r>
        <w:rPr>
          <w:color w:val="222222"/>
          <w:shd w:val="clear" w:color="auto" w:fill="FFFFFF"/>
        </w:rPr>
        <w:t>Bartkowiak-Théron</w:t>
      </w:r>
      <w:proofErr w:type="spellEnd"/>
      <w:r>
        <w:rPr>
          <w:color w:val="222222"/>
          <w:shd w:val="clear" w:color="auto" w:fill="FFFFFF"/>
        </w:rPr>
        <w:t>, I., 2021. </w:t>
      </w:r>
      <w:r>
        <w:rPr>
          <w:i/>
          <w:iCs/>
          <w:color w:val="222222"/>
          <w:shd w:val="clear" w:color="auto" w:fill="FFFFFF"/>
        </w:rPr>
        <w:t>Policing practices and vulnerable people</w:t>
      </w:r>
      <w:r>
        <w:rPr>
          <w:color w:val="222222"/>
          <w:shd w:val="clear" w:color="auto" w:fill="FFFFFF"/>
        </w:rPr>
        <w:t>. Cham, Switzerland: Palgrave Macmillan.</w:t>
      </w:r>
    </w:p>
    <w:p w14:paraId="7AC05952" w14:textId="77777777" w:rsidR="006C3F64" w:rsidRDefault="006C3F64" w:rsidP="006C3F64">
      <w:pPr>
        <w:rPr>
          <w:color w:val="222222"/>
          <w:shd w:val="clear" w:color="auto" w:fill="FFFFFF"/>
        </w:rPr>
      </w:pPr>
    </w:p>
    <w:p w14:paraId="402F9BC5" w14:textId="77777777" w:rsidR="006C3F64" w:rsidRPr="00122D43" w:rsidRDefault="006C3F64" w:rsidP="006C3F64">
      <w:pPr>
        <w:rPr>
          <w:color w:val="222222"/>
          <w:shd w:val="clear" w:color="auto" w:fill="FFFFFF"/>
        </w:rPr>
      </w:pPr>
      <w:r>
        <w:rPr>
          <w:color w:val="222222"/>
          <w:shd w:val="clear" w:color="auto" w:fill="FFFFFF"/>
        </w:rPr>
        <w:t xml:space="preserve">College of Policing. (2021). </w:t>
      </w:r>
      <w:r>
        <w:rPr>
          <w:i/>
          <w:color w:val="222222"/>
          <w:shd w:val="clear" w:color="auto" w:fill="FFFFFF"/>
        </w:rPr>
        <w:t xml:space="preserve">What works in policing to reduce crime? </w:t>
      </w:r>
      <w:r>
        <w:rPr>
          <w:color w:val="222222"/>
          <w:shd w:val="clear" w:color="auto" w:fill="FFFFFF"/>
        </w:rPr>
        <w:t xml:space="preserve">Available at: </w:t>
      </w:r>
      <w:hyperlink r:id="rId21" w:history="1">
        <w:r>
          <w:rPr>
            <w:rStyle w:val="Hyperlink"/>
          </w:rPr>
          <w:t>People and places – how resources can be targeted | College of Policing</w:t>
        </w:r>
      </w:hyperlink>
      <w:r>
        <w:t>. Accessed: September 20</w:t>
      </w:r>
      <w:r w:rsidRPr="00F66AB0">
        <w:rPr>
          <w:vertAlign w:val="superscript"/>
        </w:rPr>
        <w:t>th</w:t>
      </w:r>
      <w:r>
        <w:t xml:space="preserve">, 2022 </w:t>
      </w:r>
    </w:p>
    <w:p w14:paraId="7D77AD81" w14:textId="77777777" w:rsidR="006C3F64" w:rsidRDefault="006C3F64" w:rsidP="006C3F64">
      <w:pPr>
        <w:rPr>
          <w:color w:val="222222"/>
          <w:shd w:val="clear" w:color="auto" w:fill="FFFFFF"/>
        </w:rPr>
      </w:pPr>
    </w:p>
    <w:p w14:paraId="73481F01" w14:textId="77777777" w:rsidR="006C3F64" w:rsidRDefault="006C3F64" w:rsidP="006C3F64">
      <w:r>
        <w:rPr>
          <w:color w:val="222222"/>
          <w:shd w:val="clear" w:color="auto" w:fill="FFFFFF"/>
        </w:rPr>
        <w:t xml:space="preserve">College of Policing. (2021) </w:t>
      </w:r>
      <w:r>
        <w:rPr>
          <w:i/>
          <w:color w:val="222222"/>
          <w:shd w:val="clear" w:color="auto" w:fill="FFFFFF"/>
        </w:rPr>
        <w:t xml:space="preserve">Introduction to vulnerability-related risk. </w:t>
      </w:r>
      <w:r>
        <w:rPr>
          <w:color w:val="222222"/>
          <w:shd w:val="clear" w:color="auto" w:fill="FFFFFF"/>
        </w:rPr>
        <w:t xml:space="preserve">Available at: </w:t>
      </w:r>
      <w:hyperlink r:id="rId22" w:history="1">
        <w:r>
          <w:rPr>
            <w:rStyle w:val="Hyperlink"/>
          </w:rPr>
          <w:t>Introduction to vulnerability-related risk | College of Policing</w:t>
        </w:r>
      </w:hyperlink>
      <w:r>
        <w:t>. Accessed: September 2</w:t>
      </w:r>
      <w:r w:rsidRPr="00F66AB0">
        <w:rPr>
          <w:vertAlign w:val="superscript"/>
        </w:rPr>
        <w:t>nd</w:t>
      </w:r>
      <w:r>
        <w:t>, 2022.</w:t>
      </w:r>
    </w:p>
    <w:p w14:paraId="30DA4DFE" w14:textId="77777777" w:rsidR="006C3F64" w:rsidRDefault="006C3F64" w:rsidP="006C3F64"/>
    <w:p w14:paraId="41EEE104" w14:textId="77777777" w:rsidR="006C3F64" w:rsidRDefault="006C3F64" w:rsidP="006C3F64">
      <w:r>
        <w:t xml:space="preserve">College of Policing. (2015). </w:t>
      </w:r>
      <w:r>
        <w:rPr>
          <w:i/>
        </w:rPr>
        <w:t xml:space="preserve">Partnership working and multi-agency response/mechanisms. </w:t>
      </w:r>
      <w:r>
        <w:t xml:space="preserve">Available at: </w:t>
      </w:r>
      <w:hyperlink r:id="rId23" w:anchor=":~:text=%20Multi-agency%20safeguarding%20hubs%20%28%20MASH%29%20are%20arrangements,relating%20to%20adults%2C%20whilst%20some%20have%20joint%20units" w:history="1">
        <w:r>
          <w:rPr>
            <w:rStyle w:val="Hyperlink"/>
          </w:rPr>
          <w:t>Partnership working and multi-agency responses/mechanisms | College of Policing</w:t>
        </w:r>
      </w:hyperlink>
      <w:r>
        <w:t xml:space="preserve"> Accessed: September 19</w:t>
      </w:r>
      <w:r w:rsidRPr="00F66AB0">
        <w:rPr>
          <w:vertAlign w:val="superscript"/>
        </w:rPr>
        <w:t>th</w:t>
      </w:r>
      <w:r>
        <w:t>, 2022</w:t>
      </w:r>
    </w:p>
    <w:p w14:paraId="043B24D5" w14:textId="77777777" w:rsidR="006C3F64" w:rsidRDefault="006C3F64" w:rsidP="006C3F64"/>
    <w:p w14:paraId="6C00B2B4" w14:textId="77777777" w:rsidR="006C3F64" w:rsidRPr="00511EA0" w:rsidRDefault="006C3F64" w:rsidP="006C3F64">
      <w:r>
        <w:t xml:space="preserve">College of Policing. (2021). </w:t>
      </w:r>
      <w:r>
        <w:rPr>
          <w:i/>
        </w:rPr>
        <w:t xml:space="preserve">People and places – how resources can be targeted. </w:t>
      </w:r>
      <w:r>
        <w:t xml:space="preserve">Available at: </w:t>
      </w:r>
      <w:hyperlink r:id="rId24" w:history="1">
        <w:r>
          <w:rPr>
            <w:rStyle w:val="Hyperlink"/>
          </w:rPr>
          <w:t>People and places – how resources can be targeted | College of Policing</w:t>
        </w:r>
      </w:hyperlink>
      <w:r>
        <w:t>. Accessed: September 24</w:t>
      </w:r>
      <w:r w:rsidRPr="00F66AB0">
        <w:rPr>
          <w:vertAlign w:val="superscript"/>
        </w:rPr>
        <w:t>th</w:t>
      </w:r>
      <w:r>
        <w:t>, 2022</w:t>
      </w:r>
    </w:p>
    <w:p w14:paraId="71D48D7D" w14:textId="77777777" w:rsidR="006C3F64" w:rsidRDefault="006C3F64" w:rsidP="006C3F64"/>
    <w:p w14:paraId="0244D60C" w14:textId="77777777" w:rsidR="006C3F64" w:rsidRDefault="006C3F64" w:rsidP="006C3F64">
      <w:r>
        <w:t xml:space="preserve">College of Policing. (2021). </w:t>
      </w:r>
      <w:r w:rsidRPr="00A45F04">
        <w:rPr>
          <w:i/>
        </w:rPr>
        <w:t>What works in policing to reduce crime?</w:t>
      </w:r>
      <w:r>
        <w:rPr>
          <w:i/>
        </w:rPr>
        <w:t xml:space="preserve"> </w:t>
      </w:r>
      <w:r>
        <w:t xml:space="preserve">Available at: </w:t>
      </w:r>
      <w:hyperlink r:id="rId25" w:history="1">
        <w:r>
          <w:rPr>
            <w:rStyle w:val="Hyperlink"/>
          </w:rPr>
          <w:t>What works in policing to reduce crime? | College of Policing</w:t>
        </w:r>
      </w:hyperlink>
      <w:r>
        <w:t>. Accessed: September 24</w:t>
      </w:r>
      <w:r w:rsidRPr="00F66AB0">
        <w:rPr>
          <w:vertAlign w:val="superscript"/>
        </w:rPr>
        <w:t>th</w:t>
      </w:r>
      <w:r>
        <w:t>, 2022</w:t>
      </w:r>
    </w:p>
    <w:p w14:paraId="25D4318C" w14:textId="77777777" w:rsidR="006C3F64" w:rsidRDefault="006C3F64" w:rsidP="006C3F64">
      <w:r>
        <w:t xml:space="preserve"> </w:t>
      </w:r>
    </w:p>
    <w:p w14:paraId="587DA1A0" w14:textId="77777777" w:rsidR="006C3F64" w:rsidRPr="00D03552" w:rsidRDefault="006C3F64" w:rsidP="006C3F64">
      <w:r>
        <w:t xml:space="preserve">Crown Prosecution Service. (2022). </w:t>
      </w:r>
      <w:r>
        <w:rPr>
          <w:i/>
        </w:rPr>
        <w:t xml:space="preserve">Offences against the Person, incorporating the Charging Standard. </w:t>
      </w:r>
      <w:r>
        <w:t xml:space="preserve">Available at: </w:t>
      </w:r>
      <w:hyperlink r:id="rId26" w:history="1">
        <w:r>
          <w:rPr>
            <w:rStyle w:val="Hyperlink"/>
          </w:rPr>
          <w:t>Offences against the Person, incorporating the Charging Standard | The Crown Prosecution Service (cps.gov.uk)</w:t>
        </w:r>
      </w:hyperlink>
      <w:r>
        <w:t>. Accessed: October 11</w:t>
      </w:r>
      <w:r w:rsidRPr="00D03552">
        <w:rPr>
          <w:vertAlign w:val="superscript"/>
        </w:rPr>
        <w:t>th</w:t>
      </w:r>
      <w:r>
        <w:t xml:space="preserve">, 2022. </w:t>
      </w:r>
    </w:p>
    <w:p w14:paraId="66AE58D4" w14:textId="77777777" w:rsidR="006C3F64" w:rsidRDefault="006C3F64" w:rsidP="006C3F64"/>
    <w:p w14:paraId="4992B7D3" w14:textId="77777777" w:rsidR="006C3F64" w:rsidRDefault="006C3F64" w:rsidP="006C3F64">
      <w:r>
        <w:t xml:space="preserve">Crown Prosecution Service. (2021). </w:t>
      </w:r>
      <w:r w:rsidRPr="00A018FC">
        <w:rPr>
          <w:i/>
        </w:rPr>
        <w:t>Rape and Sexual Offences -  Chapter 2. Applying the code for crown prosecutors to rape and serious sexual offences.</w:t>
      </w:r>
      <w:r>
        <w:t xml:space="preserve"> Available at: </w:t>
      </w:r>
      <w:hyperlink r:id="rId27" w:anchor=":~:text=One%20word%20against%20another&amp;text=It%20is%20essential%20that%20prosecutors,a%20realistic%20prospect%20of%20conviction" w:history="1">
        <w:r w:rsidRPr="00386A3D">
          <w:rPr>
            <w:rStyle w:val="Hyperlink"/>
          </w:rPr>
          <w:t>https://www.cps.gov.uk/legal-guidance/rape-and-sexual-offences-chapter-2-applying-code-crown-prosecutors-rape-and-serious#:~:text=One%20word%20against%20another&amp;text=It%20is%20essential%20that%20prosecutors,a%20realistic%20prospect%20of%20conviction</w:t>
        </w:r>
      </w:hyperlink>
      <w:r w:rsidRPr="00A018FC">
        <w:t>.</w:t>
      </w:r>
      <w:r>
        <w:t xml:space="preserve"> Accessed: October 4</w:t>
      </w:r>
      <w:r w:rsidRPr="00A018FC">
        <w:rPr>
          <w:vertAlign w:val="superscript"/>
        </w:rPr>
        <w:t>th</w:t>
      </w:r>
      <w:r>
        <w:t xml:space="preserve">, 2022. </w:t>
      </w:r>
    </w:p>
    <w:p w14:paraId="1CA2E854" w14:textId="77777777" w:rsidR="006C3F64" w:rsidRDefault="006C3F64" w:rsidP="006C3F64"/>
    <w:p w14:paraId="30B7ADB7" w14:textId="77777777" w:rsidR="006C3F64" w:rsidRDefault="006C3F64" w:rsidP="006C3F64">
      <w:r w:rsidRPr="00D06F5E">
        <w:t>Ellison, L., 2002. Prosecuting domestic violence without victim participation. The Modern Law Review, 65(6), pp.834-858</w:t>
      </w:r>
    </w:p>
    <w:p w14:paraId="11901F19" w14:textId="77777777" w:rsidR="006C3F64" w:rsidRDefault="006C3F64" w:rsidP="006C3F64"/>
    <w:p w14:paraId="6105BED9" w14:textId="77777777" w:rsidR="006C3F64" w:rsidRDefault="006C3F64" w:rsidP="006C3F64">
      <w:proofErr w:type="spellStart"/>
      <w:r w:rsidRPr="00194751">
        <w:t>Ewin</w:t>
      </w:r>
      <w:proofErr w:type="spellEnd"/>
      <w:r w:rsidRPr="00194751">
        <w:t>, R., Bates, E.A. and Taylor, J.C., 2020. Domestic abuse orders: risk, vulnerability and training. Journal of criminological research, policy and practice, 6(2), pp.151-167.</w:t>
      </w:r>
    </w:p>
    <w:p w14:paraId="34777096" w14:textId="77777777" w:rsidR="006C3F64" w:rsidRDefault="006C3F64" w:rsidP="006C3F64"/>
    <w:p w14:paraId="6526F797" w14:textId="77777777" w:rsidR="006C3F64" w:rsidRDefault="006C3F64" w:rsidP="006C3F64">
      <w:pPr>
        <w:rPr>
          <w:rFonts w:cstheme="minorHAnsi"/>
          <w:color w:val="000000" w:themeColor="text1"/>
          <w:szCs w:val="18"/>
        </w:rPr>
      </w:pPr>
      <w:r>
        <w:rPr>
          <w:rFonts w:cstheme="minorHAnsi"/>
          <w:color w:val="000000" w:themeColor="text1"/>
          <w:szCs w:val="18"/>
        </w:rPr>
        <w:t xml:space="preserve">Farrell G, </w:t>
      </w:r>
      <w:proofErr w:type="spellStart"/>
      <w:r>
        <w:rPr>
          <w:rFonts w:cstheme="minorHAnsi"/>
          <w:color w:val="000000" w:themeColor="text1"/>
          <w:szCs w:val="18"/>
        </w:rPr>
        <w:t>Chenery</w:t>
      </w:r>
      <w:proofErr w:type="spellEnd"/>
      <w:r>
        <w:rPr>
          <w:rFonts w:cstheme="minorHAnsi"/>
          <w:color w:val="000000" w:themeColor="text1"/>
          <w:szCs w:val="18"/>
        </w:rPr>
        <w:t xml:space="preserve"> S and Pease K. (1998) ‘Consolidating Police Crackdowns. Findings from an Anti-Burglary Project’. London: Home office</w:t>
      </w:r>
    </w:p>
    <w:p w14:paraId="22F5588A" w14:textId="77777777" w:rsidR="006C3F64" w:rsidRPr="00FD2E76" w:rsidRDefault="006C3F64" w:rsidP="006C3F64">
      <w:pPr>
        <w:rPr>
          <w:rFonts w:cstheme="minorHAnsi"/>
          <w:color w:val="000000" w:themeColor="text1"/>
          <w:spacing w:val="3"/>
          <w:szCs w:val="18"/>
          <w:shd w:val="clear" w:color="auto" w:fill="D5D5E2"/>
        </w:rPr>
      </w:pPr>
    </w:p>
    <w:p w14:paraId="39526333" w14:textId="77777777" w:rsidR="006C3F64" w:rsidRDefault="006C3F64" w:rsidP="006C3F64">
      <w:pPr>
        <w:rPr>
          <w:rFonts w:cstheme="minorHAnsi"/>
          <w:color w:val="000000" w:themeColor="text1"/>
          <w:szCs w:val="18"/>
        </w:rPr>
      </w:pPr>
      <w:r w:rsidRPr="00FD2E76">
        <w:rPr>
          <w:rFonts w:cstheme="minorHAnsi"/>
          <w:color w:val="000000" w:themeColor="text1"/>
          <w:szCs w:val="18"/>
        </w:rPr>
        <w:t>Gartner, R. and Macmillan, R., 1995. The effect of victim-offender relationship on reporting crimes of violence against women. Canadian journal of criminology, 37(3), pp.393-429.</w:t>
      </w:r>
    </w:p>
    <w:p w14:paraId="28B476CB" w14:textId="77777777" w:rsidR="006C3F64" w:rsidRDefault="006C3F64" w:rsidP="006C3F64">
      <w:pPr>
        <w:rPr>
          <w:rFonts w:cstheme="minorHAnsi"/>
          <w:color w:val="000000" w:themeColor="text1"/>
          <w:szCs w:val="18"/>
        </w:rPr>
      </w:pPr>
    </w:p>
    <w:p w14:paraId="2E3E065D" w14:textId="77777777" w:rsidR="006C3F64" w:rsidRPr="004B6863" w:rsidRDefault="006C3F64" w:rsidP="006C3F64">
      <w:pPr>
        <w:rPr>
          <w:rFonts w:cstheme="minorHAnsi"/>
          <w:color w:val="000000" w:themeColor="text1"/>
          <w:szCs w:val="18"/>
        </w:rPr>
      </w:pPr>
      <w:r>
        <w:rPr>
          <w:rFonts w:cstheme="minorHAnsi"/>
          <w:color w:val="000000" w:themeColor="text1"/>
          <w:szCs w:val="18"/>
        </w:rPr>
        <w:t xml:space="preserve">Gov. (2020). </w:t>
      </w:r>
      <w:r>
        <w:rPr>
          <w:rFonts w:cstheme="minorHAnsi"/>
          <w:i/>
          <w:color w:val="000000" w:themeColor="text1"/>
          <w:szCs w:val="18"/>
        </w:rPr>
        <w:t xml:space="preserve">Domestic Violence Protection Notices (DVPN) and Domestic Violence Protection Orders (DVPO). </w:t>
      </w:r>
      <w:r>
        <w:rPr>
          <w:rFonts w:cstheme="minorHAnsi"/>
          <w:color w:val="000000" w:themeColor="text1"/>
          <w:szCs w:val="18"/>
        </w:rPr>
        <w:t xml:space="preserve">Available at: </w:t>
      </w:r>
      <w:hyperlink r:id="rId28" w:history="1">
        <w:r w:rsidRPr="00457C88">
          <w:rPr>
            <w:rStyle w:val="Hyperlink"/>
            <w:rFonts w:cstheme="minorHAnsi"/>
            <w:szCs w:val="18"/>
          </w:rPr>
          <w:t>https://www.gov.uk/government/publications/domestic-violence-protection-orders/domestic-violence-protection-notices-dvpns-and-domestic-violence-protection-orders-dvpos-guidance-sections-24-33-crime-and-security-act-2010</w:t>
        </w:r>
      </w:hyperlink>
      <w:r>
        <w:rPr>
          <w:rFonts w:cstheme="minorHAnsi"/>
          <w:color w:val="000000" w:themeColor="text1"/>
          <w:szCs w:val="18"/>
        </w:rPr>
        <w:t>. Accessed 30</w:t>
      </w:r>
      <w:r w:rsidRPr="004B6863">
        <w:rPr>
          <w:rFonts w:cstheme="minorHAnsi"/>
          <w:color w:val="000000" w:themeColor="text1"/>
          <w:szCs w:val="18"/>
          <w:vertAlign w:val="superscript"/>
        </w:rPr>
        <w:t>th</w:t>
      </w:r>
      <w:r>
        <w:rPr>
          <w:rFonts w:cstheme="minorHAnsi"/>
          <w:color w:val="000000" w:themeColor="text1"/>
          <w:szCs w:val="18"/>
        </w:rPr>
        <w:t xml:space="preserve"> of October, 2022.</w:t>
      </w:r>
    </w:p>
    <w:p w14:paraId="1C86F59B" w14:textId="77777777" w:rsidR="006C3F64" w:rsidRPr="001D4A61" w:rsidRDefault="006C3F64" w:rsidP="006C3F64">
      <w:pPr>
        <w:rPr>
          <w:sz w:val="24"/>
        </w:rPr>
      </w:pPr>
    </w:p>
    <w:p w14:paraId="0088EA4B" w14:textId="77777777" w:rsidR="006C3F64" w:rsidRDefault="006C3F64" w:rsidP="006C3F64">
      <w:r w:rsidRPr="001D4A61">
        <w:lastRenderedPageBreak/>
        <w:t xml:space="preserve">Institute for government. (2019). </w:t>
      </w:r>
      <w:r w:rsidRPr="001D4A61">
        <w:rPr>
          <w:i/>
        </w:rPr>
        <w:t xml:space="preserve">Performance Tracker 2019. </w:t>
      </w:r>
      <w:r w:rsidRPr="001D4A61">
        <w:t xml:space="preserve">Available at: </w:t>
      </w:r>
      <w:hyperlink r:id="rId29" w:history="1">
        <w:r w:rsidRPr="001D4A61">
          <w:rPr>
            <w:rStyle w:val="Hyperlink"/>
          </w:rPr>
          <w:t>Police | The Institute for Government</w:t>
        </w:r>
      </w:hyperlink>
      <w:r w:rsidRPr="001D4A61">
        <w:t>. Accessed: 06/09/2022.</w:t>
      </w:r>
    </w:p>
    <w:p w14:paraId="1F90EE74" w14:textId="77777777" w:rsidR="006C3F64" w:rsidRDefault="006C3F64" w:rsidP="006C3F64"/>
    <w:p w14:paraId="16189C41" w14:textId="77777777" w:rsidR="006C3F64" w:rsidRDefault="006C3F64" w:rsidP="006C3F64">
      <w:proofErr w:type="spellStart"/>
      <w:r w:rsidRPr="007C76F7">
        <w:t>Ivandic</w:t>
      </w:r>
      <w:proofErr w:type="spellEnd"/>
      <w:r w:rsidRPr="007C76F7">
        <w:t xml:space="preserve">, R., </w:t>
      </w:r>
      <w:proofErr w:type="spellStart"/>
      <w:r w:rsidRPr="007C76F7">
        <w:t>Kirchmaier</w:t>
      </w:r>
      <w:proofErr w:type="spellEnd"/>
      <w:r w:rsidRPr="007C76F7">
        <w:t>, T. and Linton, B., 2020. Changing patterns of domestic abuse during Covid-19 lockdown.</w:t>
      </w:r>
    </w:p>
    <w:p w14:paraId="492F2CDC" w14:textId="77777777" w:rsidR="006C3F64" w:rsidRDefault="006C3F64" w:rsidP="006C3F64"/>
    <w:p w14:paraId="31D8E1CE" w14:textId="77777777" w:rsidR="006C3F64" w:rsidRPr="00E47005" w:rsidRDefault="006C3F64" w:rsidP="006C3F64">
      <w:pPr>
        <w:rPr>
          <w:rFonts w:cstheme="minorHAnsi"/>
        </w:rPr>
      </w:pPr>
      <w:r w:rsidRPr="00296F1B">
        <w:rPr>
          <w:rFonts w:cstheme="minorHAnsi"/>
          <w:szCs w:val="18"/>
          <w:shd w:val="clear" w:color="auto" w:fill="FFFFFF"/>
        </w:rPr>
        <w:t>ACKSON, John; JOHNSTONE, Jenny. Statutes of Limitation in the United Kingdom. </w:t>
      </w:r>
      <w:r w:rsidRPr="00296F1B">
        <w:rPr>
          <w:rStyle w:val="Strong"/>
          <w:rFonts w:cstheme="minorHAnsi"/>
          <w:szCs w:val="18"/>
          <w:shd w:val="clear" w:color="auto" w:fill="FFFFFF"/>
        </w:rPr>
        <w:t>DPCE Online</w:t>
      </w:r>
      <w:r w:rsidRPr="00296F1B">
        <w:rPr>
          <w:rFonts w:cstheme="minorHAnsi"/>
          <w:szCs w:val="18"/>
          <w:shd w:val="clear" w:color="auto" w:fill="FFFFFF"/>
        </w:rPr>
        <w:t>, [</w:t>
      </w:r>
      <w:proofErr w:type="spellStart"/>
      <w:r w:rsidRPr="00296F1B">
        <w:rPr>
          <w:rFonts w:cstheme="minorHAnsi"/>
          <w:szCs w:val="18"/>
          <w:shd w:val="clear" w:color="auto" w:fill="FFFFFF"/>
        </w:rPr>
        <w:t>S.l.</w:t>
      </w:r>
      <w:proofErr w:type="spellEnd"/>
      <w:r w:rsidRPr="00296F1B">
        <w:rPr>
          <w:rFonts w:cstheme="minorHAnsi"/>
          <w:szCs w:val="18"/>
          <w:shd w:val="clear" w:color="auto" w:fill="FFFFFF"/>
        </w:rPr>
        <w:t xml:space="preserve">], v. 49, n. 4, </w:t>
      </w:r>
      <w:proofErr w:type="spellStart"/>
      <w:r w:rsidRPr="00296F1B">
        <w:rPr>
          <w:rFonts w:cstheme="minorHAnsi"/>
          <w:szCs w:val="18"/>
          <w:shd w:val="clear" w:color="auto" w:fill="FFFFFF"/>
        </w:rPr>
        <w:t>jan.</w:t>
      </w:r>
      <w:proofErr w:type="spellEnd"/>
      <w:r w:rsidRPr="00296F1B">
        <w:rPr>
          <w:rFonts w:cstheme="minorHAnsi"/>
          <w:szCs w:val="18"/>
          <w:shd w:val="clear" w:color="auto" w:fill="FFFFFF"/>
        </w:rPr>
        <w:t xml:space="preserve"> 2022. ISSN 2037-6677</w:t>
      </w:r>
      <w:r w:rsidRPr="00E47005">
        <w:rPr>
          <w:rFonts w:cstheme="minorHAnsi"/>
          <w:sz w:val="18"/>
          <w:szCs w:val="18"/>
          <w:shd w:val="clear" w:color="auto" w:fill="FFFFFF"/>
        </w:rPr>
        <w:t>.</w:t>
      </w:r>
    </w:p>
    <w:p w14:paraId="685B70F4" w14:textId="77777777" w:rsidR="006C3F64" w:rsidRDefault="006C3F64" w:rsidP="006C3F64"/>
    <w:p w14:paraId="170927AB" w14:textId="77777777" w:rsidR="006C3F64" w:rsidRDefault="006C3F64" w:rsidP="006C3F64">
      <w:r>
        <w:rPr>
          <w:color w:val="222222"/>
          <w:shd w:val="clear" w:color="auto" w:fill="FFFFFF"/>
        </w:rPr>
        <w:t xml:space="preserve">Lichtenberg, P.A., </w:t>
      </w:r>
      <w:proofErr w:type="spellStart"/>
      <w:r>
        <w:rPr>
          <w:color w:val="222222"/>
          <w:shd w:val="clear" w:color="auto" w:fill="FFFFFF"/>
        </w:rPr>
        <w:t>Sugarman</w:t>
      </w:r>
      <w:proofErr w:type="spellEnd"/>
      <w:r>
        <w:rPr>
          <w:color w:val="222222"/>
          <w:shd w:val="clear" w:color="auto" w:fill="FFFFFF"/>
        </w:rPr>
        <w:t xml:space="preserve">, M.A., Paulson, D., </w:t>
      </w:r>
      <w:proofErr w:type="spellStart"/>
      <w:r>
        <w:rPr>
          <w:color w:val="222222"/>
          <w:shd w:val="clear" w:color="auto" w:fill="FFFFFF"/>
        </w:rPr>
        <w:t>Ficker</w:t>
      </w:r>
      <w:proofErr w:type="spellEnd"/>
      <w:r>
        <w:rPr>
          <w:color w:val="222222"/>
          <w:shd w:val="clear" w:color="auto" w:fill="FFFFFF"/>
        </w:rPr>
        <w:t>, L.J. and Rahman-</w:t>
      </w:r>
      <w:proofErr w:type="spellStart"/>
      <w:r>
        <w:rPr>
          <w:color w:val="222222"/>
          <w:shd w:val="clear" w:color="auto" w:fill="FFFFFF"/>
        </w:rPr>
        <w:t>Filipiak</w:t>
      </w:r>
      <w:proofErr w:type="spellEnd"/>
      <w:r>
        <w:rPr>
          <w:color w:val="222222"/>
          <w:shd w:val="clear" w:color="auto" w:fill="FFFFFF"/>
        </w:rPr>
        <w:t>, A., 2016. Psychological and functional vulnerability predicts fraud cases in older adults: Results of a longitudinal study. </w:t>
      </w:r>
      <w:r>
        <w:rPr>
          <w:i/>
          <w:iCs/>
          <w:color w:val="222222"/>
          <w:shd w:val="clear" w:color="auto" w:fill="FFFFFF"/>
        </w:rPr>
        <w:t>Clinical Gerontologist</w:t>
      </w:r>
      <w:r>
        <w:rPr>
          <w:color w:val="222222"/>
          <w:shd w:val="clear" w:color="auto" w:fill="FFFFFF"/>
        </w:rPr>
        <w:t>, </w:t>
      </w:r>
      <w:r>
        <w:rPr>
          <w:i/>
          <w:iCs/>
          <w:color w:val="222222"/>
          <w:shd w:val="clear" w:color="auto" w:fill="FFFFFF"/>
        </w:rPr>
        <w:t>39</w:t>
      </w:r>
      <w:r>
        <w:rPr>
          <w:color w:val="222222"/>
          <w:shd w:val="clear" w:color="auto" w:fill="FFFFFF"/>
        </w:rPr>
        <w:t>(1), pp.48-63.</w:t>
      </w:r>
    </w:p>
    <w:p w14:paraId="55439B98" w14:textId="77777777" w:rsidR="006C3F64" w:rsidRDefault="006C3F64" w:rsidP="006C3F64"/>
    <w:p w14:paraId="1DB4F335" w14:textId="77777777" w:rsidR="006C3F64" w:rsidRPr="001D4A61" w:rsidRDefault="006C3F64" w:rsidP="006C3F64">
      <w:pPr>
        <w:rPr>
          <w:color w:val="222222"/>
          <w:sz w:val="18"/>
          <w:shd w:val="clear" w:color="auto" w:fill="FFFFFF"/>
        </w:rPr>
      </w:pPr>
      <w:r w:rsidRPr="007C7986">
        <w:rPr>
          <w:color w:val="222222"/>
          <w:sz w:val="18"/>
          <w:shd w:val="clear" w:color="auto" w:fill="FFFFFF"/>
        </w:rPr>
        <w:t>McGuire, J., Evans, E. and Kane, E., 2021. Multi-agency Safeguarding for Vulnerable and At-Risk Adults. In Evidence-Based Policing and Community Crime Prevention (pp. 261-297). Springer, Cham.</w:t>
      </w:r>
    </w:p>
    <w:p w14:paraId="41E2FBB1" w14:textId="77777777" w:rsidR="006C3F64" w:rsidRDefault="006C3F64" w:rsidP="006C3F64">
      <w:pPr>
        <w:rPr>
          <w:color w:val="222222"/>
          <w:shd w:val="clear" w:color="auto" w:fill="FFFFFF"/>
        </w:rPr>
      </w:pPr>
    </w:p>
    <w:p w14:paraId="3BDE7B0F" w14:textId="77777777" w:rsidR="006C3F64" w:rsidRDefault="006C3F64" w:rsidP="006C3F64">
      <w:pPr>
        <w:rPr>
          <w:color w:val="222222"/>
          <w:shd w:val="clear" w:color="auto" w:fill="FFFFFF"/>
        </w:rPr>
      </w:pPr>
      <w:r>
        <w:rPr>
          <w:color w:val="222222"/>
          <w:shd w:val="clear" w:color="auto" w:fill="FFFFFF"/>
        </w:rPr>
        <w:t>Mechanic, D. and Tanner, J., 2007. Vulnerable people, groups, and populations: societal view. </w:t>
      </w:r>
      <w:r>
        <w:rPr>
          <w:i/>
          <w:iCs/>
          <w:color w:val="222222"/>
          <w:shd w:val="clear" w:color="auto" w:fill="FFFFFF"/>
        </w:rPr>
        <w:t>Health Affairs</w:t>
      </w:r>
      <w:r>
        <w:rPr>
          <w:color w:val="222222"/>
          <w:shd w:val="clear" w:color="auto" w:fill="FFFFFF"/>
        </w:rPr>
        <w:t>, </w:t>
      </w:r>
      <w:r>
        <w:rPr>
          <w:i/>
          <w:iCs/>
          <w:color w:val="222222"/>
          <w:shd w:val="clear" w:color="auto" w:fill="FFFFFF"/>
        </w:rPr>
        <w:t>26</w:t>
      </w:r>
      <w:r>
        <w:rPr>
          <w:color w:val="222222"/>
          <w:shd w:val="clear" w:color="auto" w:fill="FFFFFF"/>
        </w:rPr>
        <w:t>(5), pp.1220-1230.</w:t>
      </w:r>
    </w:p>
    <w:p w14:paraId="6123CC68" w14:textId="77777777" w:rsidR="006C3F64" w:rsidRDefault="006C3F64" w:rsidP="006C3F64">
      <w:pPr>
        <w:rPr>
          <w:color w:val="222222"/>
          <w:shd w:val="clear" w:color="auto" w:fill="FFFFFF"/>
        </w:rPr>
      </w:pPr>
    </w:p>
    <w:p w14:paraId="3565A971" w14:textId="77777777" w:rsidR="006C3F64" w:rsidRPr="00C34073" w:rsidRDefault="006C3F64" w:rsidP="006C3F64">
      <w:pPr>
        <w:rPr>
          <w:color w:val="222222"/>
          <w:shd w:val="clear" w:color="auto" w:fill="FFFFFF"/>
        </w:rPr>
      </w:pPr>
      <w:r>
        <w:rPr>
          <w:color w:val="222222"/>
          <w:shd w:val="clear" w:color="auto" w:fill="FFFFFF"/>
        </w:rPr>
        <w:t xml:space="preserve">Office of National Statistics. (2021). </w:t>
      </w:r>
      <w:r>
        <w:rPr>
          <w:i/>
          <w:color w:val="222222"/>
          <w:shd w:val="clear" w:color="auto" w:fill="FFFFFF"/>
        </w:rPr>
        <w:t xml:space="preserve">Domestic abuse prevalence and trends, England and Wales: year ending March 2021. </w:t>
      </w:r>
      <w:r>
        <w:rPr>
          <w:color w:val="222222"/>
          <w:shd w:val="clear" w:color="auto" w:fill="FFFFFF"/>
        </w:rPr>
        <w:t xml:space="preserve">Available at: </w:t>
      </w:r>
      <w:hyperlink r:id="rId30" w:history="1">
        <w:r w:rsidRPr="00496A3F">
          <w:rPr>
            <w:rStyle w:val="Hyperlink"/>
            <w:shd w:val="clear" w:color="auto" w:fill="FFFFFF"/>
          </w:rPr>
          <w:t>https://www.ons.gov.uk/peoplepopulationandcommunity/crimeandjustice/articles/domesticabuseprevalenceandtrendsenglandandwales/yearendingmarch2021</w:t>
        </w:r>
      </w:hyperlink>
      <w:r>
        <w:rPr>
          <w:color w:val="222222"/>
          <w:shd w:val="clear" w:color="auto" w:fill="FFFFFF"/>
        </w:rPr>
        <w:t>. Accessed: October 3</w:t>
      </w:r>
      <w:r w:rsidRPr="00C34073">
        <w:rPr>
          <w:color w:val="222222"/>
          <w:shd w:val="clear" w:color="auto" w:fill="FFFFFF"/>
          <w:vertAlign w:val="superscript"/>
        </w:rPr>
        <w:t>rd</w:t>
      </w:r>
      <w:r>
        <w:rPr>
          <w:color w:val="222222"/>
          <w:shd w:val="clear" w:color="auto" w:fill="FFFFFF"/>
        </w:rPr>
        <w:t>, 2022.</w:t>
      </w:r>
    </w:p>
    <w:p w14:paraId="182230F7" w14:textId="77777777" w:rsidR="006C3F64" w:rsidRDefault="006C3F64" w:rsidP="006C3F64">
      <w:pPr>
        <w:rPr>
          <w:color w:val="222222"/>
          <w:shd w:val="clear" w:color="auto" w:fill="FFFFFF"/>
        </w:rPr>
      </w:pPr>
    </w:p>
    <w:p w14:paraId="72BD3032" w14:textId="77777777" w:rsidR="006C3F64" w:rsidRDefault="006C3F64" w:rsidP="006C3F64">
      <w:pPr>
        <w:rPr>
          <w:color w:val="222222"/>
          <w:shd w:val="clear" w:color="auto" w:fill="FFFFFF"/>
        </w:rPr>
      </w:pPr>
      <w:proofErr w:type="spellStart"/>
      <w:r>
        <w:rPr>
          <w:color w:val="222222"/>
          <w:shd w:val="clear" w:color="auto" w:fill="FFFFFF"/>
        </w:rPr>
        <w:t>Shorrock</w:t>
      </w:r>
      <w:proofErr w:type="spellEnd"/>
      <w:r>
        <w:rPr>
          <w:color w:val="222222"/>
          <w:shd w:val="clear" w:color="auto" w:fill="FFFFFF"/>
        </w:rPr>
        <w:t>, S., McManus, M.A. and Kirby, S., 2019. Investigating the characteristics of vulnerable referrals made to a multi-agency safeguarding hub. </w:t>
      </w:r>
      <w:r>
        <w:rPr>
          <w:i/>
          <w:iCs/>
          <w:color w:val="222222"/>
          <w:shd w:val="clear" w:color="auto" w:fill="FFFFFF"/>
        </w:rPr>
        <w:t>Policing: A Journal of policy and practice</w:t>
      </w:r>
      <w:r>
        <w:rPr>
          <w:color w:val="222222"/>
          <w:shd w:val="clear" w:color="auto" w:fill="FFFFFF"/>
        </w:rPr>
        <w:t>, </w:t>
      </w:r>
      <w:r>
        <w:rPr>
          <w:i/>
          <w:iCs/>
          <w:color w:val="222222"/>
          <w:shd w:val="clear" w:color="auto" w:fill="FFFFFF"/>
        </w:rPr>
        <w:t>13</w:t>
      </w:r>
      <w:r>
        <w:rPr>
          <w:color w:val="222222"/>
          <w:shd w:val="clear" w:color="auto" w:fill="FFFFFF"/>
        </w:rPr>
        <w:t>(2), pp.201-212.</w:t>
      </w:r>
    </w:p>
    <w:p w14:paraId="5EEEDE68" w14:textId="77777777" w:rsidR="006C3F64" w:rsidRDefault="006C3F64" w:rsidP="006C3F64">
      <w:pPr>
        <w:rPr>
          <w:color w:val="222222"/>
          <w:shd w:val="clear" w:color="auto" w:fill="FFFFFF"/>
        </w:rPr>
      </w:pPr>
    </w:p>
    <w:p w14:paraId="0CD71985" w14:textId="77777777" w:rsidR="006C3F64" w:rsidRDefault="006C3F64" w:rsidP="006C3F64">
      <w:pPr>
        <w:rPr>
          <w:color w:val="222222"/>
          <w:shd w:val="clear" w:color="auto" w:fill="FFFFFF"/>
        </w:rPr>
      </w:pPr>
      <w:r w:rsidRPr="007F6B90">
        <w:rPr>
          <w:color w:val="222222"/>
          <w:shd w:val="clear" w:color="auto" w:fill="FFFFFF"/>
        </w:rPr>
        <w:t>Stevens, E., 2013. Safeguarding vulnerable adults: exploring the challenges to best practice across multi</w:t>
      </w:r>
      <w:r w:rsidRPr="007F6B90">
        <w:rPr>
          <w:rFonts w:ascii="Cambria Math" w:hAnsi="Cambria Math" w:cs="Cambria Math"/>
          <w:color w:val="222222"/>
          <w:shd w:val="clear" w:color="auto" w:fill="FFFFFF"/>
        </w:rPr>
        <w:t>‐</w:t>
      </w:r>
      <w:r w:rsidRPr="007F6B90">
        <w:rPr>
          <w:color w:val="222222"/>
          <w:shd w:val="clear" w:color="auto" w:fill="FFFFFF"/>
        </w:rPr>
        <w:t>agency settings. The Journal of Adult Protection, 15(2), pp.85-95.</w:t>
      </w:r>
    </w:p>
    <w:p w14:paraId="026384A1" w14:textId="77777777" w:rsidR="006C3F64" w:rsidRDefault="006C3F64" w:rsidP="00EA28F1">
      <w:pPr>
        <w:keepNext/>
        <w:spacing w:before="240" w:after="60"/>
        <w:ind w:right="237"/>
        <w:jc w:val="both"/>
      </w:pPr>
    </w:p>
    <w:sectPr w:rsidR="006C3F64" w:rsidSect="006C3F64">
      <w:headerReference w:type="even" r:id="rId31"/>
      <w:headerReference w:type="default" r:id="rId32"/>
      <w:footerReference w:type="even" r:id="rId33"/>
      <w:footerReference w:type="default" r:id="rId34"/>
      <w:headerReference w:type="first" r:id="rId35"/>
      <w:footerReference w:type="first" r:id="rId3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01E93B" w14:textId="724A8FBF" w:rsidR="006C3F64" w:rsidRDefault="00585DC4" w:rsidP="00585DC4">
    <w:pPr>
      <w:pStyle w:val="Footer"/>
      <w:rPr>
        <w:sz w:val="17"/>
      </w:rPr>
    </w:pPr>
    <w:bookmarkStart w:id="3" w:name="TITUS1FooterEvenPages"/>
    <w:r>
      <w:rPr>
        <w:sz w:val="17"/>
      </w:rPr>
      <w:t> </w:t>
    </w:r>
  </w:p>
  <w:bookmarkEnd w:id="3"/>
  <w:p w14:paraId="61F88CA1" w14:textId="3C714871" w:rsidR="006C3F64" w:rsidRDefault="006C3F64" w:rsidP="006C3F64">
    <w:pPr>
      <w:pStyle w:val="Footer"/>
      <w:jc w:val="right"/>
    </w:pPr>
    <w:r>
      <w:fldChar w:fldCharType="begin"/>
    </w:r>
    <w:r>
      <w:instrText xml:space="preserve"> PAGE   \* MERGEFORMAT </w:instrText>
    </w:r>
    <w:r>
      <w:fldChar w:fldCharType="separate"/>
    </w:r>
    <w:r w:rsidR="00505EAE">
      <w:rPr>
        <w:noProof/>
      </w:rPr>
      <w:t>14</w:t>
    </w:r>
    <w:r>
      <w:rPr>
        <w:noProof/>
      </w:rPr>
      <w:fldChar w:fldCharType="end"/>
    </w:r>
  </w:p>
  <w:p w14:paraId="1737E11F" w14:textId="77777777" w:rsidR="006C3F64" w:rsidRPr="00BB5EAA" w:rsidRDefault="006C3F64" w:rsidP="006C3F64">
    <w:pPr>
      <w:pStyle w:val="Footer"/>
      <w:ind w:right="360"/>
      <w:jc w:val="center"/>
    </w:pPr>
  </w:p>
  <w:p w14:paraId="070AD2EA" w14:textId="77777777" w:rsidR="001B4683" w:rsidRDefault="001B46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E2BAE0" w14:textId="5FB67114" w:rsidR="006C3F64" w:rsidRDefault="00585DC4" w:rsidP="00585DC4">
    <w:pPr>
      <w:pStyle w:val="Footer"/>
      <w:rPr>
        <w:sz w:val="17"/>
      </w:rPr>
    </w:pPr>
    <w:bookmarkStart w:id="4" w:name="TITUS1FooterPrimary"/>
    <w:r>
      <w:rPr>
        <w:sz w:val="17"/>
      </w:rPr>
      <w:t> </w:t>
    </w:r>
  </w:p>
  <w:bookmarkEnd w:id="4"/>
  <w:p w14:paraId="50521BFA" w14:textId="2E3A9E7A" w:rsidR="00F6513F" w:rsidRDefault="00F6513F">
    <w:pPr>
      <w:pStyle w:val="Footer"/>
      <w:jc w:val="right"/>
    </w:pPr>
    <w:r>
      <w:fldChar w:fldCharType="begin"/>
    </w:r>
    <w:r>
      <w:instrText xml:space="preserve"> PAGE   \* MERGEFORMAT </w:instrText>
    </w:r>
    <w:r>
      <w:fldChar w:fldCharType="separate"/>
    </w:r>
    <w:r w:rsidR="00505EAE">
      <w:rPr>
        <w:noProof/>
      </w:rPr>
      <w:t>15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FE3D1C" w14:textId="77AE4EB2" w:rsidR="006C3F64" w:rsidRDefault="00585DC4" w:rsidP="00585DC4">
    <w:pPr>
      <w:pStyle w:val="Footer"/>
      <w:rPr>
        <w:sz w:val="17"/>
      </w:rPr>
    </w:pPr>
    <w:bookmarkStart w:id="6" w:name="TITUS1FooterFirstPage"/>
    <w:r>
      <w:rPr>
        <w:sz w:val="17"/>
      </w:rPr>
      <w:t> </w:t>
    </w:r>
  </w:p>
  <w:bookmarkEnd w:id="6"/>
  <w:p w14:paraId="751D2B13" w14:textId="2DD5DA8F" w:rsidR="006C3F64" w:rsidRDefault="006C3F64" w:rsidP="006C3F64">
    <w:pPr>
      <w:pStyle w:val="Footer"/>
      <w:jc w:val="right"/>
    </w:pPr>
    <w:r>
      <w:fldChar w:fldCharType="begin"/>
    </w:r>
    <w:r>
      <w:instrText xml:space="preserve"> PAGE   \* MERGEFORMAT </w:instrText>
    </w:r>
    <w:r>
      <w:fldChar w:fldCharType="separate"/>
    </w:r>
    <w:r w:rsidR="00585DC4">
      <w:rPr>
        <w:noProof/>
      </w:rPr>
      <w:t>1</w:t>
    </w:r>
    <w:r>
      <w:rPr>
        <w:noProof/>
      </w:rPr>
      <w:fldChar w:fldCharType="end"/>
    </w:r>
  </w:p>
  <w:p w14:paraId="7B0A7734" w14:textId="77777777" w:rsidR="006C3F64" w:rsidRPr="00BB5EAA" w:rsidRDefault="006C3F64" w:rsidP="006C3F64">
    <w:pPr>
      <w:pStyle w:val="Footer"/>
      <w:ind w:right="360"/>
      <w:jc w:val="center"/>
    </w:pPr>
  </w:p>
  <w:p w14:paraId="63AF94AF" w14:textId="77777777" w:rsidR="001B4683" w:rsidRDefault="001B468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4C2143" w14:textId="3E3673D6" w:rsidR="006C3F64" w:rsidRDefault="00585DC4" w:rsidP="00585DC4">
    <w:pPr>
      <w:pStyle w:val="Footer"/>
      <w:rPr>
        <w:sz w:val="17"/>
      </w:rPr>
    </w:pPr>
    <w:bookmarkStart w:id="10" w:name="TITUS2FooterEvenPages"/>
    <w:r>
      <w:rPr>
        <w:sz w:val="17"/>
      </w:rPr>
      <w:t> </w:t>
    </w:r>
  </w:p>
  <w:bookmarkEnd w:id="10"/>
  <w:p w14:paraId="76CC2677" w14:textId="77777777" w:rsidR="006C3F64" w:rsidRDefault="006C3F64" w:rsidP="006C3F64">
    <w:pPr>
      <w:pStyle w:val="Footer"/>
      <w:jc w:val="right"/>
    </w:pPr>
  </w:p>
  <w:p w14:paraId="53A4BBCA" w14:textId="50781416" w:rsidR="006C3F64" w:rsidRDefault="006C3F64" w:rsidP="006C3F64">
    <w:pPr>
      <w:pStyle w:val="Footer"/>
      <w:jc w:val="right"/>
    </w:pPr>
    <w:r>
      <w:fldChar w:fldCharType="begin"/>
    </w:r>
    <w:r>
      <w:instrText xml:space="preserve"> PAGE   \* MERGEFORMAT </w:instrText>
    </w:r>
    <w:r>
      <w:fldChar w:fldCharType="separate"/>
    </w:r>
    <w:r w:rsidR="00505EAE">
      <w:rPr>
        <w:noProof/>
      </w:rPr>
      <w:t>22</w:t>
    </w:r>
    <w:r>
      <w:rPr>
        <w:noProof/>
      </w:rPr>
      <w:fldChar w:fldCharType="end"/>
    </w:r>
  </w:p>
  <w:p w14:paraId="71C513EA" w14:textId="77777777" w:rsidR="006C3F64" w:rsidRPr="00BB5EAA" w:rsidRDefault="006C3F64" w:rsidP="006C3F64">
    <w:pPr>
      <w:pStyle w:val="Footer"/>
      <w:ind w:right="360"/>
      <w:jc w:val="center"/>
    </w:pPr>
  </w:p>
  <w:p w14:paraId="3099E88D" w14:textId="77777777" w:rsidR="006C3F64" w:rsidRDefault="006C3F6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18FC34" w14:textId="3F429B4F" w:rsidR="006C3F64" w:rsidRDefault="00585DC4" w:rsidP="00585DC4">
    <w:pPr>
      <w:pStyle w:val="Footer"/>
      <w:rPr>
        <w:sz w:val="17"/>
      </w:rPr>
    </w:pPr>
    <w:bookmarkStart w:id="11" w:name="TITUS2FooterPrimary"/>
    <w:r>
      <w:rPr>
        <w:sz w:val="17"/>
      </w:rPr>
      <w:t> </w:t>
    </w:r>
  </w:p>
  <w:bookmarkEnd w:id="11"/>
  <w:p w14:paraId="6D5A9851" w14:textId="77777777" w:rsidR="006C3F64" w:rsidRDefault="006C3F64">
    <w:pPr>
      <w:pStyle w:val="Footer"/>
      <w:jc w:val="right"/>
    </w:pPr>
  </w:p>
  <w:p w14:paraId="689031A0" w14:textId="77777777" w:rsidR="006C3F64" w:rsidRDefault="006C3F64">
    <w:pPr>
      <w:pStyle w:val="Footer"/>
      <w:jc w:val="right"/>
    </w:pPr>
    <w:r>
      <w:fldChar w:fldCharType="begin"/>
    </w:r>
    <w:r>
      <w:instrText xml:space="preserve"> PAGE   \* MERGEFORMAT </w:instrText>
    </w:r>
    <w:r>
      <w:fldChar w:fldCharType="separate"/>
    </w:r>
    <w:r>
      <w:rPr>
        <w:noProof/>
      </w:rPr>
      <w:t>15</w:t>
    </w:r>
    <w:r>
      <w:rPr>
        <w:noProof/>
      </w:rPr>
      <w:fldChar w:fldCharType="end"/>
    </w:r>
  </w:p>
  <w:p w14:paraId="7ECCC60D" w14:textId="77777777" w:rsidR="006C3F64" w:rsidRPr="00BB5EAA" w:rsidRDefault="006C3F6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39F274" w14:textId="64597F15" w:rsidR="006C3F64" w:rsidRDefault="00585DC4" w:rsidP="00585DC4">
    <w:pPr>
      <w:pStyle w:val="Footer"/>
      <w:rPr>
        <w:sz w:val="17"/>
      </w:rPr>
    </w:pPr>
    <w:bookmarkStart w:id="13" w:name="TITUS2FooterFirstPage"/>
    <w:r>
      <w:rPr>
        <w:sz w:val="17"/>
      </w:rPr>
      <w:t> </w:t>
    </w:r>
  </w:p>
  <w:bookmarkEnd w:id="13"/>
  <w:p w14:paraId="5E444DBB" w14:textId="77777777" w:rsidR="006C3F64" w:rsidRDefault="006C3F64" w:rsidP="006C3F64">
    <w:pPr>
      <w:pStyle w:val="Footer"/>
      <w:jc w:val="right"/>
    </w:pPr>
  </w:p>
  <w:p w14:paraId="2D172096" w14:textId="46F12AED" w:rsidR="006C3F64" w:rsidRDefault="006C3F64" w:rsidP="006C3F64">
    <w:pPr>
      <w:pStyle w:val="Footer"/>
      <w:jc w:val="right"/>
    </w:pPr>
    <w:r>
      <w:fldChar w:fldCharType="begin"/>
    </w:r>
    <w:r>
      <w:instrText xml:space="preserve"> PAGE   \* MERGEFORMAT </w:instrText>
    </w:r>
    <w:r>
      <w:fldChar w:fldCharType="separate"/>
    </w:r>
    <w:r w:rsidR="00505EAE">
      <w:rPr>
        <w:noProof/>
      </w:rPr>
      <w:t>21</w:t>
    </w:r>
    <w:r>
      <w:rPr>
        <w:noProof/>
      </w:rPr>
      <w:fldChar w:fldCharType="end"/>
    </w:r>
  </w:p>
  <w:p w14:paraId="6B49E92A" w14:textId="77777777" w:rsidR="006C3F64" w:rsidRPr="00BB5EAA" w:rsidRDefault="006C3F64" w:rsidP="006C3F64">
    <w:pPr>
      <w:pStyle w:val="Footer"/>
      <w:ind w:right="360"/>
      <w:jc w:val="center"/>
    </w:pPr>
  </w:p>
  <w:p w14:paraId="0DC4AD5D" w14:textId="77777777" w:rsidR="006C3F64" w:rsidRDefault="006C3F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27C82C" w14:textId="0D7E0D09" w:rsidR="00585DC4" w:rsidRDefault="00585DC4" w:rsidP="00585DC4">
    <w:pPr>
      <w:pStyle w:val="Header"/>
      <w:rPr>
        <w:sz w:val="17"/>
      </w:rPr>
    </w:pPr>
    <w:bookmarkStart w:id="1" w:name="TITUS1HeaderEvenPages"/>
    <w:r w:rsidRPr="00585DC4">
      <w:rPr>
        <w:sz w:val="17"/>
      </w:rPr>
      <w:t> </w:t>
    </w:r>
  </w:p>
  <w:bookmarkEnd w:id="1"/>
  <w:p w14:paraId="24BDE2BD" w14:textId="77777777" w:rsidR="00585DC4" w:rsidRDefault="00585DC4" w:rsidP="00585DC4">
    <w:pPr>
      <w:pStyle w:val="Header"/>
    </w:pPr>
  </w:p>
  <w:p w14:paraId="13EEA569" w14:textId="77777777" w:rsidR="006C3F64" w:rsidRDefault="006C3F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BCABB1" w14:textId="6F235C74" w:rsidR="001B4683" w:rsidRDefault="00585DC4" w:rsidP="00585DC4">
    <w:pPr>
      <w:pStyle w:val="Header"/>
      <w:rPr>
        <w:sz w:val="17"/>
      </w:rPr>
    </w:pPr>
    <w:bookmarkStart w:id="2" w:name="TITUS1HeaderPrimary"/>
    <w:r>
      <w:rPr>
        <w:sz w:val="17"/>
      </w:rPr>
      <w:t> </w:t>
    </w:r>
  </w:p>
  <w:bookmarkEnd w:id="2"/>
  <w:p w14:paraId="4E872133" w14:textId="77777777" w:rsidR="006C3F64" w:rsidRDefault="006C3F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CC5DAE" w14:textId="36E07166" w:rsidR="001B4683" w:rsidRDefault="00585DC4" w:rsidP="00585DC4">
    <w:pPr>
      <w:pStyle w:val="Header"/>
      <w:rPr>
        <w:sz w:val="17"/>
      </w:rPr>
    </w:pPr>
    <w:bookmarkStart w:id="5" w:name="TITUS1HeaderFirstPage"/>
    <w:r>
      <w:rPr>
        <w:sz w:val="17"/>
      </w:rPr>
      <w:t> </w:t>
    </w:r>
  </w:p>
  <w:bookmarkEnd w:id="5"/>
  <w:p w14:paraId="0A615BC3" w14:textId="77777777" w:rsidR="006C3F64" w:rsidRDefault="006C3F6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71CB0E" w14:textId="5A511D1A" w:rsidR="006C3F64" w:rsidRDefault="00585DC4" w:rsidP="00585DC4">
    <w:pPr>
      <w:pStyle w:val="Header"/>
      <w:rPr>
        <w:sz w:val="17"/>
      </w:rPr>
    </w:pPr>
    <w:bookmarkStart w:id="8" w:name="TITUS2HeaderEvenPages"/>
    <w:r>
      <w:rPr>
        <w:sz w:val="17"/>
      </w:rPr>
      <w:t> </w:t>
    </w:r>
  </w:p>
  <w:bookmarkEnd w:id="8"/>
  <w:p w14:paraId="663CD333" w14:textId="77777777" w:rsidR="006C3F64" w:rsidRDefault="006C3F64" w:rsidP="006C3F64">
    <w:pPr>
      <w:pStyle w:val="Header"/>
    </w:pPr>
  </w:p>
  <w:p w14:paraId="5CA0FA40" w14:textId="77777777" w:rsidR="006C3F64" w:rsidRDefault="006C3F6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E0884E" w14:textId="14B54C29" w:rsidR="006C3F64" w:rsidRDefault="00585DC4" w:rsidP="00585DC4">
    <w:pPr>
      <w:pStyle w:val="Header"/>
      <w:rPr>
        <w:sz w:val="17"/>
      </w:rPr>
    </w:pPr>
    <w:bookmarkStart w:id="9" w:name="TITUS2HeaderPrimary"/>
    <w:r>
      <w:rPr>
        <w:sz w:val="17"/>
      </w:rPr>
      <w:t> </w:t>
    </w:r>
  </w:p>
  <w:bookmarkEnd w:id="9"/>
  <w:p w14:paraId="541E47A7" w14:textId="77777777" w:rsidR="006C3F64" w:rsidRDefault="006C3F6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C0A45D" w14:textId="28F60344" w:rsidR="006C3F64" w:rsidRDefault="00585DC4" w:rsidP="00585DC4">
    <w:pPr>
      <w:pStyle w:val="Header"/>
      <w:rPr>
        <w:sz w:val="17"/>
      </w:rPr>
    </w:pPr>
    <w:bookmarkStart w:id="12" w:name="TITUS2HeaderFirstPage"/>
    <w:r>
      <w:rPr>
        <w:sz w:val="17"/>
      </w:rPr>
      <w:t> </w:t>
    </w:r>
  </w:p>
  <w:bookmarkEnd w:id="12"/>
  <w:p w14:paraId="16DA980C" w14:textId="77777777" w:rsidR="006C3F64" w:rsidRDefault="006C3F64" w:rsidP="006C3F64">
    <w:pPr>
      <w:pStyle w:val="Header"/>
    </w:pPr>
  </w:p>
  <w:p w14:paraId="23739365" w14:textId="77777777" w:rsidR="006C3F64" w:rsidRDefault="006C3F64">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49ACCF88"/>
    <w:lvl w:ilvl="0" w:tplc="1E949D96">
      <w:start w:val="1"/>
      <w:numFmt w:val="decimal"/>
      <w:lvlText w:val="%1."/>
      <w:lvlJc w:val="left"/>
      <w:pPr>
        <w:ind w:left="720" w:hanging="360"/>
      </w:pPr>
    </w:lvl>
    <w:lvl w:ilvl="1" w:tplc="09AEAE90">
      <w:start w:val="1"/>
      <w:numFmt w:val="lowerLetter"/>
      <w:lvlText w:val="%2."/>
      <w:lvlJc w:val="left"/>
      <w:pPr>
        <w:ind w:left="1440" w:hanging="360"/>
      </w:pPr>
    </w:lvl>
    <w:lvl w:ilvl="2" w:tplc="5D306978">
      <w:start w:val="1"/>
      <w:numFmt w:val="lowerRoman"/>
      <w:lvlText w:val="%3."/>
      <w:lvlJc w:val="right"/>
      <w:pPr>
        <w:ind w:left="2160" w:hanging="180"/>
      </w:pPr>
    </w:lvl>
    <w:lvl w:ilvl="3" w:tplc="C1288C52">
      <w:start w:val="1"/>
      <w:numFmt w:val="decimal"/>
      <w:lvlText w:val="%4."/>
      <w:lvlJc w:val="left"/>
      <w:pPr>
        <w:ind w:left="2880" w:hanging="360"/>
      </w:pPr>
    </w:lvl>
    <w:lvl w:ilvl="4" w:tplc="B47227E0">
      <w:start w:val="1"/>
      <w:numFmt w:val="lowerLetter"/>
      <w:lvlText w:val="%5."/>
      <w:lvlJc w:val="left"/>
      <w:pPr>
        <w:ind w:left="3600" w:hanging="360"/>
      </w:pPr>
    </w:lvl>
    <w:lvl w:ilvl="5" w:tplc="18B65644">
      <w:start w:val="1"/>
      <w:numFmt w:val="lowerRoman"/>
      <w:lvlText w:val="%6."/>
      <w:lvlJc w:val="right"/>
      <w:pPr>
        <w:ind w:left="4320" w:hanging="180"/>
      </w:pPr>
    </w:lvl>
    <w:lvl w:ilvl="6" w:tplc="0A84CB2E">
      <w:start w:val="1"/>
      <w:numFmt w:val="decimal"/>
      <w:lvlText w:val="%7."/>
      <w:lvlJc w:val="left"/>
      <w:pPr>
        <w:ind w:left="5040" w:hanging="360"/>
      </w:pPr>
    </w:lvl>
    <w:lvl w:ilvl="7" w:tplc="32C6582A">
      <w:start w:val="1"/>
      <w:numFmt w:val="lowerLetter"/>
      <w:lvlText w:val="%8."/>
      <w:lvlJc w:val="left"/>
      <w:pPr>
        <w:ind w:left="5760" w:hanging="360"/>
      </w:pPr>
    </w:lvl>
    <w:lvl w:ilvl="8" w:tplc="C56A2C38">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1C94BB8"/>
    <w:multiLevelType w:val="hybridMultilevel"/>
    <w:tmpl w:val="29E82C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81A29EA4"/>
    <w:lvl w:ilvl="0" w:tplc="9ACC2D76">
      <w:start w:val="1"/>
      <w:numFmt w:val="decimal"/>
      <w:lvlText w:val="%1."/>
      <w:lvlJc w:val="left"/>
      <w:pPr>
        <w:ind w:left="720" w:hanging="360"/>
      </w:pPr>
    </w:lvl>
    <w:lvl w:ilvl="1" w:tplc="794CF9BE">
      <w:start w:val="1"/>
      <w:numFmt w:val="decimal"/>
      <w:lvlText w:val="%2."/>
      <w:lvlJc w:val="left"/>
      <w:pPr>
        <w:ind w:left="1440" w:hanging="360"/>
      </w:pPr>
    </w:lvl>
    <w:lvl w:ilvl="2" w:tplc="A086D85E">
      <w:start w:val="1"/>
      <w:numFmt w:val="lowerRoman"/>
      <w:lvlText w:val="%3."/>
      <w:lvlJc w:val="right"/>
      <w:pPr>
        <w:ind w:left="2160" w:hanging="180"/>
      </w:pPr>
    </w:lvl>
    <w:lvl w:ilvl="3" w:tplc="374260FA">
      <w:start w:val="1"/>
      <w:numFmt w:val="decimal"/>
      <w:lvlText w:val="%4."/>
      <w:lvlJc w:val="left"/>
      <w:pPr>
        <w:ind w:left="2880" w:hanging="360"/>
      </w:pPr>
    </w:lvl>
    <w:lvl w:ilvl="4" w:tplc="BF16538C">
      <w:start w:val="1"/>
      <w:numFmt w:val="lowerLetter"/>
      <w:lvlText w:val="%5."/>
      <w:lvlJc w:val="left"/>
      <w:pPr>
        <w:ind w:left="3600" w:hanging="360"/>
      </w:pPr>
    </w:lvl>
    <w:lvl w:ilvl="5" w:tplc="AF32A95A">
      <w:start w:val="1"/>
      <w:numFmt w:val="lowerRoman"/>
      <w:lvlText w:val="%6."/>
      <w:lvlJc w:val="right"/>
      <w:pPr>
        <w:ind w:left="4320" w:hanging="180"/>
      </w:pPr>
    </w:lvl>
    <w:lvl w:ilvl="6" w:tplc="7CE01DBA">
      <w:start w:val="1"/>
      <w:numFmt w:val="decimal"/>
      <w:lvlText w:val="%7."/>
      <w:lvlJc w:val="left"/>
      <w:pPr>
        <w:ind w:left="5040" w:hanging="360"/>
      </w:pPr>
    </w:lvl>
    <w:lvl w:ilvl="7" w:tplc="A96C04C2">
      <w:start w:val="1"/>
      <w:numFmt w:val="lowerLetter"/>
      <w:lvlText w:val="%8."/>
      <w:lvlJc w:val="left"/>
      <w:pPr>
        <w:ind w:left="5760" w:hanging="360"/>
      </w:pPr>
    </w:lvl>
    <w:lvl w:ilvl="8" w:tplc="CC3A646E">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8"/>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5"/>
  </w:num>
  <w:num w:numId="6">
    <w:abstractNumId w:val="47"/>
  </w:num>
  <w:num w:numId="7">
    <w:abstractNumId w:val="35"/>
  </w:num>
  <w:num w:numId="8">
    <w:abstractNumId w:val="33"/>
  </w:num>
  <w:num w:numId="9">
    <w:abstractNumId w:val="29"/>
  </w:num>
  <w:num w:numId="10">
    <w:abstractNumId w:val="30"/>
  </w:num>
  <w:num w:numId="11">
    <w:abstractNumId w:val="9"/>
  </w:num>
  <w:num w:numId="12">
    <w:abstractNumId w:val="34"/>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1"/>
  </w:num>
  <w:num w:numId="28">
    <w:abstractNumId w:val="36"/>
  </w:num>
  <w:num w:numId="29">
    <w:abstractNumId w:val="40"/>
  </w:num>
  <w:num w:numId="30">
    <w:abstractNumId w:val="20"/>
  </w:num>
  <w:num w:numId="31">
    <w:abstractNumId w:val="43"/>
  </w:num>
  <w:num w:numId="32">
    <w:abstractNumId w:val="31"/>
  </w:num>
  <w:num w:numId="33">
    <w:abstractNumId w:val="12"/>
  </w:num>
  <w:num w:numId="34">
    <w:abstractNumId w:val="44"/>
  </w:num>
  <w:num w:numId="35">
    <w:abstractNumId w:val="39"/>
  </w:num>
  <w:num w:numId="36">
    <w:abstractNumId w:val="4"/>
  </w:num>
  <w:num w:numId="37">
    <w:abstractNumId w:val="46"/>
  </w:num>
  <w:num w:numId="38">
    <w:abstractNumId w:val="42"/>
  </w:num>
  <w:num w:numId="39">
    <w:abstractNumId w:val="37"/>
  </w:num>
  <w:num w:numId="40">
    <w:abstractNumId w:val="38"/>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9"/>
  </w:num>
  <w:num w:numId="50">
    <w:abstractNumId w:val="3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4683"/>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5EAE"/>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5DC4"/>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F64"/>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466F"/>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Strong">
    <w:name w:val="Strong"/>
    <w:basedOn w:val="DefaultParagraphFont"/>
    <w:uiPriority w:val="22"/>
    <w:qFormat/>
    <w:rsid w:val="006C3F6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ps.gov.uk/legal-guidance/offences-against-person-incorporating-charging-standard" TargetMode="External"/><Relationship Id="rId3" Type="http://schemas.openxmlformats.org/officeDocument/2006/relationships/customXml" Target="../customXml/item3.xml"/><Relationship Id="rId21" Type="http://schemas.openxmlformats.org/officeDocument/2006/relationships/hyperlink" Target="https://www.college.police.uk/research/what-works-policing-reduce-crime/people-and-places" TargetMode="External"/><Relationship Id="rId34" Type="http://schemas.openxmlformats.org/officeDocument/2006/relationships/footer" Target="foot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research/what-works-policing-reduce-crime" TargetMode="External"/><Relationship Id="rId33" Type="http://schemas.openxmlformats.org/officeDocument/2006/relationships/footer" Target="footer4.xml"/><Relationship Id="rId38" Type="http://schemas.openxmlformats.org/officeDocument/2006/relationships/theme" Target="theme/theme1.xml"/><Relationship Id="R5b5bfbccfd8c497b"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instituteforgovernment.org.uk/publication/performance-tracker-2019/pol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research/what-works-policing-reduce-crime/people-and-places" TargetMode="External"/><Relationship Id="rId32" Type="http://schemas.openxmlformats.org/officeDocument/2006/relationships/header" Target="header5.xm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app/major-investigation-and-public-protection/domestic-abuse/partnership-working-and-multi-agency-responsesmechanisms" TargetMode="External"/><Relationship Id="rId28"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36" Type="http://schemas.openxmlformats.org/officeDocument/2006/relationships/footer" Target="footer6.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guidance/vulnerability-related-risks/introduction-vulnerability-related-risk" TargetMode="External"/><Relationship Id="rId27" Type="http://schemas.openxmlformats.org/officeDocument/2006/relationships/hyperlink" Target="https://www.cps.gov.uk/legal-guidance/rape-and-sexual-offences-chapter-2-applying-code-crown-prosecutors-rape-and-serious" TargetMode="External"/><Relationship Id="rId30" Type="http://schemas.openxmlformats.org/officeDocument/2006/relationships/hyperlink" Target="https://www.ons.gov.uk/peoplepopulationandcommunity/crimeandjustice/articles/domesticabuseprevalenceandtrendsenglandandwales/yearendingmarch2021" TargetMode="External"/><Relationship Id="rId35"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2e89cfda-a374-4413-9f0d-8b601eddeb70"/>
    <ds:schemaRef ds:uri="http://www.w3.org/XML/1998/namespace"/>
    <ds:schemaRef ds:uri="http://purl.org/dc/dcmitype/"/>
  </ds:schemaRefs>
</ds:datastoreItem>
</file>

<file path=customXml/itemProps4.xml><?xml version="1.0" encoding="utf-8"?>
<ds:datastoreItem xmlns:ds="http://schemas.openxmlformats.org/officeDocument/2006/customXml" ds:itemID="{F48E0691-74F7-4117-A259-CA3F071CE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6231</Words>
  <Characters>35880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Baldwin,Dylan swp6966</cp:lastModifiedBy>
  <cp:revision>2</cp:revision>
  <cp:lastPrinted>2014-08-26T08:55:00Z</cp:lastPrinted>
  <dcterms:created xsi:type="dcterms:W3CDTF">2022-10-30T18:35:00Z</dcterms:created>
  <dcterms:modified xsi:type="dcterms:W3CDTF">2022-10-30T18:35:00Z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2022-07-12T14:38:52Z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b3a34c60-2810-4590-94d5-7ef72e044e53</vt:lpwstr>
  </property>
  <property fmtid="{D5CDD505-2E9C-101B-9397-08002B2CF9AE}" pid="9" name="MSIP_Label_66cf8fe5-b7b7-4df7-b38d-1c61ac2f6639_ContentBits">
    <vt:lpwstr>0</vt:lpwstr>
  </property>
  <property fmtid="{D5CDD505-2E9C-101B-9397-08002B2CF9AE}" pid="10" name="TitusGUID">
    <vt:lpwstr>8dff2025-af1b-46af-8a08-b8c55880dd87</vt:lpwstr>
  </property>
  <property fmtid="{D5CDD505-2E9C-101B-9397-08002B2CF9AE}" pid="11" name="Classification">
    <vt:lpwstr>OFFICIAL</vt:lpwstr>
  </property>
  <property fmtid="{D5CDD505-2E9C-101B-9397-08002B2CF9AE}" pid="12" name="Visibility">
    <vt:lpwstr>NOT VISIBLE</vt:lpwstr>
  </property>
</Properties>
</file>