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003C6" w14:textId="77777777" w:rsidR="009A2200" w:rsidRPr="00EB0B23" w:rsidRDefault="009A2200" w:rsidP="009A2200">
      <w:pPr>
        <w:jc w:val="center"/>
      </w:pPr>
      <w:r w:rsidRPr="00EB0B23">
        <w:fldChar w:fldCharType="begin"/>
      </w:r>
      <w:r w:rsidRPr="00EB0B23">
        <w:instrText xml:space="preserve"> INCLUDEPICTURE "https://myday.collabco.com/wp-content/uploads/Wales-TSD-1.jpg" \* MERGEFORMATINET </w:instrText>
      </w:r>
      <w:r w:rsidRPr="00EB0B23">
        <w:fldChar w:fldCharType="separate"/>
      </w:r>
      <w:r w:rsidRPr="00EB0B23">
        <w:rPr>
          <w:noProof/>
        </w:rPr>
        <w:drawing>
          <wp:inline distT="0" distB="0" distL="0" distR="0" wp14:anchorId="64216E6F" wp14:editId="65AC5E72">
            <wp:extent cx="1943100" cy="682364"/>
            <wp:effectExtent l="0" t="0" r="0" b="3810"/>
            <wp:docPr id="139610600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 of Wales Trinity Saint David - myda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495" t="13369" r="1994" b="11399"/>
                    <a:stretch/>
                  </pic:blipFill>
                  <pic:spPr bwMode="auto">
                    <a:xfrm>
                      <a:off x="0" y="0"/>
                      <a:ext cx="2026278" cy="711574"/>
                    </a:xfrm>
                    <a:prstGeom prst="rect">
                      <a:avLst/>
                    </a:prstGeom>
                    <a:noFill/>
                    <a:ln>
                      <a:noFill/>
                    </a:ln>
                    <a:extLst>
                      <a:ext uri="{53640926-AAD7-44D8-BBD7-CCE9431645EC}">
                        <a14:shadowObscured xmlns:a14="http://schemas.microsoft.com/office/drawing/2010/main"/>
                      </a:ext>
                    </a:extLst>
                  </pic:spPr>
                </pic:pic>
              </a:graphicData>
            </a:graphic>
          </wp:inline>
        </w:drawing>
      </w:r>
      <w:r w:rsidRPr="00EB0B23">
        <w:fldChar w:fldCharType="end"/>
      </w:r>
    </w:p>
    <w:p w14:paraId="7F548A04" w14:textId="77777777" w:rsidR="009A2200" w:rsidRPr="00EB0B23" w:rsidRDefault="009A2200" w:rsidP="009A2200">
      <w:pPr>
        <w:jc w:val="center"/>
      </w:pPr>
    </w:p>
    <w:p w14:paraId="693FBD4D" w14:textId="12EBA7D0" w:rsidR="009A2200" w:rsidRPr="00EB0B23" w:rsidRDefault="009A2200" w:rsidP="009A2200">
      <w:pPr>
        <w:jc w:val="center"/>
        <w:rPr>
          <w:b/>
          <w:bCs/>
          <w:sz w:val="28"/>
          <w:szCs w:val="28"/>
        </w:rPr>
      </w:pPr>
      <w:r w:rsidRPr="00EB0B23">
        <w:rPr>
          <w:b/>
          <w:bCs/>
          <w:sz w:val="28"/>
          <w:szCs w:val="28"/>
        </w:rPr>
        <w:t>Programme: M</w:t>
      </w:r>
      <w:r w:rsidR="00F02B58">
        <w:rPr>
          <w:b/>
          <w:bCs/>
          <w:sz w:val="28"/>
          <w:szCs w:val="28"/>
        </w:rPr>
        <w:t>BA International Business</w:t>
      </w:r>
    </w:p>
    <w:p w14:paraId="4D4E2AEF" w14:textId="77777777" w:rsidR="009A2200" w:rsidRPr="00EB0B23" w:rsidRDefault="009A2200" w:rsidP="009A2200">
      <w:pPr>
        <w:jc w:val="center"/>
        <w:rPr>
          <w:b/>
          <w:bCs/>
          <w:sz w:val="28"/>
          <w:szCs w:val="28"/>
        </w:rPr>
      </w:pPr>
      <w:r w:rsidRPr="00EB0B23">
        <w:rPr>
          <w:b/>
          <w:bCs/>
          <w:sz w:val="28"/>
          <w:szCs w:val="28"/>
        </w:rPr>
        <w:t>Module: Marketing Management</w:t>
      </w:r>
    </w:p>
    <w:p w14:paraId="4AD1E53F" w14:textId="77777777" w:rsidR="009A2200" w:rsidRPr="00EB0B23" w:rsidRDefault="009A2200" w:rsidP="009A2200">
      <w:pPr>
        <w:jc w:val="center"/>
        <w:rPr>
          <w:b/>
          <w:bCs/>
          <w:sz w:val="28"/>
          <w:szCs w:val="28"/>
        </w:rPr>
      </w:pPr>
      <w:r w:rsidRPr="00EB0B23">
        <w:rPr>
          <w:b/>
          <w:bCs/>
          <w:sz w:val="28"/>
          <w:szCs w:val="28"/>
        </w:rPr>
        <w:t>Module Code: LCMB7024</w:t>
      </w:r>
    </w:p>
    <w:p w14:paraId="7154743B" w14:textId="77777777" w:rsidR="009A2200" w:rsidRPr="00EB0B23" w:rsidRDefault="009A2200" w:rsidP="009A2200">
      <w:pPr>
        <w:jc w:val="center"/>
        <w:rPr>
          <w:b/>
          <w:bCs/>
          <w:sz w:val="28"/>
          <w:szCs w:val="28"/>
        </w:rPr>
      </w:pPr>
      <w:r w:rsidRPr="00EB0B23">
        <w:rPr>
          <w:b/>
          <w:bCs/>
          <w:sz w:val="28"/>
          <w:szCs w:val="28"/>
        </w:rPr>
        <w:t>Lecturer: Tushara Balendran</w:t>
      </w:r>
    </w:p>
    <w:p w14:paraId="4FFBED2D" w14:textId="2BB57AEE" w:rsidR="009A2200" w:rsidRDefault="009A2200" w:rsidP="009A2200">
      <w:pPr>
        <w:jc w:val="center"/>
        <w:rPr>
          <w:b/>
          <w:bCs/>
          <w:sz w:val="28"/>
          <w:szCs w:val="28"/>
        </w:rPr>
      </w:pPr>
      <w:r w:rsidRPr="00EB0B23">
        <w:rPr>
          <w:b/>
          <w:bCs/>
          <w:sz w:val="28"/>
          <w:szCs w:val="28"/>
        </w:rPr>
        <w:t>Internal Verifier: Vasilios Tavlaridis and Hoang Dang Nguyen</w:t>
      </w:r>
    </w:p>
    <w:p w14:paraId="6C39B5DB" w14:textId="77777777" w:rsidR="009A2200" w:rsidRPr="00EB0B23" w:rsidRDefault="009A2200" w:rsidP="009A2200">
      <w:pPr>
        <w:jc w:val="center"/>
        <w:rPr>
          <w:b/>
          <w:bCs/>
          <w:sz w:val="28"/>
          <w:szCs w:val="28"/>
        </w:rPr>
      </w:pPr>
    </w:p>
    <w:p w14:paraId="0EC6A700" w14:textId="77777777" w:rsidR="009A2200" w:rsidRPr="00EB0B23" w:rsidRDefault="009A2200" w:rsidP="009A2200">
      <w:pPr>
        <w:jc w:val="center"/>
      </w:pPr>
    </w:p>
    <w:p w14:paraId="760161B2" w14:textId="5E440A7F" w:rsidR="009A2200" w:rsidRPr="009A2200" w:rsidRDefault="009A2200" w:rsidP="009A2200">
      <w:pPr>
        <w:jc w:val="center"/>
        <w:rPr>
          <w:b/>
          <w:bCs/>
          <w:sz w:val="32"/>
          <w:szCs w:val="32"/>
        </w:rPr>
      </w:pPr>
      <w:r w:rsidRPr="009A2200">
        <w:rPr>
          <w:b/>
          <w:bCs/>
          <w:sz w:val="32"/>
          <w:szCs w:val="32"/>
        </w:rPr>
        <w:t>Pioneering vs. Following Strategy: A Strategic Analysis with Industry Examples</w:t>
      </w:r>
    </w:p>
    <w:p w14:paraId="2E0DDA6F" w14:textId="77777777" w:rsidR="009A2200" w:rsidRPr="00EB0B23" w:rsidRDefault="009A2200" w:rsidP="009A2200">
      <w:pPr>
        <w:jc w:val="center"/>
        <w:rPr>
          <w:b/>
          <w:bCs/>
          <w:sz w:val="28"/>
          <w:szCs w:val="28"/>
        </w:rPr>
      </w:pPr>
    </w:p>
    <w:p w14:paraId="64819609" w14:textId="77777777" w:rsidR="009A2200" w:rsidRPr="00EB0B23" w:rsidRDefault="009A2200" w:rsidP="009A2200"/>
    <w:p w14:paraId="5A65BC92" w14:textId="77777777" w:rsidR="009A2200" w:rsidRPr="00EB0B23" w:rsidRDefault="009A2200" w:rsidP="009A2200"/>
    <w:p w14:paraId="0C001D0F" w14:textId="77777777" w:rsidR="009A2200" w:rsidRPr="00EB0B23" w:rsidRDefault="009A2200" w:rsidP="009A2200"/>
    <w:p w14:paraId="7B679120" w14:textId="77777777" w:rsidR="009A2200" w:rsidRPr="00EB0B23" w:rsidRDefault="009A2200" w:rsidP="009A2200"/>
    <w:p w14:paraId="4F37802B" w14:textId="2480E28D" w:rsidR="009A2200" w:rsidRPr="00EB0B23" w:rsidRDefault="009A2200" w:rsidP="009A2200">
      <w:r w:rsidRPr="00EB0B23">
        <w:t xml:space="preserve">Student Name: </w:t>
      </w:r>
      <w:r w:rsidR="00F02B58">
        <w:t>Shahida Akter</w:t>
      </w:r>
    </w:p>
    <w:p w14:paraId="1F3CE217" w14:textId="4A734C9F" w:rsidR="009A2200" w:rsidRPr="00EB0B23" w:rsidRDefault="009A2200" w:rsidP="009A2200">
      <w:r w:rsidRPr="00EB0B23">
        <w:t xml:space="preserve">Student ID: </w:t>
      </w:r>
      <w:r w:rsidR="00F02B58">
        <w:t>2424896</w:t>
      </w:r>
    </w:p>
    <w:p w14:paraId="0F9A0238" w14:textId="1D7F3ACF" w:rsidR="009A2200" w:rsidRPr="00EB0B23" w:rsidRDefault="009A2200" w:rsidP="009A2200">
      <w:r w:rsidRPr="00EB0B23">
        <w:t xml:space="preserve">Word Count: </w:t>
      </w:r>
      <w:r w:rsidR="00862BE3">
        <w:rPr>
          <w:lang w:val="en-US"/>
        </w:rPr>
        <w:t>2458</w:t>
      </w:r>
      <w:r w:rsidRPr="00EB0B23">
        <w:t xml:space="preserve"> </w:t>
      </w:r>
    </w:p>
    <w:p w14:paraId="052F30C2" w14:textId="288E73B6" w:rsidR="009A2200" w:rsidRDefault="009A2200" w:rsidP="009A2200"/>
    <w:p w14:paraId="7BF9DF89" w14:textId="3C01837B" w:rsidR="009A2200" w:rsidRDefault="009A2200" w:rsidP="009A2200"/>
    <w:p w14:paraId="211DD123" w14:textId="0FED022F" w:rsidR="009A2200" w:rsidRDefault="009A2200" w:rsidP="009A2200"/>
    <w:p w14:paraId="12799015" w14:textId="5C992249" w:rsidR="009A2200" w:rsidRDefault="009A2200" w:rsidP="009A2200"/>
    <w:p w14:paraId="79C52E3F" w14:textId="1C8C1E06" w:rsidR="009A2200" w:rsidRDefault="009A2200" w:rsidP="009A2200"/>
    <w:p w14:paraId="46689ED3" w14:textId="77777777" w:rsidR="009A2200" w:rsidRPr="00EB0B23" w:rsidRDefault="009A2200" w:rsidP="009A2200"/>
    <w:p w14:paraId="7E6E2F81" w14:textId="62E1E5FD" w:rsidR="009A2200" w:rsidRPr="00EB0B23" w:rsidRDefault="009A2200" w:rsidP="009A2200">
      <w:pPr>
        <w:jc w:val="center"/>
      </w:pPr>
      <w:r w:rsidRPr="00EB0B23">
        <w:t>Submission D</w:t>
      </w:r>
      <w:r w:rsidR="00A66165">
        <w:t>ate</w:t>
      </w:r>
      <w:r w:rsidRPr="00EB0B23">
        <w:t>: 2</w:t>
      </w:r>
      <w:r w:rsidR="00A66165">
        <w:t>6</w:t>
      </w:r>
      <w:r w:rsidRPr="00EB0B23">
        <w:t>th March 2025</w:t>
      </w:r>
    </w:p>
    <w:p w14:paraId="2122418D" w14:textId="77777777" w:rsidR="009A2200" w:rsidRDefault="009A2200">
      <w:pPr>
        <w:spacing w:after="160" w:line="259" w:lineRule="auto"/>
        <w:jc w:val="left"/>
      </w:pPr>
      <w:r>
        <w:br w:type="page"/>
      </w:r>
    </w:p>
    <w:sdt>
      <w:sdtPr>
        <w:rPr>
          <w:rFonts w:cs="Times New Roman"/>
          <w:b w:val="0"/>
          <w:sz w:val="24"/>
          <w:szCs w:val="24"/>
          <w:lang w:val="en-BD" w:eastAsia="en-GB" w:bidi="bn-IN"/>
        </w:rPr>
        <w:id w:val="15126225"/>
        <w:docPartObj>
          <w:docPartGallery w:val="Table of Contents"/>
          <w:docPartUnique/>
        </w:docPartObj>
      </w:sdtPr>
      <w:sdtEndPr>
        <w:rPr>
          <w:bCs/>
          <w:noProof/>
        </w:rPr>
      </w:sdtEndPr>
      <w:sdtContent>
        <w:p w14:paraId="22E993DA" w14:textId="66C75E28" w:rsidR="009A2200" w:rsidRDefault="009A2200">
          <w:pPr>
            <w:pStyle w:val="TOCHeading"/>
          </w:pPr>
          <w:r>
            <w:t>Table of Contents</w:t>
          </w:r>
        </w:p>
        <w:p w14:paraId="7AE149FC" w14:textId="2383D33C" w:rsidR="00AA67B3" w:rsidRPr="00AA67B3" w:rsidRDefault="009A2200">
          <w:pPr>
            <w:pStyle w:val="TOC1"/>
            <w:tabs>
              <w:tab w:val="right" w:leader="dot" w:pos="9010"/>
            </w:tabs>
            <w:rPr>
              <w:rFonts w:ascii="Times New Roman" w:eastAsiaTheme="minorEastAsia" w:hAnsi="Times New Roman" w:cs="Times New Roman"/>
              <w:b w:val="0"/>
              <w:bCs w:val="0"/>
              <w:i w:val="0"/>
              <w:iCs w:val="0"/>
              <w:noProof/>
            </w:rPr>
          </w:pPr>
          <w:r w:rsidRPr="00AA67B3">
            <w:rPr>
              <w:rFonts w:ascii="Times New Roman" w:hAnsi="Times New Roman" w:cs="Times New Roman"/>
              <w:b w:val="0"/>
              <w:bCs w:val="0"/>
              <w:i w:val="0"/>
              <w:iCs w:val="0"/>
            </w:rPr>
            <w:fldChar w:fldCharType="begin"/>
          </w:r>
          <w:r w:rsidRPr="00AA67B3">
            <w:rPr>
              <w:rFonts w:ascii="Times New Roman" w:hAnsi="Times New Roman" w:cs="Times New Roman"/>
              <w:b w:val="0"/>
              <w:bCs w:val="0"/>
              <w:i w:val="0"/>
              <w:iCs w:val="0"/>
            </w:rPr>
            <w:instrText xml:space="preserve"> TOC \o "1-3" \h \z \u </w:instrText>
          </w:r>
          <w:r w:rsidRPr="00AA67B3">
            <w:rPr>
              <w:rFonts w:ascii="Times New Roman" w:hAnsi="Times New Roman" w:cs="Times New Roman"/>
              <w:b w:val="0"/>
              <w:bCs w:val="0"/>
              <w:i w:val="0"/>
              <w:iCs w:val="0"/>
            </w:rPr>
            <w:fldChar w:fldCharType="separate"/>
          </w:r>
          <w:hyperlink w:anchor="_Toc193064772" w:history="1">
            <w:r w:rsidR="00AA67B3" w:rsidRPr="00AA67B3">
              <w:rPr>
                <w:rStyle w:val="Hyperlink"/>
                <w:rFonts w:ascii="Times New Roman" w:hAnsi="Times New Roman" w:cs="Times New Roman"/>
                <w:b w:val="0"/>
                <w:bCs w:val="0"/>
                <w:i w:val="0"/>
                <w:iCs w:val="0"/>
                <w:noProof/>
              </w:rPr>
              <w:t>Introduction</w:t>
            </w:r>
            <w:r w:rsidR="00AA67B3" w:rsidRPr="00AA67B3">
              <w:rPr>
                <w:rFonts w:ascii="Times New Roman" w:hAnsi="Times New Roman" w:cs="Times New Roman"/>
                <w:b w:val="0"/>
                <w:bCs w:val="0"/>
                <w:i w:val="0"/>
                <w:iCs w:val="0"/>
                <w:noProof/>
                <w:webHidden/>
              </w:rPr>
              <w:tab/>
            </w:r>
            <w:r w:rsidR="00AA67B3" w:rsidRPr="00AA67B3">
              <w:rPr>
                <w:rFonts w:ascii="Times New Roman" w:hAnsi="Times New Roman" w:cs="Times New Roman"/>
                <w:b w:val="0"/>
                <w:bCs w:val="0"/>
                <w:i w:val="0"/>
                <w:iCs w:val="0"/>
                <w:noProof/>
                <w:webHidden/>
              </w:rPr>
              <w:fldChar w:fldCharType="begin"/>
            </w:r>
            <w:r w:rsidR="00AA67B3" w:rsidRPr="00AA67B3">
              <w:rPr>
                <w:rFonts w:ascii="Times New Roman" w:hAnsi="Times New Roman" w:cs="Times New Roman"/>
                <w:b w:val="0"/>
                <w:bCs w:val="0"/>
                <w:i w:val="0"/>
                <w:iCs w:val="0"/>
                <w:noProof/>
                <w:webHidden/>
              </w:rPr>
              <w:instrText xml:space="preserve"> PAGEREF _Toc193064772 \h </w:instrText>
            </w:r>
            <w:r w:rsidR="00AA67B3" w:rsidRPr="00AA67B3">
              <w:rPr>
                <w:rFonts w:ascii="Times New Roman" w:hAnsi="Times New Roman" w:cs="Times New Roman"/>
                <w:b w:val="0"/>
                <w:bCs w:val="0"/>
                <w:i w:val="0"/>
                <w:iCs w:val="0"/>
                <w:noProof/>
                <w:webHidden/>
              </w:rPr>
            </w:r>
            <w:r w:rsidR="00AA67B3" w:rsidRPr="00AA67B3">
              <w:rPr>
                <w:rFonts w:ascii="Times New Roman" w:hAnsi="Times New Roman" w:cs="Times New Roman"/>
                <w:b w:val="0"/>
                <w:bCs w:val="0"/>
                <w:i w:val="0"/>
                <w:iCs w:val="0"/>
                <w:noProof/>
                <w:webHidden/>
              </w:rPr>
              <w:fldChar w:fldCharType="separate"/>
            </w:r>
            <w:r w:rsidR="00F02B58">
              <w:rPr>
                <w:rFonts w:ascii="Times New Roman" w:hAnsi="Times New Roman" w:cs="Times New Roman"/>
                <w:b w:val="0"/>
                <w:bCs w:val="0"/>
                <w:i w:val="0"/>
                <w:iCs w:val="0"/>
                <w:noProof/>
                <w:webHidden/>
              </w:rPr>
              <w:t>3</w:t>
            </w:r>
            <w:r w:rsidR="00AA67B3" w:rsidRPr="00AA67B3">
              <w:rPr>
                <w:rFonts w:ascii="Times New Roman" w:hAnsi="Times New Roman" w:cs="Times New Roman"/>
                <w:b w:val="0"/>
                <w:bCs w:val="0"/>
                <w:i w:val="0"/>
                <w:iCs w:val="0"/>
                <w:noProof/>
                <w:webHidden/>
              </w:rPr>
              <w:fldChar w:fldCharType="end"/>
            </w:r>
          </w:hyperlink>
        </w:p>
        <w:p w14:paraId="2FE03E30" w14:textId="6929D9A1" w:rsidR="00AA67B3" w:rsidRPr="00AA67B3" w:rsidRDefault="00AA67B3">
          <w:pPr>
            <w:pStyle w:val="TOC1"/>
            <w:tabs>
              <w:tab w:val="right" w:leader="dot" w:pos="9010"/>
            </w:tabs>
            <w:rPr>
              <w:rFonts w:ascii="Times New Roman" w:eastAsiaTheme="minorEastAsia" w:hAnsi="Times New Roman" w:cs="Times New Roman"/>
              <w:b w:val="0"/>
              <w:bCs w:val="0"/>
              <w:i w:val="0"/>
              <w:iCs w:val="0"/>
              <w:noProof/>
            </w:rPr>
          </w:pPr>
          <w:hyperlink w:anchor="_Toc193064773" w:history="1">
            <w:r w:rsidRPr="00AA67B3">
              <w:rPr>
                <w:rStyle w:val="Hyperlink"/>
                <w:rFonts w:ascii="Times New Roman" w:hAnsi="Times New Roman" w:cs="Times New Roman"/>
                <w:b w:val="0"/>
                <w:bCs w:val="0"/>
                <w:i w:val="0"/>
                <w:iCs w:val="0"/>
                <w:noProof/>
              </w:rPr>
              <w:t>The Advantages of Being a Pioneer Company</w:t>
            </w:r>
            <w:r w:rsidRPr="00AA67B3">
              <w:rPr>
                <w:rFonts w:ascii="Times New Roman" w:hAnsi="Times New Roman" w:cs="Times New Roman"/>
                <w:b w:val="0"/>
                <w:bCs w:val="0"/>
                <w:i w:val="0"/>
                <w:iCs w:val="0"/>
                <w:noProof/>
                <w:webHidden/>
              </w:rPr>
              <w:tab/>
            </w:r>
            <w:r w:rsidRPr="00AA67B3">
              <w:rPr>
                <w:rFonts w:ascii="Times New Roman" w:hAnsi="Times New Roman" w:cs="Times New Roman"/>
                <w:b w:val="0"/>
                <w:bCs w:val="0"/>
                <w:i w:val="0"/>
                <w:iCs w:val="0"/>
                <w:noProof/>
                <w:webHidden/>
              </w:rPr>
              <w:fldChar w:fldCharType="begin"/>
            </w:r>
            <w:r w:rsidRPr="00AA67B3">
              <w:rPr>
                <w:rFonts w:ascii="Times New Roman" w:hAnsi="Times New Roman" w:cs="Times New Roman"/>
                <w:b w:val="0"/>
                <w:bCs w:val="0"/>
                <w:i w:val="0"/>
                <w:iCs w:val="0"/>
                <w:noProof/>
                <w:webHidden/>
              </w:rPr>
              <w:instrText xml:space="preserve"> PAGEREF _Toc193064773 \h </w:instrText>
            </w:r>
            <w:r w:rsidRPr="00AA67B3">
              <w:rPr>
                <w:rFonts w:ascii="Times New Roman" w:hAnsi="Times New Roman" w:cs="Times New Roman"/>
                <w:b w:val="0"/>
                <w:bCs w:val="0"/>
                <w:i w:val="0"/>
                <w:iCs w:val="0"/>
                <w:noProof/>
                <w:webHidden/>
              </w:rPr>
            </w:r>
            <w:r w:rsidRPr="00AA67B3">
              <w:rPr>
                <w:rFonts w:ascii="Times New Roman" w:hAnsi="Times New Roman" w:cs="Times New Roman"/>
                <w:b w:val="0"/>
                <w:bCs w:val="0"/>
                <w:i w:val="0"/>
                <w:iCs w:val="0"/>
                <w:noProof/>
                <w:webHidden/>
              </w:rPr>
              <w:fldChar w:fldCharType="separate"/>
            </w:r>
            <w:r w:rsidR="00F02B58">
              <w:rPr>
                <w:rFonts w:ascii="Times New Roman" w:hAnsi="Times New Roman" w:cs="Times New Roman"/>
                <w:b w:val="0"/>
                <w:bCs w:val="0"/>
                <w:i w:val="0"/>
                <w:iCs w:val="0"/>
                <w:noProof/>
                <w:webHidden/>
              </w:rPr>
              <w:t>4</w:t>
            </w:r>
            <w:r w:rsidRPr="00AA67B3">
              <w:rPr>
                <w:rFonts w:ascii="Times New Roman" w:hAnsi="Times New Roman" w:cs="Times New Roman"/>
                <w:b w:val="0"/>
                <w:bCs w:val="0"/>
                <w:i w:val="0"/>
                <w:iCs w:val="0"/>
                <w:noProof/>
                <w:webHidden/>
              </w:rPr>
              <w:fldChar w:fldCharType="end"/>
            </w:r>
          </w:hyperlink>
        </w:p>
        <w:p w14:paraId="48BE71CE" w14:textId="46C48E61" w:rsidR="00AA67B3" w:rsidRPr="00AA67B3" w:rsidRDefault="00AA67B3">
          <w:pPr>
            <w:pStyle w:val="TOC1"/>
            <w:tabs>
              <w:tab w:val="right" w:leader="dot" w:pos="9010"/>
            </w:tabs>
            <w:rPr>
              <w:rFonts w:ascii="Times New Roman" w:eastAsiaTheme="minorEastAsia" w:hAnsi="Times New Roman" w:cs="Times New Roman"/>
              <w:b w:val="0"/>
              <w:bCs w:val="0"/>
              <w:i w:val="0"/>
              <w:iCs w:val="0"/>
              <w:noProof/>
            </w:rPr>
          </w:pPr>
          <w:hyperlink w:anchor="_Toc193064774" w:history="1">
            <w:r w:rsidRPr="00AA67B3">
              <w:rPr>
                <w:rStyle w:val="Hyperlink"/>
                <w:rFonts w:ascii="Times New Roman" w:hAnsi="Times New Roman" w:cs="Times New Roman"/>
                <w:b w:val="0"/>
                <w:bCs w:val="0"/>
                <w:i w:val="0"/>
                <w:iCs w:val="0"/>
                <w:noProof/>
              </w:rPr>
              <w:t>The Advantages of Being a Follower Company</w:t>
            </w:r>
            <w:r w:rsidRPr="00AA67B3">
              <w:rPr>
                <w:rFonts w:ascii="Times New Roman" w:hAnsi="Times New Roman" w:cs="Times New Roman"/>
                <w:b w:val="0"/>
                <w:bCs w:val="0"/>
                <w:i w:val="0"/>
                <w:iCs w:val="0"/>
                <w:noProof/>
                <w:webHidden/>
              </w:rPr>
              <w:tab/>
            </w:r>
            <w:r w:rsidRPr="00AA67B3">
              <w:rPr>
                <w:rFonts w:ascii="Times New Roman" w:hAnsi="Times New Roman" w:cs="Times New Roman"/>
                <w:b w:val="0"/>
                <w:bCs w:val="0"/>
                <w:i w:val="0"/>
                <w:iCs w:val="0"/>
                <w:noProof/>
                <w:webHidden/>
              </w:rPr>
              <w:fldChar w:fldCharType="begin"/>
            </w:r>
            <w:r w:rsidRPr="00AA67B3">
              <w:rPr>
                <w:rFonts w:ascii="Times New Roman" w:hAnsi="Times New Roman" w:cs="Times New Roman"/>
                <w:b w:val="0"/>
                <w:bCs w:val="0"/>
                <w:i w:val="0"/>
                <w:iCs w:val="0"/>
                <w:noProof/>
                <w:webHidden/>
              </w:rPr>
              <w:instrText xml:space="preserve"> PAGEREF _Toc193064774 \h </w:instrText>
            </w:r>
            <w:r w:rsidRPr="00AA67B3">
              <w:rPr>
                <w:rFonts w:ascii="Times New Roman" w:hAnsi="Times New Roman" w:cs="Times New Roman"/>
                <w:b w:val="0"/>
                <w:bCs w:val="0"/>
                <w:i w:val="0"/>
                <w:iCs w:val="0"/>
                <w:noProof/>
                <w:webHidden/>
              </w:rPr>
            </w:r>
            <w:r w:rsidRPr="00AA67B3">
              <w:rPr>
                <w:rFonts w:ascii="Times New Roman" w:hAnsi="Times New Roman" w:cs="Times New Roman"/>
                <w:b w:val="0"/>
                <w:bCs w:val="0"/>
                <w:i w:val="0"/>
                <w:iCs w:val="0"/>
                <w:noProof/>
                <w:webHidden/>
              </w:rPr>
              <w:fldChar w:fldCharType="separate"/>
            </w:r>
            <w:r w:rsidR="00F02B58">
              <w:rPr>
                <w:rFonts w:ascii="Times New Roman" w:hAnsi="Times New Roman" w:cs="Times New Roman"/>
                <w:b w:val="0"/>
                <w:bCs w:val="0"/>
                <w:i w:val="0"/>
                <w:iCs w:val="0"/>
                <w:noProof/>
                <w:webHidden/>
              </w:rPr>
              <w:t>5</w:t>
            </w:r>
            <w:r w:rsidRPr="00AA67B3">
              <w:rPr>
                <w:rFonts w:ascii="Times New Roman" w:hAnsi="Times New Roman" w:cs="Times New Roman"/>
                <w:b w:val="0"/>
                <w:bCs w:val="0"/>
                <w:i w:val="0"/>
                <w:iCs w:val="0"/>
                <w:noProof/>
                <w:webHidden/>
              </w:rPr>
              <w:fldChar w:fldCharType="end"/>
            </w:r>
          </w:hyperlink>
        </w:p>
        <w:p w14:paraId="4D20D8C8" w14:textId="4B47C5F8" w:rsidR="00AA67B3" w:rsidRPr="00AA67B3" w:rsidRDefault="00AA67B3">
          <w:pPr>
            <w:pStyle w:val="TOC1"/>
            <w:tabs>
              <w:tab w:val="right" w:leader="dot" w:pos="9010"/>
            </w:tabs>
            <w:rPr>
              <w:rFonts w:ascii="Times New Roman" w:eastAsiaTheme="minorEastAsia" w:hAnsi="Times New Roman" w:cs="Times New Roman"/>
              <w:b w:val="0"/>
              <w:bCs w:val="0"/>
              <w:i w:val="0"/>
              <w:iCs w:val="0"/>
              <w:noProof/>
            </w:rPr>
          </w:pPr>
          <w:hyperlink w:anchor="_Toc193064775" w:history="1">
            <w:r w:rsidRPr="00AA67B3">
              <w:rPr>
                <w:rStyle w:val="Hyperlink"/>
                <w:rFonts w:ascii="Times New Roman" w:hAnsi="Times New Roman" w:cs="Times New Roman"/>
                <w:b w:val="0"/>
                <w:bCs w:val="0"/>
                <w:i w:val="0"/>
                <w:iCs w:val="0"/>
                <w:noProof/>
              </w:rPr>
              <w:t>PLC Strategies in the Growth and Maturity Stages</w:t>
            </w:r>
            <w:r w:rsidRPr="00AA67B3">
              <w:rPr>
                <w:rFonts w:ascii="Times New Roman" w:hAnsi="Times New Roman" w:cs="Times New Roman"/>
                <w:b w:val="0"/>
                <w:bCs w:val="0"/>
                <w:i w:val="0"/>
                <w:iCs w:val="0"/>
                <w:noProof/>
                <w:webHidden/>
              </w:rPr>
              <w:tab/>
            </w:r>
            <w:r w:rsidRPr="00AA67B3">
              <w:rPr>
                <w:rFonts w:ascii="Times New Roman" w:hAnsi="Times New Roman" w:cs="Times New Roman"/>
                <w:b w:val="0"/>
                <w:bCs w:val="0"/>
                <w:i w:val="0"/>
                <w:iCs w:val="0"/>
                <w:noProof/>
                <w:webHidden/>
              </w:rPr>
              <w:fldChar w:fldCharType="begin"/>
            </w:r>
            <w:r w:rsidRPr="00AA67B3">
              <w:rPr>
                <w:rFonts w:ascii="Times New Roman" w:hAnsi="Times New Roman" w:cs="Times New Roman"/>
                <w:b w:val="0"/>
                <w:bCs w:val="0"/>
                <w:i w:val="0"/>
                <w:iCs w:val="0"/>
                <w:noProof/>
                <w:webHidden/>
              </w:rPr>
              <w:instrText xml:space="preserve"> PAGEREF _Toc193064775 \h </w:instrText>
            </w:r>
            <w:r w:rsidRPr="00AA67B3">
              <w:rPr>
                <w:rFonts w:ascii="Times New Roman" w:hAnsi="Times New Roman" w:cs="Times New Roman"/>
                <w:b w:val="0"/>
                <w:bCs w:val="0"/>
                <w:i w:val="0"/>
                <w:iCs w:val="0"/>
                <w:noProof/>
                <w:webHidden/>
              </w:rPr>
            </w:r>
            <w:r w:rsidRPr="00AA67B3">
              <w:rPr>
                <w:rFonts w:ascii="Times New Roman" w:hAnsi="Times New Roman" w:cs="Times New Roman"/>
                <w:b w:val="0"/>
                <w:bCs w:val="0"/>
                <w:i w:val="0"/>
                <w:iCs w:val="0"/>
                <w:noProof/>
                <w:webHidden/>
              </w:rPr>
              <w:fldChar w:fldCharType="separate"/>
            </w:r>
            <w:r w:rsidR="00F02B58">
              <w:rPr>
                <w:rFonts w:ascii="Times New Roman" w:hAnsi="Times New Roman" w:cs="Times New Roman"/>
                <w:b w:val="0"/>
                <w:bCs w:val="0"/>
                <w:i w:val="0"/>
                <w:iCs w:val="0"/>
                <w:noProof/>
                <w:webHidden/>
              </w:rPr>
              <w:t>7</w:t>
            </w:r>
            <w:r w:rsidRPr="00AA67B3">
              <w:rPr>
                <w:rFonts w:ascii="Times New Roman" w:hAnsi="Times New Roman" w:cs="Times New Roman"/>
                <w:b w:val="0"/>
                <w:bCs w:val="0"/>
                <w:i w:val="0"/>
                <w:iCs w:val="0"/>
                <w:noProof/>
                <w:webHidden/>
              </w:rPr>
              <w:fldChar w:fldCharType="end"/>
            </w:r>
          </w:hyperlink>
        </w:p>
        <w:p w14:paraId="00294E8C" w14:textId="401B0333" w:rsidR="00AA67B3" w:rsidRPr="00AA67B3" w:rsidRDefault="00AA67B3">
          <w:pPr>
            <w:pStyle w:val="TOC2"/>
            <w:tabs>
              <w:tab w:val="right" w:leader="dot" w:pos="9010"/>
            </w:tabs>
            <w:rPr>
              <w:rFonts w:ascii="Times New Roman" w:eastAsiaTheme="minorEastAsia" w:hAnsi="Times New Roman" w:cs="Times New Roman"/>
              <w:b w:val="0"/>
              <w:bCs w:val="0"/>
              <w:noProof/>
              <w:sz w:val="24"/>
              <w:szCs w:val="24"/>
            </w:rPr>
          </w:pPr>
          <w:hyperlink w:anchor="_Toc193064776" w:history="1">
            <w:r w:rsidRPr="00AA67B3">
              <w:rPr>
                <w:rStyle w:val="Hyperlink"/>
                <w:rFonts w:ascii="Times New Roman" w:hAnsi="Times New Roman" w:cs="Times New Roman"/>
                <w:b w:val="0"/>
                <w:bCs w:val="0"/>
                <w:noProof/>
                <w:sz w:val="24"/>
                <w:szCs w:val="24"/>
              </w:rPr>
              <w:t>Growth Stage Strategies</w:t>
            </w:r>
            <w:r w:rsidRPr="00AA67B3">
              <w:rPr>
                <w:rFonts w:ascii="Times New Roman" w:hAnsi="Times New Roman" w:cs="Times New Roman"/>
                <w:b w:val="0"/>
                <w:bCs w:val="0"/>
                <w:noProof/>
                <w:webHidden/>
                <w:sz w:val="24"/>
                <w:szCs w:val="24"/>
              </w:rPr>
              <w:tab/>
            </w:r>
            <w:r w:rsidRPr="00AA67B3">
              <w:rPr>
                <w:rFonts w:ascii="Times New Roman" w:hAnsi="Times New Roman" w:cs="Times New Roman"/>
                <w:b w:val="0"/>
                <w:bCs w:val="0"/>
                <w:noProof/>
                <w:webHidden/>
                <w:sz w:val="24"/>
                <w:szCs w:val="24"/>
              </w:rPr>
              <w:fldChar w:fldCharType="begin"/>
            </w:r>
            <w:r w:rsidRPr="00AA67B3">
              <w:rPr>
                <w:rFonts w:ascii="Times New Roman" w:hAnsi="Times New Roman" w:cs="Times New Roman"/>
                <w:b w:val="0"/>
                <w:bCs w:val="0"/>
                <w:noProof/>
                <w:webHidden/>
                <w:sz w:val="24"/>
                <w:szCs w:val="24"/>
              </w:rPr>
              <w:instrText xml:space="preserve"> PAGEREF _Toc193064776 \h </w:instrText>
            </w:r>
            <w:r w:rsidRPr="00AA67B3">
              <w:rPr>
                <w:rFonts w:ascii="Times New Roman" w:hAnsi="Times New Roman" w:cs="Times New Roman"/>
                <w:b w:val="0"/>
                <w:bCs w:val="0"/>
                <w:noProof/>
                <w:webHidden/>
                <w:sz w:val="24"/>
                <w:szCs w:val="24"/>
              </w:rPr>
            </w:r>
            <w:r w:rsidRPr="00AA67B3">
              <w:rPr>
                <w:rFonts w:ascii="Times New Roman" w:hAnsi="Times New Roman" w:cs="Times New Roman"/>
                <w:b w:val="0"/>
                <w:bCs w:val="0"/>
                <w:noProof/>
                <w:webHidden/>
                <w:sz w:val="24"/>
                <w:szCs w:val="24"/>
              </w:rPr>
              <w:fldChar w:fldCharType="separate"/>
            </w:r>
            <w:r w:rsidR="00F02B58">
              <w:rPr>
                <w:rFonts w:ascii="Times New Roman" w:hAnsi="Times New Roman" w:cs="Times New Roman"/>
                <w:b w:val="0"/>
                <w:bCs w:val="0"/>
                <w:noProof/>
                <w:webHidden/>
                <w:sz w:val="24"/>
                <w:szCs w:val="24"/>
              </w:rPr>
              <w:t>8</w:t>
            </w:r>
            <w:r w:rsidRPr="00AA67B3">
              <w:rPr>
                <w:rFonts w:ascii="Times New Roman" w:hAnsi="Times New Roman" w:cs="Times New Roman"/>
                <w:b w:val="0"/>
                <w:bCs w:val="0"/>
                <w:noProof/>
                <w:webHidden/>
                <w:sz w:val="24"/>
                <w:szCs w:val="24"/>
              </w:rPr>
              <w:fldChar w:fldCharType="end"/>
            </w:r>
          </w:hyperlink>
        </w:p>
        <w:p w14:paraId="4BB6F4D3" w14:textId="51253AEA" w:rsidR="00AA67B3" w:rsidRPr="00AA67B3" w:rsidRDefault="00AA67B3">
          <w:pPr>
            <w:pStyle w:val="TOC2"/>
            <w:tabs>
              <w:tab w:val="right" w:leader="dot" w:pos="9010"/>
            </w:tabs>
            <w:rPr>
              <w:rFonts w:ascii="Times New Roman" w:eastAsiaTheme="minorEastAsia" w:hAnsi="Times New Roman" w:cs="Times New Roman"/>
              <w:b w:val="0"/>
              <w:bCs w:val="0"/>
              <w:noProof/>
              <w:sz w:val="24"/>
              <w:szCs w:val="24"/>
            </w:rPr>
          </w:pPr>
          <w:hyperlink w:anchor="_Toc193064777" w:history="1">
            <w:r w:rsidRPr="00AA67B3">
              <w:rPr>
                <w:rStyle w:val="Hyperlink"/>
                <w:rFonts w:ascii="Times New Roman" w:hAnsi="Times New Roman" w:cs="Times New Roman"/>
                <w:b w:val="0"/>
                <w:bCs w:val="0"/>
                <w:noProof/>
                <w:sz w:val="24"/>
                <w:szCs w:val="24"/>
              </w:rPr>
              <w:t>Maturity Stage Strategies</w:t>
            </w:r>
            <w:r w:rsidRPr="00AA67B3">
              <w:rPr>
                <w:rFonts w:ascii="Times New Roman" w:hAnsi="Times New Roman" w:cs="Times New Roman"/>
                <w:b w:val="0"/>
                <w:bCs w:val="0"/>
                <w:noProof/>
                <w:webHidden/>
                <w:sz w:val="24"/>
                <w:szCs w:val="24"/>
              </w:rPr>
              <w:tab/>
            </w:r>
            <w:r w:rsidRPr="00AA67B3">
              <w:rPr>
                <w:rFonts w:ascii="Times New Roman" w:hAnsi="Times New Roman" w:cs="Times New Roman"/>
                <w:b w:val="0"/>
                <w:bCs w:val="0"/>
                <w:noProof/>
                <w:webHidden/>
                <w:sz w:val="24"/>
                <w:szCs w:val="24"/>
              </w:rPr>
              <w:fldChar w:fldCharType="begin"/>
            </w:r>
            <w:r w:rsidRPr="00AA67B3">
              <w:rPr>
                <w:rFonts w:ascii="Times New Roman" w:hAnsi="Times New Roman" w:cs="Times New Roman"/>
                <w:b w:val="0"/>
                <w:bCs w:val="0"/>
                <w:noProof/>
                <w:webHidden/>
                <w:sz w:val="24"/>
                <w:szCs w:val="24"/>
              </w:rPr>
              <w:instrText xml:space="preserve"> PAGEREF _Toc193064777 \h </w:instrText>
            </w:r>
            <w:r w:rsidRPr="00AA67B3">
              <w:rPr>
                <w:rFonts w:ascii="Times New Roman" w:hAnsi="Times New Roman" w:cs="Times New Roman"/>
                <w:b w:val="0"/>
                <w:bCs w:val="0"/>
                <w:noProof/>
                <w:webHidden/>
                <w:sz w:val="24"/>
                <w:szCs w:val="24"/>
              </w:rPr>
            </w:r>
            <w:r w:rsidRPr="00AA67B3">
              <w:rPr>
                <w:rFonts w:ascii="Times New Roman" w:hAnsi="Times New Roman" w:cs="Times New Roman"/>
                <w:b w:val="0"/>
                <w:bCs w:val="0"/>
                <w:noProof/>
                <w:webHidden/>
                <w:sz w:val="24"/>
                <w:szCs w:val="24"/>
              </w:rPr>
              <w:fldChar w:fldCharType="separate"/>
            </w:r>
            <w:r w:rsidR="00F02B58">
              <w:rPr>
                <w:rFonts w:ascii="Times New Roman" w:hAnsi="Times New Roman" w:cs="Times New Roman"/>
                <w:b w:val="0"/>
                <w:bCs w:val="0"/>
                <w:noProof/>
                <w:webHidden/>
                <w:sz w:val="24"/>
                <w:szCs w:val="24"/>
              </w:rPr>
              <w:t>9</w:t>
            </w:r>
            <w:r w:rsidRPr="00AA67B3">
              <w:rPr>
                <w:rFonts w:ascii="Times New Roman" w:hAnsi="Times New Roman" w:cs="Times New Roman"/>
                <w:b w:val="0"/>
                <w:bCs w:val="0"/>
                <w:noProof/>
                <w:webHidden/>
                <w:sz w:val="24"/>
                <w:szCs w:val="24"/>
              </w:rPr>
              <w:fldChar w:fldCharType="end"/>
            </w:r>
          </w:hyperlink>
        </w:p>
        <w:p w14:paraId="44DB23B0" w14:textId="57B6F56B" w:rsidR="00AA67B3" w:rsidRPr="00AA67B3" w:rsidRDefault="00AA67B3">
          <w:pPr>
            <w:pStyle w:val="TOC2"/>
            <w:tabs>
              <w:tab w:val="right" w:leader="dot" w:pos="9010"/>
            </w:tabs>
            <w:rPr>
              <w:rFonts w:ascii="Times New Roman" w:eastAsiaTheme="minorEastAsia" w:hAnsi="Times New Roman" w:cs="Times New Roman"/>
              <w:b w:val="0"/>
              <w:bCs w:val="0"/>
              <w:noProof/>
              <w:sz w:val="24"/>
              <w:szCs w:val="24"/>
            </w:rPr>
          </w:pPr>
          <w:hyperlink w:anchor="_Toc193064778" w:history="1">
            <w:r w:rsidRPr="00AA67B3">
              <w:rPr>
                <w:rStyle w:val="Hyperlink"/>
                <w:rFonts w:ascii="Times New Roman" w:hAnsi="Times New Roman" w:cs="Times New Roman"/>
                <w:b w:val="0"/>
                <w:bCs w:val="0"/>
                <w:noProof/>
                <w:sz w:val="24"/>
                <w:szCs w:val="24"/>
              </w:rPr>
              <w:t>Critical Reflection on PLC Strategies</w:t>
            </w:r>
            <w:r w:rsidRPr="00AA67B3">
              <w:rPr>
                <w:rFonts w:ascii="Times New Roman" w:hAnsi="Times New Roman" w:cs="Times New Roman"/>
                <w:b w:val="0"/>
                <w:bCs w:val="0"/>
                <w:noProof/>
                <w:webHidden/>
                <w:sz w:val="24"/>
                <w:szCs w:val="24"/>
              </w:rPr>
              <w:tab/>
            </w:r>
            <w:r w:rsidRPr="00AA67B3">
              <w:rPr>
                <w:rFonts w:ascii="Times New Roman" w:hAnsi="Times New Roman" w:cs="Times New Roman"/>
                <w:b w:val="0"/>
                <w:bCs w:val="0"/>
                <w:noProof/>
                <w:webHidden/>
                <w:sz w:val="24"/>
                <w:szCs w:val="24"/>
              </w:rPr>
              <w:fldChar w:fldCharType="begin"/>
            </w:r>
            <w:r w:rsidRPr="00AA67B3">
              <w:rPr>
                <w:rFonts w:ascii="Times New Roman" w:hAnsi="Times New Roman" w:cs="Times New Roman"/>
                <w:b w:val="0"/>
                <w:bCs w:val="0"/>
                <w:noProof/>
                <w:webHidden/>
                <w:sz w:val="24"/>
                <w:szCs w:val="24"/>
              </w:rPr>
              <w:instrText xml:space="preserve"> PAGEREF _Toc193064778 \h </w:instrText>
            </w:r>
            <w:r w:rsidRPr="00AA67B3">
              <w:rPr>
                <w:rFonts w:ascii="Times New Roman" w:hAnsi="Times New Roman" w:cs="Times New Roman"/>
                <w:b w:val="0"/>
                <w:bCs w:val="0"/>
                <w:noProof/>
                <w:webHidden/>
                <w:sz w:val="24"/>
                <w:szCs w:val="24"/>
              </w:rPr>
            </w:r>
            <w:r w:rsidRPr="00AA67B3">
              <w:rPr>
                <w:rFonts w:ascii="Times New Roman" w:hAnsi="Times New Roman" w:cs="Times New Roman"/>
                <w:b w:val="0"/>
                <w:bCs w:val="0"/>
                <w:noProof/>
                <w:webHidden/>
                <w:sz w:val="24"/>
                <w:szCs w:val="24"/>
              </w:rPr>
              <w:fldChar w:fldCharType="separate"/>
            </w:r>
            <w:r w:rsidR="00F02B58">
              <w:rPr>
                <w:rFonts w:ascii="Times New Roman" w:hAnsi="Times New Roman" w:cs="Times New Roman"/>
                <w:b w:val="0"/>
                <w:bCs w:val="0"/>
                <w:noProof/>
                <w:webHidden/>
                <w:sz w:val="24"/>
                <w:szCs w:val="24"/>
              </w:rPr>
              <w:t>9</w:t>
            </w:r>
            <w:r w:rsidRPr="00AA67B3">
              <w:rPr>
                <w:rFonts w:ascii="Times New Roman" w:hAnsi="Times New Roman" w:cs="Times New Roman"/>
                <w:b w:val="0"/>
                <w:bCs w:val="0"/>
                <w:noProof/>
                <w:webHidden/>
                <w:sz w:val="24"/>
                <w:szCs w:val="24"/>
              </w:rPr>
              <w:fldChar w:fldCharType="end"/>
            </w:r>
          </w:hyperlink>
        </w:p>
        <w:p w14:paraId="25F4E16B" w14:textId="64F568C1" w:rsidR="00AA67B3" w:rsidRPr="00AA67B3" w:rsidRDefault="00AA67B3">
          <w:pPr>
            <w:pStyle w:val="TOC1"/>
            <w:tabs>
              <w:tab w:val="right" w:leader="dot" w:pos="9010"/>
            </w:tabs>
            <w:rPr>
              <w:rFonts w:ascii="Times New Roman" w:eastAsiaTheme="minorEastAsia" w:hAnsi="Times New Roman" w:cs="Times New Roman"/>
              <w:b w:val="0"/>
              <w:bCs w:val="0"/>
              <w:i w:val="0"/>
              <w:iCs w:val="0"/>
              <w:noProof/>
            </w:rPr>
          </w:pPr>
          <w:hyperlink w:anchor="_Toc193064779" w:history="1">
            <w:r w:rsidRPr="00AA67B3">
              <w:rPr>
                <w:rStyle w:val="Hyperlink"/>
                <w:rFonts w:ascii="Times New Roman" w:hAnsi="Times New Roman" w:cs="Times New Roman"/>
                <w:b w:val="0"/>
                <w:bCs w:val="0"/>
                <w:i w:val="0"/>
                <w:iCs w:val="0"/>
                <w:noProof/>
              </w:rPr>
              <w:t>Conclusion</w:t>
            </w:r>
            <w:r w:rsidRPr="00AA67B3">
              <w:rPr>
                <w:rFonts w:ascii="Times New Roman" w:hAnsi="Times New Roman" w:cs="Times New Roman"/>
                <w:b w:val="0"/>
                <w:bCs w:val="0"/>
                <w:i w:val="0"/>
                <w:iCs w:val="0"/>
                <w:noProof/>
                <w:webHidden/>
              </w:rPr>
              <w:tab/>
            </w:r>
            <w:r w:rsidRPr="00AA67B3">
              <w:rPr>
                <w:rFonts w:ascii="Times New Roman" w:hAnsi="Times New Roman" w:cs="Times New Roman"/>
                <w:b w:val="0"/>
                <w:bCs w:val="0"/>
                <w:i w:val="0"/>
                <w:iCs w:val="0"/>
                <w:noProof/>
                <w:webHidden/>
              </w:rPr>
              <w:fldChar w:fldCharType="begin"/>
            </w:r>
            <w:r w:rsidRPr="00AA67B3">
              <w:rPr>
                <w:rFonts w:ascii="Times New Roman" w:hAnsi="Times New Roman" w:cs="Times New Roman"/>
                <w:b w:val="0"/>
                <w:bCs w:val="0"/>
                <w:i w:val="0"/>
                <w:iCs w:val="0"/>
                <w:noProof/>
                <w:webHidden/>
              </w:rPr>
              <w:instrText xml:space="preserve"> PAGEREF _Toc193064779 \h </w:instrText>
            </w:r>
            <w:r w:rsidRPr="00AA67B3">
              <w:rPr>
                <w:rFonts w:ascii="Times New Roman" w:hAnsi="Times New Roman" w:cs="Times New Roman"/>
                <w:b w:val="0"/>
                <w:bCs w:val="0"/>
                <w:i w:val="0"/>
                <w:iCs w:val="0"/>
                <w:noProof/>
                <w:webHidden/>
              </w:rPr>
            </w:r>
            <w:r w:rsidRPr="00AA67B3">
              <w:rPr>
                <w:rFonts w:ascii="Times New Roman" w:hAnsi="Times New Roman" w:cs="Times New Roman"/>
                <w:b w:val="0"/>
                <w:bCs w:val="0"/>
                <w:i w:val="0"/>
                <w:iCs w:val="0"/>
                <w:noProof/>
                <w:webHidden/>
              </w:rPr>
              <w:fldChar w:fldCharType="separate"/>
            </w:r>
            <w:r w:rsidR="00F02B58">
              <w:rPr>
                <w:rFonts w:ascii="Times New Roman" w:hAnsi="Times New Roman" w:cs="Times New Roman"/>
                <w:b w:val="0"/>
                <w:bCs w:val="0"/>
                <w:i w:val="0"/>
                <w:iCs w:val="0"/>
                <w:noProof/>
                <w:webHidden/>
              </w:rPr>
              <w:t>11</w:t>
            </w:r>
            <w:r w:rsidRPr="00AA67B3">
              <w:rPr>
                <w:rFonts w:ascii="Times New Roman" w:hAnsi="Times New Roman" w:cs="Times New Roman"/>
                <w:b w:val="0"/>
                <w:bCs w:val="0"/>
                <w:i w:val="0"/>
                <w:iCs w:val="0"/>
                <w:noProof/>
                <w:webHidden/>
              </w:rPr>
              <w:fldChar w:fldCharType="end"/>
            </w:r>
          </w:hyperlink>
        </w:p>
        <w:p w14:paraId="3E788E7A" w14:textId="70BF3C1C" w:rsidR="00AA67B3" w:rsidRPr="00AA67B3" w:rsidRDefault="00AA67B3">
          <w:pPr>
            <w:pStyle w:val="TOC1"/>
            <w:tabs>
              <w:tab w:val="right" w:leader="dot" w:pos="9010"/>
            </w:tabs>
            <w:rPr>
              <w:rFonts w:ascii="Times New Roman" w:eastAsiaTheme="minorEastAsia" w:hAnsi="Times New Roman" w:cs="Times New Roman"/>
              <w:b w:val="0"/>
              <w:bCs w:val="0"/>
              <w:i w:val="0"/>
              <w:iCs w:val="0"/>
              <w:noProof/>
            </w:rPr>
          </w:pPr>
          <w:hyperlink w:anchor="_Toc193064780" w:history="1">
            <w:r w:rsidRPr="00AA67B3">
              <w:rPr>
                <w:rStyle w:val="Hyperlink"/>
                <w:rFonts w:ascii="Times New Roman" w:hAnsi="Times New Roman" w:cs="Times New Roman"/>
                <w:b w:val="0"/>
                <w:bCs w:val="0"/>
                <w:i w:val="0"/>
                <w:iCs w:val="0"/>
                <w:noProof/>
              </w:rPr>
              <w:t>Reference</w:t>
            </w:r>
            <w:r w:rsidRPr="00AA67B3">
              <w:rPr>
                <w:rFonts w:ascii="Times New Roman" w:hAnsi="Times New Roman" w:cs="Times New Roman"/>
                <w:b w:val="0"/>
                <w:bCs w:val="0"/>
                <w:i w:val="0"/>
                <w:iCs w:val="0"/>
                <w:noProof/>
                <w:webHidden/>
              </w:rPr>
              <w:tab/>
            </w:r>
            <w:r w:rsidRPr="00AA67B3">
              <w:rPr>
                <w:rFonts w:ascii="Times New Roman" w:hAnsi="Times New Roman" w:cs="Times New Roman"/>
                <w:b w:val="0"/>
                <w:bCs w:val="0"/>
                <w:i w:val="0"/>
                <w:iCs w:val="0"/>
                <w:noProof/>
                <w:webHidden/>
              </w:rPr>
              <w:fldChar w:fldCharType="begin"/>
            </w:r>
            <w:r w:rsidRPr="00AA67B3">
              <w:rPr>
                <w:rFonts w:ascii="Times New Roman" w:hAnsi="Times New Roman" w:cs="Times New Roman"/>
                <w:b w:val="0"/>
                <w:bCs w:val="0"/>
                <w:i w:val="0"/>
                <w:iCs w:val="0"/>
                <w:noProof/>
                <w:webHidden/>
              </w:rPr>
              <w:instrText xml:space="preserve"> PAGEREF _Toc193064780 \h </w:instrText>
            </w:r>
            <w:r w:rsidRPr="00AA67B3">
              <w:rPr>
                <w:rFonts w:ascii="Times New Roman" w:hAnsi="Times New Roman" w:cs="Times New Roman"/>
                <w:b w:val="0"/>
                <w:bCs w:val="0"/>
                <w:i w:val="0"/>
                <w:iCs w:val="0"/>
                <w:noProof/>
                <w:webHidden/>
              </w:rPr>
            </w:r>
            <w:r w:rsidRPr="00AA67B3">
              <w:rPr>
                <w:rFonts w:ascii="Times New Roman" w:hAnsi="Times New Roman" w:cs="Times New Roman"/>
                <w:b w:val="0"/>
                <w:bCs w:val="0"/>
                <w:i w:val="0"/>
                <w:iCs w:val="0"/>
                <w:noProof/>
                <w:webHidden/>
              </w:rPr>
              <w:fldChar w:fldCharType="separate"/>
            </w:r>
            <w:r w:rsidR="00F02B58">
              <w:rPr>
                <w:rFonts w:ascii="Times New Roman" w:hAnsi="Times New Roman" w:cs="Times New Roman"/>
                <w:b w:val="0"/>
                <w:bCs w:val="0"/>
                <w:i w:val="0"/>
                <w:iCs w:val="0"/>
                <w:noProof/>
                <w:webHidden/>
              </w:rPr>
              <w:t>12</w:t>
            </w:r>
            <w:r w:rsidRPr="00AA67B3">
              <w:rPr>
                <w:rFonts w:ascii="Times New Roman" w:hAnsi="Times New Roman" w:cs="Times New Roman"/>
                <w:b w:val="0"/>
                <w:bCs w:val="0"/>
                <w:i w:val="0"/>
                <w:iCs w:val="0"/>
                <w:noProof/>
                <w:webHidden/>
              </w:rPr>
              <w:fldChar w:fldCharType="end"/>
            </w:r>
          </w:hyperlink>
        </w:p>
        <w:p w14:paraId="75D9CBF6" w14:textId="31FEB889" w:rsidR="009A2200" w:rsidRDefault="009A2200">
          <w:r w:rsidRPr="00AA67B3">
            <w:rPr>
              <w:noProof/>
            </w:rPr>
            <w:fldChar w:fldCharType="end"/>
          </w:r>
        </w:p>
      </w:sdtContent>
    </w:sdt>
    <w:p w14:paraId="6D51CAD5" w14:textId="4C20CB40" w:rsidR="009A2200" w:rsidRPr="009A2200" w:rsidRDefault="009A2200" w:rsidP="009A2200">
      <w:r w:rsidRPr="009A2200">
        <w:br w:type="page"/>
      </w:r>
    </w:p>
    <w:p w14:paraId="6BD883C5" w14:textId="77777777" w:rsidR="009A2200" w:rsidRPr="009A2200" w:rsidRDefault="009A2200" w:rsidP="009A2200">
      <w:pPr>
        <w:pStyle w:val="Heading1"/>
      </w:pPr>
      <w:bookmarkStart w:id="0" w:name="_Toc193064772"/>
      <w:r w:rsidRPr="009A2200">
        <w:lastRenderedPageBreak/>
        <w:t>Introduction</w:t>
      </w:r>
      <w:bookmarkEnd w:id="0"/>
    </w:p>
    <w:p w14:paraId="6C43FC2C" w14:textId="61690188" w:rsidR="009A2200" w:rsidRPr="009A2200" w:rsidRDefault="009A2200" w:rsidP="009A2200">
      <w:r w:rsidRPr="009A2200">
        <w:rPr>
          <w:color w:val="000000"/>
        </w:rPr>
        <w:t>Choosing to lead or follow in the marketplace proves essential for determining how companies develop and reach their profit goals and market standing. When companies launch their solutions first they gain several essential benefits such as becoming recognisable in the market and creating benchmark standards while collecting dedicated early customers</w:t>
      </w:r>
      <w:r w:rsidR="00875859">
        <w:rPr>
          <w:color w:val="000000"/>
          <w:lang w:val="en-US"/>
        </w:rPr>
        <w:t xml:space="preserve"> </w:t>
      </w:r>
      <w:r w:rsidR="00875859" w:rsidRPr="00875859">
        <w:rPr>
          <w:color w:val="000000"/>
          <w:lang w:val="en-US"/>
        </w:rPr>
        <w:t>(</w:t>
      </w:r>
      <w:proofErr w:type="spellStart"/>
      <w:r w:rsidR="00875859" w:rsidRPr="00875859">
        <w:rPr>
          <w:color w:val="000000"/>
          <w:lang w:val="en-US"/>
        </w:rPr>
        <w:t>Benveniste</w:t>
      </w:r>
      <w:proofErr w:type="spellEnd"/>
      <w:r w:rsidR="00875859" w:rsidRPr="00875859">
        <w:rPr>
          <w:color w:val="000000"/>
          <w:lang w:val="en-US"/>
        </w:rPr>
        <w:t xml:space="preserve"> et al., 2022)</w:t>
      </w:r>
      <w:r w:rsidRPr="009A2200">
        <w:rPr>
          <w:color w:val="000000"/>
        </w:rPr>
        <w:t xml:space="preserve">. Strategic benefits of initial market entry create multiple serious risks which include expensive investments along with unpredictable market conditions and the chance of business failure (Mahapatra, Das and Narasimhan, 2024). Followers in business launch their products to the market only after pioneers have demonstrated their practices through success and failure experiences. Besides facing market-specific obstacles, followers enjoy an improved industry climate that minimises their exposure to risks. </w:t>
      </w:r>
      <w:r w:rsidR="007531C3" w:rsidRPr="007531C3">
        <w:t>This essay analyses the advantages and disadvantages of being a pioneering and a follower company</w:t>
      </w:r>
      <w:r w:rsidR="00C20204">
        <w:rPr>
          <w:lang w:val="en-US"/>
        </w:rPr>
        <w:t>. It analyses</w:t>
      </w:r>
      <w:r w:rsidR="00875859">
        <w:t xml:space="preserve"> BT (Fibre and 5G), Morrisons (Online Groceries), and John Lewis (Home Technology)</w:t>
      </w:r>
      <w:r w:rsidR="00C20204">
        <w:rPr>
          <w:lang w:val="en-US"/>
        </w:rPr>
        <w:t xml:space="preserve"> as follower company and </w:t>
      </w:r>
      <w:r w:rsidR="00875859">
        <w:t>King (Candy Crush), M Squared Lasers, and Oxford Nanopore Technologies</w:t>
      </w:r>
      <w:r w:rsidR="00C20204">
        <w:rPr>
          <w:lang w:val="en-US"/>
        </w:rPr>
        <w:t xml:space="preserve"> as pioneer company</w:t>
      </w:r>
      <w:r w:rsidR="00875859">
        <w:t>. The analysis shows how companies with various entry statuses gain from strategic positioning to create innovation and competitive success all through the Product Life Cycle (PLC).</w:t>
      </w:r>
      <w:r w:rsidRPr="009A2200">
        <w:rPr>
          <w:color w:val="000000"/>
        </w:rPr>
        <w:t xml:space="preserve"> The paper explores how market entry schedules together with adaptive innovations determine business success within competitive markets over extended periods.</w:t>
      </w:r>
    </w:p>
    <w:p w14:paraId="01223471" w14:textId="77777777" w:rsidR="009A2200" w:rsidRDefault="009A2200">
      <w:pPr>
        <w:spacing w:after="160" w:line="259" w:lineRule="auto"/>
        <w:jc w:val="left"/>
        <w:rPr>
          <w:b/>
          <w:bCs/>
          <w:color w:val="000000"/>
        </w:rPr>
      </w:pPr>
      <w:r>
        <w:rPr>
          <w:b/>
          <w:bCs/>
          <w:color w:val="000000"/>
        </w:rPr>
        <w:br w:type="page"/>
      </w:r>
    </w:p>
    <w:p w14:paraId="0EE1A630" w14:textId="38B133EF" w:rsidR="009A2200" w:rsidRPr="009A2200" w:rsidRDefault="009A2200" w:rsidP="009A2200">
      <w:pPr>
        <w:pStyle w:val="Heading1"/>
      </w:pPr>
      <w:bookmarkStart w:id="1" w:name="_Toc193064773"/>
      <w:r w:rsidRPr="009A2200">
        <w:lastRenderedPageBreak/>
        <w:t>The Advantages of Being a Pioneer Company</w:t>
      </w:r>
      <w:bookmarkEnd w:id="1"/>
      <w:r w:rsidRPr="009A2200">
        <w:t xml:space="preserve"> </w:t>
      </w:r>
    </w:p>
    <w:p w14:paraId="01B14B1F" w14:textId="77777777" w:rsidR="009A2200" w:rsidRPr="009A2200" w:rsidRDefault="009A2200" w:rsidP="009A2200">
      <w:r w:rsidRPr="009A2200">
        <w:rPr>
          <w:color w:val="000000"/>
        </w:rPr>
        <w:t>Companies that pioneer new markets receive explicit benefits that create their initial competitive position to dominate market sectors and construct lasting brand value. The pioneering strategy implements the First-Mover Advantage (FMA) theory. This theory states that market entry early on provides enduring marketplace supremacy by building technological superiority while managing resources combined with customer retention (Jensen, 2023). King's (Candy Crush) success stories and M Squared Lasers and Oxford Nanopore Technologies demonstrate how these advantages appear in three distinct industrial sectors. The key advantage of pioneering market entry allows businesses to gain consumer loyalty during the initial period when competitors are nonexistent. King became the dominant force in mobile gaming when it released Candy Crush Saga in 2012 as its main game. The game Candy Crush delivered $1.5 billion in annual revenue to King by 2014 while contributing to almost 30% of companywide income (Majone, 2023). Ashley Madison gained early market leadership from its launch allowing it to accumulate 270 million global users each month which built enduring brand visibility and customer loyalty. The dominant market position King achieved through its mobile games allowed for in-app purchase profits and advertised later products in an industry-changing manner. King successfully utilised network effects during its initial market dominance which allowed the value of its games to increase with every additional user thus cementing its market standing against competitors who tried to enter afterwards.</w:t>
      </w:r>
    </w:p>
    <w:p w14:paraId="099B82E9" w14:textId="77777777" w:rsidR="009A2200" w:rsidRPr="009A2200" w:rsidRDefault="009A2200" w:rsidP="009A2200">
      <w:r w:rsidRPr="009A2200">
        <w:rPr>
          <w:color w:val="000000"/>
        </w:rPr>
        <w:t xml:space="preserve">Organisational pioneers establish benchmarks for their sectors along with product specifications which create strong entry barriers against upcoming market players. M Squared Lasers leads the market in developing photonics and quantum laser technology which benefits life sciences along with defence and environmental monitoring applications. M Squared led the market by becoming the first company to launch quantum cascade lasers with associated technical benchmarks of unmatched precision and reliability thus setting requirements for competing technologies. The upcoming decade will see the quantum technologies market expand to $3.5 billion based on influential first-mover companies such as M Squared who defined market perceptions (Avlonitis and Salavou, 2023). The technical standards M Squared establishes enable the company to maintain technological advantage under FMA through which customers choose advanced products from recognised leaders. The advantage to pioneers is having robust intellectual property (IP) rights that build sustainable barriers to competition. Oxford Nanopore Technologies serves as an excellent representation of an organisation leading portable DNA sequencing technology development (Linnenluecke and </w:t>
      </w:r>
      <w:r w:rsidRPr="009A2200">
        <w:rPr>
          <w:color w:val="000000"/>
        </w:rPr>
        <w:lastRenderedPageBreak/>
        <w:t>Griffiths, 2019). The MinION handheld DNA sequencer launched by Oxford Nanopore Technologies as the first device revolutionised genomic research because it allowed on-site DNA sequencing capabilities. The company successfully secured more than 2,000 patents along with patent applications across the world which granted them a strong dominant IP position but also prevented competitor replication attempts. The company earned £200 million during 2023 following a 20% annual increase in business which researchers and healthcare providers demanded (Linnenluecke and Griffiths, 2019). The secured exclusivity property of intellectual property additionally elevates a company's strength in negotiating collaboration agreements with other entities.</w:t>
      </w:r>
    </w:p>
    <w:p w14:paraId="2DF9E34A" w14:textId="77777777" w:rsidR="009A2200" w:rsidRPr="009A2200" w:rsidRDefault="009A2200" w:rsidP="009A2200">
      <w:r w:rsidRPr="009A2200">
        <w:rPr>
          <w:color w:val="000000"/>
        </w:rPr>
        <w:t>Pioneers possess unique authority to build reliable relationships with their customers because they entered the market first. The early fulfilment of unmet customer needs helps pioneers create enduring client relationships because they reach the market first. The innovative DNA sequencing devices from Oxford Nanopore serve as essential tools for epidemiological studies and clinical research while proving their value during COVID-19 pandemic genomic surveys across the globe. The devices from Oxford Nanopore played a vital role in generating genomic sequences for over 25% of worldwide SARS-CoV-2 virus strains thus demonstrating the broad adoption of their technology (Seskir and Willoughby, 2024). Companies which implement innovative technologies become difficult to attract away from their position of market dominance because early adopters create high barriers to switching between providers. Although pioneers King and M Squared Lasers and Oxford Nanopore Technologies currently benefit from these advantages their pioneering position remains both expensive and dangerous for their company. The path to product development through research and development requires cautious handling because market risks high expenses and product testing failures lead to major obstacles (Ghobakhloo, 2024). M Squared Lasers faces major financial hurdles in advancing quantum technology because the market adopts new features at a slow rate due to regulatory barriers and technical complexities. King needed to manage user retention alongside competitor threats while Supercell and Zynga released competitor titles to the market. The initial advantage is strong but needs constant improvements to maintain its strength throughout time.</w:t>
      </w:r>
    </w:p>
    <w:p w14:paraId="701CDE3E" w14:textId="55E44FE7" w:rsidR="009A2200" w:rsidRPr="009A2200" w:rsidRDefault="009A2200" w:rsidP="009A2200">
      <w:pPr>
        <w:pStyle w:val="Heading1"/>
      </w:pPr>
      <w:bookmarkStart w:id="2" w:name="_Toc193064774"/>
      <w:r w:rsidRPr="009A2200">
        <w:t>The Advantages of Being a Follower Company</w:t>
      </w:r>
      <w:bookmarkEnd w:id="2"/>
    </w:p>
    <w:p w14:paraId="1E86E590" w14:textId="77777777" w:rsidR="009A2200" w:rsidRPr="009A2200" w:rsidRDefault="009A2200" w:rsidP="009A2200">
      <w:r w:rsidRPr="009A2200">
        <w:rPr>
          <w:color w:val="000000"/>
        </w:rPr>
        <w:t xml:space="preserve">Following a pioneer provides three essential strategic qualities through risk reduction in markets together with enhanced product performance and the utilisation of pioneer-created </w:t>
      </w:r>
      <w:r w:rsidRPr="009A2200">
        <w:rPr>
          <w:color w:val="000000"/>
        </w:rPr>
        <w:lastRenderedPageBreak/>
        <w:t>foundations. Being a follower enables an individual to gain valuable knowledge from both refined approaches and avoided shortcomings of pioneering ventures. The market entry of followers occurs following pioneer confirmation which reduces their need to handle uncertainties and risks involved in newly developed markets (Anderson and Zeithaml, 2021). BT (Fibre and 5G) pursued the fibre and 5G telecommunications sector when O2 and Vodafone already created the essential framework for their deployment. BT waited to enter the market because its delay allowed the company to develop better products and network systems by studying early market participant challenges. Followers take advantage of existing market demand which helps them reduce market education expenses. Morrisons joined the online grocery sector behind Tesco and Sainsbury’s which were established primary companies in this market (Lynn, Morone and Paulson, 2022). The established demand for online grocery shopping meant Morrisons did not require large funds to educate its customer base about the benefits of this shopping method. Morrisons should concentrate on enhancing its service delivery by introducing competitive prices while developing new product ranges for customers. Preparing a solid online platform became possible for Morrisons because they avoided paying exorbitant costs associated with market development activities.</w:t>
      </w:r>
    </w:p>
    <w:p w14:paraId="382194AA" w14:textId="77777777" w:rsidR="009A2200" w:rsidRPr="009A2200" w:rsidRDefault="009A2200" w:rsidP="009A2200">
      <w:r w:rsidRPr="009A2200">
        <w:rPr>
          <w:color w:val="000000"/>
        </w:rPr>
        <w:t xml:space="preserve">Followers gain benefits from existing technologies which allow them to enhance and modify the foundation of an initial product release. New technology development phases tend to be leader responsibilities yet followers succeed by launching mature products that fulfil customer requirements. John Lewis joined the home technology sector only after Currys and Argos had already developed their presence in this market. The superior product knowledge combined with excellent customer service brought by John Lewis enabled the company to deliver customised premium-style home technology shopping (Tetiana, Oleksandr and Valentyna, 2021). John Lewis distinguished itself from competitors by prioritising excellent service along with specialised product assortment. Followers typically start their operations with reduced expenses. Pioneers need to allocate major funds for market promotion together with brand construction and system development that serve to teach consumers about their products and build market interest. Followers enter the market by providing goods after demand has been tested and technologies achieve appropriate refinement (Robinson, Fornell and Sullivan, 2022). The streaming business entry of Sky (Streaming - NOW TV) exploited existing digital content popularity to benefit from the built market pull after the success of Netflix and Amazon Prime. Sky should redirect its resources from educating customers to create a superior content platform and add the most sought-after live programming on its NOW TV streaming service </w:t>
      </w:r>
      <w:r w:rsidRPr="009A2200">
        <w:rPr>
          <w:color w:val="000000"/>
        </w:rPr>
        <w:lastRenderedPageBreak/>
        <w:t>to reach different streaming audience segments. The benefits of being a follower in business are supplemented by several difficulties. The process of distinguishing oneself from others remains difficult for companies operating as followers within competitive business settings (Robinson, Fornell and Sullivan, 2022). The online grocery service from Morrisons required differentiation to compete with Tesco and Sainsbury’s who had already developed solid online platforms. The streaming service Sky had to overcome market differentiation challenges as it operated beneath global competitors such as Netflix and Amazon. Success for followers demands a search for special value propositions which the pioneering companies do not provide.</w:t>
      </w:r>
    </w:p>
    <w:p w14:paraId="6D5164CD" w14:textId="77777777" w:rsidR="009A2200" w:rsidRPr="009A2200" w:rsidRDefault="009A2200" w:rsidP="009A2200">
      <w:pPr>
        <w:pStyle w:val="Heading1"/>
      </w:pPr>
      <w:bookmarkStart w:id="3" w:name="_Toc193064775"/>
      <w:r w:rsidRPr="009A2200">
        <w:t>PLC Strategies in the Growth and Maturity Stages</w:t>
      </w:r>
      <w:bookmarkEnd w:id="3"/>
      <w:r w:rsidRPr="009A2200">
        <w:t> </w:t>
      </w:r>
    </w:p>
    <w:p w14:paraId="52569868" w14:textId="4DF37B77" w:rsidR="00A90B2E" w:rsidRDefault="00A90B2E" w:rsidP="009A2200">
      <w:pPr>
        <w:rPr>
          <w:color w:val="000000"/>
        </w:rPr>
      </w:pPr>
      <w:r w:rsidRPr="00A90B2E">
        <w:rPr>
          <w:color w:val="000000"/>
        </w:rPr>
        <w:t>Long-term competitive advantage depends on an awareness of how companies change their approach during the Product Life Cycle (PLC). Organisations have to maximise positioning, increase operations, and modify products throughout development and maturity if they are relevant in changing markets</w:t>
      </w:r>
      <w:r>
        <w:rPr>
          <w:color w:val="000000"/>
          <w:lang w:val="en-US"/>
        </w:rPr>
        <w:t xml:space="preserve"> </w:t>
      </w:r>
      <w:r w:rsidRPr="009A2200">
        <w:rPr>
          <w:color w:val="000000"/>
        </w:rPr>
        <w:t>(Tushman and O’Reilly, 2020)</w:t>
      </w:r>
      <w:r w:rsidRPr="00A90B2E">
        <w:rPr>
          <w:color w:val="000000"/>
        </w:rPr>
        <w:t>. Pioneer and follower firms have various market opportunities and problems, hence their strategic responses differ as well. Emphasising strategic consequences of market entry time, this section analyses how selected companies control PLC development and maturity.</w:t>
      </w:r>
    </w:p>
    <w:p w14:paraId="2C97E8DD" w14:textId="77777777" w:rsidR="00A90B2E" w:rsidRDefault="00A90B2E" w:rsidP="009A2200">
      <w:pPr>
        <w:rPr>
          <w:color w:val="000000"/>
        </w:rPr>
      </w:pPr>
    </w:p>
    <w:p w14:paraId="6694F30C" w14:textId="5F21BE8C" w:rsidR="009A2200" w:rsidRDefault="009A2200" w:rsidP="009A2200">
      <w:pPr>
        <w:rPr>
          <w:color w:val="000000"/>
        </w:rPr>
      </w:pPr>
      <w:r w:rsidRPr="009A2200">
        <w:rPr>
          <w:color w:val="000000"/>
        </w:rPr>
        <w:t>As a fundamental strategic method, the Product Life Cycle (PLC) model enables businesses to structure their marketing actions for changing market demands during different competitive stages. The growth and maturity phases demand specific corporate strategies from companies to maintain competitive advantage because these periods show quick market expansion followed by market saturation (Phillips, Chang and Buzzell, 2021). Various companies that serve as pioneers or followers including King (Candy Crush), BT (Fibre and 5G), Betfair, easyJet, Morrisons (Online Groceries), and John Lewis (Home Technology) must develop specific strategies to succeed in these stages.</w:t>
      </w:r>
    </w:p>
    <w:p w14:paraId="0C70FEFF" w14:textId="4DD7B269" w:rsidR="000034FA" w:rsidRDefault="000034FA" w:rsidP="000034FA">
      <w:pPr>
        <w:jc w:val="center"/>
      </w:pPr>
      <w:r>
        <w:rPr>
          <w:noProof/>
        </w:rPr>
        <w:lastRenderedPageBreak/>
        <w:drawing>
          <wp:inline distT="0" distB="0" distL="0" distR="0" wp14:anchorId="7E13CDC0" wp14:editId="063C2EAF">
            <wp:extent cx="4114800" cy="2488952"/>
            <wp:effectExtent l="0" t="0" r="0" b="635"/>
            <wp:docPr id="1087298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98927" name="Picture 108729892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45806" cy="2507707"/>
                    </a:xfrm>
                    <a:prstGeom prst="rect">
                      <a:avLst/>
                    </a:prstGeom>
                  </pic:spPr>
                </pic:pic>
              </a:graphicData>
            </a:graphic>
          </wp:inline>
        </w:drawing>
      </w:r>
    </w:p>
    <w:p w14:paraId="66E440E1" w14:textId="06D21AFC" w:rsidR="000034FA" w:rsidRPr="009A2200" w:rsidRDefault="000034FA" w:rsidP="000034FA">
      <w:pPr>
        <w:pStyle w:val="Caption"/>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4005F1">
        <w:rPr>
          <w:lang w:val="en-US"/>
        </w:rPr>
        <w:t>Product Life Cycle (PLC) Model highlighting Growth and Maturity stages relevant to strategic analysis of pioneer and follower companies.</w:t>
      </w:r>
    </w:p>
    <w:p w14:paraId="6F3BA2F8" w14:textId="77777777" w:rsidR="009A2200" w:rsidRPr="009A2200" w:rsidRDefault="009A2200" w:rsidP="009A2200">
      <w:pPr>
        <w:pStyle w:val="Heading2"/>
      </w:pPr>
      <w:bookmarkStart w:id="4" w:name="_Toc193064776"/>
      <w:r w:rsidRPr="009A2200">
        <w:t>Growth Stage Strategies</w:t>
      </w:r>
      <w:bookmarkEnd w:id="4"/>
    </w:p>
    <w:p w14:paraId="5DE7E786" w14:textId="77777777" w:rsidR="009A2200" w:rsidRPr="009A2200" w:rsidRDefault="009A2200" w:rsidP="009A2200">
      <w:r w:rsidRPr="009A2200">
        <w:rPr>
          <w:color w:val="000000"/>
        </w:rPr>
        <w:t>The growth stage compels businesses to execute three core operational elements which consist of enhancing market share and improving their products along with developing customer base numbers. A pioneer company must use this period to maintain their initial leadership position by developing sustainable customer relationships. The creation of aggressive growth strategies including updates and new levels with temporary events became a key element of King's approach to sustain Candy Crush's initial success. The annual financial report of 2022 from King revealed that their growth strategies produced a $1.2 billion revenue stream for Candy Crush as they successfully maintained a global player base which exceeded 240 million monthly active users (Tushman and O’Reilly, 2020). Such statistics reinforce the necessity of consistent content improvement for sustaining user retention and minimising attrition because mobile gaming has a high market speed. During the growth stage, follower companies should seize existing market demand by providing services when pioneers have failed to meet customer needs. BT took advantage of competitor advantages by entering fibre broadband and 5G markets after Vodafone along with other companies developed this technology area. BT dedicated £15 billion to network upgrades which they used to enhance 5G reliability while ensuring 5G coverage reached all areas of the UK before 2025 (Thietart and Vivas, 2019). BT exploited market opportunities through outstanding service quality and speed which enabled the company to gain market share by resolving customer complaints thus proving the effectiveness of follower strategies during growth stage development.</w:t>
      </w:r>
    </w:p>
    <w:p w14:paraId="23441267" w14:textId="77777777" w:rsidR="009A2200" w:rsidRPr="009A2200" w:rsidRDefault="009A2200" w:rsidP="009A2200">
      <w:pPr>
        <w:pStyle w:val="Heading2"/>
      </w:pPr>
      <w:bookmarkStart w:id="5" w:name="_Toc193064777"/>
      <w:r w:rsidRPr="009A2200">
        <w:lastRenderedPageBreak/>
        <w:t>Maturity Stage Strategies</w:t>
      </w:r>
      <w:bookmarkEnd w:id="5"/>
    </w:p>
    <w:p w14:paraId="0582CD1E" w14:textId="77777777" w:rsidR="009A2200" w:rsidRPr="009A2200" w:rsidRDefault="009A2200" w:rsidP="009A2200">
      <w:r w:rsidRPr="009A2200">
        <w:rPr>
          <w:color w:val="000000"/>
        </w:rPr>
        <w:t>Industry maturity leads to saturated marketplaces where growth slows and competition rises. Companies at this level must utilise defence and differentiating measures to be relevant and profitable. Pioneers must constantly create and expand their product line to maintain their lead. Betfair focused on product diversification while its online betting exchange business matured. DraftKings and FanDuel drove Betfair to add live betting, casino games, and mobile platforms to retain users and attract new ones. Betfair gained 16% of the UK online betting market in 2021, with mobile betting transactions exceeding 70% (Ruttan, 2020). EasyJet expanded by adding routes and service appreciation features in the saturated low-cost airline business. Flexible ticketing and additional European routes for leisure and corporate customers helped EasyJet succeed. IATA (2023) reported that EasyJet's maturity stage initiatives increased passenger counts to over 82 million in 2022, surpassing pre-pandemic levels. The mature stage allows companies to differentiate themselves by excellent customer service, innovative methods, and pricing advantages (Tilman et al., 2023). Morrisons attracted customers with fresh product deliveries, Amazon Prime delivery arrangements, and value-based pricing for its online grocery business. As Tesco and Sainsbury's retained market leadership, Morrisons' inventive upgrades increased online sales by 113% in 2021 (Tilman et al., 2023). Even though Morrisons launched online after other big competitors, its appealing discounts helped it gain devoted customers. John Lewis used premium differentiation to compete in mature home technology. Personal client interactions, product expansion, and home consultancy services let John Lewis stay competitive in the luxury market as a premium technology provider. This business model gave John Lewis 12% share ownership in the UK home technology market in 2022, despite industry stagnation.</w:t>
      </w:r>
    </w:p>
    <w:p w14:paraId="55343AA9" w14:textId="2722C5C0" w:rsidR="009A2200" w:rsidRPr="009A2200" w:rsidRDefault="009A2200" w:rsidP="009A2200">
      <w:pPr>
        <w:pStyle w:val="Heading2"/>
      </w:pPr>
      <w:bookmarkStart w:id="6" w:name="_Toc193064778"/>
      <w:r w:rsidRPr="009A2200">
        <w:t>Critical Reflection on PLC Strategies</w:t>
      </w:r>
      <w:bookmarkEnd w:id="6"/>
    </w:p>
    <w:p w14:paraId="4FBB3B43" w14:textId="3ABF04E2" w:rsidR="009A2200" w:rsidRDefault="009A2200" w:rsidP="009A2200">
      <w:pPr>
        <w:rPr>
          <w:color w:val="000000"/>
          <w:lang w:val="en-US"/>
        </w:rPr>
      </w:pPr>
      <w:r w:rsidRPr="009A2200">
        <w:rPr>
          <w:color w:val="000000"/>
        </w:rPr>
        <w:t xml:space="preserve">These situations demonstrate how leaders who innovate in mature stages to prevent obsolescence but followers succeed by differentiating services and costs to confront dominant companies. Businesses within this situation need to adjust according to shifting consumer needs together with developing technology. The rising demand for environmentally sustainable products is pushing both original and later-entering companies to modify their PLC strategies by incorporating ESG factors (Weber and Tarba, 2022). The importance of digital transformation through AI and data analytics continues to grow for both growth and maturity </w:t>
      </w:r>
      <w:r w:rsidRPr="009A2200">
        <w:rPr>
          <w:color w:val="000000"/>
        </w:rPr>
        <w:lastRenderedPageBreak/>
        <w:t>stages because businesses want to improve operations while personalizing customer experiences.</w:t>
      </w:r>
    </w:p>
    <w:p w14:paraId="4D2B2605" w14:textId="0B5E7871" w:rsidR="00A90B2E" w:rsidRDefault="00A90B2E" w:rsidP="009A2200">
      <w:pPr>
        <w:rPr>
          <w:color w:val="000000"/>
          <w:lang w:val="en-US"/>
        </w:rPr>
      </w:pPr>
    </w:p>
    <w:p w14:paraId="23F4407D" w14:textId="77777777" w:rsidR="00A90B2E" w:rsidRDefault="00A90B2E" w:rsidP="00A90B2E"/>
    <w:p w14:paraId="2DF70FA0" w14:textId="16966D85" w:rsidR="00A90B2E" w:rsidRPr="00A90B2E" w:rsidRDefault="00A90B2E" w:rsidP="00A90B2E">
      <w:r w:rsidRPr="00A90B2E">
        <w:t>In summary, pioneer and follower companies have to precisely align their approach with demands of development and maturity. By raising service, customer experience, and cost economy, followers want to challenge current businesses. Pioneers give innovation, expansion, and keeping their lead first priority. The PLC performance of a business depends on its ability to predict consumer expectations, foresight of market trends, and provide unique value.</w:t>
      </w:r>
      <w:r w:rsidRPr="00A90B2E">
        <w:br/>
      </w:r>
      <w:r w:rsidRPr="00A90B2E">
        <w:br/>
      </w:r>
    </w:p>
    <w:p w14:paraId="7A1F3F78" w14:textId="77777777" w:rsidR="00A90B2E" w:rsidRPr="00A90B2E" w:rsidRDefault="00A90B2E" w:rsidP="00A90B2E"/>
    <w:p w14:paraId="423F4CBC" w14:textId="77777777" w:rsidR="00A90B2E" w:rsidRPr="00A90B2E" w:rsidRDefault="00A90B2E" w:rsidP="009A2200">
      <w:pPr>
        <w:rPr>
          <w:lang w:val="en-US"/>
        </w:rPr>
      </w:pPr>
    </w:p>
    <w:p w14:paraId="5CDD5952" w14:textId="77777777" w:rsidR="009A2200" w:rsidRPr="009A2200" w:rsidRDefault="009A2200" w:rsidP="009A2200"/>
    <w:p w14:paraId="390DB02A" w14:textId="77777777" w:rsidR="009A2200" w:rsidRDefault="009A2200">
      <w:pPr>
        <w:spacing w:after="160" w:line="259" w:lineRule="auto"/>
        <w:jc w:val="left"/>
        <w:rPr>
          <w:b/>
          <w:bCs/>
          <w:color w:val="000000"/>
        </w:rPr>
      </w:pPr>
      <w:r>
        <w:rPr>
          <w:b/>
          <w:bCs/>
          <w:color w:val="000000"/>
        </w:rPr>
        <w:br w:type="page"/>
      </w:r>
    </w:p>
    <w:p w14:paraId="32B892C7" w14:textId="4FA2F13E" w:rsidR="009A2200" w:rsidRPr="009A2200" w:rsidRDefault="009A2200" w:rsidP="009A2200">
      <w:pPr>
        <w:pStyle w:val="Heading1"/>
      </w:pPr>
      <w:bookmarkStart w:id="7" w:name="_Toc193064779"/>
      <w:r w:rsidRPr="009A2200">
        <w:lastRenderedPageBreak/>
        <w:t>Conclusion</w:t>
      </w:r>
      <w:bookmarkEnd w:id="7"/>
    </w:p>
    <w:p w14:paraId="6DE3BD06" w14:textId="77777777" w:rsidR="009A2200" w:rsidRPr="009A2200" w:rsidRDefault="009A2200" w:rsidP="009A2200">
      <w:r w:rsidRPr="009A2200">
        <w:rPr>
          <w:color w:val="000000"/>
        </w:rPr>
        <w:t>The decision between pioneer and follower roles creates strong influences that affect company marketplace strategies and achievement. King together with M Squared Lasers and Oxford Nanopore Technologies earned first-mover advantages which enabled them to become major industry players while creating conditions for upcoming market competition. Infrastructure pioneers face substantial dangers that consist of paying for innovation development and having an unclear marketplace combined with continuous pressure to innovate so they keep their competitive lead position (Witkowski, 2021). BT (Fibre and 5G) and Morrisons (Online Groceries) plus John Lewis (Home Technology) have chosen to enter markets that already show signs of demand thus reducing their entrance difficulties while improving upon existing products and services. Followers minimise market entry costs by entering after demand proves but they need to establish successful differentiation in an established market. To preserve their market position and sustain competitive advantage both pioneers and followers need to adjust their strategies during the growth and maturity stages of the PLC by establishing differentiation while focusing on customer experience and innovation (Phillips, Chang and Buzzell, 2021). Companies can utilise the PLC model to understand how they should handle their growth and maturity phases so they maintain their ability to fulfil consumer needs together with changing market aspects. Every business must remain flexible and attentive because these traits ensure their persistence and extended achievement in markets that grow increasingly competitive.</w:t>
      </w:r>
    </w:p>
    <w:p w14:paraId="54D77C20" w14:textId="77777777" w:rsidR="009A2200" w:rsidRPr="009A2200" w:rsidRDefault="009A2200" w:rsidP="009A2200"/>
    <w:p w14:paraId="3F4F5CF0" w14:textId="77777777" w:rsidR="009A2200" w:rsidRDefault="009A2200">
      <w:pPr>
        <w:spacing w:after="160" w:line="259" w:lineRule="auto"/>
        <w:jc w:val="left"/>
        <w:rPr>
          <w:color w:val="000000"/>
        </w:rPr>
      </w:pPr>
      <w:r>
        <w:rPr>
          <w:color w:val="000000"/>
        </w:rPr>
        <w:br w:type="page"/>
      </w:r>
    </w:p>
    <w:p w14:paraId="69C1B5A8" w14:textId="4CA70A9F" w:rsidR="009A2200" w:rsidRPr="009A2200" w:rsidRDefault="009A2200" w:rsidP="000F640F">
      <w:pPr>
        <w:pStyle w:val="Heading1"/>
      </w:pPr>
      <w:bookmarkStart w:id="8" w:name="_Toc193064780"/>
      <w:r w:rsidRPr="009A2200">
        <w:lastRenderedPageBreak/>
        <w:t>Reference</w:t>
      </w:r>
      <w:bookmarkEnd w:id="8"/>
    </w:p>
    <w:p w14:paraId="4762ECA9" w14:textId="77777777" w:rsidR="009A2200" w:rsidRDefault="009A2200" w:rsidP="009A2200">
      <w:pPr>
        <w:rPr>
          <w:color w:val="000000"/>
        </w:rPr>
      </w:pPr>
      <w:r w:rsidRPr="009A2200">
        <w:rPr>
          <w:color w:val="000000"/>
        </w:rPr>
        <w:t xml:space="preserve">Anderson, C.R. and Zeithaml, C.P. (2021) 'Stage of the product life cycle, business strategy, and business performance,' </w:t>
      </w:r>
      <w:r w:rsidRPr="009A2200">
        <w:rPr>
          <w:i/>
          <w:iCs/>
          <w:color w:val="000000"/>
        </w:rPr>
        <w:t>Academy of Management Journal</w:t>
      </w:r>
      <w:r w:rsidRPr="009A2200">
        <w:rPr>
          <w:color w:val="000000"/>
        </w:rPr>
        <w:t xml:space="preserve">, 27(1), pp. 5–24. </w:t>
      </w:r>
      <w:hyperlink r:id="rId10" w:history="1">
        <w:r w:rsidRPr="009A2200">
          <w:rPr>
            <w:rStyle w:val="Hyperlink"/>
            <w:rFonts w:eastAsiaTheme="majorEastAsia"/>
            <w:color w:val="1155CC"/>
          </w:rPr>
          <w:t>https://doi.org/10.5465/255954</w:t>
        </w:r>
      </w:hyperlink>
      <w:r w:rsidRPr="009A2200">
        <w:rPr>
          <w:color w:val="000000"/>
        </w:rPr>
        <w:t>.</w:t>
      </w:r>
    </w:p>
    <w:p w14:paraId="6A8C1D43" w14:textId="77777777" w:rsidR="00F02B58" w:rsidRPr="009A2200" w:rsidRDefault="00F02B58" w:rsidP="009A2200"/>
    <w:p w14:paraId="391DE82F" w14:textId="77777777" w:rsidR="009A2200" w:rsidRDefault="009A2200" w:rsidP="009A2200">
      <w:pPr>
        <w:rPr>
          <w:color w:val="000000"/>
        </w:rPr>
      </w:pPr>
      <w:r w:rsidRPr="009A2200">
        <w:rPr>
          <w:color w:val="000000"/>
        </w:rPr>
        <w:t xml:space="preserve">Avlonitis, G.J. and Salavou, H.E. (2023) 'Entrepreneurial orientation of SMEs, product innovativeness, and performance,' </w:t>
      </w:r>
      <w:r w:rsidRPr="009A2200">
        <w:rPr>
          <w:i/>
          <w:iCs/>
          <w:color w:val="000000"/>
        </w:rPr>
        <w:t>Journal of Business Research</w:t>
      </w:r>
      <w:r w:rsidRPr="009A2200">
        <w:rPr>
          <w:color w:val="000000"/>
        </w:rPr>
        <w:t xml:space="preserve">, 60(5), pp. 566–575. </w:t>
      </w:r>
      <w:hyperlink r:id="rId11" w:history="1">
        <w:r w:rsidRPr="009A2200">
          <w:rPr>
            <w:rStyle w:val="Hyperlink"/>
            <w:rFonts w:eastAsiaTheme="majorEastAsia"/>
            <w:color w:val="1155CC"/>
          </w:rPr>
          <w:t>https://doi.org/10.1016/j.jbusres.2007.01.001</w:t>
        </w:r>
      </w:hyperlink>
      <w:r w:rsidRPr="009A2200">
        <w:rPr>
          <w:color w:val="000000"/>
        </w:rPr>
        <w:t>.</w:t>
      </w:r>
    </w:p>
    <w:p w14:paraId="16297E0E" w14:textId="77777777" w:rsidR="00F02B58" w:rsidRPr="009A2200" w:rsidRDefault="00F02B58" w:rsidP="009A2200"/>
    <w:p w14:paraId="4B613647" w14:textId="77777777" w:rsidR="009A2200" w:rsidRDefault="009A2200" w:rsidP="009A2200">
      <w:pPr>
        <w:rPr>
          <w:color w:val="000000"/>
        </w:rPr>
      </w:pPr>
      <w:r w:rsidRPr="009A2200">
        <w:rPr>
          <w:color w:val="000000"/>
        </w:rPr>
        <w:t xml:space="preserve">Benveniste, L.M. et al. (2022) 'Evidence of information spillovers in the production of investment banking services,' </w:t>
      </w:r>
      <w:r w:rsidRPr="009A2200">
        <w:rPr>
          <w:i/>
          <w:iCs/>
          <w:color w:val="000000"/>
        </w:rPr>
        <w:t>The Journal of Finance</w:t>
      </w:r>
      <w:r w:rsidRPr="009A2200">
        <w:rPr>
          <w:color w:val="000000"/>
        </w:rPr>
        <w:t xml:space="preserve">, 58(2), pp. 577–608. </w:t>
      </w:r>
      <w:hyperlink r:id="rId12" w:history="1">
        <w:r w:rsidRPr="009A2200">
          <w:rPr>
            <w:rStyle w:val="Hyperlink"/>
            <w:rFonts w:eastAsiaTheme="majorEastAsia"/>
            <w:color w:val="1155CC"/>
          </w:rPr>
          <w:t>https://doi.org/10.1111/1540-6261.00538</w:t>
        </w:r>
      </w:hyperlink>
      <w:r w:rsidRPr="009A2200">
        <w:rPr>
          <w:color w:val="000000"/>
        </w:rPr>
        <w:t>.</w:t>
      </w:r>
    </w:p>
    <w:p w14:paraId="2FCE48AC" w14:textId="77777777" w:rsidR="00F02B58" w:rsidRPr="009A2200" w:rsidRDefault="00F02B58" w:rsidP="009A2200"/>
    <w:p w14:paraId="6B6C2E83" w14:textId="77777777" w:rsidR="009A2200" w:rsidRDefault="009A2200" w:rsidP="009A2200">
      <w:pPr>
        <w:rPr>
          <w:color w:val="000000"/>
        </w:rPr>
      </w:pPr>
      <w:r w:rsidRPr="009A2200">
        <w:rPr>
          <w:color w:val="000000"/>
        </w:rPr>
        <w:t xml:space="preserve">Ghobakhloo, M. (2024) 'The future of manufacturing industry: a strategic roadmap toward Industry 4.0,' </w:t>
      </w:r>
      <w:r w:rsidRPr="009A2200">
        <w:rPr>
          <w:i/>
          <w:iCs/>
          <w:color w:val="000000"/>
        </w:rPr>
        <w:t>Journal of Manufacturing Technology Management</w:t>
      </w:r>
      <w:r w:rsidRPr="009A2200">
        <w:rPr>
          <w:color w:val="000000"/>
        </w:rPr>
        <w:t xml:space="preserve">, 29(6), pp. 910–936. </w:t>
      </w:r>
      <w:hyperlink r:id="rId13" w:history="1">
        <w:r w:rsidRPr="009A2200">
          <w:rPr>
            <w:rStyle w:val="Hyperlink"/>
            <w:rFonts w:eastAsiaTheme="majorEastAsia"/>
            <w:color w:val="1155CC"/>
          </w:rPr>
          <w:t>https://doi.org/10.1108/jmtm-02-2018-0057</w:t>
        </w:r>
      </w:hyperlink>
      <w:r w:rsidRPr="009A2200">
        <w:rPr>
          <w:color w:val="000000"/>
        </w:rPr>
        <w:t>.</w:t>
      </w:r>
    </w:p>
    <w:p w14:paraId="3C28D60E" w14:textId="77777777" w:rsidR="00F02B58" w:rsidRPr="009A2200" w:rsidRDefault="00F02B58" w:rsidP="009A2200"/>
    <w:p w14:paraId="304146EF" w14:textId="77777777" w:rsidR="009A2200" w:rsidRDefault="009A2200" w:rsidP="009A2200">
      <w:pPr>
        <w:rPr>
          <w:color w:val="000000"/>
        </w:rPr>
      </w:pPr>
      <w:r w:rsidRPr="009A2200">
        <w:rPr>
          <w:color w:val="000000"/>
        </w:rPr>
        <w:t xml:space="preserve">He, Z.-L. and Wong, P.-K. (2020) 'Exploration vs. Exploitation: An Empirical Test of the Ambidexterity Hypothesis,' </w:t>
      </w:r>
      <w:r w:rsidRPr="009A2200">
        <w:rPr>
          <w:i/>
          <w:iCs/>
          <w:color w:val="000000"/>
        </w:rPr>
        <w:t>Organization Science</w:t>
      </w:r>
      <w:r w:rsidRPr="009A2200">
        <w:rPr>
          <w:color w:val="000000"/>
        </w:rPr>
        <w:t xml:space="preserve">, 15(4), pp. 481–494. </w:t>
      </w:r>
      <w:hyperlink r:id="rId14" w:history="1">
        <w:r w:rsidRPr="009A2200">
          <w:rPr>
            <w:rStyle w:val="Hyperlink"/>
            <w:rFonts w:eastAsiaTheme="majorEastAsia"/>
            <w:color w:val="1155CC"/>
          </w:rPr>
          <w:t>https://doi.org/10.1287/orsc.1040.0078</w:t>
        </w:r>
      </w:hyperlink>
      <w:r w:rsidRPr="009A2200">
        <w:rPr>
          <w:color w:val="000000"/>
        </w:rPr>
        <w:t>.</w:t>
      </w:r>
    </w:p>
    <w:p w14:paraId="3205D7E0" w14:textId="77777777" w:rsidR="00F02B58" w:rsidRPr="009A2200" w:rsidRDefault="00F02B58" w:rsidP="009A2200"/>
    <w:p w14:paraId="534B15AA" w14:textId="77777777" w:rsidR="009A2200" w:rsidRDefault="009A2200" w:rsidP="009A2200">
      <w:pPr>
        <w:rPr>
          <w:color w:val="000000"/>
        </w:rPr>
      </w:pPr>
      <w:r w:rsidRPr="009A2200">
        <w:rPr>
          <w:color w:val="000000"/>
        </w:rPr>
        <w:t xml:space="preserve">Jensen, M.C. (2023) 'The performance of mutual funds in the period 1945-1964,' </w:t>
      </w:r>
      <w:r w:rsidRPr="009A2200">
        <w:rPr>
          <w:i/>
          <w:iCs/>
          <w:color w:val="000000"/>
        </w:rPr>
        <w:t>The Journal of Finance</w:t>
      </w:r>
      <w:r w:rsidRPr="009A2200">
        <w:rPr>
          <w:color w:val="000000"/>
        </w:rPr>
        <w:t xml:space="preserve">, 23(2), p. 389. </w:t>
      </w:r>
      <w:hyperlink r:id="rId15" w:history="1">
        <w:r w:rsidRPr="009A2200">
          <w:rPr>
            <w:rStyle w:val="Hyperlink"/>
            <w:rFonts w:eastAsiaTheme="majorEastAsia"/>
            <w:color w:val="1155CC"/>
          </w:rPr>
          <w:t>https://doi.org/10.2307/2325404</w:t>
        </w:r>
      </w:hyperlink>
      <w:r w:rsidRPr="009A2200">
        <w:rPr>
          <w:color w:val="000000"/>
        </w:rPr>
        <w:t>.</w:t>
      </w:r>
    </w:p>
    <w:p w14:paraId="5E4CFBD7" w14:textId="77777777" w:rsidR="00F02B58" w:rsidRPr="009A2200" w:rsidRDefault="00F02B58" w:rsidP="009A2200"/>
    <w:p w14:paraId="028B089B" w14:textId="77777777" w:rsidR="009A2200" w:rsidRDefault="009A2200" w:rsidP="009A2200">
      <w:pPr>
        <w:rPr>
          <w:color w:val="000000"/>
        </w:rPr>
      </w:pPr>
      <w:r w:rsidRPr="009A2200">
        <w:rPr>
          <w:color w:val="000000"/>
        </w:rPr>
        <w:t xml:space="preserve">Linnenluecke, M. and Griffiths, A. (2019) 'Beyond adaptation: resilience for business in light of climate change and weather extremes,' </w:t>
      </w:r>
      <w:r w:rsidRPr="009A2200">
        <w:rPr>
          <w:i/>
          <w:iCs/>
          <w:color w:val="000000"/>
        </w:rPr>
        <w:t>Business &amp; Society</w:t>
      </w:r>
      <w:r w:rsidRPr="009A2200">
        <w:rPr>
          <w:color w:val="000000"/>
        </w:rPr>
        <w:t xml:space="preserve">, 49(3), pp. 477–511. </w:t>
      </w:r>
      <w:hyperlink r:id="rId16" w:history="1">
        <w:r w:rsidRPr="009A2200">
          <w:rPr>
            <w:rStyle w:val="Hyperlink"/>
            <w:rFonts w:eastAsiaTheme="majorEastAsia"/>
            <w:color w:val="1155CC"/>
          </w:rPr>
          <w:t>https://doi.org/10.1177/0007650310368814</w:t>
        </w:r>
      </w:hyperlink>
      <w:r w:rsidRPr="009A2200">
        <w:rPr>
          <w:color w:val="000000"/>
        </w:rPr>
        <w:t>.</w:t>
      </w:r>
    </w:p>
    <w:p w14:paraId="529F3583" w14:textId="77777777" w:rsidR="00F02B58" w:rsidRPr="009A2200" w:rsidRDefault="00F02B58" w:rsidP="009A2200"/>
    <w:p w14:paraId="2AD5E0BA" w14:textId="77777777" w:rsidR="009A2200" w:rsidRPr="009A2200" w:rsidRDefault="009A2200" w:rsidP="009A2200">
      <w:r w:rsidRPr="009A2200">
        <w:rPr>
          <w:color w:val="000000"/>
        </w:rPr>
        <w:t xml:space="preserve">Lynn, G.S., Morone, J.G. and Paulson, A.S. (2022) 'Marketing and Discontinuous Innovation: the probe and learn process,' </w:t>
      </w:r>
      <w:r w:rsidRPr="009A2200">
        <w:rPr>
          <w:i/>
          <w:iCs/>
          <w:color w:val="000000"/>
        </w:rPr>
        <w:t>California Management Review</w:t>
      </w:r>
      <w:r w:rsidRPr="009A2200">
        <w:rPr>
          <w:color w:val="000000"/>
        </w:rPr>
        <w:t xml:space="preserve">, 38(3), pp. 8–37. </w:t>
      </w:r>
      <w:hyperlink r:id="rId17" w:history="1">
        <w:r w:rsidRPr="009A2200">
          <w:rPr>
            <w:rStyle w:val="Hyperlink"/>
            <w:rFonts w:eastAsiaTheme="majorEastAsia"/>
            <w:color w:val="1155CC"/>
          </w:rPr>
          <w:t>https://doi.org/10.2307/41165841</w:t>
        </w:r>
      </w:hyperlink>
      <w:r w:rsidRPr="009A2200">
        <w:rPr>
          <w:color w:val="000000"/>
        </w:rPr>
        <w:t>.</w:t>
      </w:r>
    </w:p>
    <w:p w14:paraId="6A1AFECF" w14:textId="77777777" w:rsidR="009A2200" w:rsidRDefault="009A2200" w:rsidP="009A2200">
      <w:pPr>
        <w:rPr>
          <w:color w:val="000000"/>
        </w:rPr>
      </w:pPr>
      <w:r w:rsidRPr="009A2200">
        <w:rPr>
          <w:color w:val="000000"/>
        </w:rPr>
        <w:lastRenderedPageBreak/>
        <w:t xml:space="preserve">Mahapatra, S.K., Das, A. and Narasimhan, R. (2024) 'A contingent theory of supplier management initiatives: Effects of competitive intensity and product life cycle,' </w:t>
      </w:r>
      <w:r w:rsidRPr="009A2200">
        <w:rPr>
          <w:i/>
          <w:iCs/>
          <w:color w:val="000000"/>
        </w:rPr>
        <w:t>Journal of Operations Management</w:t>
      </w:r>
      <w:r w:rsidRPr="009A2200">
        <w:rPr>
          <w:color w:val="000000"/>
        </w:rPr>
        <w:t xml:space="preserve">, 30(5), pp. 406–422. </w:t>
      </w:r>
      <w:hyperlink r:id="rId18" w:history="1">
        <w:r w:rsidRPr="009A2200">
          <w:rPr>
            <w:rStyle w:val="Hyperlink"/>
            <w:rFonts w:eastAsiaTheme="majorEastAsia"/>
            <w:color w:val="1155CC"/>
          </w:rPr>
          <w:t>https://doi.org/10.1016/j.jom.2012.03.004</w:t>
        </w:r>
      </w:hyperlink>
      <w:r w:rsidRPr="009A2200">
        <w:rPr>
          <w:color w:val="000000"/>
        </w:rPr>
        <w:t>.</w:t>
      </w:r>
    </w:p>
    <w:p w14:paraId="3E4D429D" w14:textId="77777777" w:rsidR="00F02B58" w:rsidRPr="009A2200" w:rsidRDefault="00F02B58" w:rsidP="009A2200"/>
    <w:p w14:paraId="28AE47BB" w14:textId="77777777" w:rsidR="009A2200" w:rsidRDefault="009A2200" w:rsidP="009A2200">
      <w:pPr>
        <w:rPr>
          <w:color w:val="000000"/>
        </w:rPr>
      </w:pPr>
      <w:r w:rsidRPr="009A2200">
        <w:rPr>
          <w:color w:val="000000"/>
        </w:rPr>
        <w:t xml:space="preserve">Majone, G. (2023) 'From the positive to the regulatory state: Causes and consequences of changes in the mode of governance,' </w:t>
      </w:r>
      <w:r w:rsidRPr="009A2200">
        <w:rPr>
          <w:i/>
          <w:iCs/>
          <w:color w:val="000000"/>
        </w:rPr>
        <w:t>Journal of Public Policy</w:t>
      </w:r>
      <w:r w:rsidRPr="009A2200">
        <w:rPr>
          <w:color w:val="000000"/>
        </w:rPr>
        <w:t xml:space="preserve">, 17(2), pp. 139–167. </w:t>
      </w:r>
      <w:hyperlink r:id="rId19" w:history="1">
        <w:r w:rsidRPr="009A2200">
          <w:rPr>
            <w:rStyle w:val="Hyperlink"/>
            <w:rFonts w:eastAsiaTheme="majorEastAsia"/>
            <w:color w:val="1155CC"/>
          </w:rPr>
          <w:t>https://doi.org/10.1017/s0143814x00003524</w:t>
        </w:r>
      </w:hyperlink>
      <w:r w:rsidRPr="009A2200">
        <w:rPr>
          <w:color w:val="000000"/>
        </w:rPr>
        <w:t>.</w:t>
      </w:r>
    </w:p>
    <w:p w14:paraId="0F449DD8" w14:textId="77777777" w:rsidR="00F02B58" w:rsidRPr="009A2200" w:rsidRDefault="00F02B58" w:rsidP="009A2200"/>
    <w:p w14:paraId="4102A66D" w14:textId="77777777" w:rsidR="009A2200" w:rsidRDefault="009A2200" w:rsidP="009A2200">
      <w:pPr>
        <w:rPr>
          <w:color w:val="000000"/>
        </w:rPr>
      </w:pPr>
      <w:r w:rsidRPr="009A2200">
        <w:rPr>
          <w:color w:val="000000"/>
        </w:rPr>
        <w:t xml:space="preserve">Phillips, L.W., Chang, D.R. and Buzzell, R.D. (2021) 'Product quality, cost position and business performance: a test of some key hypotheses,' </w:t>
      </w:r>
      <w:r w:rsidRPr="009A2200">
        <w:rPr>
          <w:i/>
          <w:iCs/>
          <w:color w:val="000000"/>
        </w:rPr>
        <w:t>Journal of Marketing</w:t>
      </w:r>
      <w:r w:rsidRPr="009A2200">
        <w:rPr>
          <w:color w:val="000000"/>
        </w:rPr>
        <w:t xml:space="preserve">, 47(2), p. 26. </w:t>
      </w:r>
      <w:hyperlink r:id="rId20" w:history="1">
        <w:r w:rsidRPr="009A2200">
          <w:rPr>
            <w:rStyle w:val="Hyperlink"/>
            <w:rFonts w:eastAsiaTheme="majorEastAsia"/>
            <w:color w:val="1155CC"/>
          </w:rPr>
          <w:t>https://doi.org/10.2307/1251491</w:t>
        </w:r>
      </w:hyperlink>
      <w:r w:rsidRPr="009A2200">
        <w:rPr>
          <w:color w:val="000000"/>
        </w:rPr>
        <w:t>.</w:t>
      </w:r>
    </w:p>
    <w:p w14:paraId="748DB42F" w14:textId="77777777" w:rsidR="00F02B58" w:rsidRPr="009A2200" w:rsidRDefault="00F02B58" w:rsidP="009A2200"/>
    <w:p w14:paraId="1DB7871B" w14:textId="77777777" w:rsidR="009A2200" w:rsidRDefault="009A2200" w:rsidP="009A2200">
      <w:pPr>
        <w:rPr>
          <w:color w:val="000000"/>
        </w:rPr>
      </w:pPr>
      <w:r w:rsidRPr="009A2200">
        <w:rPr>
          <w:color w:val="000000"/>
        </w:rPr>
        <w:t xml:space="preserve">Robinson, W.T., Fornell, C. and Sullivan, M. (2022) 'Are market pioneers intrinsically stronger than later entrants?,' </w:t>
      </w:r>
      <w:r w:rsidRPr="009A2200">
        <w:rPr>
          <w:i/>
          <w:iCs/>
          <w:color w:val="000000"/>
        </w:rPr>
        <w:t>Strategic Management Journal</w:t>
      </w:r>
      <w:r w:rsidRPr="009A2200">
        <w:rPr>
          <w:color w:val="000000"/>
        </w:rPr>
        <w:t xml:space="preserve">, 13(8), pp. 609–624. </w:t>
      </w:r>
      <w:hyperlink r:id="rId21" w:history="1">
        <w:r w:rsidRPr="009A2200">
          <w:rPr>
            <w:rStyle w:val="Hyperlink"/>
            <w:rFonts w:eastAsiaTheme="majorEastAsia"/>
            <w:color w:val="1155CC"/>
          </w:rPr>
          <w:t>https://doi.org/10.1002/smj.4250130804</w:t>
        </w:r>
      </w:hyperlink>
      <w:r w:rsidRPr="009A2200">
        <w:rPr>
          <w:color w:val="000000"/>
        </w:rPr>
        <w:t>.</w:t>
      </w:r>
    </w:p>
    <w:p w14:paraId="576FD0D1" w14:textId="77777777" w:rsidR="00F02B58" w:rsidRPr="009A2200" w:rsidRDefault="00F02B58" w:rsidP="009A2200"/>
    <w:p w14:paraId="24C6D2AE" w14:textId="77777777" w:rsidR="009A2200" w:rsidRDefault="009A2200" w:rsidP="009A2200">
      <w:pPr>
        <w:rPr>
          <w:color w:val="000000"/>
        </w:rPr>
      </w:pPr>
      <w:r w:rsidRPr="009A2200">
        <w:rPr>
          <w:color w:val="000000"/>
        </w:rPr>
        <w:t xml:space="preserve">Ruttan, V.W. (2020) 'Technology, growth, and development: an induced innovation perspective,' </w:t>
      </w:r>
      <w:r w:rsidRPr="009A2200">
        <w:rPr>
          <w:i/>
          <w:iCs/>
          <w:color w:val="000000"/>
        </w:rPr>
        <w:t>OUP Catalogue [Preprint].</w:t>
      </w:r>
      <w:r w:rsidRPr="009A2200">
        <w:rPr>
          <w:color w:val="000000"/>
        </w:rPr>
        <w:t xml:space="preserve"> </w:t>
      </w:r>
      <w:hyperlink r:id="rId22" w:history="1">
        <w:r w:rsidRPr="009A2200">
          <w:rPr>
            <w:rStyle w:val="Hyperlink"/>
            <w:rFonts w:eastAsiaTheme="majorEastAsia"/>
            <w:color w:val="1155CC"/>
          </w:rPr>
          <w:t>https://ci.nii.ac.jp/ncid/BA48560369</w:t>
        </w:r>
      </w:hyperlink>
      <w:r w:rsidRPr="009A2200">
        <w:rPr>
          <w:color w:val="000000"/>
        </w:rPr>
        <w:t>.</w:t>
      </w:r>
    </w:p>
    <w:p w14:paraId="6C371CC5" w14:textId="77777777" w:rsidR="00F02B58" w:rsidRPr="009A2200" w:rsidRDefault="00F02B58" w:rsidP="009A2200"/>
    <w:p w14:paraId="7A8D15B4" w14:textId="77777777" w:rsidR="009A2200" w:rsidRDefault="009A2200" w:rsidP="009A2200">
      <w:pPr>
        <w:rPr>
          <w:color w:val="000000"/>
        </w:rPr>
      </w:pPr>
      <w:r w:rsidRPr="009A2200">
        <w:rPr>
          <w:color w:val="000000"/>
        </w:rPr>
        <w:t xml:space="preserve">Seskir, Z.C. and Willoughby, K.W. (2024) 'Global innovation and competition in quantum technology, viewed through the lens of patents and artificial intelligence,' </w:t>
      </w:r>
      <w:r w:rsidRPr="009A2200">
        <w:rPr>
          <w:i/>
          <w:iCs/>
          <w:color w:val="000000"/>
        </w:rPr>
        <w:t>International Journal of Intellectual Property Management</w:t>
      </w:r>
      <w:r w:rsidRPr="009A2200">
        <w:rPr>
          <w:color w:val="000000"/>
        </w:rPr>
        <w:t xml:space="preserve">, 13(1), p. 40. </w:t>
      </w:r>
      <w:hyperlink r:id="rId23" w:history="1">
        <w:r w:rsidRPr="009A2200">
          <w:rPr>
            <w:rStyle w:val="Hyperlink"/>
            <w:rFonts w:eastAsiaTheme="majorEastAsia"/>
            <w:color w:val="1155CC"/>
          </w:rPr>
          <w:t>https://doi.org/10.1504/ijipm.2023.129076</w:t>
        </w:r>
      </w:hyperlink>
      <w:r w:rsidRPr="009A2200">
        <w:rPr>
          <w:color w:val="000000"/>
        </w:rPr>
        <w:t>.</w:t>
      </w:r>
    </w:p>
    <w:p w14:paraId="50E78B5E" w14:textId="77777777" w:rsidR="00F02B58" w:rsidRPr="009A2200" w:rsidRDefault="00F02B58" w:rsidP="009A2200"/>
    <w:p w14:paraId="118698F3" w14:textId="77777777" w:rsidR="009A2200" w:rsidRDefault="009A2200" w:rsidP="009A2200">
      <w:pPr>
        <w:rPr>
          <w:color w:val="000000"/>
        </w:rPr>
      </w:pPr>
      <w:r w:rsidRPr="009A2200">
        <w:rPr>
          <w:color w:val="000000"/>
        </w:rPr>
        <w:t xml:space="preserve">Tetiana, T., Oleksandr, H. and Valentyna, Z. (2021) 'Recreational tourism: product portfolio diversification,' </w:t>
      </w:r>
      <w:r w:rsidRPr="009A2200">
        <w:rPr>
          <w:i/>
          <w:iCs/>
          <w:color w:val="000000"/>
        </w:rPr>
        <w:t>Herald of Kyiv National University of Trade and Economics</w:t>
      </w:r>
      <w:r w:rsidRPr="009A2200">
        <w:rPr>
          <w:color w:val="000000"/>
        </w:rPr>
        <w:t xml:space="preserve">, 138(4), pp. 81–90. </w:t>
      </w:r>
      <w:hyperlink r:id="rId24" w:history="1">
        <w:r w:rsidRPr="009A2200">
          <w:rPr>
            <w:rStyle w:val="Hyperlink"/>
            <w:rFonts w:eastAsiaTheme="majorEastAsia"/>
            <w:color w:val="1155CC"/>
          </w:rPr>
          <w:t>https://doi.org/10.31617/visnik.knute.2021(138)06</w:t>
        </w:r>
      </w:hyperlink>
      <w:r w:rsidRPr="009A2200">
        <w:rPr>
          <w:color w:val="000000"/>
        </w:rPr>
        <w:t>.</w:t>
      </w:r>
    </w:p>
    <w:p w14:paraId="2364691B" w14:textId="77777777" w:rsidR="00F02B58" w:rsidRPr="009A2200" w:rsidRDefault="00F02B58" w:rsidP="009A2200"/>
    <w:p w14:paraId="73A64DCF" w14:textId="77777777" w:rsidR="009A2200" w:rsidRDefault="009A2200" w:rsidP="009A2200">
      <w:pPr>
        <w:rPr>
          <w:color w:val="000000"/>
        </w:rPr>
      </w:pPr>
      <w:r w:rsidRPr="009A2200">
        <w:rPr>
          <w:color w:val="000000"/>
        </w:rPr>
        <w:t xml:space="preserve">Thietart, R.A. and Vivas, R. (2019) 'An empirical investigation of success strategies for businesses along the product life cycle,' </w:t>
      </w:r>
      <w:r w:rsidRPr="009A2200">
        <w:rPr>
          <w:i/>
          <w:iCs/>
          <w:color w:val="000000"/>
        </w:rPr>
        <w:t>Management Science</w:t>
      </w:r>
      <w:r w:rsidRPr="009A2200">
        <w:rPr>
          <w:color w:val="000000"/>
        </w:rPr>
        <w:t xml:space="preserve">, 30(12), pp. 1405–1423. </w:t>
      </w:r>
      <w:hyperlink r:id="rId25" w:history="1">
        <w:r w:rsidRPr="009A2200">
          <w:rPr>
            <w:rStyle w:val="Hyperlink"/>
            <w:rFonts w:eastAsiaTheme="majorEastAsia"/>
            <w:color w:val="1155CC"/>
          </w:rPr>
          <w:t>https://doi.org/10.1287/mnsc.30.12.1405</w:t>
        </w:r>
      </w:hyperlink>
      <w:r w:rsidRPr="009A2200">
        <w:rPr>
          <w:color w:val="000000"/>
        </w:rPr>
        <w:t>.</w:t>
      </w:r>
    </w:p>
    <w:p w14:paraId="30FC1E02" w14:textId="77777777" w:rsidR="00F02B58" w:rsidRPr="009A2200" w:rsidRDefault="00F02B58" w:rsidP="009A2200"/>
    <w:p w14:paraId="4E03EC7E" w14:textId="77777777" w:rsidR="009A2200" w:rsidRDefault="009A2200" w:rsidP="009A2200">
      <w:pPr>
        <w:rPr>
          <w:color w:val="000000"/>
        </w:rPr>
      </w:pPr>
      <w:r w:rsidRPr="009A2200">
        <w:rPr>
          <w:color w:val="000000"/>
        </w:rPr>
        <w:lastRenderedPageBreak/>
        <w:t xml:space="preserve">Tilman, D. et al. (2023) 'Global food demand and the sustainable intensification of agriculture,' </w:t>
      </w:r>
      <w:r w:rsidRPr="009A2200">
        <w:rPr>
          <w:i/>
          <w:iCs/>
          <w:color w:val="000000"/>
        </w:rPr>
        <w:t>Proceedings of the National Academy of Sciences</w:t>
      </w:r>
      <w:r w:rsidRPr="009A2200">
        <w:rPr>
          <w:color w:val="000000"/>
        </w:rPr>
        <w:t xml:space="preserve">, 108(50), pp. 20260–20264. </w:t>
      </w:r>
      <w:hyperlink r:id="rId26" w:history="1">
        <w:r w:rsidRPr="009A2200">
          <w:rPr>
            <w:rStyle w:val="Hyperlink"/>
            <w:rFonts w:eastAsiaTheme="majorEastAsia"/>
            <w:color w:val="1155CC"/>
          </w:rPr>
          <w:t>https://doi.org/10.1073/pnas.1116437108</w:t>
        </w:r>
      </w:hyperlink>
      <w:r w:rsidRPr="009A2200">
        <w:rPr>
          <w:color w:val="000000"/>
        </w:rPr>
        <w:t>.</w:t>
      </w:r>
    </w:p>
    <w:p w14:paraId="5C144EF1" w14:textId="77777777" w:rsidR="00F02B58" w:rsidRPr="009A2200" w:rsidRDefault="00F02B58" w:rsidP="009A2200"/>
    <w:p w14:paraId="07948601" w14:textId="77777777" w:rsidR="009A2200" w:rsidRDefault="009A2200" w:rsidP="009A2200">
      <w:pPr>
        <w:rPr>
          <w:color w:val="000000"/>
        </w:rPr>
      </w:pPr>
      <w:r w:rsidRPr="009A2200">
        <w:rPr>
          <w:color w:val="000000"/>
        </w:rPr>
        <w:t xml:space="preserve">Tushman, M.L. and O’Reilly, C.A. (2020) 'Ambidextrous organizations: Managing evolutionary and revolutionary change,' </w:t>
      </w:r>
      <w:r w:rsidRPr="009A2200">
        <w:rPr>
          <w:i/>
          <w:iCs/>
          <w:color w:val="000000"/>
        </w:rPr>
        <w:t>California Management Review</w:t>
      </w:r>
      <w:r w:rsidRPr="009A2200">
        <w:rPr>
          <w:color w:val="000000"/>
        </w:rPr>
        <w:t xml:space="preserve">, 38(4), pp. 8–29. </w:t>
      </w:r>
      <w:hyperlink r:id="rId27" w:history="1">
        <w:r w:rsidRPr="009A2200">
          <w:rPr>
            <w:rStyle w:val="Hyperlink"/>
            <w:rFonts w:eastAsiaTheme="majorEastAsia"/>
            <w:color w:val="1155CC"/>
          </w:rPr>
          <w:t>https://doi.org/10.2307/41165852</w:t>
        </w:r>
      </w:hyperlink>
      <w:r w:rsidRPr="009A2200">
        <w:rPr>
          <w:color w:val="000000"/>
        </w:rPr>
        <w:t>.</w:t>
      </w:r>
    </w:p>
    <w:p w14:paraId="3EC5C817" w14:textId="77777777" w:rsidR="00F02B58" w:rsidRPr="009A2200" w:rsidRDefault="00F02B58" w:rsidP="009A2200"/>
    <w:p w14:paraId="67E57AE0" w14:textId="77777777" w:rsidR="009A2200" w:rsidRDefault="009A2200" w:rsidP="009A2200">
      <w:pPr>
        <w:rPr>
          <w:color w:val="000000"/>
        </w:rPr>
      </w:pPr>
      <w:r w:rsidRPr="009A2200">
        <w:rPr>
          <w:color w:val="000000"/>
        </w:rPr>
        <w:t xml:space="preserve">Weber, Y. and Tarba, S.Y. (2022) 'Strategic agility: A state-of-the-art introduction to the special section on strategic agility,' </w:t>
      </w:r>
      <w:r w:rsidRPr="009A2200">
        <w:rPr>
          <w:i/>
          <w:iCs/>
          <w:color w:val="000000"/>
        </w:rPr>
        <w:t>California Management Review</w:t>
      </w:r>
      <w:r w:rsidRPr="009A2200">
        <w:rPr>
          <w:color w:val="000000"/>
        </w:rPr>
        <w:t xml:space="preserve">, 56(3), pp. 5–12. </w:t>
      </w:r>
      <w:hyperlink r:id="rId28" w:history="1">
        <w:r w:rsidRPr="009A2200">
          <w:rPr>
            <w:rStyle w:val="Hyperlink"/>
            <w:rFonts w:eastAsiaTheme="majorEastAsia"/>
            <w:color w:val="1155CC"/>
          </w:rPr>
          <w:t>https://doi.org/10.1525/cmr.2014.56.3.5</w:t>
        </w:r>
      </w:hyperlink>
      <w:r w:rsidRPr="009A2200">
        <w:rPr>
          <w:color w:val="000000"/>
        </w:rPr>
        <w:t>.</w:t>
      </w:r>
    </w:p>
    <w:p w14:paraId="6308BF03" w14:textId="77777777" w:rsidR="00F02B58" w:rsidRPr="009A2200" w:rsidRDefault="00F02B58" w:rsidP="009A2200"/>
    <w:p w14:paraId="17D55F27" w14:textId="0C05A960" w:rsidR="00CA0CC3" w:rsidRPr="009A2200" w:rsidRDefault="009A2200" w:rsidP="009A2200">
      <w:r w:rsidRPr="009A2200">
        <w:rPr>
          <w:color w:val="000000"/>
        </w:rPr>
        <w:t xml:space="preserve">Witkowski, K. (2021) 'Internet of Things, Big data, Industry 4.0 – innovative solutions in logistics and supply chains management,' </w:t>
      </w:r>
      <w:r w:rsidRPr="009A2200">
        <w:rPr>
          <w:i/>
          <w:iCs/>
          <w:color w:val="000000"/>
        </w:rPr>
        <w:t>Procedia Engineering</w:t>
      </w:r>
      <w:r w:rsidRPr="009A2200">
        <w:rPr>
          <w:color w:val="000000"/>
        </w:rPr>
        <w:t xml:space="preserve">, 182, pp. 763–769. </w:t>
      </w:r>
      <w:hyperlink r:id="rId29" w:history="1">
        <w:r w:rsidRPr="009A2200">
          <w:rPr>
            <w:rStyle w:val="Hyperlink"/>
            <w:rFonts w:eastAsiaTheme="majorEastAsia"/>
            <w:color w:val="1155CC"/>
          </w:rPr>
          <w:t>https://doi.org/10.1016/j.proeng.2017.03.197</w:t>
        </w:r>
      </w:hyperlink>
      <w:r w:rsidRPr="009A2200">
        <w:rPr>
          <w:color w:val="000000"/>
        </w:rPr>
        <w:t>.</w:t>
      </w:r>
    </w:p>
    <w:sectPr w:rsidR="00CA0CC3" w:rsidRPr="009A2200" w:rsidSect="00562DF2">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7B605" w14:textId="77777777" w:rsidR="002839CE" w:rsidRDefault="002839CE" w:rsidP="00CD3D2B">
      <w:r>
        <w:separator/>
      </w:r>
    </w:p>
  </w:endnote>
  <w:endnote w:type="continuationSeparator" w:id="0">
    <w:p w14:paraId="79CD0AC5" w14:textId="77777777" w:rsidR="002839CE" w:rsidRDefault="002839CE"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80EF0" w14:textId="77777777" w:rsidR="002839CE" w:rsidRDefault="002839CE" w:rsidP="00CD3D2B">
      <w:r>
        <w:separator/>
      </w:r>
    </w:p>
  </w:footnote>
  <w:footnote w:type="continuationSeparator" w:id="0">
    <w:p w14:paraId="5E7CB6A6" w14:textId="77777777" w:rsidR="002839CE" w:rsidRDefault="002839CE"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961068">
    <w:abstractNumId w:val="14"/>
  </w:num>
  <w:num w:numId="2" w16cid:durableId="324431403">
    <w:abstractNumId w:val="8"/>
  </w:num>
  <w:num w:numId="3" w16cid:durableId="956839424">
    <w:abstractNumId w:val="0"/>
  </w:num>
  <w:num w:numId="4" w16cid:durableId="1001859281">
    <w:abstractNumId w:val="3"/>
  </w:num>
  <w:num w:numId="5" w16cid:durableId="209001002">
    <w:abstractNumId w:val="11"/>
  </w:num>
  <w:num w:numId="6" w16cid:durableId="1776167378">
    <w:abstractNumId w:val="6"/>
  </w:num>
  <w:num w:numId="7" w16cid:durableId="92746011">
    <w:abstractNumId w:val="7"/>
  </w:num>
  <w:num w:numId="8" w16cid:durableId="1221593074">
    <w:abstractNumId w:val="9"/>
  </w:num>
  <w:num w:numId="9" w16cid:durableId="312298643">
    <w:abstractNumId w:val="10"/>
  </w:num>
  <w:num w:numId="10" w16cid:durableId="1744252114">
    <w:abstractNumId w:val="5"/>
  </w:num>
  <w:num w:numId="11" w16cid:durableId="4720887">
    <w:abstractNumId w:val="1"/>
  </w:num>
  <w:num w:numId="12" w16cid:durableId="1589190609">
    <w:abstractNumId w:val="13"/>
  </w:num>
  <w:num w:numId="13" w16cid:durableId="1278490511">
    <w:abstractNumId w:val="12"/>
  </w:num>
  <w:num w:numId="14" w16cid:durableId="547956008">
    <w:abstractNumId w:val="2"/>
  </w:num>
  <w:num w:numId="15" w16cid:durableId="805044976">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34FA"/>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3F8E"/>
    <w:rsid w:val="000F50A3"/>
    <w:rsid w:val="000F640F"/>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F46"/>
    <w:rsid w:val="001534BB"/>
    <w:rsid w:val="001547C8"/>
    <w:rsid w:val="0015619C"/>
    <w:rsid w:val="00167742"/>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18F5"/>
    <w:rsid w:val="001B2541"/>
    <w:rsid w:val="001C01AB"/>
    <w:rsid w:val="001C151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39CE"/>
    <w:rsid w:val="00285B99"/>
    <w:rsid w:val="00285D9A"/>
    <w:rsid w:val="0029028B"/>
    <w:rsid w:val="00290662"/>
    <w:rsid w:val="002918C2"/>
    <w:rsid w:val="00292F19"/>
    <w:rsid w:val="002A30F5"/>
    <w:rsid w:val="002A4456"/>
    <w:rsid w:val="002B1999"/>
    <w:rsid w:val="002B3BCC"/>
    <w:rsid w:val="002B529B"/>
    <w:rsid w:val="002B61E3"/>
    <w:rsid w:val="002B77E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89F"/>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DD"/>
    <w:rsid w:val="00314E36"/>
    <w:rsid w:val="0031529F"/>
    <w:rsid w:val="0031571E"/>
    <w:rsid w:val="00315A36"/>
    <w:rsid w:val="0032195E"/>
    <w:rsid w:val="00324CCB"/>
    <w:rsid w:val="003272FE"/>
    <w:rsid w:val="0032761B"/>
    <w:rsid w:val="003278B5"/>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3661"/>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10D0"/>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531C3"/>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2BE3"/>
    <w:rsid w:val="00863019"/>
    <w:rsid w:val="008646CF"/>
    <w:rsid w:val="00864AFD"/>
    <w:rsid w:val="008655DE"/>
    <w:rsid w:val="00865967"/>
    <w:rsid w:val="00871161"/>
    <w:rsid w:val="00873B26"/>
    <w:rsid w:val="00875859"/>
    <w:rsid w:val="00876F66"/>
    <w:rsid w:val="00877970"/>
    <w:rsid w:val="008808D5"/>
    <w:rsid w:val="00880EC7"/>
    <w:rsid w:val="008865B3"/>
    <w:rsid w:val="00892242"/>
    <w:rsid w:val="008952ED"/>
    <w:rsid w:val="00896CEC"/>
    <w:rsid w:val="008A2D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0EB"/>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2200"/>
    <w:rsid w:val="009A48F0"/>
    <w:rsid w:val="009A6B96"/>
    <w:rsid w:val="009A7A6D"/>
    <w:rsid w:val="009B047E"/>
    <w:rsid w:val="009B0BD2"/>
    <w:rsid w:val="009B12A6"/>
    <w:rsid w:val="009B5442"/>
    <w:rsid w:val="009C37CE"/>
    <w:rsid w:val="009C3EC2"/>
    <w:rsid w:val="009D13AA"/>
    <w:rsid w:val="009D4EBF"/>
    <w:rsid w:val="009D79DC"/>
    <w:rsid w:val="009E0BB0"/>
    <w:rsid w:val="009E29EF"/>
    <w:rsid w:val="009E34A7"/>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9A6"/>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6165"/>
    <w:rsid w:val="00A676C5"/>
    <w:rsid w:val="00A71DC1"/>
    <w:rsid w:val="00A74763"/>
    <w:rsid w:val="00A8106D"/>
    <w:rsid w:val="00A81911"/>
    <w:rsid w:val="00A90B2E"/>
    <w:rsid w:val="00A913C6"/>
    <w:rsid w:val="00A924BA"/>
    <w:rsid w:val="00A9301C"/>
    <w:rsid w:val="00A9342F"/>
    <w:rsid w:val="00A96F77"/>
    <w:rsid w:val="00AA28E8"/>
    <w:rsid w:val="00AA3758"/>
    <w:rsid w:val="00AA3B8F"/>
    <w:rsid w:val="00AA5152"/>
    <w:rsid w:val="00AA5DCD"/>
    <w:rsid w:val="00AA67B3"/>
    <w:rsid w:val="00AA7982"/>
    <w:rsid w:val="00AB2D81"/>
    <w:rsid w:val="00AB3526"/>
    <w:rsid w:val="00AB3EB4"/>
    <w:rsid w:val="00AB4EF9"/>
    <w:rsid w:val="00AB5056"/>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1A73"/>
    <w:rsid w:val="00B31CFF"/>
    <w:rsid w:val="00B41166"/>
    <w:rsid w:val="00B4179B"/>
    <w:rsid w:val="00B435C3"/>
    <w:rsid w:val="00B46620"/>
    <w:rsid w:val="00B52E21"/>
    <w:rsid w:val="00B555C4"/>
    <w:rsid w:val="00B55873"/>
    <w:rsid w:val="00B57F1F"/>
    <w:rsid w:val="00B60C75"/>
    <w:rsid w:val="00B60E56"/>
    <w:rsid w:val="00B643CD"/>
    <w:rsid w:val="00B650C1"/>
    <w:rsid w:val="00B67033"/>
    <w:rsid w:val="00B7573B"/>
    <w:rsid w:val="00B764E7"/>
    <w:rsid w:val="00B77682"/>
    <w:rsid w:val="00B84D5D"/>
    <w:rsid w:val="00B85515"/>
    <w:rsid w:val="00B87777"/>
    <w:rsid w:val="00B926C4"/>
    <w:rsid w:val="00B93961"/>
    <w:rsid w:val="00B940C9"/>
    <w:rsid w:val="00BA08B9"/>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2943"/>
    <w:rsid w:val="00BE30F2"/>
    <w:rsid w:val="00BE3DA9"/>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204"/>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555A6"/>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56EF"/>
    <w:rsid w:val="00CC609F"/>
    <w:rsid w:val="00CC7D6A"/>
    <w:rsid w:val="00CD37C0"/>
    <w:rsid w:val="00CD3D2B"/>
    <w:rsid w:val="00CD44AD"/>
    <w:rsid w:val="00CD54B1"/>
    <w:rsid w:val="00CD6EC7"/>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3C3"/>
    <w:rsid w:val="00D2773D"/>
    <w:rsid w:val="00D2773F"/>
    <w:rsid w:val="00D30363"/>
    <w:rsid w:val="00D306D7"/>
    <w:rsid w:val="00D4096B"/>
    <w:rsid w:val="00D4243C"/>
    <w:rsid w:val="00D43D1E"/>
    <w:rsid w:val="00D441E5"/>
    <w:rsid w:val="00D44743"/>
    <w:rsid w:val="00D44AAD"/>
    <w:rsid w:val="00D44D25"/>
    <w:rsid w:val="00D50E86"/>
    <w:rsid w:val="00D53FC3"/>
    <w:rsid w:val="00D555EE"/>
    <w:rsid w:val="00D5585D"/>
    <w:rsid w:val="00D5678C"/>
    <w:rsid w:val="00D60014"/>
    <w:rsid w:val="00D61D58"/>
    <w:rsid w:val="00D656D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5C78"/>
    <w:rsid w:val="00DA6578"/>
    <w:rsid w:val="00DA6949"/>
    <w:rsid w:val="00DB0C9C"/>
    <w:rsid w:val="00DB267B"/>
    <w:rsid w:val="00DB3078"/>
    <w:rsid w:val="00DB39F4"/>
    <w:rsid w:val="00DB3DA6"/>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601E6"/>
    <w:rsid w:val="00E60449"/>
    <w:rsid w:val="00E60832"/>
    <w:rsid w:val="00E6474C"/>
    <w:rsid w:val="00E66777"/>
    <w:rsid w:val="00E67525"/>
    <w:rsid w:val="00E70A93"/>
    <w:rsid w:val="00E717B3"/>
    <w:rsid w:val="00E72A13"/>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5E4"/>
    <w:rsid w:val="00EE0F8D"/>
    <w:rsid w:val="00EE270E"/>
    <w:rsid w:val="00EE5EF8"/>
    <w:rsid w:val="00EE6CBD"/>
    <w:rsid w:val="00EF03A1"/>
    <w:rsid w:val="00EF1036"/>
    <w:rsid w:val="00EF4802"/>
    <w:rsid w:val="00F02946"/>
    <w:rsid w:val="00F02B58"/>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765F3E"/>
    <w:pPr>
      <w:keepNext/>
      <w:keepLines/>
      <w:spacing w:before="240"/>
      <w:outlineLvl w:val="0"/>
    </w:pPr>
    <w:rPr>
      <w:rFonts w:cstheme="majorBidi"/>
      <w:b/>
      <w:sz w:val="32"/>
      <w:szCs w:val="40"/>
      <w:lang w:val="en-US"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F3E"/>
    <w:rPr>
      <w:rFonts w:ascii="Times New Roman" w:eastAsia="Times New Roman" w:hAnsi="Times New Roman" w:cstheme="majorBidi"/>
      <w:b/>
      <w:sz w:val="32"/>
      <w:szCs w:val="40"/>
      <w:lang w:val="en-US"/>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5319244">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0403212">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6362249">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69643605">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08/jmtm-02-2018-0057" TargetMode="External"/><Relationship Id="rId18" Type="http://schemas.openxmlformats.org/officeDocument/2006/relationships/hyperlink" Target="https://doi.org/10.1016/j.jom.2012.03.004" TargetMode="External"/><Relationship Id="rId26" Type="http://schemas.openxmlformats.org/officeDocument/2006/relationships/hyperlink" Target="https://doi.org/10.1073/pnas.1116437108" TargetMode="External"/><Relationship Id="rId3" Type="http://schemas.openxmlformats.org/officeDocument/2006/relationships/styles" Target="styles.xml"/><Relationship Id="rId21" Type="http://schemas.openxmlformats.org/officeDocument/2006/relationships/hyperlink" Target="https://doi.org/10.1002/smj.4250130804" TargetMode="External"/><Relationship Id="rId7" Type="http://schemas.openxmlformats.org/officeDocument/2006/relationships/endnotes" Target="endnotes.xml"/><Relationship Id="rId12" Type="http://schemas.openxmlformats.org/officeDocument/2006/relationships/hyperlink" Target="https://doi.org/10.1111/1540-6261.00538" TargetMode="External"/><Relationship Id="rId17" Type="http://schemas.openxmlformats.org/officeDocument/2006/relationships/hyperlink" Target="https://doi.org/10.2307/41165841" TargetMode="External"/><Relationship Id="rId25" Type="http://schemas.openxmlformats.org/officeDocument/2006/relationships/hyperlink" Target="https://doi.org/10.1287/mnsc.30.12.1405" TargetMode="External"/><Relationship Id="rId2" Type="http://schemas.openxmlformats.org/officeDocument/2006/relationships/numbering" Target="numbering.xml"/><Relationship Id="rId16" Type="http://schemas.openxmlformats.org/officeDocument/2006/relationships/hyperlink" Target="https://doi.org/10.1177/0007650310368814" TargetMode="External"/><Relationship Id="rId20" Type="http://schemas.openxmlformats.org/officeDocument/2006/relationships/hyperlink" Target="https://doi.org/10.2307/1251491" TargetMode="External"/><Relationship Id="rId29" Type="http://schemas.openxmlformats.org/officeDocument/2006/relationships/hyperlink" Target="https://doi.org/10.1016/j.proeng.2017.03.1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07.01.001" TargetMode="External"/><Relationship Id="rId24" Type="http://schemas.openxmlformats.org/officeDocument/2006/relationships/hyperlink" Target="https://doi.org/10.31617/visnik.knute.2021(138)06"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307/2325404" TargetMode="External"/><Relationship Id="rId23" Type="http://schemas.openxmlformats.org/officeDocument/2006/relationships/hyperlink" Target="https://doi.org/10.1504/ijipm.2023.129076" TargetMode="External"/><Relationship Id="rId28" Type="http://schemas.openxmlformats.org/officeDocument/2006/relationships/hyperlink" Target="https://doi.org/10.1525/cmr.2014.56.3.5" TargetMode="External"/><Relationship Id="rId10" Type="http://schemas.openxmlformats.org/officeDocument/2006/relationships/hyperlink" Target="https://doi.org/10.5465/255954" TargetMode="External"/><Relationship Id="rId19" Type="http://schemas.openxmlformats.org/officeDocument/2006/relationships/hyperlink" Target="https://doi.org/10.1017/s0143814x0000352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287/orsc.1040.0078" TargetMode="External"/><Relationship Id="rId22" Type="http://schemas.openxmlformats.org/officeDocument/2006/relationships/hyperlink" Target="https://ci.nii.ac.jp/ncid/BA48560369" TargetMode="External"/><Relationship Id="rId27" Type="http://schemas.openxmlformats.org/officeDocument/2006/relationships/hyperlink" Target="https://doi.org/10.2307/41165852"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3821</Words>
  <Characters>21784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2025-03-24T22:04:00Z</dcterms:created>
  <dcterms:modified xsi:type="dcterms:W3CDTF">2025-03-26T19:21:00Z</dcterms:modified>
</cp:coreProperties>
</file>