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6C305" w14:textId="77777777" w:rsidR="00BD5DA0" w:rsidRPr="001F6501" w:rsidRDefault="00BD5DA0" w:rsidP="00BD5DA0">
      <w:pPr>
        <w:spacing w:before="100" w:beforeAutospacing="1" w:after="100" w:afterAutospacing="1"/>
        <w:jc w:val="both"/>
        <w:rPr>
          <w:rFonts w:eastAsia="Times New Roman"/>
          <w:b/>
          <w:color w:val="000000"/>
          <w:lang w:eastAsia="en-GB"/>
        </w:rPr>
      </w:pPr>
      <w:r w:rsidRPr="001F6501">
        <w:rPr>
          <w:rFonts w:eastAsia="Times New Roman"/>
          <w:b/>
          <w:color w:val="000000"/>
          <w:lang w:eastAsia="en-GB"/>
        </w:rPr>
        <w:t>Qualification: PGDip/MA in Strategic People Management</w:t>
      </w:r>
    </w:p>
    <w:p w14:paraId="2D9449FE" w14:textId="77777777" w:rsidR="00BD5DA0" w:rsidRPr="001F6501" w:rsidRDefault="00BD5DA0" w:rsidP="00BD5DA0">
      <w:pPr>
        <w:jc w:val="both"/>
        <w:rPr>
          <w:rFonts w:eastAsia="Times New Roman"/>
          <w:color w:val="000000"/>
          <w:lang w:eastAsia="en-GB"/>
        </w:rPr>
      </w:pPr>
    </w:p>
    <w:p w14:paraId="2CE77170" w14:textId="77777777" w:rsidR="00BD5DA0" w:rsidRPr="00480A0F" w:rsidRDefault="00BD5DA0" w:rsidP="00BD5DA0">
      <w:pPr>
        <w:pStyle w:val="NormalWeb"/>
        <w:shd w:val="clear" w:color="auto" w:fill="FFFFFF"/>
        <w:jc w:val="both"/>
        <w:rPr>
          <w:rFonts w:ascii="Arial" w:hAnsi="Arial" w:cs="Arial"/>
        </w:rPr>
      </w:pPr>
      <w:r w:rsidRPr="00480A0F">
        <w:rPr>
          <w:rFonts w:ascii="Arial" w:hAnsi="Arial" w:cs="Arial"/>
          <w:b/>
          <w:color w:val="000000"/>
        </w:rPr>
        <w:t>Module Name:</w:t>
      </w:r>
      <w:r w:rsidRPr="00480A0F">
        <w:rPr>
          <w:rFonts w:ascii="Arial" w:hAnsi="Arial" w:cs="Arial"/>
          <w:color w:val="000000"/>
        </w:rPr>
        <w:t xml:space="preserve"> </w:t>
      </w:r>
      <w:r w:rsidRPr="00480A0F">
        <w:rPr>
          <w:rFonts w:ascii="Arial" w:hAnsi="Arial" w:cs="Arial"/>
        </w:rPr>
        <w:t>Talent and R</w:t>
      </w:r>
      <w:r>
        <w:rPr>
          <w:rFonts w:ascii="Arial" w:hAnsi="Arial" w:cs="Arial"/>
        </w:rPr>
        <w:t>esource Management</w:t>
      </w:r>
    </w:p>
    <w:p w14:paraId="45F79933" w14:textId="77777777" w:rsidR="00BD5DA0" w:rsidRPr="00480A0F" w:rsidRDefault="00BD5DA0" w:rsidP="00BD5DA0">
      <w:pPr>
        <w:pStyle w:val="NormalWeb"/>
        <w:shd w:val="clear" w:color="auto" w:fill="FFFFFF"/>
        <w:jc w:val="both"/>
        <w:rPr>
          <w:rFonts w:ascii="Arial" w:hAnsi="Arial" w:cs="Arial"/>
        </w:rPr>
      </w:pPr>
      <w:r w:rsidRPr="00480A0F">
        <w:rPr>
          <w:rFonts w:ascii="Arial" w:hAnsi="Arial" w:cs="Arial"/>
          <w:b/>
        </w:rPr>
        <w:t>Module Code:</w:t>
      </w:r>
      <w:r w:rsidRPr="00480A0F">
        <w:rPr>
          <w:rFonts w:ascii="Arial" w:hAnsi="Arial" w:cs="Arial"/>
        </w:rPr>
        <w:t xml:space="preserve"> BMHR70</w:t>
      </w:r>
      <w:r>
        <w:rPr>
          <w:rFonts w:ascii="Arial" w:hAnsi="Arial" w:cs="Arial"/>
        </w:rPr>
        <w:t>15</w:t>
      </w:r>
    </w:p>
    <w:p w14:paraId="46BD0641" w14:textId="77777777" w:rsidR="00BD5DA0" w:rsidRPr="001F6501" w:rsidRDefault="00BD5DA0" w:rsidP="00BD5DA0">
      <w:pPr>
        <w:spacing w:before="100" w:beforeAutospacing="1" w:after="100" w:afterAutospacing="1"/>
        <w:jc w:val="both"/>
        <w:rPr>
          <w:rFonts w:eastAsia="Times New Roman"/>
          <w:bCs/>
          <w:color w:val="000000"/>
          <w:lang w:eastAsia="en-GB"/>
        </w:rPr>
      </w:pPr>
      <w:r w:rsidRPr="001F6501">
        <w:rPr>
          <w:rFonts w:eastAsia="Times New Roman"/>
          <w:b/>
          <w:color w:val="000000"/>
          <w:lang w:eastAsia="en-GB"/>
        </w:rPr>
        <w:t>Word Count:</w:t>
      </w:r>
      <w:r w:rsidRPr="00480A0F">
        <w:rPr>
          <w:rFonts w:eastAsia="Times New Roman"/>
          <w:bCs/>
          <w:color w:val="000000"/>
          <w:lang w:eastAsia="en-GB"/>
        </w:rPr>
        <w:t xml:space="preserve"> 3845</w:t>
      </w:r>
    </w:p>
    <w:p w14:paraId="5CA5C573" w14:textId="77777777" w:rsidR="00BD5DA0" w:rsidRPr="001F6501" w:rsidRDefault="00BD5DA0" w:rsidP="00BD5DA0">
      <w:pPr>
        <w:spacing w:before="100" w:beforeAutospacing="1" w:after="100" w:afterAutospacing="1"/>
        <w:jc w:val="both"/>
        <w:rPr>
          <w:rFonts w:eastAsia="Times New Roman"/>
          <w:color w:val="000000"/>
          <w:lang w:eastAsia="en-GB"/>
        </w:rPr>
      </w:pPr>
      <w:r w:rsidRPr="001F6501">
        <w:rPr>
          <w:rFonts w:eastAsia="Times New Roman"/>
          <w:b/>
          <w:color w:val="000000"/>
          <w:lang w:eastAsia="en-GB"/>
        </w:rPr>
        <w:t>Student Name:</w:t>
      </w:r>
      <w:r w:rsidRPr="001F6501">
        <w:rPr>
          <w:rFonts w:eastAsia="Times New Roman"/>
          <w:color w:val="000000"/>
          <w:lang w:eastAsia="en-GB"/>
        </w:rPr>
        <w:t xml:space="preserve"> Alys Owens</w:t>
      </w:r>
    </w:p>
    <w:p w14:paraId="5E94C4D0" w14:textId="77777777" w:rsidR="00BD5DA0" w:rsidRPr="001F6501" w:rsidRDefault="00BD5DA0" w:rsidP="00BD5DA0">
      <w:pPr>
        <w:spacing w:before="100" w:beforeAutospacing="1" w:after="100" w:afterAutospacing="1"/>
        <w:jc w:val="both"/>
        <w:rPr>
          <w:rFonts w:eastAsia="Times New Roman"/>
          <w:color w:val="000000"/>
          <w:lang w:eastAsia="en-GB"/>
        </w:rPr>
      </w:pPr>
      <w:r w:rsidRPr="001F6501">
        <w:rPr>
          <w:rFonts w:eastAsia="Times New Roman"/>
          <w:b/>
          <w:color w:val="000000"/>
          <w:lang w:eastAsia="en-GB"/>
        </w:rPr>
        <w:t>Student Number:</w:t>
      </w:r>
      <w:r w:rsidRPr="001F6501">
        <w:rPr>
          <w:rFonts w:eastAsia="Times New Roman"/>
          <w:color w:val="000000"/>
          <w:lang w:eastAsia="en-GB"/>
        </w:rPr>
        <w:t xml:space="preserve"> 2005306</w:t>
      </w:r>
    </w:p>
    <w:p w14:paraId="0C4F38F5" w14:textId="77777777" w:rsidR="00BD5DA0" w:rsidRPr="001F6501" w:rsidRDefault="00BD5DA0" w:rsidP="00BD5DA0">
      <w:pPr>
        <w:spacing w:before="100" w:beforeAutospacing="1" w:after="100" w:afterAutospacing="1"/>
        <w:jc w:val="both"/>
        <w:rPr>
          <w:rFonts w:eastAsia="Times New Roman"/>
          <w:color w:val="000000"/>
          <w:lang w:eastAsia="en-GB"/>
        </w:rPr>
      </w:pPr>
      <w:r w:rsidRPr="001F6501">
        <w:rPr>
          <w:rFonts w:eastAsia="Times New Roman"/>
          <w:b/>
          <w:color w:val="000000"/>
          <w:lang w:eastAsia="en-GB"/>
        </w:rPr>
        <w:t>CIPD Membership Number</w:t>
      </w:r>
      <w:r w:rsidRPr="001F6501">
        <w:rPr>
          <w:rFonts w:eastAsia="Times New Roman"/>
          <w:color w:val="000000"/>
          <w:lang w:eastAsia="en-GB"/>
        </w:rPr>
        <w:t>: 56652305</w:t>
      </w:r>
    </w:p>
    <w:p w14:paraId="5648B6DD" w14:textId="77777777" w:rsidR="00BD5DA0" w:rsidRPr="001F6501" w:rsidRDefault="00BD5DA0" w:rsidP="00BD5DA0">
      <w:pPr>
        <w:spacing w:before="100" w:beforeAutospacing="1" w:after="100" w:afterAutospacing="1"/>
        <w:jc w:val="both"/>
        <w:rPr>
          <w:rFonts w:eastAsia="Times New Roman"/>
          <w:color w:val="000000"/>
          <w:lang w:eastAsia="en-GB"/>
        </w:rPr>
      </w:pPr>
      <w:r w:rsidRPr="001F6501">
        <w:rPr>
          <w:rFonts w:eastAsia="Times New Roman"/>
          <w:color w:val="000000"/>
          <w:lang w:eastAsia="en-GB"/>
        </w:rPr>
        <w:t>By signing below, I confirm that the work/evidence presented is my own, unaided work. I understand the regulations pertaining to candidate malpractice and the action that may be taken as a result.</w:t>
      </w:r>
    </w:p>
    <w:p w14:paraId="3E9C2E67" w14:textId="77777777" w:rsidR="00BD5DA0" w:rsidRPr="001F6501" w:rsidRDefault="00BD5DA0" w:rsidP="00BD5DA0">
      <w:pPr>
        <w:spacing w:before="100" w:beforeAutospacing="1" w:after="100" w:afterAutospacing="1"/>
        <w:jc w:val="both"/>
        <w:rPr>
          <w:rFonts w:eastAsia="Times New Roman"/>
          <w:color w:val="000000"/>
          <w:lang w:eastAsia="en-GB"/>
        </w:rPr>
      </w:pPr>
      <w:r w:rsidRPr="001F6501">
        <w:rPr>
          <w:rFonts w:eastAsia="Times New Roman"/>
          <w:color w:val="000000"/>
          <w:lang w:eastAsia="en-GB"/>
        </w:rPr>
        <w:t>Signed: Alys Owens</w:t>
      </w:r>
    </w:p>
    <w:p w14:paraId="08ACF166" w14:textId="77777777" w:rsidR="00BD5DA0" w:rsidRPr="001F6501" w:rsidRDefault="00BD5DA0" w:rsidP="00BD5DA0">
      <w:pPr>
        <w:spacing w:before="100" w:beforeAutospacing="1" w:after="100" w:afterAutospacing="1"/>
        <w:jc w:val="both"/>
        <w:rPr>
          <w:rFonts w:eastAsia="Times New Roman"/>
          <w:color w:val="000000"/>
          <w:lang w:eastAsia="en-GB"/>
        </w:rPr>
      </w:pPr>
      <w:r w:rsidRPr="001F6501">
        <w:rPr>
          <w:rFonts w:eastAsia="Times New Roman"/>
          <w:color w:val="000000"/>
          <w:lang w:eastAsia="en-GB"/>
        </w:rPr>
        <w:t xml:space="preserve">Dated: </w:t>
      </w:r>
      <w:r>
        <w:rPr>
          <w:rFonts w:eastAsia="Times New Roman"/>
          <w:color w:val="000000"/>
          <w:lang w:eastAsia="en-GB"/>
        </w:rPr>
        <w:t>26</w:t>
      </w:r>
      <w:r w:rsidRPr="00590EF3">
        <w:rPr>
          <w:rFonts w:eastAsia="Times New Roman"/>
          <w:color w:val="000000"/>
          <w:vertAlign w:val="superscript"/>
          <w:lang w:eastAsia="en-GB"/>
        </w:rPr>
        <w:t>th</w:t>
      </w:r>
      <w:r>
        <w:rPr>
          <w:rFonts w:eastAsia="Times New Roman"/>
          <w:color w:val="000000"/>
          <w:lang w:eastAsia="en-GB"/>
        </w:rPr>
        <w:t xml:space="preserve"> November</w:t>
      </w:r>
      <w:r w:rsidRPr="001F6501">
        <w:rPr>
          <w:rFonts w:eastAsia="Times New Roman"/>
          <w:color w:val="000000"/>
          <w:lang w:eastAsia="en-GB"/>
        </w:rPr>
        <w:t xml:space="preserve"> 2025</w:t>
      </w:r>
    </w:p>
    <w:p w14:paraId="6DB59092" w14:textId="77777777" w:rsidR="00BD5DA0" w:rsidRDefault="00BD5DA0" w:rsidP="00BD5DA0">
      <w:pPr>
        <w:ind w:left="360"/>
      </w:pPr>
    </w:p>
    <w:p w14:paraId="69782BEB" w14:textId="77777777" w:rsidR="00BD5DA0" w:rsidRDefault="00BD5DA0" w:rsidP="00BD5DA0">
      <w:pPr>
        <w:ind w:left="360"/>
      </w:pPr>
    </w:p>
    <w:p w14:paraId="4239D261" w14:textId="77777777" w:rsidR="00BD5DA0" w:rsidRDefault="00BD5DA0" w:rsidP="00BD5DA0">
      <w:pPr>
        <w:ind w:left="360"/>
      </w:pPr>
    </w:p>
    <w:p w14:paraId="3F489E51" w14:textId="77777777" w:rsidR="00BD5DA0" w:rsidRDefault="00BD5DA0" w:rsidP="00BD5DA0">
      <w:pPr>
        <w:ind w:left="360"/>
      </w:pPr>
    </w:p>
    <w:p w14:paraId="5FEE636A" w14:textId="77777777" w:rsidR="00BD5DA0" w:rsidRDefault="00BD5DA0" w:rsidP="00BD5DA0">
      <w:pPr>
        <w:ind w:left="360"/>
      </w:pPr>
    </w:p>
    <w:p w14:paraId="5768B91D" w14:textId="77777777" w:rsidR="00BD5DA0" w:rsidRDefault="00BD5DA0" w:rsidP="00BD5DA0">
      <w:pPr>
        <w:ind w:left="360"/>
      </w:pPr>
    </w:p>
    <w:p w14:paraId="6792850B" w14:textId="77777777" w:rsidR="00BD5DA0" w:rsidRDefault="00BD5DA0" w:rsidP="00BD5DA0">
      <w:pPr>
        <w:ind w:left="360"/>
      </w:pPr>
    </w:p>
    <w:p w14:paraId="7B06EC55" w14:textId="77777777" w:rsidR="00BD5DA0" w:rsidRDefault="00BD5DA0" w:rsidP="00BD5DA0">
      <w:pPr>
        <w:ind w:left="360"/>
      </w:pPr>
    </w:p>
    <w:p w14:paraId="53A563F3" w14:textId="77777777" w:rsidR="00BD5DA0" w:rsidRDefault="00BD5DA0" w:rsidP="00BD5DA0">
      <w:pPr>
        <w:ind w:left="360"/>
      </w:pPr>
    </w:p>
    <w:p w14:paraId="0AF850D9" w14:textId="77777777" w:rsidR="00BD5DA0" w:rsidRDefault="00BD5DA0" w:rsidP="00BD5DA0">
      <w:pPr>
        <w:ind w:left="360"/>
      </w:pPr>
    </w:p>
    <w:p w14:paraId="73425A10" w14:textId="77777777" w:rsidR="00BD5DA0" w:rsidRDefault="00BD5DA0" w:rsidP="00BD5DA0">
      <w:pPr>
        <w:ind w:left="360"/>
      </w:pPr>
    </w:p>
    <w:p w14:paraId="538611B8" w14:textId="77777777" w:rsidR="00BD5DA0" w:rsidRDefault="00BD5DA0" w:rsidP="00BD5DA0">
      <w:pPr>
        <w:ind w:left="360"/>
      </w:pPr>
    </w:p>
    <w:p w14:paraId="5962AE10" w14:textId="77777777" w:rsidR="00BD5DA0" w:rsidRDefault="00BD5DA0" w:rsidP="00BD5DA0">
      <w:pPr>
        <w:ind w:left="360"/>
      </w:pPr>
    </w:p>
    <w:p w14:paraId="39BC7D12" w14:textId="77777777" w:rsidR="00BD5DA0" w:rsidRDefault="00BD5DA0" w:rsidP="00BD5DA0">
      <w:pPr>
        <w:ind w:left="360"/>
      </w:pPr>
    </w:p>
    <w:p w14:paraId="5FC57DEF" w14:textId="77777777" w:rsidR="00D14730" w:rsidRPr="008E0F1B" w:rsidRDefault="00D14730" w:rsidP="00D14730">
      <w:pPr>
        <w:ind w:left="360"/>
        <w:rPr>
          <w:b/>
          <w:bCs/>
        </w:rPr>
      </w:pPr>
      <w:r w:rsidRPr="008E0F1B">
        <w:rPr>
          <w:b/>
          <w:bCs/>
        </w:rPr>
        <w:lastRenderedPageBreak/>
        <w:t>Executive Summary</w:t>
      </w:r>
    </w:p>
    <w:p w14:paraId="367D2E0A" w14:textId="77777777" w:rsidR="00D14730" w:rsidRPr="008E0F1B" w:rsidRDefault="00D14730" w:rsidP="00D14730">
      <w:pPr>
        <w:ind w:left="360"/>
        <w:jc w:val="both"/>
      </w:pPr>
      <w:r w:rsidRPr="008E0F1B">
        <w:t>This report evaluates the effectiveness of talent management at Castell Howell Foods, analysing how external labour market pressures and internal organisational capabilities shape the company's ability to attract, develop, and retain a skilled workforce. Operating within a highly competitive UK labour market marked by skills shortages, pay inflation, and evolving employee expectations, Castell Howell Foods faces significant challenges that require a more strategic, future-focused approach to people management.</w:t>
      </w:r>
    </w:p>
    <w:p w14:paraId="7B5C04E7" w14:textId="77777777" w:rsidR="00D14730" w:rsidRPr="008E0F1B" w:rsidRDefault="00D14730" w:rsidP="00D14730">
      <w:pPr>
        <w:ind w:left="360"/>
        <w:jc w:val="both"/>
      </w:pPr>
      <w:r w:rsidRPr="008E0F1B">
        <w:t>Externally, the organisation is impacted by acute shortages in logistics, production and warehousing skills, compounded by rural labour constraints and ongoing regional graduate out-migration from Wales. Economic pressures</w:t>
      </w:r>
      <w:r>
        <w:t xml:space="preserve">, </w:t>
      </w:r>
      <w:r w:rsidRPr="008E0F1B">
        <w:t>such as rising operational costs and tight industry margins</w:t>
      </w:r>
      <w:r>
        <w:t xml:space="preserve">, </w:t>
      </w:r>
      <w:r w:rsidRPr="008E0F1B">
        <w:t>limit financial flexibility and reinforce the need for cost-effective internal development strategies. Additionally, rapid technological change within the food wholesale sector demands greater digital capability and workforce upskilling to remain competitive with technologically advanced rivals.</w:t>
      </w:r>
    </w:p>
    <w:p w14:paraId="143518DE" w14:textId="77777777" w:rsidR="00D14730" w:rsidRPr="008E0F1B" w:rsidRDefault="00D14730" w:rsidP="00D14730">
      <w:pPr>
        <w:ind w:left="360"/>
        <w:jc w:val="both"/>
      </w:pPr>
      <w:r w:rsidRPr="008E0F1B">
        <w:t>Internally, Castell Howell Foods benefits from a strong, community-oriented culture and relatively low turnover, but its HR infrastructure remains largely operational. Talent activities focus heavily on compliance rather than strategic workforce planning, and opportunities for leadership development, progression, and digital upskilling are limited. Flexible working practices, increasingly essential to attract and retain modern workers, are ad hoc and insufficiently integrated into the employee value proposition. These gaps restrict the company’s ability to compete for talent and meet future capability demands.</w:t>
      </w:r>
    </w:p>
    <w:p w14:paraId="5407B55E" w14:textId="77777777" w:rsidR="00D14730" w:rsidRPr="008E0F1B" w:rsidRDefault="00D14730" w:rsidP="00D14730">
      <w:pPr>
        <w:ind w:left="360"/>
        <w:jc w:val="both"/>
      </w:pPr>
      <w:r w:rsidRPr="008E0F1B">
        <w:t>A critical analysis of current practices, aligned with CIPD (2024) Resourcing and Talent Planning findings, highlights three core issues: high competition for talent exacerbated by limited employer branding and traditional recruitment methods; insufficient strategic investment in internal skills development; and an underdeveloped approach to flexible working and wellbeing.</w:t>
      </w:r>
    </w:p>
    <w:p w14:paraId="46C5C43E" w14:textId="77777777" w:rsidR="00D14730" w:rsidRPr="008E0F1B" w:rsidRDefault="00D14730" w:rsidP="00D14730">
      <w:pPr>
        <w:ind w:left="360"/>
        <w:jc w:val="both"/>
      </w:pPr>
      <w:r w:rsidRPr="008E0F1B">
        <w:t>To address these challenges, the report recommends:</w:t>
      </w:r>
    </w:p>
    <w:p w14:paraId="2C066A59" w14:textId="77777777" w:rsidR="00D14730" w:rsidRPr="008E0F1B" w:rsidRDefault="00D14730" w:rsidP="00D14730">
      <w:pPr>
        <w:numPr>
          <w:ilvl w:val="0"/>
          <w:numId w:val="7"/>
        </w:numPr>
        <w:spacing w:line="259" w:lineRule="auto"/>
        <w:jc w:val="both"/>
      </w:pPr>
      <w:r w:rsidRPr="008E0F1B">
        <w:rPr>
          <w:b/>
          <w:bCs/>
        </w:rPr>
        <w:t>Digital transformation through an ERP system</w:t>
      </w:r>
      <w:r w:rsidRPr="008E0F1B">
        <w:t xml:space="preserve"> to strengthen HR analytics, workforce planning, and employer attractiveness.</w:t>
      </w:r>
    </w:p>
    <w:p w14:paraId="0D2A9A6C" w14:textId="77777777" w:rsidR="00D14730" w:rsidRPr="008E0F1B" w:rsidRDefault="00D14730" w:rsidP="00D14730">
      <w:pPr>
        <w:numPr>
          <w:ilvl w:val="0"/>
          <w:numId w:val="7"/>
        </w:numPr>
        <w:spacing w:line="259" w:lineRule="auto"/>
        <w:jc w:val="both"/>
      </w:pPr>
      <w:r w:rsidRPr="008E0F1B">
        <w:rPr>
          <w:b/>
          <w:bCs/>
        </w:rPr>
        <w:t>A strategically aligned recruitment framework</w:t>
      </w:r>
      <w:r w:rsidRPr="008E0F1B">
        <w:t xml:space="preserve"> to enhance employer branding, expand candidate reach, and improve hiring quality.</w:t>
      </w:r>
    </w:p>
    <w:p w14:paraId="3672DCA7" w14:textId="77777777" w:rsidR="00D14730" w:rsidRPr="008E0F1B" w:rsidRDefault="00D14730" w:rsidP="00D14730">
      <w:pPr>
        <w:numPr>
          <w:ilvl w:val="0"/>
          <w:numId w:val="7"/>
        </w:numPr>
        <w:spacing w:line="259" w:lineRule="auto"/>
        <w:jc w:val="both"/>
      </w:pPr>
      <w:r w:rsidRPr="008E0F1B">
        <w:rPr>
          <w:b/>
          <w:bCs/>
        </w:rPr>
        <w:t>Structured leadership, coaching, and mentoring programmes</w:t>
      </w:r>
      <w:r w:rsidRPr="008E0F1B">
        <w:t xml:space="preserve"> to build internal capability, strengthen succession pipelines, and improve retention.</w:t>
      </w:r>
    </w:p>
    <w:p w14:paraId="68D871E1" w14:textId="77777777" w:rsidR="00D14730" w:rsidRDefault="00D14730" w:rsidP="00D14730">
      <w:pPr>
        <w:ind w:left="360"/>
        <w:jc w:val="both"/>
      </w:pPr>
    </w:p>
    <w:p w14:paraId="569FE3FF" w14:textId="77777777" w:rsidR="00D14730" w:rsidRDefault="00D14730" w:rsidP="00D14730">
      <w:pPr>
        <w:ind w:left="360"/>
        <w:jc w:val="both"/>
      </w:pPr>
    </w:p>
    <w:p w14:paraId="6F87CE14" w14:textId="5295C47D" w:rsidR="00D14730" w:rsidRPr="008E0F1B" w:rsidRDefault="00D14730" w:rsidP="00D14730">
      <w:pPr>
        <w:ind w:left="360"/>
        <w:jc w:val="both"/>
      </w:pPr>
      <w:r w:rsidRPr="008E0F1B">
        <w:lastRenderedPageBreak/>
        <w:t>Collectively, these evidence-based recommendations aim to modernise Castell Howell Foods’ talent management strategy, enhance organisational resilience, and position the company more competitively in a constrained and rapidly evolving labour market.</w:t>
      </w:r>
    </w:p>
    <w:p w14:paraId="47F9C62F" w14:textId="77777777" w:rsidR="00D14730" w:rsidRDefault="00D14730" w:rsidP="00D14730"/>
    <w:p w14:paraId="0F16EC8A" w14:textId="77777777" w:rsidR="00BD5DA0" w:rsidRDefault="00BD5DA0" w:rsidP="00BD5DA0">
      <w:pPr>
        <w:ind w:left="360"/>
      </w:pPr>
    </w:p>
    <w:p w14:paraId="7D7D2B2B" w14:textId="77777777" w:rsidR="00BD5DA0" w:rsidRDefault="00BD5DA0" w:rsidP="00BD5DA0">
      <w:pPr>
        <w:ind w:left="360"/>
      </w:pPr>
    </w:p>
    <w:p w14:paraId="7FCF7B16" w14:textId="77777777" w:rsidR="00D14730" w:rsidRDefault="00D14730" w:rsidP="00BD5DA0">
      <w:pPr>
        <w:ind w:left="360"/>
      </w:pPr>
    </w:p>
    <w:p w14:paraId="15681088" w14:textId="48E68686" w:rsidR="00D14730" w:rsidRDefault="00D14730" w:rsidP="00D14730">
      <w:pPr>
        <w:spacing w:line="278" w:lineRule="auto"/>
      </w:pPr>
    </w:p>
    <w:p w14:paraId="71C3A2DE" w14:textId="77777777" w:rsidR="00D14730" w:rsidRDefault="00D14730">
      <w:pPr>
        <w:spacing w:line="278" w:lineRule="auto"/>
      </w:pPr>
      <w:r>
        <w:br w:type="page"/>
      </w:r>
    </w:p>
    <w:p w14:paraId="45EE03F0" w14:textId="544EE568" w:rsidR="00BD5DA0" w:rsidRPr="009A3943" w:rsidRDefault="00BD5DA0" w:rsidP="00BD5DA0">
      <w:pPr>
        <w:ind w:left="360"/>
        <w:rPr>
          <w:b/>
          <w:bCs/>
        </w:rPr>
      </w:pPr>
      <w:r w:rsidRPr="009A3943">
        <w:rPr>
          <w:b/>
          <w:bCs/>
        </w:rPr>
        <w:lastRenderedPageBreak/>
        <w:t>Contents page</w:t>
      </w:r>
    </w:p>
    <w:p w14:paraId="5719D6A4" w14:textId="4F169FAA" w:rsidR="00BD5DA0" w:rsidRPr="00A66B82" w:rsidRDefault="00BD5DA0" w:rsidP="00BD5DA0">
      <w:pPr>
        <w:ind w:left="360"/>
      </w:pPr>
      <w:r w:rsidRPr="0007301C">
        <w:rPr>
          <w:b/>
          <w:bCs/>
        </w:rPr>
        <w:t>1.0 Introduction</w:t>
      </w:r>
      <w:r w:rsidR="00A66B82" w:rsidRPr="00A66B82">
        <w:t>………………………………………………………………………..</w:t>
      </w:r>
      <w:r w:rsidR="00457D74" w:rsidRPr="00A66B82">
        <w:t xml:space="preserve"> 5</w:t>
      </w:r>
    </w:p>
    <w:p w14:paraId="154C4439" w14:textId="7AC0B432" w:rsidR="00BD5DA0" w:rsidRPr="0007301C" w:rsidRDefault="00BD5DA0" w:rsidP="00BD5DA0">
      <w:pPr>
        <w:ind w:left="360"/>
        <w:rPr>
          <w:b/>
          <w:bCs/>
        </w:rPr>
      </w:pPr>
      <w:r w:rsidRPr="0007301C">
        <w:rPr>
          <w:b/>
          <w:bCs/>
        </w:rPr>
        <w:t>2.0 Main Findings</w:t>
      </w:r>
      <w:r w:rsidR="00A66B82" w:rsidRPr="00A66B82">
        <w:t>……………………………………………………………………...</w:t>
      </w:r>
      <w:r w:rsidR="00457D74" w:rsidRPr="00A66B82">
        <w:t xml:space="preserve"> 5</w:t>
      </w:r>
    </w:p>
    <w:p w14:paraId="29E1EEBD" w14:textId="4FC294A5" w:rsidR="00BD5DA0" w:rsidRPr="0007301C" w:rsidRDefault="00BD5DA0" w:rsidP="00BD5DA0">
      <w:pPr>
        <w:ind w:left="720"/>
      </w:pPr>
      <w:r w:rsidRPr="0007301C">
        <w:t>2.1 Factors Impacting Talent Management</w:t>
      </w:r>
      <w:r w:rsidR="00A66B82">
        <w:t>……………………………………...</w:t>
      </w:r>
      <w:r w:rsidR="00457D74">
        <w:t xml:space="preserve"> 5 </w:t>
      </w:r>
    </w:p>
    <w:p w14:paraId="5B908CB2" w14:textId="1C5BF329" w:rsidR="00BD5DA0" w:rsidRPr="0007301C" w:rsidRDefault="00BD5DA0" w:rsidP="00BD5DA0">
      <w:pPr>
        <w:ind w:left="720"/>
      </w:pPr>
      <w:r w:rsidRPr="0007301C">
        <w:t>2.1.1 External Factors</w:t>
      </w:r>
      <w:r w:rsidR="00A66B82">
        <w:t>………………………………………………………………</w:t>
      </w:r>
      <w:r w:rsidR="00457D74">
        <w:t xml:space="preserve">6 </w:t>
      </w:r>
    </w:p>
    <w:p w14:paraId="53725FCE" w14:textId="39228D0A" w:rsidR="00BD5DA0" w:rsidRPr="0007301C" w:rsidRDefault="00BD5DA0" w:rsidP="00BD5DA0">
      <w:pPr>
        <w:ind w:left="720"/>
      </w:pPr>
      <w:r w:rsidRPr="0007301C">
        <w:t>2.1.1.1 Labour Market and Skills Shortages</w:t>
      </w:r>
      <w:r w:rsidR="00A66B82">
        <w:t>…………………………………….</w:t>
      </w:r>
      <w:r w:rsidR="00457D74">
        <w:t xml:space="preserve"> 6</w:t>
      </w:r>
    </w:p>
    <w:p w14:paraId="65D24530" w14:textId="53EF4693" w:rsidR="00BD5DA0" w:rsidRPr="0007301C" w:rsidRDefault="00BD5DA0" w:rsidP="00BD5DA0">
      <w:pPr>
        <w:ind w:left="720"/>
      </w:pPr>
      <w:r w:rsidRPr="0007301C">
        <w:t>2.1.1.2 Regional and Economic Pressures</w:t>
      </w:r>
      <w:r w:rsidR="00A66B82">
        <w:t>………………………………………</w:t>
      </w:r>
      <w:r w:rsidR="00457D74">
        <w:t xml:space="preserve"> 7 </w:t>
      </w:r>
    </w:p>
    <w:p w14:paraId="4EB53D18" w14:textId="7B845416" w:rsidR="00BD5DA0" w:rsidRPr="0007301C" w:rsidRDefault="00BD5DA0" w:rsidP="00BD5DA0">
      <w:pPr>
        <w:ind w:left="720"/>
      </w:pPr>
      <w:r w:rsidRPr="0007301C">
        <w:t>2.1.1.3 Industry Dynamics and Technological Change</w:t>
      </w:r>
      <w:r w:rsidR="00A66B82">
        <w:t>…………………………7</w:t>
      </w:r>
    </w:p>
    <w:p w14:paraId="19F5A8D3" w14:textId="401814CD" w:rsidR="00BD5DA0" w:rsidRPr="0007301C" w:rsidRDefault="00BD5DA0" w:rsidP="00BD5DA0">
      <w:pPr>
        <w:ind w:left="360"/>
        <w:rPr>
          <w:b/>
          <w:bCs/>
        </w:rPr>
      </w:pPr>
      <w:r w:rsidRPr="0007301C">
        <w:rPr>
          <w:b/>
          <w:bCs/>
        </w:rPr>
        <w:t>2.1.2 Internal Factors</w:t>
      </w:r>
      <w:r w:rsidR="00A66B82" w:rsidRPr="00A66B82">
        <w:t>…………………………………………………………………</w:t>
      </w:r>
      <w:r w:rsidR="00457D74" w:rsidRPr="00A66B82">
        <w:t xml:space="preserve"> 8</w:t>
      </w:r>
      <w:r w:rsidR="00457D74">
        <w:rPr>
          <w:b/>
          <w:bCs/>
        </w:rPr>
        <w:t xml:space="preserve"> </w:t>
      </w:r>
    </w:p>
    <w:p w14:paraId="005A57BC" w14:textId="3AFA596E" w:rsidR="00BD5DA0" w:rsidRPr="0007301C" w:rsidRDefault="00BD5DA0" w:rsidP="00BD5DA0">
      <w:pPr>
        <w:ind w:left="720"/>
        <w:jc w:val="both"/>
      </w:pPr>
      <w:r w:rsidRPr="0007301C">
        <w:t>2.1.2.1 Organisational Culture</w:t>
      </w:r>
      <w:r w:rsidR="00A66B82">
        <w:t>……………………………………………………..</w:t>
      </w:r>
      <w:r w:rsidR="00457D74">
        <w:t xml:space="preserve">8 </w:t>
      </w:r>
    </w:p>
    <w:p w14:paraId="24E479CD" w14:textId="637B5BBE" w:rsidR="00BD5DA0" w:rsidRPr="0007301C" w:rsidRDefault="00BD5DA0" w:rsidP="00BD5DA0">
      <w:pPr>
        <w:ind w:left="720"/>
      </w:pPr>
      <w:r w:rsidRPr="0007301C">
        <w:t>2.1.2.2 Leadership Capability</w:t>
      </w:r>
      <w:r w:rsidR="00A66B82">
        <w:t>………………………………………………………</w:t>
      </w:r>
      <w:r w:rsidR="00457D74">
        <w:t>8</w:t>
      </w:r>
    </w:p>
    <w:p w14:paraId="6C217148" w14:textId="7EDCBB97" w:rsidR="00BD5DA0" w:rsidRPr="0007301C" w:rsidRDefault="00BD5DA0" w:rsidP="00BD5DA0">
      <w:pPr>
        <w:ind w:left="720"/>
      </w:pPr>
      <w:r w:rsidRPr="0007301C">
        <w:t>2.1.2.3 Learning and Development Opportunities</w:t>
      </w:r>
      <w:r w:rsidR="00A66B82">
        <w:t>……………………………….</w:t>
      </w:r>
      <w:r w:rsidR="00457D74">
        <w:t xml:space="preserve">9 </w:t>
      </w:r>
    </w:p>
    <w:p w14:paraId="5A03CE24" w14:textId="453A00D4" w:rsidR="00BD5DA0" w:rsidRPr="0007301C" w:rsidRDefault="00BD5DA0" w:rsidP="00BD5DA0">
      <w:pPr>
        <w:ind w:left="360"/>
        <w:rPr>
          <w:b/>
          <w:bCs/>
        </w:rPr>
      </w:pPr>
      <w:r w:rsidRPr="0007301C">
        <w:rPr>
          <w:b/>
          <w:bCs/>
        </w:rPr>
        <w:t>2.2 Critical Analysis of Castell Howell Foods’ Current Approach to Talent Management</w:t>
      </w:r>
      <w:r w:rsidR="00457D74" w:rsidRPr="00A66B82">
        <w:t xml:space="preserve"> </w:t>
      </w:r>
      <w:r w:rsidR="00A66B82">
        <w:t>……………………………………………………………………………</w:t>
      </w:r>
      <w:r w:rsidR="00457D74" w:rsidRPr="00A66B82">
        <w:t>9</w:t>
      </w:r>
      <w:r w:rsidR="00457D74">
        <w:rPr>
          <w:b/>
          <w:bCs/>
        </w:rPr>
        <w:t xml:space="preserve"> </w:t>
      </w:r>
    </w:p>
    <w:p w14:paraId="5F082600" w14:textId="6252D4E9" w:rsidR="00BD5DA0" w:rsidRPr="0007301C" w:rsidRDefault="00BD5DA0" w:rsidP="00BD5DA0">
      <w:pPr>
        <w:ind w:left="720"/>
      </w:pPr>
      <w:r w:rsidRPr="0007301C">
        <w:t>2.2.1 Talent Competition Remains High</w:t>
      </w:r>
      <w:r w:rsidR="00A66B82">
        <w:t>…………………………………………..</w:t>
      </w:r>
      <w:r w:rsidR="00457D74">
        <w:t>9</w:t>
      </w:r>
    </w:p>
    <w:p w14:paraId="56A6AF8E" w14:textId="409AE0C4" w:rsidR="00BD5DA0" w:rsidRPr="0007301C" w:rsidRDefault="00BD5DA0" w:rsidP="00BD5DA0">
      <w:pPr>
        <w:ind w:left="720"/>
      </w:pPr>
      <w:r w:rsidRPr="0007301C">
        <w:t>2.2.2 Greater Focus on Developing Skills In-House</w:t>
      </w:r>
      <w:r w:rsidR="00A66B82">
        <w:t>…………………………...</w:t>
      </w:r>
      <w:r w:rsidR="00457D74">
        <w:t>10</w:t>
      </w:r>
    </w:p>
    <w:p w14:paraId="53A9C775" w14:textId="036044E5" w:rsidR="00BD5DA0" w:rsidRPr="0007301C" w:rsidRDefault="00BD5DA0" w:rsidP="00BD5DA0">
      <w:pPr>
        <w:ind w:left="720"/>
      </w:pPr>
      <w:r w:rsidRPr="0007301C">
        <w:t>2.2.3 Benefits of Flexible Working Offerings Increasingly Recognised</w:t>
      </w:r>
      <w:r w:rsidR="00A66B82">
        <w:t>……..</w:t>
      </w:r>
      <w:r w:rsidR="00457D74">
        <w:t xml:space="preserve"> 11</w:t>
      </w:r>
    </w:p>
    <w:p w14:paraId="3355AA6C" w14:textId="365082AD" w:rsidR="00BD5DA0" w:rsidRPr="00634A78" w:rsidRDefault="00BD5DA0" w:rsidP="00BD5DA0">
      <w:pPr>
        <w:ind w:left="360"/>
        <w:rPr>
          <w:b/>
          <w:bCs/>
        </w:rPr>
      </w:pPr>
      <w:r w:rsidRPr="00634A78">
        <w:rPr>
          <w:b/>
          <w:bCs/>
        </w:rPr>
        <w:t>3.0 Conclusion</w:t>
      </w:r>
      <w:r w:rsidR="00A66B82" w:rsidRPr="00B47D78">
        <w:t>……………………………………………………………………….</w:t>
      </w:r>
      <w:r w:rsidR="00457D74" w:rsidRPr="00B47D78">
        <w:t xml:space="preserve"> </w:t>
      </w:r>
      <w:r w:rsidR="00457D74" w:rsidRPr="00A66B82">
        <w:t>13</w:t>
      </w:r>
    </w:p>
    <w:p w14:paraId="7877BFAE" w14:textId="1C1C33BA" w:rsidR="00BD5DA0" w:rsidRDefault="00BD5DA0" w:rsidP="00BD5DA0">
      <w:pPr>
        <w:ind w:left="360"/>
        <w:rPr>
          <w:b/>
          <w:bCs/>
        </w:rPr>
      </w:pPr>
      <w:r w:rsidRPr="00634A78">
        <w:rPr>
          <w:b/>
          <w:bCs/>
        </w:rPr>
        <w:t xml:space="preserve">4.0 Recommendations </w:t>
      </w:r>
      <w:r w:rsidR="009A3943" w:rsidRPr="00B47D78">
        <w:t>………………………………………………………………14</w:t>
      </w:r>
    </w:p>
    <w:p w14:paraId="48FFC412" w14:textId="2E347EE7" w:rsidR="001535EF" w:rsidRDefault="00BD5DA0" w:rsidP="00330E8E">
      <w:pPr>
        <w:ind w:left="360"/>
        <w:rPr>
          <w:b/>
          <w:bCs/>
        </w:rPr>
      </w:pPr>
      <w:r>
        <w:rPr>
          <w:b/>
          <w:bCs/>
        </w:rPr>
        <w:t xml:space="preserve">5.0 Reference List </w:t>
      </w:r>
      <w:r w:rsidR="00B47D78" w:rsidRPr="00B47D78">
        <w:t>……………………………………………………………………15</w:t>
      </w:r>
    </w:p>
    <w:p w14:paraId="12ED4BB6" w14:textId="77777777" w:rsidR="00330E8E" w:rsidRPr="00330E8E" w:rsidRDefault="00330E8E" w:rsidP="00330E8E">
      <w:pPr>
        <w:ind w:left="360"/>
        <w:rPr>
          <w:b/>
          <w:bCs/>
        </w:rPr>
      </w:pPr>
    </w:p>
    <w:p w14:paraId="43BDEFE4" w14:textId="7E51CC93" w:rsidR="000921D4" w:rsidRDefault="000921D4" w:rsidP="001535EF">
      <w:pPr>
        <w:pStyle w:val="Heading1"/>
        <w:numPr>
          <w:ilvl w:val="0"/>
          <w:numId w:val="6"/>
        </w:numPr>
        <w:jc w:val="both"/>
        <w:rPr>
          <w:rFonts w:ascii="Arial" w:eastAsia="Times New Roman" w:hAnsi="Arial" w:cs="Arial"/>
          <w:b/>
          <w:bCs/>
          <w:color w:val="000000"/>
          <w:sz w:val="24"/>
          <w:szCs w:val="24"/>
          <w:lang w:eastAsia="en-GB"/>
        </w:rPr>
      </w:pPr>
      <w:r w:rsidRPr="00301559">
        <w:rPr>
          <w:rFonts w:ascii="Arial" w:eastAsia="Times New Roman" w:hAnsi="Arial" w:cs="Arial"/>
          <w:b/>
          <w:bCs/>
          <w:color w:val="000000"/>
          <w:sz w:val="24"/>
          <w:szCs w:val="24"/>
          <w:lang w:eastAsia="en-GB"/>
        </w:rPr>
        <w:lastRenderedPageBreak/>
        <w:t>Introduction</w:t>
      </w:r>
    </w:p>
    <w:p w14:paraId="5C405621" w14:textId="77777777" w:rsidR="00AA5F06" w:rsidRDefault="00AA5F06" w:rsidP="00F938FF">
      <w:pPr>
        <w:pStyle w:val="Heading1"/>
        <w:jc w:val="both"/>
        <w:rPr>
          <w:rFonts w:ascii="Arial" w:eastAsiaTheme="minorHAnsi" w:hAnsi="Arial" w:cs="Arial"/>
          <w:color w:val="auto"/>
          <w:sz w:val="24"/>
          <w:szCs w:val="24"/>
        </w:rPr>
      </w:pPr>
      <w:r w:rsidRPr="00AA5F06">
        <w:rPr>
          <w:rFonts w:ascii="Arial" w:eastAsiaTheme="minorHAnsi" w:hAnsi="Arial" w:cs="Arial"/>
          <w:color w:val="auto"/>
          <w:sz w:val="24"/>
          <w:szCs w:val="24"/>
        </w:rPr>
        <w:t xml:space="preserve">Castell Howell Foods (CHF) is one of Wales’s leading independent foodservice wholesalers, with strong roots in the local community and a longstanding commitment to supporting its workforce. Talent management is increasingly recognised as a strategic imperative rather than a purely administrative HR function. It encompasses the deliberate attraction, development, engagement, and retention of employees whose skills and capabilities are essential to achieving organisational objectives (Collings and </w:t>
      </w:r>
      <w:proofErr w:type="spellStart"/>
      <w:r w:rsidRPr="00AA5F06">
        <w:rPr>
          <w:rFonts w:ascii="Arial" w:eastAsiaTheme="minorHAnsi" w:hAnsi="Arial" w:cs="Arial"/>
          <w:color w:val="auto"/>
          <w:sz w:val="24"/>
          <w:szCs w:val="24"/>
        </w:rPr>
        <w:t>Mellahi</w:t>
      </w:r>
      <w:proofErr w:type="spellEnd"/>
      <w:r w:rsidRPr="00AA5F06">
        <w:rPr>
          <w:rFonts w:ascii="Arial" w:eastAsiaTheme="minorHAnsi" w:hAnsi="Arial" w:cs="Arial"/>
          <w:color w:val="auto"/>
          <w:sz w:val="24"/>
          <w:szCs w:val="24"/>
        </w:rPr>
        <w:t>, 2009). Within the contemporary UK employment landscape, organisations face persistent challenges, including skills shortages, pay inflation, intense competition for talent, and evolving employee expectations regarding flexibility, wellbeing, and career development (CIPD, 2024). Consequently, employers are under growing pressure to implement coherent talent strategies that not only ensure workforce stability but also build long-term organisational capability and resilience (Boudreau and Ramstad, 2005).</w:t>
      </w:r>
    </w:p>
    <w:p w14:paraId="5E07CAF4" w14:textId="77777777" w:rsidR="00DB6914" w:rsidRDefault="00DB6914" w:rsidP="004955F5">
      <w:pPr>
        <w:pStyle w:val="Heading1"/>
        <w:jc w:val="both"/>
        <w:rPr>
          <w:rFonts w:ascii="Arial" w:eastAsia="Times New Roman" w:hAnsi="Arial" w:cs="Arial"/>
          <w:color w:val="000000"/>
          <w:sz w:val="24"/>
          <w:szCs w:val="24"/>
          <w:lang w:eastAsia="en-GB"/>
        </w:rPr>
      </w:pPr>
      <w:r w:rsidRPr="00DB6914">
        <w:rPr>
          <w:rFonts w:ascii="Arial" w:eastAsia="Times New Roman" w:hAnsi="Arial" w:cs="Arial"/>
          <w:color w:val="000000"/>
          <w:sz w:val="24"/>
          <w:szCs w:val="24"/>
          <w:lang w:eastAsia="en-GB"/>
        </w:rPr>
        <w:t>This report evaluates the internal and external factors shaping talent management at CHF, critically assessing its effectiveness in attracting, developing, and retaining employees. Section 2.1 examines the key contextual influences, including labour-market dynamics, regional skill disparities, organisational culture, leadership capability, and HR infrastructure. Section 2.2 analyses CHF’s current practices in relation to three CIPD (2024) findings: intensified competition for talent, the growing emphasis on in-house skills development, and the rising importance of flexible working. The report concludes with evidence-based recommendations to strengthen CHF’s talent management framework, enhance its employer value proposition, and improve its competitiveness in a challenging labour market.</w:t>
      </w:r>
    </w:p>
    <w:p w14:paraId="7BFABF32" w14:textId="0F26C95E" w:rsidR="009A1387" w:rsidRPr="00301559" w:rsidRDefault="009A1387" w:rsidP="004955F5">
      <w:pPr>
        <w:pStyle w:val="Heading1"/>
        <w:jc w:val="both"/>
        <w:rPr>
          <w:rFonts w:ascii="Arial" w:hAnsi="Arial" w:cs="Arial"/>
          <w:b/>
          <w:color w:val="auto"/>
          <w:sz w:val="24"/>
          <w:szCs w:val="24"/>
        </w:rPr>
      </w:pPr>
      <w:r w:rsidRPr="00301559">
        <w:rPr>
          <w:rFonts w:ascii="Arial" w:hAnsi="Arial" w:cs="Arial"/>
          <w:b/>
          <w:color w:val="auto"/>
          <w:sz w:val="24"/>
          <w:szCs w:val="24"/>
        </w:rPr>
        <w:t>2.0 Main Findings</w:t>
      </w:r>
      <w:r w:rsidR="00332759" w:rsidRPr="00301559">
        <w:rPr>
          <w:rFonts w:ascii="Arial" w:hAnsi="Arial" w:cs="Arial"/>
          <w:b/>
          <w:color w:val="auto"/>
          <w:sz w:val="24"/>
          <w:szCs w:val="24"/>
        </w:rPr>
        <w:t xml:space="preserve"> </w:t>
      </w:r>
    </w:p>
    <w:p w14:paraId="35BEFAA3" w14:textId="08113E8F" w:rsidR="009E534C" w:rsidRPr="009E534C" w:rsidRDefault="009E534C" w:rsidP="009E534C">
      <w:pPr>
        <w:rPr>
          <w:b/>
          <w:bCs/>
          <w:color w:val="000000" w:themeColor="text1"/>
        </w:rPr>
      </w:pPr>
      <w:r w:rsidRPr="009E534C">
        <w:rPr>
          <w:b/>
          <w:bCs/>
          <w:color w:val="000000" w:themeColor="text1"/>
        </w:rPr>
        <w:t xml:space="preserve">2.1 Factors Impacting Talent Management </w:t>
      </w:r>
    </w:p>
    <w:p w14:paraId="4E72700F" w14:textId="2973061B" w:rsidR="00C902EE" w:rsidRDefault="00C902EE" w:rsidP="009E534C">
      <w:pPr>
        <w:jc w:val="both"/>
        <w:rPr>
          <w:color w:val="000000" w:themeColor="text1"/>
        </w:rPr>
      </w:pPr>
      <w:r w:rsidRPr="00C902EE">
        <w:rPr>
          <w:color w:val="000000" w:themeColor="text1"/>
        </w:rPr>
        <w:t xml:space="preserve">Talent management effectiveness at </w:t>
      </w:r>
      <w:r w:rsidR="00965CB7">
        <w:rPr>
          <w:color w:val="000000" w:themeColor="text1"/>
        </w:rPr>
        <w:t>CHF</w:t>
      </w:r>
      <w:r w:rsidRPr="00C902EE">
        <w:rPr>
          <w:color w:val="000000" w:themeColor="text1"/>
        </w:rPr>
        <w:t xml:space="preserve"> is shaped by both external and internal forces that influence the organisation’s ability to attract, develop and retain employees (Armstrong </w:t>
      </w:r>
      <w:r w:rsidR="004F1628">
        <w:rPr>
          <w:color w:val="000000" w:themeColor="text1"/>
        </w:rPr>
        <w:t>and</w:t>
      </w:r>
      <w:r w:rsidRPr="00C902EE">
        <w:rPr>
          <w:color w:val="000000" w:themeColor="text1"/>
        </w:rPr>
        <w:t xml:space="preserve"> Taylor, 2020; CIPD, 2023). External influences include socio-economic, political and technological conditions such as labour market trends, skill shortages and regulatory demands (ONS, 2023; Schuler, Jackson </w:t>
      </w:r>
      <w:r w:rsidR="004F1628">
        <w:rPr>
          <w:color w:val="000000" w:themeColor="text1"/>
        </w:rPr>
        <w:t>and</w:t>
      </w:r>
      <w:r w:rsidRPr="00C902EE">
        <w:rPr>
          <w:color w:val="000000" w:themeColor="text1"/>
        </w:rPr>
        <w:t xml:space="preserve"> Tarique, 2011). Internal influences relate to organisational structure, culture, leadership and HR systems, which determine how talent is identified, supported and progressed (Beardwell </w:t>
      </w:r>
      <w:r w:rsidR="006A1CC8">
        <w:rPr>
          <w:color w:val="000000" w:themeColor="text1"/>
        </w:rPr>
        <w:t>and</w:t>
      </w:r>
      <w:r w:rsidRPr="00C902EE">
        <w:rPr>
          <w:color w:val="000000" w:themeColor="text1"/>
        </w:rPr>
        <w:t xml:space="preserve"> Thompson, 2017; Collings, </w:t>
      </w:r>
      <w:proofErr w:type="spellStart"/>
      <w:r w:rsidRPr="00C902EE">
        <w:rPr>
          <w:color w:val="000000" w:themeColor="text1"/>
        </w:rPr>
        <w:t>Mellahi</w:t>
      </w:r>
      <w:proofErr w:type="spellEnd"/>
      <w:r w:rsidRPr="00C902EE">
        <w:rPr>
          <w:color w:val="000000" w:themeColor="text1"/>
        </w:rPr>
        <w:t xml:space="preserve"> </w:t>
      </w:r>
      <w:r w:rsidR="004F1628">
        <w:rPr>
          <w:color w:val="000000" w:themeColor="text1"/>
        </w:rPr>
        <w:t>and</w:t>
      </w:r>
      <w:r w:rsidRPr="00C902EE">
        <w:rPr>
          <w:color w:val="000000" w:themeColor="text1"/>
        </w:rPr>
        <w:t xml:space="preserve"> Cascio, 2019). Recognising how these factors interact enables a coherent, evidence-based talent strategy that meets current and future workforce needs (Lewis </w:t>
      </w:r>
      <w:r w:rsidR="006A1CC8">
        <w:rPr>
          <w:color w:val="000000" w:themeColor="text1"/>
        </w:rPr>
        <w:t>and</w:t>
      </w:r>
      <w:r w:rsidRPr="00C902EE">
        <w:rPr>
          <w:color w:val="000000" w:themeColor="text1"/>
        </w:rPr>
        <w:t xml:space="preserve"> Heckman, 2006; Ulrich </w:t>
      </w:r>
      <w:r w:rsidR="006A1CC8">
        <w:rPr>
          <w:color w:val="000000" w:themeColor="text1"/>
        </w:rPr>
        <w:t>and</w:t>
      </w:r>
      <w:r w:rsidRPr="00C902EE">
        <w:rPr>
          <w:color w:val="000000" w:themeColor="text1"/>
        </w:rPr>
        <w:t xml:space="preserve"> Brockbank, 2018).</w:t>
      </w:r>
    </w:p>
    <w:p w14:paraId="59F67AEF" w14:textId="77777777" w:rsidR="00457D74" w:rsidRDefault="00457D74" w:rsidP="009E534C">
      <w:pPr>
        <w:jc w:val="both"/>
        <w:rPr>
          <w:b/>
          <w:bCs/>
          <w:color w:val="000000" w:themeColor="text1"/>
        </w:rPr>
      </w:pPr>
    </w:p>
    <w:p w14:paraId="70DAFB39" w14:textId="272F3AFB" w:rsidR="009E534C" w:rsidRPr="009E534C" w:rsidRDefault="009E534C" w:rsidP="009E534C">
      <w:pPr>
        <w:jc w:val="both"/>
        <w:rPr>
          <w:b/>
          <w:bCs/>
          <w:color w:val="000000" w:themeColor="text1"/>
        </w:rPr>
      </w:pPr>
      <w:r w:rsidRPr="009E534C">
        <w:rPr>
          <w:b/>
          <w:bCs/>
          <w:color w:val="000000" w:themeColor="text1"/>
        </w:rPr>
        <w:lastRenderedPageBreak/>
        <w:t>2.1.1 External Factors</w:t>
      </w:r>
    </w:p>
    <w:p w14:paraId="1BE4C095" w14:textId="209D0BD2" w:rsidR="009E534C" w:rsidRPr="009E534C" w:rsidRDefault="001D5EC0" w:rsidP="009E534C">
      <w:pPr>
        <w:jc w:val="both"/>
        <w:rPr>
          <w:b/>
          <w:bCs/>
          <w:color w:val="000000" w:themeColor="text1"/>
        </w:rPr>
      </w:pPr>
      <w:r>
        <w:rPr>
          <w:b/>
          <w:bCs/>
          <w:color w:val="000000" w:themeColor="text1"/>
        </w:rPr>
        <w:t xml:space="preserve">2.1.1.1 </w:t>
      </w:r>
      <w:r w:rsidR="009E534C" w:rsidRPr="009E534C">
        <w:rPr>
          <w:b/>
          <w:bCs/>
          <w:color w:val="000000" w:themeColor="text1"/>
        </w:rPr>
        <w:t>Labour Market</w:t>
      </w:r>
      <w:r w:rsidR="004308A9">
        <w:rPr>
          <w:b/>
          <w:bCs/>
          <w:color w:val="000000" w:themeColor="text1"/>
        </w:rPr>
        <w:t xml:space="preserve">, </w:t>
      </w:r>
      <w:r w:rsidR="009E534C" w:rsidRPr="009E534C">
        <w:rPr>
          <w:b/>
          <w:bCs/>
          <w:color w:val="000000" w:themeColor="text1"/>
        </w:rPr>
        <w:t>Skills Shortages</w:t>
      </w:r>
    </w:p>
    <w:p w14:paraId="6AAAD162" w14:textId="77777777" w:rsidR="000B4951" w:rsidRPr="000B4951" w:rsidRDefault="000B4951" w:rsidP="000B4951">
      <w:pPr>
        <w:jc w:val="both"/>
        <w:rPr>
          <w:color w:val="000000" w:themeColor="text1"/>
        </w:rPr>
      </w:pPr>
      <w:r w:rsidRPr="000B4951">
        <w:rPr>
          <w:color w:val="000000" w:themeColor="text1"/>
        </w:rPr>
        <w:t>The UK labour market is experiencing acute and persistent skills shortages across key sectors, including logistics, warehousing and food production (CIPD, 2024; Learning and Work Institute, 2023). The CIPD Labour Market Outlook (2024) identifies that over half of employers struggle to recruit skilled staff for technical and operational roles, a trend echoed in wider labour market analyses pointing to tightening labour supply (BBC News, 2024; UK Government, 2023). These shortages are driven by demographic change, an ageing workforce and reduced migration following Brexit, all of which have reshaped employer access to labour (Portes, 2022; Migration Observatory, 2023). Consequently, the availability of EU workers in labour-intensive sectors has declined (ONS, 2023; OECD, 2023).</w:t>
      </w:r>
    </w:p>
    <w:p w14:paraId="362F802F" w14:textId="38E6F3E2" w:rsidR="000B4951" w:rsidRPr="000B4951" w:rsidRDefault="000B4951" w:rsidP="000B4951">
      <w:pPr>
        <w:jc w:val="both"/>
        <w:rPr>
          <w:color w:val="000000" w:themeColor="text1"/>
        </w:rPr>
      </w:pPr>
      <w:r w:rsidRPr="00965CB7">
        <w:rPr>
          <w:color w:val="000000" w:themeColor="text1"/>
        </w:rPr>
        <w:t>For C</w:t>
      </w:r>
      <w:r w:rsidR="00965CB7" w:rsidRPr="00965CB7">
        <w:rPr>
          <w:color w:val="000000" w:themeColor="text1"/>
        </w:rPr>
        <w:t>HF</w:t>
      </w:r>
      <w:r w:rsidRPr="00965CB7">
        <w:rPr>
          <w:color w:val="000000" w:themeColor="text1"/>
        </w:rPr>
        <w:t xml:space="preserve"> these shortages have direct operational consequences. The</w:t>
      </w:r>
      <w:r w:rsidRPr="000B4951">
        <w:rPr>
          <w:color w:val="000000" w:themeColor="text1"/>
        </w:rPr>
        <w:t xml:space="preserve"> business depends on recruiting and retaining skilled drivers, butchery specialists, warehouse operatives and logistics coordinators</w:t>
      </w:r>
      <w:r>
        <w:rPr>
          <w:color w:val="000000" w:themeColor="text1"/>
        </w:rPr>
        <w:t xml:space="preserve">, </w:t>
      </w:r>
      <w:r w:rsidRPr="000B4951">
        <w:rPr>
          <w:color w:val="000000" w:themeColor="text1"/>
        </w:rPr>
        <w:t xml:space="preserve">roles consistently identified as hard to fill (Food and Drink Federation, 2023; Logistics UK, 2024). Despite being essential to operational efficiency and customer service, these positions remain challenging to recruit due to limited regional talent supply (CIPD, 2023; Anderson </w:t>
      </w:r>
      <w:r w:rsidR="00311011">
        <w:rPr>
          <w:color w:val="000000" w:themeColor="text1"/>
        </w:rPr>
        <w:t>and</w:t>
      </w:r>
      <w:r w:rsidRPr="000B4951">
        <w:rPr>
          <w:color w:val="000000" w:themeColor="text1"/>
        </w:rPr>
        <w:t xml:space="preserve"> Adams, 2022).</w:t>
      </w:r>
    </w:p>
    <w:p w14:paraId="062A5F2F" w14:textId="65BDADC2" w:rsidR="00A22220" w:rsidRPr="000B4951" w:rsidRDefault="000B4951" w:rsidP="009E534C">
      <w:pPr>
        <w:jc w:val="both"/>
        <w:rPr>
          <w:color w:val="000000" w:themeColor="text1"/>
        </w:rPr>
      </w:pPr>
      <w:r w:rsidRPr="000B4951">
        <w:rPr>
          <w:color w:val="000000" w:themeColor="text1"/>
        </w:rPr>
        <w:t xml:space="preserve">These challenges are intensified in rural areas such as Carmarthenshire, where the company is headquartered. Rural labour markets typically offer smaller talent pools, limited public transport and fewer training providers, restricting candidate availability (Learning and Work Institute, 2025; Wales Centre for Public Policy, 2023). As a result, employers must compete on salary, reputation, working conditions and development opportunities. This aligns with research emphasising the growing importance of employer branding in tight labour markets (Backhaus </w:t>
      </w:r>
      <w:r w:rsidR="00241D10">
        <w:rPr>
          <w:color w:val="000000" w:themeColor="text1"/>
        </w:rPr>
        <w:t>and</w:t>
      </w:r>
      <w:r w:rsidRPr="000B4951">
        <w:rPr>
          <w:color w:val="000000" w:themeColor="text1"/>
        </w:rPr>
        <w:t xml:space="preserve"> Tikoo, 2004; Taylor </w:t>
      </w:r>
      <w:r w:rsidR="00241D10">
        <w:rPr>
          <w:color w:val="000000" w:themeColor="text1"/>
        </w:rPr>
        <w:t>and</w:t>
      </w:r>
      <w:r w:rsidRPr="000B4951">
        <w:rPr>
          <w:color w:val="000000" w:themeColor="text1"/>
        </w:rPr>
        <w:t xml:space="preserve"> Collins, 2020). Boudreau and Ramstad (2005) argue that organisations should move beyond transactional hiring towards a strategic “talent ship” approach, treating workforce capability as a critical business asset</w:t>
      </w:r>
      <w:r>
        <w:rPr>
          <w:color w:val="000000" w:themeColor="text1"/>
        </w:rPr>
        <w:t xml:space="preserve">, </w:t>
      </w:r>
      <w:r w:rsidRPr="000B4951">
        <w:rPr>
          <w:color w:val="000000" w:themeColor="text1"/>
        </w:rPr>
        <w:t xml:space="preserve">an increasingly central theme in contemporary HRM literature (Ulrich, 2019; Collings, </w:t>
      </w:r>
      <w:proofErr w:type="spellStart"/>
      <w:r w:rsidRPr="000B4951">
        <w:rPr>
          <w:color w:val="000000" w:themeColor="text1"/>
        </w:rPr>
        <w:t>Mellahi</w:t>
      </w:r>
      <w:proofErr w:type="spellEnd"/>
      <w:r w:rsidRPr="000B4951">
        <w:rPr>
          <w:color w:val="000000" w:themeColor="text1"/>
        </w:rPr>
        <w:t xml:space="preserve"> </w:t>
      </w:r>
      <w:r w:rsidR="008072B3">
        <w:rPr>
          <w:color w:val="000000" w:themeColor="text1"/>
        </w:rPr>
        <w:t>and</w:t>
      </w:r>
      <w:r w:rsidRPr="000B4951">
        <w:rPr>
          <w:color w:val="000000" w:themeColor="text1"/>
        </w:rPr>
        <w:t xml:space="preserve"> Cascio, 2019).</w:t>
      </w:r>
    </w:p>
    <w:p w14:paraId="598E7062" w14:textId="2AF15EC4" w:rsidR="009E534C" w:rsidRPr="009E534C" w:rsidRDefault="001D5EC0" w:rsidP="009E534C">
      <w:pPr>
        <w:jc w:val="both"/>
        <w:rPr>
          <w:b/>
          <w:bCs/>
          <w:color w:val="000000" w:themeColor="text1"/>
        </w:rPr>
      </w:pPr>
      <w:r>
        <w:rPr>
          <w:b/>
          <w:bCs/>
          <w:color w:val="000000" w:themeColor="text1"/>
        </w:rPr>
        <w:t xml:space="preserve">2.1.1.2 </w:t>
      </w:r>
      <w:r w:rsidR="009E534C" w:rsidRPr="009E534C">
        <w:rPr>
          <w:b/>
          <w:bCs/>
          <w:color w:val="000000" w:themeColor="text1"/>
        </w:rPr>
        <w:t>Regional and Economic Pressures</w:t>
      </w:r>
    </w:p>
    <w:p w14:paraId="54C93C0A" w14:textId="142A610F" w:rsidR="00B7749F" w:rsidRDefault="00B7749F" w:rsidP="009E534C">
      <w:pPr>
        <w:jc w:val="both"/>
        <w:rPr>
          <w:color w:val="000000" w:themeColor="text1"/>
        </w:rPr>
      </w:pPr>
      <w:r w:rsidRPr="00B7749F">
        <w:rPr>
          <w:color w:val="000000" w:themeColor="text1"/>
        </w:rPr>
        <w:t xml:space="preserve">Operating in Wales places CHF within a labour market marked by persistent regional disparities in education, skills, and employment, exacerbated by sustained graduate out-migration. The </w:t>
      </w:r>
      <w:proofErr w:type="spellStart"/>
      <w:r w:rsidRPr="00B7749F">
        <w:rPr>
          <w:color w:val="000000" w:themeColor="text1"/>
        </w:rPr>
        <w:t>Medr</w:t>
      </w:r>
      <w:proofErr w:type="spellEnd"/>
      <w:r w:rsidRPr="00B7749F">
        <w:rPr>
          <w:color w:val="000000" w:themeColor="text1"/>
        </w:rPr>
        <w:t xml:space="preserve"> Graduate Outcomes Survey (2025) shows that while 88% of graduates from Welsh institutions remain locally employed, only 43% of Welsh-domiciled students studying elsewhere return, contributing to a continued net loss of talent. WISERD (2024) reports that </w:t>
      </w:r>
      <w:r w:rsidR="00BD18C2" w:rsidRPr="00BD18C2">
        <w:rPr>
          <w:color w:val="000000" w:themeColor="text1"/>
        </w:rPr>
        <w:t>Wales’s</w:t>
      </w:r>
      <w:r w:rsidRPr="00BD18C2">
        <w:rPr>
          <w:color w:val="000000" w:themeColor="text1"/>
        </w:rPr>
        <w:t xml:space="preserve"> exports many highly qualified and STEM graduates to better-paid roles in London and</w:t>
      </w:r>
      <w:r w:rsidRPr="00B7749F">
        <w:rPr>
          <w:color w:val="000000" w:themeColor="text1"/>
        </w:rPr>
        <w:t xml:space="preserve"> the South East, while </w:t>
      </w:r>
      <w:proofErr w:type="spellStart"/>
      <w:r w:rsidRPr="00B7749F">
        <w:rPr>
          <w:color w:val="000000" w:themeColor="text1"/>
        </w:rPr>
        <w:t>Darogan</w:t>
      </w:r>
      <w:proofErr w:type="spellEnd"/>
      <w:r w:rsidRPr="00B7749F">
        <w:rPr>
          <w:color w:val="000000" w:themeColor="text1"/>
        </w:rPr>
        <w:t xml:space="preserve"> (2025) notes that around 37% of Welsh students leave for university and are less likely to return due to limited SME placements and internships. With Universities Wales (2023) projecting that 95% of new jobs by 2035 will require graduate-level skills, and the Learning and Work Institute (2025) identifying a widening skills gap, these patterns </w:t>
      </w:r>
      <w:r w:rsidRPr="00B7749F">
        <w:rPr>
          <w:color w:val="000000" w:themeColor="text1"/>
        </w:rPr>
        <w:lastRenderedPageBreak/>
        <w:t>restrict CHF’s access to specialist talent and intensify competition within an increasingly mobile graduate labour market</w:t>
      </w:r>
      <w:r w:rsidR="00B85B94">
        <w:rPr>
          <w:color w:val="000000" w:themeColor="text1"/>
        </w:rPr>
        <w:t>.</w:t>
      </w:r>
    </w:p>
    <w:p w14:paraId="170572AE" w14:textId="1EC3B37B" w:rsidR="009E534C" w:rsidRPr="009E534C" w:rsidRDefault="009E534C" w:rsidP="009E534C">
      <w:pPr>
        <w:jc w:val="both"/>
        <w:rPr>
          <w:color w:val="000000" w:themeColor="text1"/>
        </w:rPr>
      </w:pPr>
      <w:r w:rsidRPr="009E534C">
        <w:rPr>
          <w:color w:val="000000" w:themeColor="text1"/>
        </w:rPr>
        <w:t xml:space="preserve">Economic pressures compound these challenges. Inflationary trends, rising fuel and energy costs and supply chain volatility have eroded employer margins across the food industry (BIS, 2024). Consequently, </w:t>
      </w:r>
      <w:r w:rsidR="00A07E5E">
        <w:rPr>
          <w:color w:val="000000" w:themeColor="text1"/>
        </w:rPr>
        <w:t>CHF</w:t>
      </w:r>
      <w:r w:rsidRPr="009E534C">
        <w:rPr>
          <w:color w:val="000000" w:themeColor="text1"/>
        </w:rPr>
        <w:t xml:space="preserve"> faces limited financial flexibility to enhance wages or fund extensive training programmes. In line with the CIPD </w:t>
      </w:r>
      <w:r w:rsidRPr="00444E52">
        <w:rPr>
          <w:color w:val="000000" w:themeColor="text1"/>
        </w:rPr>
        <w:t>Resourcing and Talent Planning Report</w:t>
      </w:r>
      <w:r w:rsidRPr="009E534C">
        <w:rPr>
          <w:color w:val="000000" w:themeColor="text1"/>
        </w:rPr>
        <w:t xml:space="preserve"> (2024),</w:t>
      </w:r>
      <w:r w:rsidR="004B19CE">
        <w:rPr>
          <w:color w:val="000000" w:themeColor="text1"/>
        </w:rPr>
        <w:t xml:space="preserve"> </w:t>
      </w:r>
      <w:r w:rsidRPr="009E534C">
        <w:rPr>
          <w:color w:val="000000" w:themeColor="text1"/>
        </w:rPr>
        <w:t xml:space="preserve">employers in similar sectors are shifting towards internal skill development and flexible resourcing models as cost-effective alternatives to external recruitment. For </w:t>
      </w:r>
      <w:r w:rsidR="00A07E5E">
        <w:rPr>
          <w:color w:val="000000" w:themeColor="text1"/>
        </w:rPr>
        <w:t>CHF</w:t>
      </w:r>
      <w:r w:rsidRPr="009E534C">
        <w:rPr>
          <w:color w:val="000000" w:themeColor="text1"/>
        </w:rPr>
        <w:t xml:space="preserve">, this reinforces the </w:t>
      </w:r>
      <w:r w:rsidRPr="00774A6D">
        <w:rPr>
          <w:color w:val="000000" w:themeColor="text1"/>
        </w:rPr>
        <w:t>importance of workforce planning and targeted investment in employee development to mitigate future skill shortages</w:t>
      </w:r>
      <w:r w:rsidR="00C10402" w:rsidRPr="00774A6D">
        <w:rPr>
          <w:color w:val="000000" w:themeColor="text1"/>
        </w:rPr>
        <w:t xml:space="preserve"> and to provide assurance for succession planning</w:t>
      </w:r>
      <w:r w:rsidRPr="00774A6D">
        <w:rPr>
          <w:color w:val="000000" w:themeColor="text1"/>
        </w:rPr>
        <w:t>.</w:t>
      </w:r>
    </w:p>
    <w:p w14:paraId="5F5C89C1" w14:textId="66E76582" w:rsidR="009E534C" w:rsidRPr="009E534C" w:rsidRDefault="009E534C" w:rsidP="009E534C">
      <w:pPr>
        <w:jc w:val="both"/>
        <w:rPr>
          <w:color w:val="000000" w:themeColor="text1"/>
        </w:rPr>
      </w:pPr>
      <w:r w:rsidRPr="009E534C">
        <w:rPr>
          <w:color w:val="000000" w:themeColor="text1"/>
        </w:rPr>
        <w:t>Additionally,</w:t>
      </w:r>
      <w:r w:rsidR="004B19CE">
        <w:rPr>
          <w:color w:val="000000" w:themeColor="text1"/>
        </w:rPr>
        <w:t xml:space="preserve"> j</w:t>
      </w:r>
      <w:r w:rsidRPr="009E534C">
        <w:rPr>
          <w:color w:val="000000" w:themeColor="text1"/>
        </w:rPr>
        <w:t xml:space="preserve">obseekers increasingly evaluate employers not solely on pay but also on work–life balance, job security and wellbeing provisions (CIPD, 2024). This trend places pressure on </w:t>
      </w:r>
      <w:r w:rsidR="00A07E5E">
        <w:rPr>
          <w:color w:val="000000" w:themeColor="text1"/>
        </w:rPr>
        <w:t>CHF</w:t>
      </w:r>
      <w:r w:rsidR="00A07E5E" w:rsidRPr="009E534C">
        <w:rPr>
          <w:color w:val="000000" w:themeColor="text1"/>
        </w:rPr>
        <w:t xml:space="preserve"> </w:t>
      </w:r>
      <w:r w:rsidRPr="009E534C">
        <w:rPr>
          <w:color w:val="000000" w:themeColor="text1"/>
        </w:rPr>
        <w:t>to strengthen its employee value proposition (EVP) and modernise its overall employment offering.</w:t>
      </w:r>
    </w:p>
    <w:p w14:paraId="7C1DA7F2" w14:textId="5C284A53" w:rsidR="009E534C" w:rsidRPr="009E534C" w:rsidRDefault="001D5EC0" w:rsidP="009E534C">
      <w:pPr>
        <w:jc w:val="both"/>
        <w:rPr>
          <w:b/>
          <w:bCs/>
          <w:color w:val="000000" w:themeColor="text1"/>
        </w:rPr>
      </w:pPr>
      <w:r>
        <w:rPr>
          <w:b/>
          <w:bCs/>
          <w:color w:val="000000" w:themeColor="text1"/>
        </w:rPr>
        <w:t xml:space="preserve">2.1.1.3 </w:t>
      </w:r>
      <w:r w:rsidR="009E534C" w:rsidRPr="009E534C">
        <w:rPr>
          <w:b/>
          <w:bCs/>
          <w:color w:val="000000" w:themeColor="text1"/>
        </w:rPr>
        <w:t>Industry Dynamics and Technological Change</w:t>
      </w:r>
    </w:p>
    <w:p w14:paraId="18C0F244" w14:textId="0CBFD1FA" w:rsidR="009E534C" w:rsidRPr="009E534C" w:rsidRDefault="009E534C" w:rsidP="009E534C">
      <w:pPr>
        <w:jc w:val="both"/>
        <w:rPr>
          <w:color w:val="000000" w:themeColor="text1"/>
        </w:rPr>
      </w:pPr>
      <w:r w:rsidRPr="009E534C">
        <w:rPr>
          <w:color w:val="000000" w:themeColor="text1"/>
        </w:rPr>
        <w:t xml:space="preserve">The </w:t>
      </w:r>
      <w:r w:rsidRPr="00774A6D">
        <w:rPr>
          <w:color w:val="000000" w:themeColor="text1"/>
        </w:rPr>
        <w:t xml:space="preserve">industry </w:t>
      </w:r>
      <w:r w:rsidR="00AC2777" w:rsidRPr="00774A6D">
        <w:rPr>
          <w:color w:val="000000" w:themeColor="text1"/>
        </w:rPr>
        <w:t>operate</w:t>
      </w:r>
      <w:r w:rsidR="004B19CE">
        <w:rPr>
          <w:color w:val="000000" w:themeColor="text1"/>
        </w:rPr>
        <w:t>s</w:t>
      </w:r>
      <w:r w:rsidR="00D46DB8" w:rsidRPr="00774A6D">
        <w:rPr>
          <w:color w:val="000000" w:themeColor="text1"/>
        </w:rPr>
        <w:t xml:space="preserve"> in 2025</w:t>
      </w:r>
      <w:r w:rsidRPr="00774A6D">
        <w:rPr>
          <w:color w:val="000000" w:themeColor="text1"/>
        </w:rPr>
        <w:t xml:space="preserve"> within a highly competitive environment characterised by tight </w:t>
      </w:r>
      <w:r w:rsidR="00AC2777" w:rsidRPr="00774A6D">
        <w:rPr>
          <w:color w:val="000000" w:themeColor="text1"/>
        </w:rPr>
        <w:t xml:space="preserve">profit </w:t>
      </w:r>
      <w:r w:rsidRPr="00774A6D">
        <w:rPr>
          <w:color w:val="000000" w:themeColor="text1"/>
        </w:rPr>
        <w:t>margins, demanding customer expectations and growing technological sophistication. Major competitors such as Bidfood and Brakes are investing heavily in automation, data analytics and digital supply-chain management</w:t>
      </w:r>
      <w:r w:rsidR="004B19CE">
        <w:rPr>
          <w:color w:val="000000" w:themeColor="text1"/>
        </w:rPr>
        <w:t xml:space="preserve"> </w:t>
      </w:r>
      <w:r w:rsidRPr="00774A6D">
        <w:rPr>
          <w:color w:val="000000" w:themeColor="text1"/>
        </w:rPr>
        <w:t>to enhance both productivity and employee experience (Food and Drink Federation, 2024).</w:t>
      </w:r>
    </w:p>
    <w:p w14:paraId="36ED2A5F" w14:textId="670E078F" w:rsidR="00117726" w:rsidRPr="00774A6D" w:rsidRDefault="00E91305" w:rsidP="009E534C">
      <w:pPr>
        <w:jc w:val="both"/>
        <w:rPr>
          <w:color w:val="000000" w:themeColor="text1"/>
        </w:rPr>
      </w:pPr>
      <w:r>
        <w:rPr>
          <w:color w:val="000000" w:themeColor="text1"/>
        </w:rPr>
        <w:t>The company</w:t>
      </w:r>
      <w:r w:rsidR="00117726" w:rsidRPr="00117726">
        <w:rPr>
          <w:color w:val="000000" w:themeColor="text1"/>
        </w:rPr>
        <w:t xml:space="preserve"> faces the challenge of preserving its traditional, family-oriented identity while </w:t>
      </w:r>
      <w:r w:rsidR="004B19CE">
        <w:rPr>
          <w:color w:val="000000" w:themeColor="text1"/>
        </w:rPr>
        <w:t xml:space="preserve">competitively </w:t>
      </w:r>
      <w:r w:rsidR="00117726" w:rsidRPr="00117726">
        <w:rPr>
          <w:color w:val="000000" w:themeColor="text1"/>
        </w:rPr>
        <w:t xml:space="preserve">modernising. Technological </w:t>
      </w:r>
      <w:r w:rsidR="00117726" w:rsidRPr="00BD18C2">
        <w:rPr>
          <w:color w:val="000000" w:themeColor="text1"/>
        </w:rPr>
        <w:t>advancement can improve efficiency, but demands workforce upskilling and cultural flexibility (</w:t>
      </w:r>
      <w:r w:rsidR="000E3B62" w:rsidRPr="00BD18C2">
        <w:rPr>
          <w:color w:val="000000" w:themeColor="text1"/>
        </w:rPr>
        <w:t>UK Government</w:t>
      </w:r>
      <w:r w:rsidR="00117726" w:rsidRPr="00BD18C2">
        <w:rPr>
          <w:color w:val="000000" w:themeColor="text1"/>
        </w:rPr>
        <w:t>, 2022). Younger, digital candidates increasingly expect employers to offer modern</w:t>
      </w:r>
      <w:r w:rsidR="00117726" w:rsidRPr="00117726">
        <w:rPr>
          <w:color w:val="000000" w:themeColor="text1"/>
        </w:rPr>
        <w:t xml:space="preserve"> systems, digital tools and technology-enabled development opportunities (PwC, 2025; People Management, 2024). Without investment in digital capability, the company risks becoming less attractive to new entrants and limiting innovation. This is relevant for family businesses, which often experience cultural hesitation toward digital change (Small Business Economics, 2023) and depend on leaders to set a supportive digital culture (JEMI, 2025). With many UK employers struggling to recruit or retain sufficient digital skills, upskilling the existing workforce is a strategic necessity (Learning </w:t>
      </w:r>
      <w:r w:rsidR="000B3E67">
        <w:rPr>
          <w:color w:val="000000" w:themeColor="text1"/>
        </w:rPr>
        <w:t>and</w:t>
      </w:r>
      <w:r w:rsidR="00117726" w:rsidRPr="00117726">
        <w:rPr>
          <w:color w:val="000000" w:themeColor="text1"/>
        </w:rPr>
        <w:t xml:space="preserve"> Work Institute, 2024; HR</w:t>
      </w:r>
      <w:r w:rsidR="004B19CE">
        <w:rPr>
          <w:color w:val="000000" w:themeColor="text1"/>
        </w:rPr>
        <w:t xml:space="preserve"> </w:t>
      </w:r>
      <w:r w:rsidR="00117726" w:rsidRPr="00117726">
        <w:rPr>
          <w:color w:val="000000" w:themeColor="text1"/>
        </w:rPr>
        <w:t>Review, 2024).</w:t>
      </w:r>
    </w:p>
    <w:p w14:paraId="0346E999" w14:textId="5E603034" w:rsidR="009E534C" w:rsidRPr="00774A6D" w:rsidRDefault="00BD18C2" w:rsidP="009E534C">
      <w:pPr>
        <w:jc w:val="both"/>
        <w:rPr>
          <w:color w:val="000000" w:themeColor="text1"/>
        </w:rPr>
      </w:pPr>
      <w:r w:rsidRPr="00BD18C2">
        <w:rPr>
          <w:color w:val="000000" w:themeColor="text1"/>
        </w:rPr>
        <w:t>Digital transformation enhances strategic talent management through data-driven decision-making that appeals to younger candidates</w:t>
      </w:r>
      <w:r w:rsidR="009E534C" w:rsidRPr="00BD18C2">
        <w:rPr>
          <w:color w:val="000000" w:themeColor="text1"/>
        </w:rPr>
        <w:t>. Modern</w:t>
      </w:r>
      <w:r w:rsidR="009E534C" w:rsidRPr="00774A6D">
        <w:rPr>
          <w:color w:val="000000" w:themeColor="text1"/>
        </w:rPr>
        <w:t xml:space="preserve"> HR analytics systems allow employers to forecast skills gaps, monitor engagement and identify high-potential employees (Ulrich </w:t>
      </w:r>
      <w:r w:rsidR="009E534C" w:rsidRPr="00992382">
        <w:rPr>
          <w:i/>
          <w:iCs/>
          <w:color w:val="000000" w:themeColor="text1"/>
        </w:rPr>
        <w:t>et al.,</w:t>
      </w:r>
      <w:r w:rsidR="009E534C" w:rsidRPr="00774A6D">
        <w:rPr>
          <w:color w:val="000000" w:themeColor="text1"/>
        </w:rPr>
        <w:t xml:space="preserve"> 2012). Without such tools, </w:t>
      </w:r>
      <w:r w:rsidR="003F2B76">
        <w:rPr>
          <w:color w:val="000000" w:themeColor="text1"/>
        </w:rPr>
        <w:t>CHF</w:t>
      </w:r>
      <w:r w:rsidR="003F2B76" w:rsidRPr="00774A6D">
        <w:rPr>
          <w:color w:val="000000" w:themeColor="text1"/>
        </w:rPr>
        <w:t xml:space="preserve"> </w:t>
      </w:r>
      <w:r w:rsidR="009E534C" w:rsidRPr="00774A6D">
        <w:rPr>
          <w:color w:val="000000" w:themeColor="text1"/>
        </w:rPr>
        <w:t>risks relying on reactive decision-making,</w:t>
      </w:r>
      <w:r w:rsidR="00774A6D" w:rsidRPr="00774A6D">
        <w:rPr>
          <w:color w:val="000000" w:themeColor="text1"/>
        </w:rPr>
        <w:t xml:space="preserve"> </w:t>
      </w:r>
      <w:r w:rsidR="00D46DB8" w:rsidRPr="00774A6D">
        <w:rPr>
          <w:color w:val="000000" w:themeColor="text1"/>
        </w:rPr>
        <w:t xml:space="preserve">this could </w:t>
      </w:r>
      <w:r w:rsidR="009E534C" w:rsidRPr="00774A6D">
        <w:rPr>
          <w:color w:val="000000" w:themeColor="text1"/>
        </w:rPr>
        <w:t>hinder its ability to plan effectively for long-term workforce needs.</w:t>
      </w:r>
    </w:p>
    <w:p w14:paraId="4365FE4D" w14:textId="77777777" w:rsidR="009A3943" w:rsidRDefault="009A3943" w:rsidP="009E534C">
      <w:pPr>
        <w:jc w:val="both"/>
        <w:rPr>
          <w:b/>
          <w:bCs/>
          <w:color w:val="000000" w:themeColor="text1"/>
        </w:rPr>
      </w:pPr>
    </w:p>
    <w:p w14:paraId="527C3DE4" w14:textId="75BBDEF9" w:rsidR="009E534C" w:rsidRPr="009E534C" w:rsidRDefault="009E534C" w:rsidP="009E534C">
      <w:pPr>
        <w:jc w:val="both"/>
        <w:rPr>
          <w:b/>
          <w:bCs/>
          <w:color w:val="000000" w:themeColor="text1"/>
        </w:rPr>
      </w:pPr>
      <w:r w:rsidRPr="009E534C">
        <w:rPr>
          <w:b/>
          <w:bCs/>
          <w:color w:val="000000" w:themeColor="text1"/>
        </w:rPr>
        <w:lastRenderedPageBreak/>
        <w:t>2.1.2 Internal Factors</w:t>
      </w:r>
    </w:p>
    <w:p w14:paraId="035F2D39" w14:textId="7BA53A1C" w:rsidR="009E534C" w:rsidRPr="009E534C" w:rsidRDefault="001D5EC0" w:rsidP="009E534C">
      <w:pPr>
        <w:jc w:val="both"/>
        <w:rPr>
          <w:b/>
          <w:bCs/>
          <w:color w:val="000000" w:themeColor="text1"/>
        </w:rPr>
      </w:pPr>
      <w:r>
        <w:rPr>
          <w:b/>
          <w:bCs/>
          <w:color w:val="000000" w:themeColor="text1"/>
        </w:rPr>
        <w:t xml:space="preserve">2.1.2.1 </w:t>
      </w:r>
      <w:r w:rsidR="009E534C" w:rsidRPr="009E534C">
        <w:rPr>
          <w:b/>
          <w:bCs/>
          <w:color w:val="000000" w:themeColor="text1"/>
        </w:rPr>
        <w:t>Organisational Culture</w:t>
      </w:r>
    </w:p>
    <w:p w14:paraId="6C7A90A5" w14:textId="13228CA0" w:rsidR="001268AA" w:rsidRDefault="002B2A8B" w:rsidP="009E534C">
      <w:pPr>
        <w:jc w:val="both"/>
        <w:rPr>
          <w:color w:val="000000" w:themeColor="text1"/>
        </w:rPr>
      </w:pPr>
      <w:r w:rsidRPr="002B2A8B">
        <w:rPr>
          <w:color w:val="000000" w:themeColor="text1"/>
        </w:rPr>
        <w:t xml:space="preserve">This heritage creates strong feelings of loyalty, belonging and community among employees, contributing to </w:t>
      </w:r>
      <w:r w:rsidR="00DA7A2F">
        <w:rPr>
          <w:color w:val="000000" w:themeColor="text1"/>
        </w:rPr>
        <w:t xml:space="preserve">a </w:t>
      </w:r>
      <w:r w:rsidRPr="002B2A8B">
        <w:rPr>
          <w:color w:val="000000" w:themeColor="text1"/>
        </w:rPr>
        <w:t>low turnover</w:t>
      </w:r>
      <w:r w:rsidR="00DA7A2F">
        <w:rPr>
          <w:color w:val="000000" w:themeColor="text1"/>
        </w:rPr>
        <w:t xml:space="preserve"> of</w:t>
      </w:r>
      <w:r w:rsidR="001268AA">
        <w:rPr>
          <w:color w:val="000000" w:themeColor="text1"/>
        </w:rPr>
        <w:t xml:space="preserve"> </w:t>
      </w:r>
      <w:r w:rsidRPr="002B2A8B">
        <w:rPr>
          <w:color w:val="000000" w:themeColor="text1"/>
        </w:rPr>
        <w:t xml:space="preserve">7% in certain functions, under 10% in others, with transportation at 12% (Castell Howell Foods, 2024). Such social cohesion aligns with Schein’s (2017) view that deeply embedded cultural assumptions shape employee behaviour and commitment. While this stability supports the retention of institutional knowledge and consistent customer service, it also presents risks. Evidence suggests that close-knit and tradition-oriented cultures may become resistant to change, limiting openness to new technologies or modern working practices (Hofstede </w:t>
      </w:r>
      <w:r w:rsidRPr="00C71E9D">
        <w:rPr>
          <w:i/>
          <w:iCs/>
          <w:color w:val="000000" w:themeColor="text1"/>
        </w:rPr>
        <w:t>et al.,</w:t>
      </w:r>
      <w:r w:rsidRPr="002B2A8B">
        <w:rPr>
          <w:color w:val="000000" w:themeColor="text1"/>
        </w:rPr>
        <w:t xml:space="preserve"> 2010; Kotter, 2012). Long employee tenure can reinforce established norms, making innovation more difficult to embed (Alvesson </w:t>
      </w:r>
      <w:r w:rsidR="00B0532C">
        <w:rPr>
          <w:color w:val="000000" w:themeColor="text1"/>
        </w:rPr>
        <w:t>and</w:t>
      </w:r>
      <w:r w:rsidRPr="002B2A8B">
        <w:rPr>
          <w:color w:val="000000" w:themeColor="text1"/>
        </w:rPr>
        <w:t xml:space="preserve"> Sveningsson, 2016). </w:t>
      </w:r>
    </w:p>
    <w:p w14:paraId="05156E85" w14:textId="4ADBC753" w:rsidR="001268AA" w:rsidRDefault="002B2A8B" w:rsidP="009E534C">
      <w:pPr>
        <w:jc w:val="both"/>
        <w:rPr>
          <w:color w:val="000000" w:themeColor="text1"/>
        </w:rPr>
      </w:pPr>
      <w:r w:rsidRPr="002B2A8B">
        <w:rPr>
          <w:color w:val="000000" w:themeColor="text1"/>
        </w:rPr>
        <w:t>Furthermore, family-style cultures can blur boundaries around progression and decision-making, potentially leading to perceptions of favouritism or unclear career pathways (CIPD, 2024). The comparatively higher turnover in transportation indicates that the dominant cultural strengths are not experienced uniformly across all functions, suggesting that culture alone may be insufficient to address job demands or working conditions in operational roles (Green, 2021). Overall, whilst the culture provides stability and cohesion, its strengths may also hinder agility, the attraction of new skill sets, and the organisation’s capacity to adapt within a changing labour market.</w:t>
      </w:r>
    </w:p>
    <w:p w14:paraId="0C0D4615" w14:textId="26998D8C" w:rsidR="009E534C" w:rsidRPr="009E534C" w:rsidRDefault="001D5EC0" w:rsidP="009E534C">
      <w:pPr>
        <w:jc w:val="both"/>
        <w:rPr>
          <w:b/>
          <w:bCs/>
          <w:color w:val="000000" w:themeColor="text1"/>
        </w:rPr>
      </w:pPr>
      <w:r>
        <w:rPr>
          <w:b/>
          <w:bCs/>
          <w:color w:val="000000" w:themeColor="text1"/>
        </w:rPr>
        <w:t xml:space="preserve">2.1.2.2 </w:t>
      </w:r>
      <w:r w:rsidR="009E534C" w:rsidRPr="009E534C">
        <w:rPr>
          <w:b/>
          <w:bCs/>
          <w:color w:val="000000" w:themeColor="text1"/>
        </w:rPr>
        <w:t>Leadership Capability</w:t>
      </w:r>
    </w:p>
    <w:p w14:paraId="12FF7AC9" w14:textId="194D9351" w:rsidR="00D857F4" w:rsidRPr="00D857F4" w:rsidRDefault="00024CD7" w:rsidP="00D857F4">
      <w:pPr>
        <w:jc w:val="both"/>
        <w:rPr>
          <w:color w:val="000000" w:themeColor="text1"/>
        </w:rPr>
      </w:pPr>
      <w:r>
        <w:rPr>
          <w:color w:val="000000" w:themeColor="text1"/>
        </w:rPr>
        <w:t>E</w:t>
      </w:r>
      <w:r w:rsidR="00D857F4" w:rsidRPr="00D857F4">
        <w:rPr>
          <w:color w:val="000000" w:themeColor="text1"/>
        </w:rPr>
        <w:t xml:space="preserve">ffectiveness of talent management depends on the quality and maturity of HR systems and leadership capability (Ulrich </w:t>
      </w:r>
      <w:r w:rsidR="00D857F4" w:rsidRPr="0087747A">
        <w:rPr>
          <w:i/>
          <w:iCs/>
          <w:color w:val="000000" w:themeColor="text1"/>
        </w:rPr>
        <w:t>et al.,</w:t>
      </w:r>
      <w:r w:rsidR="00D857F4" w:rsidRPr="00D857F4">
        <w:rPr>
          <w:color w:val="000000" w:themeColor="text1"/>
        </w:rPr>
        <w:t xml:space="preserve"> 2012; CIPD, 2024). At </w:t>
      </w:r>
      <w:r w:rsidR="00841BFC">
        <w:rPr>
          <w:color w:val="000000" w:themeColor="text1"/>
        </w:rPr>
        <w:t>CHF</w:t>
      </w:r>
      <w:r w:rsidR="00D857F4" w:rsidRPr="00D857F4">
        <w:rPr>
          <w:color w:val="000000" w:themeColor="text1"/>
        </w:rPr>
        <w:t>, HR processes appear to prioritise administrative compliance over strategic workforce planning, a challenge reflected across many UK SMEs where HR functions remain predominantly operational rather than strategic (CIPD, 2023). While operational HR activities such as payroll, recruitment and health and safety are well established, there is limited evidence of advanced HR analytics, succession planning or competency-based frameworks</w:t>
      </w:r>
      <w:r w:rsidR="00D857F4">
        <w:rPr>
          <w:color w:val="000000" w:themeColor="text1"/>
        </w:rPr>
        <w:t xml:space="preserve"> </w:t>
      </w:r>
      <w:r w:rsidR="00D857F4" w:rsidRPr="00D857F4">
        <w:rPr>
          <w:color w:val="000000" w:themeColor="text1"/>
        </w:rPr>
        <w:t xml:space="preserve">practices increasingly recognised as essential for effective talent management (Tymon </w:t>
      </w:r>
      <w:r w:rsidR="00D857F4" w:rsidRPr="001D5EC0">
        <w:rPr>
          <w:i/>
          <w:iCs/>
          <w:color w:val="000000" w:themeColor="text1"/>
        </w:rPr>
        <w:t>et al.,</w:t>
      </w:r>
      <w:r w:rsidR="00D857F4" w:rsidRPr="00D857F4">
        <w:rPr>
          <w:color w:val="000000" w:themeColor="text1"/>
        </w:rPr>
        <w:t xml:space="preserve"> 2010; Bersin, 2022).</w:t>
      </w:r>
    </w:p>
    <w:p w14:paraId="6E16373A" w14:textId="3A04B337" w:rsidR="00D857F4" w:rsidRPr="00D857F4" w:rsidRDefault="00D857F4" w:rsidP="00D857F4">
      <w:pPr>
        <w:jc w:val="both"/>
        <w:rPr>
          <w:color w:val="000000" w:themeColor="text1"/>
        </w:rPr>
      </w:pPr>
      <w:r w:rsidRPr="00D857F4">
        <w:rPr>
          <w:color w:val="000000" w:themeColor="text1"/>
        </w:rPr>
        <w:t xml:space="preserve">Line managers are central to employee engagement, acting as the link between HR strategy and day-to-day practice (Purcell </w:t>
      </w:r>
      <w:r w:rsidR="00D33161">
        <w:rPr>
          <w:color w:val="000000" w:themeColor="text1"/>
        </w:rPr>
        <w:t>and</w:t>
      </w:r>
      <w:r w:rsidRPr="00D857F4">
        <w:rPr>
          <w:color w:val="000000" w:themeColor="text1"/>
        </w:rPr>
        <w:t xml:space="preserve"> Hutchinson, 2007; CIPD, 2021). At </w:t>
      </w:r>
      <w:r w:rsidR="003F2B76">
        <w:rPr>
          <w:color w:val="000000" w:themeColor="text1"/>
        </w:rPr>
        <w:t>CHF</w:t>
      </w:r>
      <w:r w:rsidR="003F2B76" w:rsidRPr="00D857F4">
        <w:rPr>
          <w:color w:val="000000" w:themeColor="text1"/>
        </w:rPr>
        <w:t xml:space="preserve"> </w:t>
      </w:r>
      <w:r w:rsidRPr="00D857F4">
        <w:rPr>
          <w:color w:val="000000" w:themeColor="text1"/>
        </w:rPr>
        <w:t>limited managerial training and confidence in coaching, communication and performance management reduces managerial effectiveness</w:t>
      </w:r>
      <w:r w:rsidR="00697C70">
        <w:rPr>
          <w:color w:val="000000" w:themeColor="text1"/>
        </w:rPr>
        <w:t xml:space="preserve">. It </w:t>
      </w:r>
      <w:r w:rsidRPr="00D857F4">
        <w:rPr>
          <w:color w:val="000000" w:themeColor="text1"/>
        </w:rPr>
        <w:t>can undermine employee motivation and retention</w:t>
      </w:r>
      <w:r>
        <w:rPr>
          <w:color w:val="000000" w:themeColor="text1"/>
        </w:rPr>
        <w:t xml:space="preserve"> </w:t>
      </w:r>
      <w:r w:rsidRPr="00D857F4">
        <w:rPr>
          <w:color w:val="000000" w:themeColor="text1"/>
        </w:rPr>
        <w:t>problems</w:t>
      </w:r>
      <w:r w:rsidR="00697C70">
        <w:rPr>
          <w:color w:val="000000" w:themeColor="text1"/>
        </w:rPr>
        <w:t xml:space="preserve"> are</w:t>
      </w:r>
      <w:r w:rsidRPr="00D857F4">
        <w:rPr>
          <w:color w:val="000000" w:themeColor="text1"/>
        </w:rPr>
        <w:t xml:space="preserve"> widely reported in organisations where managers lack formal people-management training (CIPD, 2020). Strengthening leadership capability through targeted development programmes would enhance managers’ skills and improve the organisation’s capacity to identify, support and retain internal talent (Ulrich </w:t>
      </w:r>
      <w:r w:rsidR="009A6879">
        <w:rPr>
          <w:color w:val="000000" w:themeColor="text1"/>
        </w:rPr>
        <w:t>and</w:t>
      </w:r>
      <w:r w:rsidRPr="00D857F4">
        <w:rPr>
          <w:color w:val="000000" w:themeColor="text1"/>
        </w:rPr>
        <w:t xml:space="preserve"> Dulebohn, 2015).</w:t>
      </w:r>
    </w:p>
    <w:p w14:paraId="734D4762" w14:textId="2C21A904" w:rsidR="009E534C" w:rsidRPr="009E534C" w:rsidRDefault="001D5EC0" w:rsidP="009E534C">
      <w:pPr>
        <w:jc w:val="both"/>
        <w:rPr>
          <w:b/>
          <w:bCs/>
          <w:color w:val="000000" w:themeColor="text1"/>
        </w:rPr>
      </w:pPr>
      <w:r>
        <w:rPr>
          <w:b/>
          <w:bCs/>
          <w:color w:val="000000" w:themeColor="text1"/>
        </w:rPr>
        <w:lastRenderedPageBreak/>
        <w:t xml:space="preserve">2.1.2.3 </w:t>
      </w:r>
      <w:r w:rsidR="009E534C" w:rsidRPr="009E534C">
        <w:rPr>
          <w:b/>
          <w:bCs/>
          <w:color w:val="000000" w:themeColor="text1"/>
        </w:rPr>
        <w:t>Learning and Development Opportunities</w:t>
      </w:r>
      <w:r w:rsidR="006F2FFA">
        <w:rPr>
          <w:b/>
          <w:bCs/>
          <w:color w:val="000000" w:themeColor="text1"/>
        </w:rPr>
        <w:t xml:space="preserve"> (L&amp;D)</w:t>
      </w:r>
    </w:p>
    <w:p w14:paraId="09E2E956" w14:textId="17F2390C" w:rsidR="00117726" w:rsidRDefault="00117726" w:rsidP="009E534C">
      <w:pPr>
        <w:jc w:val="both"/>
        <w:rPr>
          <w:color w:val="000000" w:themeColor="text1"/>
        </w:rPr>
      </w:pPr>
      <w:r w:rsidRPr="00117726">
        <w:rPr>
          <w:color w:val="000000" w:themeColor="text1"/>
        </w:rPr>
        <w:t xml:space="preserve">Developing skills internally has become a strategic necessity across UK industries as external recruitment becomes increasingly </w:t>
      </w:r>
      <w:r w:rsidRPr="00D857F4">
        <w:rPr>
          <w:color w:val="000000" w:themeColor="text1"/>
        </w:rPr>
        <w:t xml:space="preserve">challenging (CIPD, 2024; CIPD </w:t>
      </w:r>
      <w:r w:rsidR="004802B2">
        <w:rPr>
          <w:color w:val="000000" w:themeColor="text1"/>
        </w:rPr>
        <w:t>and</w:t>
      </w:r>
      <w:r w:rsidRPr="00D857F4">
        <w:rPr>
          <w:color w:val="000000" w:themeColor="text1"/>
        </w:rPr>
        <w:t xml:space="preserve"> Omni RMS, 2024). According to CIPD’s </w:t>
      </w:r>
      <w:r w:rsidRPr="00E91305">
        <w:rPr>
          <w:color w:val="000000" w:themeColor="text1"/>
        </w:rPr>
        <w:t>Resourcing and Talent Planning survey, 56</w:t>
      </w:r>
      <w:r w:rsidRPr="00D857F4">
        <w:rPr>
          <w:color w:val="000000" w:themeColor="text1"/>
        </w:rPr>
        <w:t xml:space="preserve">% of organisations reported that they were doing more in-house talent development than in the previous year (CIPD, 2024). L&amp;D professionals also highlight that addressing skills gaps is a top priority, with nearly 29% of respondents </w:t>
      </w:r>
      <w:r w:rsidR="00A13BA7">
        <w:rPr>
          <w:color w:val="000000" w:themeColor="text1"/>
        </w:rPr>
        <w:t>highlighting</w:t>
      </w:r>
      <w:r w:rsidRPr="00D857F4">
        <w:rPr>
          <w:color w:val="000000" w:themeColor="text1"/>
        </w:rPr>
        <w:t xml:space="preserve"> it their number one concern (CIPD, 2023). For </w:t>
      </w:r>
      <w:r w:rsidR="00404EE5">
        <w:rPr>
          <w:color w:val="000000" w:themeColor="text1"/>
        </w:rPr>
        <w:t>CHF</w:t>
      </w:r>
      <w:r w:rsidRPr="00D857F4">
        <w:rPr>
          <w:color w:val="000000" w:themeColor="text1"/>
        </w:rPr>
        <w:t>, structured</w:t>
      </w:r>
      <w:r w:rsidRPr="00117726">
        <w:rPr>
          <w:color w:val="000000" w:themeColor="text1"/>
        </w:rPr>
        <w:t xml:space="preserve"> </w:t>
      </w:r>
      <w:r w:rsidR="00A13BA7">
        <w:rPr>
          <w:color w:val="000000" w:themeColor="text1"/>
        </w:rPr>
        <w:t>L&amp;D</w:t>
      </w:r>
      <w:r w:rsidRPr="00117726">
        <w:rPr>
          <w:color w:val="000000" w:themeColor="text1"/>
        </w:rPr>
        <w:t xml:space="preserve"> initiatives are vital to sustaining operational excellence and succession readiness. Though the company participates in sector-based training and apprenticeships,</w:t>
      </w:r>
      <w:r w:rsidR="00E91305">
        <w:rPr>
          <w:color w:val="000000" w:themeColor="text1"/>
        </w:rPr>
        <w:t xml:space="preserve"> </w:t>
      </w:r>
      <w:r w:rsidRPr="00117726">
        <w:rPr>
          <w:color w:val="000000" w:themeColor="text1"/>
        </w:rPr>
        <w:t>UK employers report that such programmes can be fragmented and compliance-driven; young people’s training often focus</w:t>
      </w:r>
      <w:r w:rsidR="00BD3674">
        <w:rPr>
          <w:color w:val="000000" w:themeColor="text1"/>
        </w:rPr>
        <w:t>sing</w:t>
      </w:r>
      <w:r w:rsidRPr="00117726">
        <w:rPr>
          <w:color w:val="000000" w:themeColor="text1"/>
        </w:rPr>
        <w:t xml:space="preserve"> on mandatory regulation (e.g., safety) rather than strategic skill development (CIPD, 2023; CIPD, 2024).</w:t>
      </w:r>
      <w:r w:rsidR="00095107">
        <w:rPr>
          <w:color w:val="000000" w:themeColor="text1"/>
        </w:rPr>
        <w:t xml:space="preserve"> </w:t>
      </w:r>
    </w:p>
    <w:p w14:paraId="02CA6E98" w14:textId="704006F3" w:rsidR="009E534C" w:rsidRPr="00F938FF" w:rsidRDefault="009E534C" w:rsidP="009E534C">
      <w:pPr>
        <w:jc w:val="both"/>
        <w:rPr>
          <w:color w:val="000000" w:themeColor="text1"/>
        </w:rPr>
      </w:pPr>
      <w:r w:rsidRPr="009E534C">
        <w:rPr>
          <w:color w:val="000000" w:themeColor="text1"/>
        </w:rPr>
        <w:t xml:space="preserve">To address future demands, </w:t>
      </w:r>
      <w:r w:rsidR="00404EE5">
        <w:rPr>
          <w:color w:val="000000" w:themeColor="text1"/>
        </w:rPr>
        <w:t>CHF</w:t>
      </w:r>
      <w:r w:rsidR="00404EE5" w:rsidRPr="009E534C">
        <w:rPr>
          <w:color w:val="000000" w:themeColor="text1"/>
        </w:rPr>
        <w:t xml:space="preserve"> </w:t>
      </w:r>
      <w:r w:rsidRPr="009E534C">
        <w:rPr>
          <w:color w:val="000000" w:themeColor="text1"/>
        </w:rPr>
        <w:t>could implement a formal learning and development framewor</w:t>
      </w:r>
      <w:r w:rsidR="00BD3674">
        <w:rPr>
          <w:color w:val="000000" w:themeColor="text1"/>
        </w:rPr>
        <w:t xml:space="preserve">k, </w:t>
      </w:r>
      <w:r w:rsidRPr="009E534C">
        <w:rPr>
          <w:color w:val="000000" w:themeColor="text1"/>
        </w:rPr>
        <w:t>integrat</w:t>
      </w:r>
      <w:r w:rsidR="00BD3674">
        <w:rPr>
          <w:color w:val="000000" w:themeColor="text1"/>
        </w:rPr>
        <w:t>ing</w:t>
      </w:r>
      <w:r w:rsidRPr="009E534C">
        <w:rPr>
          <w:color w:val="000000" w:themeColor="text1"/>
        </w:rPr>
        <w:t xml:space="preserve"> technical training with leadership, digital and interpersonal skill development. Establishing mentorship schemes, job-rotation opportunities and progression pathways would not only enhance internal capability but also promote retention by giving employees a clear sense of career purpose. Research by the Chartered Management Institute (2023) confirms that structured development opportunities significantly improve engagement and reduce turnover within small and medium-sized enterprises.</w:t>
      </w:r>
    </w:p>
    <w:p w14:paraId="089656DC" w14:textId="77777777" w:rsidR="00A511BE" w:rsidRDefault="00A511BE" w:rsidP="00A511BE">
      <w:pPr>
        <w:spacing w:after="0"/>
        <w:jc w:val="both"/>
        <w:rPr>
          <w:rFonts w:eastAsia="Arial"/>
          <w:color w:val="EE0000"/>
          <w:lang w:eastAsia="en-GB"/>
        </w:rPr>
      </w:pPr>
    </w:p>
    <w:p w14:paraId="7EF84F11" w14:textId="1FB434D4" w:rsidR="00A511BE" w:rsidRPr="00A511BE" w:rsidRDefault="00A511BE" w:rsidP="00A511BE">
      <w:pPr>
        <w:spacing w:after="0"/>
        <w:jc w:val="both"/>
        <w:rPr>
          <w:rFonts w:eastAsia="Arial"/>
          <w:b/>
          <w:bCs/>
          <w:color w:val="000000" w:themeColor="text1"/>
          <w:lang w:eastAsia="en-GB"/>
        </w:rPr>
      </w:pPr>
      <w:r w:rsidRPr="00A511BE">
        <w:rPr>
          <w:rFonts w:eastAsia="Arial"/>
          <w:b/>
          <w:bCs/>
          <w:color w:val="000000" w:themeColor="text1"/>
          <w:lang w:eastAsia="en-GB"/>
        </w:rPr>
        <w:t>2.2 Critical Analysis of Castell Howell</w:t>
      </w:r>
      <w:r w:rsidR="00DC0947">
        <w:rPr>
          <w:rFonts w:eastAsia="Arial"/>
          <w:b/>
          <w:bCs/>
          <w:color w:val="000000" w:themeColor="text1"/>
          <w:lang w:eastAsia="en-GB"/>
        </w:rPr>
        <w:t xml:space="preserve"> Foods</w:t>
      </w:r>
      <w:r w:rsidRPr="00A511BE">
        <w:rPr>
          <w:rFonts w:eastAsia="Arial"/>
          <w:b/>
          <w:bCs/>
          <w:color w:val="000000" w:themeColor="text1"/>
          <w:lang w:eastAsia="en-GB"/>
        </w:rPr>
        <w:t xml:space="preserve"> Current Approach to Talent Management</w:t>
      </w:r>
    </w:p>
    <w:p w14:paraId="16FE374A" w14:textId="4B98F5D6" w:rsidR="00A511BE" w:rsidRPr="00A511BE" w:rsidRDefault="00A511BE" w:rsidP="00A511BE">
      <w:pPr>
        <w:spacing w:after="0"/>
        <w:jc w:val="both"/>
        <w:rPr>
          <w:rFonts w:eastAsia="Arial"/>
          <w:color w:val="000000" w:themeColor="text1"/>
          <w:lang w:eastAsia="en-GB"/>
        </w:rPr>
      </w:pPr>
      <w:r w:rsidRPr="001D5EC0">
        <w:rPr>
          <w:rFonts w:eastAsia="Arial"/>
          <w:color w:val="000000" w:themeColor="text1"/>
          <w:lang w:eastAsia="en-GB"/>
        </w:rPr>
        <w:t>CIPD (2024) Resourcing and Talent Planning Report</w:t>
      </w:r>
      <w:r w:rsidR="00B07735" w:rsidRPr="001D5EC0">
        <w:rPr>
          <w:rFonts w:eastAsia="Arial"/>
          <w:color w:val="000000" w:themeColor="text1"/>
          <w:lang w:eastAsia="en-GB"/>
        </w:rPr>
        <w:t xml:space="preserve"> </w:t>
      </w:r>
      <w:r w:rsidRPr="001D5EC0">
        <w:rPr>
          <w:rFonts w:eastAsia="Arial"/>
          <w:color w:val="000000" w:themeColor="text1"/>
          <w:lang w:eastAsia="en-GB"/>
        </w:rPr>
        <w:t>critically evaluates the organisation’s</w:t>
      </w:r>
      <w:r w:rsidRPr="00A511BE">
        <w:rPr>
          <w:rFonts w:eastAsia="Arial"/>
          <w:color w:val="000000" w:themeColor="text1"/>
          <w:lang w:eastAsia="en-GB"/>
        </w:rPr>
        <w:t xml:space="preserve"> approach to talent management through three of the report’s key findings: the high competition for talent, the growing focus on developing skills in-house, and the increasing recognition of flexible working offerings. The analysis assesses the extent to which </w:t>
      </w:r>
      <w:r w:rsidR="00404EE5">
        <w:rPr>
          <w:color w:val="000000" w:themeColor="text1"/>
        </w:rPr>
        <w:t>CHF</w:t>
      </w:r>
      <w:r w:rsidR="00404EE5" w:rsidRPr="00A511BE">
        <w:rPr>
          <w:rFonts w:eastAsia="Arial"/>
          <w:color w:val="000000" w:themeColor="text1"/>
          <w:lang w:eastAsia="en-GB"/>
        </w:rPr>
        <w:t xml:space="preserve"> </w:t>
      </w:r>
      <w:r w:rsidRPr="00A511BE">
        <w:rPr>
          <w:rFonts w:eastAsia="Arial"/>
          <w:color w:val="000000" w:themeColor="text1"/>
          <w:lang w:eastAsia="en-GB"/>
        </w:rPr>
        <w:t>current practices align with these national trends and identifies areas requiring strategic enhancement to strengthen its talent pipeline and employee value proposition (EVP).</w:t>
      </w:r>
    </w:p>
    <w:p w14:paraId="319BCBF4" w14:textId="1C49C05F" w:rsidR="00A511BE" w:rsidRPr="00A511BE" w:rsidRDefault="00A511BE" w:rsidP="00A511BE">
      <w:pPr>
        <w:spacing w:after="0"/>
        <w:jc w:val="both"/>
        <w:rPr>
          <w:rFonts w:eastAsia="Arial"/>
          <w:color w:val="000000" w:themeColor="text1"/>
          <w:lang w:eastAsia="en-GB"/>
        </w:rPr>
      </w:pPr>
    </w:p>
    <w:p w14:paraId="40EC20B7" w14:textId="45D32D45" w:rsidR="00A511BE" w:rsidRPr="00A511BE" w:rsidRDefault="00A511BE" w:rsidP="00A511BE">
      <w:pPr>
        <w:spacing w:after="0"/>
        <w:jc w:val="both"/>
        <w:rPr>
          <w:rFonts w:eastAsia="Arial"/>
          <w:b/>
          <w:bCs/>
          <w:color w:val="000000" w:themeColor="text1"/>
          <w:lang w:eastAsia="en-GB"/>
        </w:rPr>
      </w:pPr>
      <w:r w:rsidRPr="00A511BE">
        <w:rPr>
          <w:rFonts w:eastAsia="Arial"/>
          <w:b/>
          <w:bCs/>
          <w:color w:val="000000" w:themeColor="text1"/>
          <w:lang w:eastAsia="en-GB"/>
        </w:rPr>
        <w:t>2.2.1 Talent</w:t>
      </w:r>
      <w:r w:rsidR="004A2F33">
        <w:rPr>
          <w:rFonts w:eastAsia="Arial"/>
          <w:b/>
          <w:bCs/>
          <w:color w:val="000000" w:themeColor="text1"/>
          <w:lang w:eastAsia="en-GB"/>
        </w:rPr>
        <w:t xml:space="preserve"> Competition</w:t>
      </w:r>
      <w:r w:rsidRPr="00A511BE">
        <w:rPr>
          <w:rFonts w:eastAsia="Arial"/>
          <w:b/>
          <w:bCs/>
          <w:color w:val="000000" w:themeColor="text1"/>
          <w:lang w:eastAsia="en-GB"/>
        </w:rPr>
        <w:t xml:space="preserve"> Remains High</w:t>
      </w:r>
    </w:p>
    <w:p w14:paraId="7408D4C3" w14:textId="597418D4" w:rsidR="00595B87" w:rsidRDefault="00595B87" w:rsidP="00595B87">
      <w:pPr>
        <w:spacing w:after="0"/>
        <w:jc w:val="both"/>
        <w:rPr>
          <w:rFonts w:eastAsia="Arial"/>
          <w:color w:val="000000" w:themeColor="text1"/>
          <w:lang w:eastAsia="en-GB"/>
        </w:rPr>
      </w:pPr>
      <w:r w:rsidRPr="00595B87">
        <w:rPr>
          <w:rFonts w:eastAsia="Arial"/>
          <w:color w:val="000000" w:themeColor="text1"/>
          <w:lang w:eastAsia="en-GB"/>
        </w:rPr>
        <w:t xml:space="preserve">CIPD (2024) identifies talent competition as a pressing UK challenge, with over 70% of employers struggling to attract suitable candidates. For </w:t>
      </w:r>
      <w:r w:rsidR="00404EE5">
        <w:rPr>
          <w:color w:val="000000" w:themeColor="text1"/>
        </w:rPr>
        <w:t>CHF</w:t>
      </w:r>
      <w:r w:rsidRPr="00595B87">
        <w:rPr>
          <w:rFonts w:eastAsia="Arial"/>
          <w:color w:val="000000" w:themeColor="text1"/>
          <w:lang w:eastAsia="en-GB"/>
        </w:rPr>
        <w:t>, this is intensified by location, logistics, production, and distribution, alongside high turnover, low margins, and limited availability of qualified labour (Food and Drink Federation, 2024). Backhaus and Tikoo (2004) highlight that a strong brand must be authentic and offer a value proposition appealing to all audiences.</w:t>
      </w:r>
    </w:p>
    <w:p w14:paraId="23FAE0F1" w14:textId="77777777" w:rsidR="00595B87" w:rsidRPr="00595B87" w:rsidRDefault="00595B87" w:rsidP="00595B87">
      <w:pPr>
        <w:spacing w:after="0"/>
        <w:jc w:val="both"/>
        <w:rPr>
          <w:rFonts w:eastAsia="Arial"/>
          <w:color w:val="000000" w:themeColor="text1"/>
          <w:lang w:eastAsia="en-GB"/>
        </w:rPr>
      </w:pPr>
    </w:p>
    <w:p w14:paraId="11D73E2B" w14:textId="145FBBB4" w:rsidR="00595B87" w:rsidRDefault="00595B87" w:rsidP="00595B87">
      <w:pPr>
        <w:spacing w:after="0"/>
        <w:jc w:val="both"/>
        <w:rPr>
          <w:rFonts w:eastAsia="Arial"/>
          <w:color w:val="000000" w:themeColor="text1"/>
          <w:lang w:eastAsia="en-GB"/>
        </w:rPr>
      </w:pPr>
      <w:r w:rsidRPr="00595B87">
        <w:rPr>
          <w:rFonts w:eastAsia="Arial"/>
          <w:color w:val="000000" w:themeColor="text1"/>
          <w:lang w:eastAsia="en-GB"/>
        </w:rPr>
        <w:t xml:space="preserve">Currently, </w:t>
      </w:r>
      <w:r w:rsidR="00404EE5">
        <w:rPr>
          <w:color w:val="000000" w:themeColor="text1"/>
        </w:rPr>
        <w:t>CHF</w:t>
      </w:r>
      <w:r w:rsidR="00404EE5" w:rsidRPr="00595B87">
        <w:rPr>
          <w:rFonts w:eastAsia="Arial"/>
          <w:color w:val="000000" w:themeColor="text1"/>
          <w:lang w:eastAsia="en-GB"/>
        </w:rPr>
        <w:t xml:space="preserve"> </w:t>
      </w:r>
      <w:r w:rsidRPr="00595B87">
        <w:rPr>
          <w:rFonts w:eastAsia="Arial"/>
          <w:color w:val="000000" w:themeColor="text1"/>
          <w:lang w:eastAsia="en-GB"/>
        </w:rPr>
        <w:t xml:space="preserve">relies on traditional recruitment channels, including word-of-mouth and online job platforms. While effective for community-based hiring, these methods may </w:t>
      </w:r>
      <w:r w:rsidRPr="00595B87">
        <w:rPr>
          <w:rFonts w:eastAsia="Arial"/>
          <w:color w:val="000000" w:themeColor="text1"/>
          <w:lang w:eastAsia="en-GB"/>
        </w:rPr>
        <w:lastRenderedPageBreak/>
        <w:t xml:space="preserve">fail to reach digitally engaged or diverse candidates who use professional networks such as LinkedIn or targeted campaigns on Indeed (Highhouse </w:t>
      </w:r>
      <w:r w:rsidRPr="001D5EC0">
        <w:rPr>
          <w:rFonts w:eastAsia="Arial"/>
          <w:i/>
          <w:iCs/>
          <w:color w:val="000000" w:themeColor="text1"/>
          <w:lang w:eastAsia="en-GB"/>
        </w:rPr>
        <w:t>et al.,</w:t>
      </w:r>
      <w:r w:rsidRPr="00595B87">
        <w:rPr>
          <w:rFonts w:eastAsia="Arial"/>
          <w:color w:val="000000" w:themeColor="text1"/>
          <w:lang w:eastAsia="en-GB"/>
        </w:rPr>
        <w:t xml:space="preserve"> 2022; Nikolaou, 2021). Digital recruitment tools broaden candidate reach and improve employer-applicant matching, particularly among younger entrants to the labour market (Holm </w:t>
      </w:r>
      <w:r w:rsidR="006803E2">
        <w:rPr>
          <w:rFonts w:eastAsia="Arial"/>
          <w:color w:val="000000" w:themeColor="text1"/>
          <w:lang w:eastAsia="en-GB"/>
        </w:rPr>
        <w:t>and</w:t>
      </w:r>
      <w:r w:rsidRPr="00595B87">
        <w:rPr>
          <w:rFonts w:eastAsia="Arial"/>
          <w:color w:val="000000" w:themeColor="text1"/>
          <w:lang w:eastAsia="en-GB"/>
        </w:rPr>
        <w:t xml:space="preserve"> Haahr, 2019). A lack of structured employer branding reduces visibility nationally, where competitors </w:t>
      </w:r>
      <w:r w:rsidR="00D62D72">
        <w:rPr>
          <w:rFonts w:eastAsia="Arial"/>
          <w:color w:val="000000" w:themeColor="text1"/>
          <w:lang w:eastAsia="en-GB"/>
        </w:rPr>
        <w:t>such as</w:t>
      </w:r>
      <w:r w:rsidRPr="00595B87">
        <w:rPr>
          <w:rFonts w:eastAsia="Arial"/>
          <w:color w:val="000000" w:themeColor="text1"/>
          <w:lang w:eastAsia="en-GB"/>
        </w:rPr>
        <w:t xml:space="preserve"> Bidfood and Brakes actively highlight sustainability, innovation, and career development</w:t>
      </w:r>
      <w:r>
        <w:rPr>
          <w:rFonts w:eastAsia="Arial"/>
          <w:color w:val="000000" w:themeColor="text1"/>
          <w:lang w:eastAsia="en-GB"/>
        </w:rPr>
        <w:t xml:space="preserve">, </w:t>
      </w:r>
      <w:r w:rsidRPr="00595B87">
        <w:rPr>
          <w:rFonts w:eastAsia="Arial"/>
          <w:color w:val="000000" w:themeColor="text1"/>
          <w:lang w:eastAsia="en-GB"/>
        </w:rPr>
        <w:t xml:space="preserve">factors shown to attract talent and differentiate organisations (Backhaus </w:t>
      </w:r>
      <w:r w:rsidR="006803E2">
        <w:rPr>
          <w:rFonts w:eastAsia="Arial"/>
          <w:color w:val="000000" w:themeColor="text1"/>
          <w:lang w:eastAsia="en-GB"/>
        </w:rPr>
        <w:t>and</w:t>
      </w:r>
      <w:r w:rsidRPr="00595B87">
        <w:rPr>
          <w:rFonts w:eastAsia="Arial"/>
          <w:color w:val="000000" w:themeColor="text1"/>
          <w:lang w:eastAsia="en-GB"/>
        </w:rPr>
        <w:t xml:space="preserve"> Tikoo, 2004; Theurer </w:t>
      </w:r>
      <w:r w:rsidRPr="00595B87">
        <w:rPr>
          <w:rFonts w:eastAsia="Arial"/>
          <w:i/>
          <w:iCs/>
          <w:color w:val="000000" w:themeColor="text1"/>
          <w:lang w:eastAsia="en-GB"/>
        </w:rPr>
        <w:t>et al.,</w:t>
      </w:r>
      <w:r w:rsidRPr="00595B87">
        <w:rPr>
          <w:rFonts w:eastAsia="Arial"/>
          <w:color w:val="000000" w:themeColor="text1"/>
          <w:lang w:eastAsia="en-GB"/>
        </w:rPr>
        <w:t xml:space="preserve"> 2018).</w:t>
      </w:r>
    </w:p>
    <w:p w14:paraId="7CDA0282" w14:textId="77777777" w:rsidR="00595B87" w:rsidRPr="00595B87" w:rsidRDefault="00595B87" w:rsidP="00595B87">
      <w:pPr>
        <w:spacing w:after="0"/>
        <w:jc w:val="both"/>
        <w:rPr>
          <w:rFonts w:eastAsia="Arial"/>
          <w:color w:val="000000" w:themeColor="text1"/>
          <w:lang w:eastAsia="en-GB"/>
        </w:rPr>
      </w:pPr>
    </w:p>
    <w:p w14:paraId="27A2449B" w14:textId="5A24B50E" w:rsidR="00F92C32" w:rsidRPr="00F92C32" w:rsidRDefault="00F92C32" w:rsidP="00595B87">
      <w:pPr>
        <w:spacing w:after="0"/>
        <w:jc w:val="both"/>
        <w:rPr>
          <w:rFonts w:eastAsia="Arial"/>
          <w:color w:val="000000" w:themeColor="text1"/>
          <w:lang w:eastAsia="en-GB"/>
        </w:rPr>
      </w:pPr>
      <w:r w:rsidRPr="00F92C32">
        <w:rPr>
          <w:rFonts w:eastAsia="Arial"/>
          <w:color w:val="000000" w:themeColor="text1"/>
          <w:lang w:eastAsia="en-GB"/>
        </w:rPr>
        <w:t xml:space="preserve">To strengthen its position, </w:t>
      </w:r>
      <w:r w:rsidR="00D62D72">
        <w:rPr>
          <w:rFonts w:eastAsia="Arial"/>
          <w:color w:val="000000" w:themeColor="text1"/>
          <w:lang w:eastAsia="en-GB"/>
        </w:rPr>
        <w:t>CHF</w:t>
      </w:r>
      <w:r w:rsidRPr="00F92C32">
        <w:rPr>
          <w:rFonts w:eastAsia="Arial"/>
          <w:color w:val="000000" w:themeColor="text1"/>
          <w:lang w:eastAsia="en-GB"/>
        </w:rPr>
        <w:t xml:space="preserve"> should adopt a proactive talent strategy integrating digital marketing, employee advocacy, and targeted campaigns showcasing its culture and sustainability credentials. For example, DEL</w:t>
      </w:r>
      <w:r w:rsidR="00D3189B">
        <w:rPr>
          <w:rFonts w:eastAsia="Arial"/>
          <w:color w:val="000000" w:themeColor="text1"/>
          <w:lang w:eastAsia="en-GB"/>
        </w:rPr>
        <w:t>L</w:t>
      </w:r>
      <w:r w:rsidRPr="00F92C32">
        <w:rPr>
          <w:rFonts w:eastAsia="Arial"/>
          <w:color w:val="000000" w:themeColor="text1"/>
          <w:lang w:eastAsia="en-GB"/>
        </w:rPr>
        <w:t xml:space="preserve"> has successfully employed this approach, using social media to highlight its inclusive culture and innovation, encouraging employees to share authentic experiences, and running campaigns emphasising sustainability and professional development (Smith, 2021; Jones, 2022). Adopting a similar strategy could help C</w:t>
      </w:r>
      <w:r w:rsidR="008C5598">
        <w:rPr>
          <w:rFonts w:eastAsia="Arial"/>
          <w:color w:val="000000" w:themeColor="text1"/>
          <w:lang w:eastAsia="en-GB"/>
        </w:rPr>
        <w:t xml:space="preserve">HF </w:t>
      </w:r>
      <w:r w:rsidRPr="00F92C32">
        <w:rPr>
          <w:rFonts w:eastAsia="Arial"/>
          <w:color w:val="000000" w:themeColor="text1"/>
          <w:lang w:eastAsia="en-GB"/>
        </w:rPr>
        <w:t>attract top talent and enhance its employer brand.</w:t>
      </w:r>
    </w:p>
    <w:p w14:paraId="7690A4B1" w14:textId="77777777" w:rsidR="00F92C32" w:rsidRDefault="00F92C32" w:rsidP="00595B87">
      <w:pPr>
        <w:spacing w:after="0"/>
        <w:jc w:val="both"/>
        <w:rPr>
          <w:rFonts w:eastAsia="Arial"/>
          <w:color w:val="000000" w:themeColor="text1"/>
          <w:lang w:eastAsia="en-GB"/>
        </w:rPr>
      </w:pPr>
    </w:p>
    <w:p w14:paraId="0978BEE2" w14:textId="172EB98A" w:rsidR="00595B87" w:rsidRDefault="00595B87" w:rsidP="00595B87">
      <w:pPr>
        <w:spacing w:after="0"/>
        <w:jc w:val="both"/>
        <w:rPr>
          <w:rFonts w:eastAsia="Arial"/>
          <w:color w:val="000000" w:themeColor="text1"/>
          <w:lang w:eastAsia="en-GB"/>
        </w:rPr>
      </w:pPr>
      <w:r w:rsidRPr="00595B87">
        <w:rPr>
          <w:rFonts w:eastAsia="Arial"/>
          <w:color w:val="000000" w:themeColor="text1"/>
          <w:lang w:eastAsia="en-GB"/>
        </w:rPr>
        <w:t xml:space="preserve">Research indicates that organisations communicating a clear </w:t>
      </w:r>
      <w:r w:rsidRPr="000D483D">
        <w:rPr>
          <w:rFonts w:eastAsia="Arial"/>
          <w:color w:val="000000" w:themeColor="text1"/>
          <w:lang w:eastAsia="en-GB"/>
        </w:rPr>
        <w:t>EVP emphasi</w:t>
      </w:r>
      <w:r w:rsidR="00C152C2" w:rsidRPr="000D483D">
        <w:rPr>
          <w:rFonts w:eastAsia="Arial"/>
          <w:color w:val="000000" w:themeColor="text1"/>
          <w:lang w:eastAsia="en-GB"/>
        </w:rPr>
        <w:t>s</w:t>
      </w:r>
      <w:r w:rsidRPr="000D483D">
        <w:rPr>
          <w:rFonts w:eastAsia="Arial"/>
          <w:color w:val="000000" w:themeColor="text1"/>
          <w:lang w:eastAsia="en-GB"/>
        </w:rPr>
        <w:t>ing purpose</w:t>
      </w:r>
      <w:r w:rsidRPr="00595B87">
        <w:rPr>
          <w:rFonts w:eastAsia="Arial"/>
          <w:color w:val="000000" w:themeColor="text1"/>
          <w:lang w:eastAsia="en-GB"/>
        </w:rPr>
        <w:t>, wellbeing, and development achieve higher engagement and retention (CIPD, 2024). Enhancing brand visibility and highlighting the benefits of working in a values-driven, sustainable enterprise can attract candidates aligned with its ethos, supporting long-term growth.</w:t>
      </w:r>
    </w:p>
    <w:p w14:paraId="759ADB69" w14:textId="77777777" w:rsidR="00430B93" w:rsidRPr="00595B87" w:rsidRDefault="00430B93" w:rsidP="00595B87">
      <w:pPr>
        <w:spacing w:after="0"/>
        <w:jc w:val="both"/>
        <w:rPr>
          <w:rFonts w:eastAsia="Arial"/>
          <w:color w:val="000000" w:themeColor="text1"/>
          <w:lang w:eastAsia="en-GB"/>
        </w:rPr>
      </w:pPr>
    </w:p>
    <w:p w14:paraId="783F8D9C" w14:textId="6296D730" w:rsidR="00595B87" w:rsidRPr="00595B87" w:rsidRDefault="00595B87" w:rsidP="00595B87">
      <w:pPr>
        <w:spacing w:after="0"/>
        <w:jc w:val="both"/>
        <w:rPr>
          <w:rFonts w:eastAsia="Arial"/>
          <w:color w:val="000000" w:themeColor="text1"/>
          <w:lang w:eastAsia="en-GB"/>
        </w:rPr>
      </w:pPr>
      <w:r w:rsidRPr="00595B87">
        <w:rPr>
          <w:rFonts w:eastAsia="Arial"/>
          <w:color w:val="000000" w:themeColor="text1"/>
          <w:lang w:eastAsia="en-GB"/>
        </w:rPr>
        <w:t>Recruiting from similar Welsh cultural organisations is as valuable as sourcing talent from other industry pools. For example, the pharmaceutical sector offers transferrable skills relevant to food manufacturing, as both operate under similar hygiene and regulatory standards (Cleanroom Technology, 2023). Creativity in recruitment is essential</w:t>
      </w:r>
      <w:r>
        <w:rPr>
          <w:rFonts w:eastAsia="Arial"/>
          <w:color w:val="000000" w:themeColor="text1"/>
          <w:lang w:eastAsia="en-GB"/>
        </w:rPr>
        <w:t xml:space="preserve">, </w:t>
      </w:r>
      <w:r w:rsidRPr="00595B87">
        <w:rPr>
          <w:rFonts w:eastAsia="Arial"/>
          <w:color w:val="000000" w:themeColor="text1"/>
          <w:lang w:eastAsia="en-GB"/>
        </w:rPr>
        <w:t>not only in advertising roles but also in promoting transferrable skills. Younger workers, regardless of background, consistently seek positive work-life balance alongside opportunities for career advancement within their specialism.</w:t>
      </w:r>
    </w:p>
    <w:p w14:paraId="54BD5285" w14:textId="77777777" w:rsidR="00595B87" w:rsidRDefault="00595B87" w:rsidP="00595B87">
      <w:pPr>
        <w:spacing w:after="0"/>
        <w:jc w:val="both"/>
        <w:rPr>
          <w:rFonts w:eastAsia="Arial"/>
          <w:color w:val="000000" w:themeColor="text1"/>
          <w:lang w:eastAsia="en-GB"/>
        </w:rPr>
      </w:pPr>
    </w:p>
    <w:p w14:paraId="39288BA3" w14:textId="3BC73D95" w:rsidR="00595B87" w:rsidRPr="00595B87" w:rsidRDefault="00595B87" w:rsidP="00595B87">
      <w:pPr>
        <w:spacing w:after="0"/>
        <w:jc w:val="both"/>
        <w:rPr>
          <w:rFonts w:eastAsia="Arial"/>
          <w:color w:val="000000" w:themeColor="text1"/>
          <w:lang w:eastAsia="en-GB"/>
        </w:rPr>
      </w:pPr>
      <w:r w:rsidRPr="00595B87">
        <w:rPr>
          <w:rFonts w:eastAsia="Arial"/>
          <w:color w:val="000000" w:themeColor="text1"/>
          <w:lang w:eastAsia="en-GB"/>
        </w:rPr>
        <w:t>By combining targeted digital outreach, strategic branding, and creative recruitment approaches, C</w:t>
      </w:r>
      <w:r w:rsidR="008C5598">
        <w:rPr>
          <w:rFonts w:eastAsia="Arial"/>
          <w:color w:val="000000" w:themeColor="text1"/>
          <w:lang w:eastAsia="en-GB"/>
        </w:rPr>
        <w:t>HF</w:t>
      </w:r>
      <w:r w:rsidRPr="00595B87">
        <w:rPr>
          <w:rFonts w:eastAsia="Arial"/>
          <w:color w:val="000000" w:themeColor="text1"/>
          <w:lang w:eastAsia="en-GB"/>
        </w:rPr>
        <w:t xml:space="preserve"> can enhance its talent pipeline, attract diverse and skilled candidates, and strengthen its competitive position in the UK food industry.</w:t>
      </w:r>
    </w:p>
    <w:p w14:paraId="42C5C652" w14:textId="77777777" w:rsidR="00A22220" w:rsidRDefault="00A22220" w:rsidP="00A511BE">
      <w:pPr>
        <w:spacing w:after="0"/>
        <w:jc w:val="both"/>
        <w:rPr>
          <w:rFonts w:eastAsia="Arial"/>
          <w:color w:val="000000" w:themeColor="text1"/>
          <w:lang w:eastAsia="en-GB"/>
        </w:rPr>
      </w:pPr>
    </w:p>
    <w:p w14:paraId="35023330" w14:textId="264BBE06" w:rsidR="00A511BE" w:rsidRDefault="00A511BE" w:rsidP="00A511BE">
      <w:pPr>
        <w:spacing w:after="0"/>
        <w:jc w:val="both"/>
        <w:rPr>
          <w:rFonts w:eastAsia="Arial"/>
          <w:b/>
          <w:bCs/>
          <w:color w:val="000000" w:themeColor="text1"/>
          <w:lang w:eastAsia="en-GB"/>
        </w:rPr>
      </w:pPr>
      <w:r w:rsidRPr="00A511BE">
        <w:rPr>
          <w:rFonts w:eastAsia="Arial"/>
          <w:b/>
          <w:bCs/>
          <w:color w:val="000000" w:themeColor="text1"/>
          <w:lang w:eastAsia="en-GB"/>
        </w:rPr>
        <w:t>2.2.2 Greater Focus on Developing Skills In-House</w:t>
      </w:r>
    </w:p>
    <w:p w14:paraId="7BCD028F" w14:textId="77777777" w:rsidR="00F16F7C" w:rsidRPr="00A511BE" w:rsidRDefault="00F16F7C" w:rsidP="00A511BE">
      <w:pPr>
        <w:spacing w:after="0"/>
        <w:jc w:val="both"/>
        <w:rPr>
          <w:rFonts w:eastAsia="Arial"/>
          <w:b/>
          <w:bCs/>
          <w:color w:val="000000" w:themeColor="text1"/>
          <w:lang w:eastAsia="en-GB"/>
        </w:rPr>
      </w:pPr>
    </w:p>
    <w:p w14:paraId="3072817E" w14:textId="51F779D2" w:rsidR="00A511BE" w:rsidRPr="00675122" w:rsidRDefault="00C3576B" w:rsidP="00A511BE">
      <w:pPr>
        <w:spacing w:after="0"/>
        <w:jc w:val="both"/>
        <w:rPr>
          <w:rFonts w:eastAsia="Arial"/>
          <w:color w:val="FF0000"/>
          <w:lang w:eastAsia="en-GB"/>
        </w:rPr>
      </w:pPr>
      <w:r>
        <w:rPr>
          <w:rFonts w:eastAsia="Arial"/>
          <w:color w:val="000000" w:themeColor="text1"/>
          <w:lang w:eastAsia="en-GB"/>
        </w:rPr>
        <w:t>R</w:t>
      </w:r>
      <w:r w:rsidR="00A511BE" w:rsidRPr="00A511BE">
        <w:rPr>
          <w:rFonts w:eastAsia="Arial"/>
          <w:color w:val="000000" w:themeColor="text1"/>
          <w:lang w:eastAsia="en-GB"/>
        </w:rPr>
        <w:t>espon</w:t>
      </w:r>
      <w:r>
        <w:rPr>
          <w:rFonts w:eastAsia="Arial"/>
          <w:color w:val="000000" w:themeColor="text1"/>
          <w:lang w:eastAsia="en-GB"/>
        </w:rPr>
        <w:t>ding</w:t>
      </w:r>
      <w:r w:rsidR="00A511BE" w:rsidRPr="00A511BE">
        <w:rPr>
          <w:rFonts w:eastAsia="Arial"/>
          <w:color w:val="000000" w:themeColor="text1"/>
          <w:lang w:eastAsia="en-GB"/>
        </w:rPr>
        <w:t xml:space="preserve"> to recruitment challenges, </w:t>
      </w:r>
      <w:r w:rsidR="00A511BE" w:rsidRPr="00A81808">
        <w:rPr>
          <w:rFonts w:eastAsia="Arial"/>
          <w:color w:val="000000" w:themeColor="text1"/>
          <w:lang w:eastAsia="en-GB"/>
        </w:rPr>
        <w:t>CIPD (2024)</w:t>
      </w:r>
      <w:r w:rsidR="00A511BE" w:rsidRPr="00A511BE">
        <w:rPr>
          <w:rFonts w:eastAsia="Arial"/>
          <w:color w:val="000000" w:themeColor="text1"/>
          <w:lang w:eastAsia="en-GB"/>
        </w:rPr>
        <w:t xml:space="preserve"> reports that over 60% of employers are now prioritising internal skills development to fill critical capability gaps. For </w:t>
      </w:r>
      <w:r w:rsidR="00404EE5">
        <w:rPr>
          <w:color w:val="000000" w:themeColor="text1"/>
        </w:rPr>
        <w:t>CHF</w:t>
      </w:r>
      <w:r w:rsidR="00A511BE" w:rsidRPr="00A511BE">
        <w:rPr>
          <w:rFonts w:eastAsia="Arial"/>
          <w:color w:val="000000" w:themeColor="text1"/>
          <w:lang w:eastAsia="en-GB"/>
        </w:rPr>
        <w:t>,</w:t>
      </w:r>
      <w:r w:rsidR="00E91305">
        <w:rPr>
          <w:rFonts w:eastAsia="Arial"/>
          <w:color w:val="000000" w:themeColor="text1"/>
          <w:lang w:eastAsia="en-GB"/>
        </w:rPr>
        <w:t xml:space="preserve"> </w:t>
      </w:r>
      <w:r w:rsidR="00A511BE" w:rsidRPr="00A511BE">
        <w:rPr>
          <w:rFonts w:eastAsia="Arial"/>
          <w:color w:val="000000" w:themeColor="text1"/>
          <w:lang w:eastAsia="en-GB"/>
        </w:rPr>
        <w:t xml:space="preserve">this trend presents both a necessity and an opportunity. Developing in-house capability mitigates external recruitment difficulties </w:t>
      </w:r>
      <w:r>
        <w:rPr>
          <w:rFonts w:eastAsia="Arial"/>
          <w:color w:val="000000" w:themeColor="text1"/>
          <w:lang w:eastAsia="en-GB"/>
        </w:rPr>
        <w:t>and</w:t>
      </w:r>
      <w:r w:rsidR="00A511BE" w:rsidRPr="00A511BE">
        <w:rPr>
          <w:rFonts w:eastAsia="Arial"/>
          <w:color w:val="000000" w:themeColor="text1"/>
          <w:lang w:eastAsia="en-GB"/>
        </w:rPr>
        <w:t xml:space="preserve"> strengthens organisational resilience by fostering a </w:t>
      </w:r>
      <w:r w:rsidR="00A511BE" w:rsidRPr="005D7333">
        <w:rPr>
          <w:rFonts w:eastAsia="Arial"/>
          <w:color w:val="000000" w:themeColor="text1"/>
          <w:lang w:eastAsia="en-GB"/>
        </w:rPr>
        <w:t>workforce equipped with future-ready skills.</w:t>
      </w:r>
      <w:r w:rsidR="00675122" w:rsidRPr="005D7333">
        <w:rPr>
          <w:rFonts w:eastAsia="Arial"/>
          <w:color w:val="000000" w:themeColor="text1"/>
          <w:lang w:eastAsia="en-GB"/>
        </w:rPr>
        <w:t xml:space="preserve"> </w:t>
      </w:r>
      <w:r w:rsidR="00D61EEE">
        <w:rPr>
          <w:rFonts w:eastAsia="Arial"/>
          <w:color w:val="000000" w:themeColor="text1"/>
          <w:lang w:eastAsia="en-GB"/>
        </w:rPr>
        <w:t>This presents</w:t>
      </w:r>
      <w:r w:rsidR="00675122" w:rsidRPr="005D7333">
        <w:rPr>
          <w:rFonts w:eastAsia="Arial"/>
          <w:color w:val="000000" w:themeColor="text1"/>
          <w:lang w:eastAsia="en-GB"/>
        </w:rPr>
        <w:t xml:space="preserve"> </w:t>
      </w:r>
      <w:r w:rsidR="00675122" w:rsidRPr="005D7333">
        <w:rPr>
          <w:rFonts w:eastAsia="Arial"/>
          <w:color w:val="000000" w:themeColor="text1"/>
          <w:lang w:eastAsia="en-GB"/>
        </w:rPr>
        <w:lastRenderedPageBreak/>
        <w:t>challenges with an over-dependence on who you know and trying to create an employee fit</w:t>
      </w:r>
      <w:r w:rsidR="0046215F">
        <w:rPr>
          <w:rFonts w:eastAsia="Arial"/>
          <w:color w:val="000000" w:themeColor="text1"/>
          <w:lang w:eastAsia="en-GB"/>
        </w:rPr>
        <w:t xml:space="preserve"> </w:t>
      </w:r>
      <w:r w:rsidR="0046215F" w:rsidRPr="0046215F">
        <w:rPr>
          <w:rFonts w:eastAsia="Arial"/>
          <w:color w:val="000000" w:themeColor="text1"/>
          <w:lang w:eastAsia="en-GB"/>
        </w:rPr>
        <w:t xml:space="preserve">(Marchington </w:t>
      </w:r>
      <w:r w:rsidR="00B4209B">
        <w:rPr>
          <w:rFonts w:eastAsia="Arial"/>
          <w:color w:val="000000" w:themeColor="text1"/>
          <w:lang w:eastAsia="en-GB"/>
        </w:rPr>
        <w:t>and</w:t>
      </w:r>
      <w:r w:rsidR="0046215F" w:rsidRPr="0046215F">
        <w:rPr>
          <w:rFonts w:eastAsia="Arial"/>
          <w:color w:val="000000" w:themeColor="text1"/>
          <w:lang w:eastAsia="en-GB"/>
        </w:rPr>
        <w:t xml:space="preserve"> </w:t>
      </w:r>
      <w:proofErr w:type="spellStart"/>
      <w:r w:rsidR="0046215F" w:rsidRPr="0046215F">
        <w:rPr>
          <w:rFonts w:eastAsia="Arial"/>
          <w:color w:val="000000" w:themeColor="text1"/>
          <w:lang w:eastAsia="en-GB"/>
        </w:rPr>
        <w:t>Grugulis</w:t>
      </w:r>
      <w:proofErr w:type="spellEnd"/>
      <w:r w:rsidR="0046215F" w:rsidRPr="0046215F">
        <w:rPr>
          <w:rFonts w:eastAsia="Arial"/>
          <w:color w:val="000000" w:themeColor="text1"/>
          <w:lang w:eastAsia="en-GB"/>
        </w:rPr>
        <w:t>, 2000).</w:t>
      </w:r>
    </w:p>
    <w:p w14:paraId="21F44D60" w14:textId="77777777" w:rsidR="00A511BE" w:rsidRPr="00A511BE" w:rsidRDefault="00A511BE" w:rsidP="00A511BE">
      <w:pPr>
        <w:spacing w:after="0"/>
        <w:jc w:val="both"/>
        <w:rPr>
          <w:rFonts w:eastAsia="Arial"/>
          <w:color w:val="000000" w:themeColor="text1"/>
          <w:lang w:eastAsia="en-GB"/>
        </w:rPr>
      </w:pPr>
    </w:p>
    <w:p w14:paraId="33DE9C6F" w14:textId="2FB48BF4" w:rsidR="00A511BE" w:rsidRPr="00A511BE" w:rsidRDefault="00404EE5" w:rsidP="00A511BE">
      <w:pPr>
        <w:spacing w:after="0"/>
        <w:jc w:val="both"/>
        <w:rPr>
          <w:rFonts w:eastAsia="Arial"/>
          <w:color w:val="000000" w:themeColor="text1"/>
          <w:lang w:eastAsia="en-GB"/>
        </w:rPr>
      </w:pPr>
      <w:r>
        <w:rPr>
          <w:color w:val="000000" w:themeColor="text1"/>
        </w:rPr>
        <w:t>CHF</w:t>
      </w:r>
      <w:r>
        <w:rPr>
          <w:rFonts w:eastAsia="Arial"/>
          <w:color w:val="000000" w:themeColor="text1"/>
          <w:lang w:eastAsia="en-GB"/>
        </w:rPr>
        <w:t xml:space="preserve"> </w:t>
      </w:r>
      <w:r w:rsidR="00A511BE" w:rsidRPr="00A511BE">
        <w:rPr>
          <w:rFonts w:eastAsia="Arial"/>
          <w:color w:val="000000" w:themeColor="text1"/>
          <w:lang w:eastAsia="en-GB"/>
        </w:rPr>
        <w:t>engages in apprenticeship programmes and collaborates with local training providers to develop technical expertise</w:t>
      </w:r>
      <w:r w:rsidR="00A81808">
        <w:rPr>
          <w:rFonts w:eastAsia="Arial"/>
          <w:color w:val="000000" w:themeColor="text1"/>
          <w:lang w:eastAsia="en-GB"/>
        </w:rPr>
        <w:t xml:space="preserve">. </w:t>
      </w:r>
      <w:r w:rsidR="00C3576B">
        <w:rPr>
          <w:rFonts w:eastAsia="Arial"/>
          <w:color w:val="000000" w:themeColor="text1"/>
          <w:lang w:eastAsia="en-GB"/>
        </w:rPr>
        <w:t>T</w:t>
      </w:r>
      <w:r w:rsidR="00A511BE" w:rsidRPr="00A511BE">
        <w:rPr>
          <w:rFonts w:eastAsia="Arial"/>
          <w:color w:val="000000" w:themeColor="text1"/>
          <w:lang w:eastAsia="en-GB"/>
        </w:rPr>
        <w:t>hese initiatives demonstrate commitment to workforce developmen</w:t>
      </w:r>
      <w:r w:rsidR="00C3576B">
        <w:rPr>
          <w:rFonts w:eastAsia="Arial"/>
          <w:color w:val="000000" w:themeColor="text1"/>
          <w:lang w:eastAsia="en-GB"/>
        </w:rPr>
        <w:t>t but</w:t>
      </w:r>
      <w:r w:rsidR="00A511BE" w:rsidRPr="00A511BE">
        <w:rPr>
          <w:rFonts w:eastAsia="Arial"/>
          <w:color w:val="000000" w:themeColor="text1"/>
          <w:lang w:eastAsia="en-GB"/>
        </w:rPr>
        <w:t xml:space="preserve"> </w:t>
      </w:r>
      <w:r w:rsidR="00A511BE" w:rsidRPr="005D7333">
        <w:rPr>
          <w:rFonts w:eastAsia="Arial"/>
          <w:color w:val="000000" w:themeColor="text1"/>
          <w:lang w:eastAsia="en-GB"/>
        </w:rPr>
        <w:t xml:space="preserve">appear </w:t>
      </w:r>
      <w:r w:rsidR="00675122" w:rsidRPr="005D7333">
        <w:rPr>
          <w:rFonts w:eastAsia="Arial"/>
          <w:color w:val="000000" w:themeColor="text1"/>
          <w:lang w:eastAsia="en-GB"/>
        </w:rPr>
        <w:t xml:space="preserve">ad hoc </w:t>
      </w:r>
      <w:r w:rsidR="00A511BE" w:rsidRPr="005D7333">
        <w:rPr>
          <w:rFonts w:eastAsia="Arial"/>
          <w:color w:val="000000" w:themeColor="text1"/>
          <w:lang w:eastAsia="en-GB"/>
        </w:rPr>
        <w:t>rather than strategically integrated into a broader talent framework. The organisation lacks a formalised L&amp;D structure with competency frameworks</w:t>
      </w:r>
      <w:r w:rsidR="00A511BE" w:rsidRPr="00A511BE">
        <w:rPr>
          <w:rFonts w:eastAsia="Arial"/>
          <w:color w:val="000000" w:themeColor="text1"/>
          <w:lang w:eastAsia="en-GB"/>
        </w:rPr>
        <w:t xml:space="preserve">, progression pathways, or leadership pipelines. </w:t>
      </w:r>
      <w:r w:rsidR="00C3576B">
        <w:rPr>
          <w:rFonts w:eastAsia="Arial"/>
          <w:color w:val="000000" w:themeColor="text1"/>
          <w:lang w:eastAsia="en-GB"/>
        </w:rPr>
        <w:t>I</w:t>
      </w:r>
      <w:r w:rsidR="00A511BE" w:rsidRPr="00A511BE">
        <w:rPr>
          <w:rFonts w:eastAsia="Arial"/>
          <w:color w:val="000000" w:themeColor="text1"/>
          <w:lang w:eastAsia="en-GB"/>
        </w:rPr>
        <w:t>nternal mobility is limited, and employees may perceive restricted opportunities for advancement.</w:t>
      </w:r>
    </w:p>
    <w:p w14:paraId="79DC2609" w14:textId="77777777" w:rsidR="00A511BE" w:rsidRPr="00A511BE" w:rsidRDefault="00A511BE" w:rsidP="00A511BE">
      <w:pPr>
        <w:spacing w:after="0"/>
        <w:jc w:val="both"/>
        <w:rPr>
          <w:rFonts w:eastAsia="Arial"/>
          <w:color w:val="000000" w:themeColor="text1"/>
          <w:lang w:eastAsia="en-GB"/>
        </w:rPr>
      </w:pPr>
    </w:p>
    <w:p w14:paraId="7E242A1C" w14:textId="0BC08A99" w:rsidR="00A511BE" w:rsidRPr="00A511BE" w:rsidRDefault="00A511BE" w:rsidP="00A511BE">
      <w:pPr>
        <w:spacing w:after="0"/>
        <w:jc w:val="both"/>
        <w:rPr>
          <w:rFonts w:eastAsia="Arial"/>
          <w:color w:val="000000" w:themeColor="text1"/>
          <w:lang w:eastAsia="en-GB"/>
        </w:rPr>
      </w:pPr>
      <w:r w:rsidRPr="00A511BE">
        <w:rPr>
          <w:rFonts w:eastAsia="Arial"/>
          <w:color w:val="000000" w:themeColor="text1"/>
          <w:lang w:eastAsia="en-GB"/>
        </w:rPr>
        <w:t xml:space="preserve">Boudreau and Ramstad (2005) argue that strategic talent management requires deliberate alignment between workforce planning and organisational objectives. </w:t>
      </w:r>
      <w:r w:rsidR="00404EE5">
        <w:rPr>
          <w:color w:val="000000" w:themeColor="text1"/>
        </w:rPr>
        <w:t>CHF</w:t>
      </w:r>
      <w:r w:rsidR="00404EE5" w:rsidRPr="00A511BE">
        <w:rPr>
          <w:rFonts w:eastAsia="Arial"/>
          <w:color w:val="000000" w:themeColor="text1"/>
          <w:lang w:eastAsia="en-GB"/>
        </w:rPr>
        <w:t xml:space="preserve"> </w:t>
      </w:r>
      <w:r w:rsidRPr="00A511BE">
        <w:rPr>
          <w:rFonts w:eastAsia="Arial"/>
          <w:color w:val="000000" w:themeColor="text1"/>
          <w:lang w:eastAsia="en-GB"/>
        </w:rPr>
        <w:t xml:space="preserve">current L&amp;D approach, which focuses primarily on compliance-based training (e.g., </w:t>
      </w:r>
      <w:r w:rsidRPr="005D7333">
        <w:rPr>
          <w:rFonts w:eastAsia="Arial"/>
          <w:color w:val="000000" w:themeColor="text1"/>
          <w:lang w:eastAsia="en-GB"/>
        </w:rPr>
        <w:t xml:space="preserve">food </w:t>
      </w:r>
      <w:r w:rsidR="00255DA1" w:rsidRPr="005D7333">
        <w:rPr>
          <w:rFonts w:eastAsia="Arial"/>
          <w:color w:val="000000" w:themeColor="text1"/>
          <w:lang w:eastAsia="en-GB"/>
        </w:rPr>
        <w:t xml:space="preserve">safety, </w:t>
      </w:r>
      <w:r w:rsidRPr="005D7333">
        <w:rPr>
          <w:rFonts w:eastAsia="Arial"/>
          <w:color w:val="000000" w:themeColor="text1"/>
          <w:lang w:eastAsia="en-GB"/>
        </w:rPr>
        <w:t xml:space="preserve">health and safety), ensures regulatory adherence but contributes little to long-term capability building. </w:t>
      </w:r>
      <w:r w:rsidR="00D5471E" w:rsidRPr="00D5471E">
        <w:rPr>
          <w:rFonts w:eastAsia="Arial"/>
          <w:color w:val="000000" w:themeColor="text1"/>
          <w:lang w:eastAsia="en-GB"/>
        </w:rPr>
        <w:t>To transition from operational to strategic HR, CHF could implement structured development pathways, such as management apprenticeships, mentorship schemes and cross-departmental training rotations. These initiatives may provide useful insight on talent, cultivate leadership readiness and enhance employee engagement by offering visible career progression opportunities.</w:t>
      </w:r>
    </w:p>
    <w:p w14:paraId="2D0D41DE" w14:textId="77777777" w:rsidR="00A511BE" w:rsidRPr="00A511BE" w:rsidRDefault="00A511BE" w:rsidP="00A511BE">
      <w:pPr>
        <w:spacing w:after="0"/>
        <w:jc w:val="both"/>
        <w:rPr>
          <w:rFonts w:eastAsia="Arial"/>
          <w:color w:val="000000" w:themeColor="text1"/>
          <w:lang w:eastAsia="en-GB"/>
        </w:rPr>
      </w:pPr>
    </w:p>
    <w:p w14:paraId="4C706191" w14:textId="41E42CF0" w:rsidR="00A511BE" w:rsidRDefault="00A511BE" w:rsidP="00A511BE">
      <w:pPr>
        <w:spacing w:after="0"/>
        <w:jc w:val="both"/>
        <w:rPr>
          <w:rFonts w:eastAsia="Arial"/>
          <w:color w:val="000000" w:themeColor="text1"/>
          <w:lang w:eastAsia="en-GB"/>
        </w:rPr>
      </w:pPr>
      <w:r w:rsidRPr="00A511BE">
        <w:rPr>
          <w:rFonts w:eastAsia="Arial"/>
          <w:color w:val="000000" w:themeColor="text1"/>
          <w:lang w:eastAsia="en-GB"/>
        </w:rPr>
        <w:t>Investment in digital and analytical skills is increasingly critical in the food wholesale sector,</w:t>
      </w:r>
      <w:r w:rsidR="00070556">
        <w:rPr>
          <w:rFonts w:eastAsia="Arial"/>
          <w:color w:val="000000" w:themeColor="text1"/>
          <w:lang w:eastAsia="en-GB"/>
        </w:rPr>
        <w:t xml:space="preserve"> </w:t>
      </w:r>
      <w:r w:rsidRPr="00A511BE">
        <w:rPr>
          <w:rFonts w:eastAsia="Arial"/>
          <w:color w:val="000000" w:themeColor="text1"/>
          <w:lang w:eastAsia="en-GB"/>
        </w:rPr>
        <w:t xml:space="preserve">automation and data-driven decision-making are reshaping operations. Competitors are leveraging warehouse management systems, predictive analytics, and AI-driven logistics to optimise performance. For </w:t>
      </w:r>
      <w:r w:rsidR="00404EE5">
        <w:rPr>
          <w:color w:val="000000" w:themeColor="text1"/>
        </w:rPr>
        <w:t>CHF</w:t>
      </w:r>
      <w:r w:rsidRPr="00A511BE">
        <w:rPr>
          <w:rFonts w:eastAsia="Arial"/>
          <w:color w:val="000000" w:themeColor="text1"/>
          <w:lang w:eastAsia="en-GB"/>
        </w:rPr>
        <w:t xml:space="preserve">, embedding digital literacy into its workforce strategy would improve productivity </w:t>
      </w:r>
      <w:r w:rsidR="00070556">
        <w:rPr>
          <w:rFonts w:eastAsia="Arial"/>
          <w:color w:val="000000" w:themeColor="text1"/>
          <w:lang w:eastAsia="en-GB"/>
        </w:rPr>
        <w:t>and</w:t>
      </w:r>
      <w:r w:rsidRPr="00A511BE">
        <w:rPr>
          <w:rFonts w:eastAsia="Arial"/>
          <w:color w:val="000000" w:themeColor="text1"/>
          <w:lang w:eastAsia="en-GB"/>
        </w:rPr>
        <w:t xml:space="preserve"> enhance attractiveness to younger, tech-oriented employees seeking modern workplaces.</w:t>
      </w:r>
      <w:r w:rsidR="00070556">
        <w:rPr>
          <w:rFonts w:eastAsia="Arial"/>
          <w:color w:val="000000" w:themeColor="text1"/>
          <w:lang w:eastAsia="en-GB"/>
        </w:rPr>
        <w:t xml:space="preserve"> </w:t>
      </w:r>
      <w:r w:rsidRPr="00A511BE">
        <w:rPr>
          <w:rFonts w:eastAsia="Arial"/>
          <w:color w:val="000000" w:themeColor="text1"/>
          <w:lang w:eastAsia="en-GB"/>
        </w:rPr>
        <w:t>Cappelli (2019) highlights, organisations that prioritise continuous learning</w:t>
      </w:r>
      <w:r w:rsidR="00070556">
        <w:rPr>
          <w:rFonts w:eastAsia="Arial"/>
          <w:color w:val="000000" w:themeColor="text1"/>
          <w:lang w:eastAsia="en-GB"/>
        </w:rPr>
        <w:t>,</w:t>
      </w:r>
      <w:r w:rsidRPr="00A511BE">
        <w:rPr>
          <w:rFonts w:eastAsia="Arial"/>
          <w:color w:val="000000" w:themeColor="text1"/>
          <w:lang w:eastAsia="en-GB"/>
        </w:rPr>
        <w:t xml:space="preserve"> achieve higher retention, as employees perceive development opportunities as a key component of job satisfaction and loyalty.</w:t>
      </w:r>
    </w:p>
    <w:p w14:paraId="35F7EFA1" w14:textId="77777777" w:rsidR="00364A28" w:rsidRPr="00A511BE" w:rsidRDefault="00364A28" w:rsidP="00A511BE">
      <w:pPr>
        <w:spacing w:after="0"/>
        <w:jc w:val="both"/>
        <w:rPr>
          <w:rFonts w:eastAsia="Arial"/>
          <w:color w:val="000000" w:themeColor="text1"/>
          <w:lang w:eastAsia="en-GB"/>
        </w:rPr>
      </w:pPr>
    </w:p>
    <w:p w14:paraId="7E2A0FE2" w14:textId="348AAFC5" w:rsidR="00A511BE" w:rsidRPr="00364A28" w:rsidRDefault="00DF1703" w:rsidP="00A511BE">
      <w:pPr>
        <w:spacing w:after="0"/>
        <w:jc w:val="both"/>
        <w:rPr>
          <w:rFonts w:eastAsia="Arial"/>
          <w:color w:val="000000" w:themeColor="text1"/>
          <w:lang w:eastAsia="en-GB"/>
        </w:rPr>
      </w:pPr>
      <w:r>
        <w:rPr>
          <w:color w:val="000000" w:themeColor="text1"/>
        </w:rPr>
        <w:t>CHF</w:t>
      </w:r>
      <w:r w:rsidRPr="00364A28">
        <w:rPr>
          <w:rFonts w:eastAsia="Arial"/>
          <w:color w:val="000000" w:themeColor="text1"/>
          <w:lang w:eastAsia="en-GB"/>
        </w:rPr>
        <w:t xml:space="preserve"> </w:t>
      </w:r>
      <w:r w:rsidR="00364A28" w:rsidRPr="00364A28">
        <w:rPr>
          <w:rFonts w:eastAsia="Arial"/>
          <w:color w:val="000000" w:themeColor="text1"/>
          <w:lang w:eastAsia="en-GB"/>
        </w:rPr>
        <w:t xml:space="preserve">could strengthen its talent pipeline by introducing formal talent reviews and succession planning. Identifying high-potential employees early and supporting them through developmental assignments and targeted leadership coaching would help secure continuity in critical roles. This approach aligns with Ulrich </w:t>
      </w:r>
      <w:r w:rsidR="00364A28" w:rsidRPr="00E91305">
        <w:rPr>
          <w:rFonts w:eastAsia="Arial"/>
          <w:i/>
          <w:iCs/>
          <w:color w:val="000000" w:themeColor="text1"/>
          <w:lang w:eastAsia="en-GB"/>
        </w:rPr>
        <w:t>et al.’s</w:t>
      </w:r>
      <w:r w:rsidR="00364A28" w:rsidRPr="00364A28">
        <w:rPr>
          <w:rFonts w:eastAsia="Arial"/>
          <w:color w:val="000000" w:themeColor="text1"/>
          <w:lang w:eastAsia="en-GB"/>
        </w:rPr>
        <w:t xml:space="preserve"> (2012) view of HR as a strategic partner focused on building organisational capability. By adopting proactive workforce planning and structured upskilling, </w:t>
      </w:r>
      <w:r>
        <w:rPr>
          <w:color w:val="000000" w:themeColor="text1"/>
        </w:rPr>
        <w:t>CHF</w:t>
      </w:r>
      <w:r w:rsidRPr="00364A28">
        <w:rPr>
          <w:rFonts w:eastAsia="Arial"/>
          <w:color w:val="000000" w:themeColor="text1"/>
          <w:lang w:eastAsia="en-GB"/>
        </w:rPr>
        <w:t xml:space="preserve"> </w:t>
      </w:r>
      <w:r w:rsidR="00364A28" w:rsidRPr="00364A28">
        <w:rPr>
          <w:rFonts w:eastAsia="Arial"/>
          <w:color w:val="000000" w:themeColor="text1"/>
          <w:lang w:eastAsia="en-GB"/>
        </w:rPr>
        <w:t>could reduce its reliance on external recruitment and improve long-term resilience.</w:t>
      </w:r>
    </w:p>
    <w:p w14:paraId="3F0ED95B" w14:textId="77777777" w:rsidR="00A511BE" w:rsidRPr="00A511BE" w:rsidRDefault="00A511BE" w:rsidP="00A511BE">
      <w:pPr>
        <w:spacing w:after="0"/>
        <w:jc w:val="both"/>
        <w:rPr>
          <w:rFonts w:eastAsia="Arial"/>
          <w:color w:val="000000" w:themeColor="text1"/>
          <w:lang w:eastAsia="en-GB"/>
        </w:rPr>
      </w:pPr>
    </w:p>
    <w:p w14:paraId="5E97DE94" w14:textId="77777777" w:rsidR="00A511BE" w:rsidRPr="00A511BE" w:rsidRDefault="00A511BE" w:rsidP="00A511BE">
      <w:pPr>
        <w:spacing w:after="0"/>
        <w:jc w:val="both"/>
        <w:rPr>
          <w:rFonts w:eastAsia="Arial"/>
          <w:b/>
          <w:bCs/>
          <w:color w:val="000000" w:themeColor="text1"/>
          <w:lang w:eastAsia="en-GB"/>
        </w:rPr>
      </w:pPr>
      <w:r w:rsidRPr="00A511BE">
        <w:rPr>
          <w:rFonts w:eastAsia="Arial"/>
          <w:b/>
          <w:bCs/>
          <w:color w:val="000000" w:themeColor="text1"/>
          <w:lang w:eastAsia="en-GB"/>
        </w:rPr>
        <w:t>2.2.3 Benefits of Flexible Working Offerings Increasingly Recognised</w:t>
      </w:r>
    </w:p>
    <w:p w14:paraId="1ABA7217" w14:textId="77777777" w:rsidR="00706450" w:rsidRDefault="00A511BE" w:rsidP="00A511BE">
      <w:pPr>
        <w:spacing w:after="0"/>
        <w:jc w:val="both"/>
        <w:rPr>
          <w:rFonts w:eastAsia="Arial"/>
          <w:color w:val="000000" w:themeColor="text1"/>
          <w:lang w:eastAsia="en-GB"/>
        </w:rPr>
      </w:pPr>
      <w:r w:rsidRPr="00A511BE">
        <w:rPr>
          <w:rFonts w:eastAsia="Arial"/>
          <w:color w:val="000000" w:themeColor="text1"/>
          <w:lang w:eastAsia="en-GB"/>
        </w:rPr>
        <w:t xml:space="preserve">Flexible working has evolved from a discretionary </w:t>
      </w:r>
      <w:r w:rsidRPr="005D7333">
        <w:rPr>
          <w:rFonts w:eastAsia="Arial"/>
          <w:color w:val="000000" w:themeColor="text1"/>
          <w:lang w:eastAsia="en-GB"/>
        </w:rPr>
        <w:t>benefit</w:t>
      </w:r>
      <w:r w:rsidR="003C2000">
        <w:rPr>
          <w:rFonts w:eastAsia="Arial"/>
          <w:color w:val="000000" w:themeColor="text1"/>
          <w:lang w:eastAsia="en-GB"/>
        </w:rPr>
        <w:t>,</w:t>
      </w:r>
      <w:r w:rsidRPr="005D7333">
        <w:rPr>
          <w:rFonts w:eastAsia="Arial"/>
          <w:color w:val="000000" w:themeColor="text1"/>
          <w:lang w:eastAsia="en-GB"/>
        </w:rPr>
        <w:t xml:space="preserve"> to a strategic lever for talent.</w:t>
      </w:r>
    </w:p>
    <w:p w14:paraId="4D566A58" w14:textId="3EA3532B" w:rsidR="006A2674" w:rsidRDefault="00A511BE" w:rsidP="00A511BE">
      <w:pPr>
        <w:spacing w:after="0"/>
        <w:jc w:val="both"/>
        <w:rPr>
          <w:rFonts w:eastAsia="Arial"/>
          <w:color w:val="000000" w:themeColor="text1"/>
          <w:lang w:eastAsia="en-GB"/>
        </w:rPr>
      </w:pPr>
      <w:r w:rsidRPr="00A81808">
        <w:rPr>
          <w:rFonts w:eastAsia="Arial"/>
          <w:color w:val="000000" w:themeColor="text1"/>
          <w:lang w:eastAsia="en-GB"/>
        </w:rPr>
        <w:t>CIPD (2024) notes that organisations offering flexible working arrangements report higher levels of</w:t>
      </w:r>
      <w:r w:rsidRPr="005D7333">
        <w:rPr>
          <w:rFonts w:eastAsia="Arial"/>
          <w:color w:val="000000" w:themeColor="text1"/>
          <w:lang w:eastAsia="en-GB"/>
        </w:rPr>
        <w:t xml:space="preserve"> engagement, wellbeing and diversity. Since the COVID-19 pandemic, employee expectations around autonomy, balance, and wellbeing have shifted </w:t>
      </w:r>
      <w:r w:rsidRPr="005D7333">
        <w:rPr>
          <w:rFonts w:eastAsia="Arial"/>
          <w:color w:val="000000" w:themeColor="text1"/>
          <w:lang w:eastAsia="en-GB"/>
        </w:rPr>
        <w:lastRenderedPageBreak/>
        <w:t xml:space="preserve">significantly, with flexibility </w:t>
      </w:r>
      <w:r w:rsidRPr="00A511BE">
        <w:rPr>
          <w:rFonts w:eastAsia="Arial"/>
          <w:color w:val="000000" w:themeColor="text1"/>
          <w:lang w:eastAsia="en-GB"/>
        </w:rPr>
        <w:t>now a central component of the modern employee value proposition.</w:t>
      </w:r>
    </w:p>
    <w:p w14:paraId="6BD318B7" w14:textId="77777777" w:rsidR="006A2674" w:rsidRDefault="006A2674" w:rsidP="00A511BE">
      <w:pPr>
        <w:spacing w:after="0"/>
        <w:jc w:val="both"/>
        <w:rPr>
          <w:rFonts w:eastAsia="Arial"/>
          <w:color w:val="000000" w:themeColor="text1"/>
          <w:lang w:eastAsia="en-GB"/>
        </w:rPr>
      </w:pPr>
    </w:p>
    <w:p w14:paraId="0558554C" w14:textId="5DACB616" w:rsidR="00A511BE" w:rsidRDefault="00244015" w:rsidP="00A511BE">
      <w:pPr>
        <w:spacing w:after="0"/>
        <w:jc w:val="both"/>
        <w:rPr>
          <w:rFonts w:eastAsia="Arial"/>
          <w:color w:val="000000" w:themeColor="text1"/>
          <w:lang w:eastAsia="en-GB"/>
        </w:rPr>
      </w:pPr>
      <w:r>
        <w:rPr>
          <w:color w:val="000000" w:themeColor="text1"/>
        </w:rPr>
        <w:t>CHF</w:t>
      </w:r>
      <w:r w:rsidRPr="00703F6B">
        <w:rPr>
          <w:rFonts w:eastAsia="Arial"/>
          <w:color w:val="000000" w:themeColor="text1"/>
          <w:lang w:eastAsia="en-GB"/>
        </w:rPr>
        <w:t xml:space="preserve"> </w:t>
      </w:r>
      <w:r w:rsidR="00703F6B" w:rsidRPr="00703F6B">
        <w:rPr>
          <w:rFonts w:eastAsia="Arial"/>
          <w:color w:val="000000" w:themeColor="text1"/>
          <w:lang w:eastAsia="en-GB"/>
        </w:rPr>
        <w:t>faces inherent challenges in implementing flexibility due to the nature of its operations. Many roles within logistics, food preparation and warehousing require on-site presence and adherence to production schedules</w:t>
      </w:r>
      <w:r w:rsidR="00703F6B">
        <w:rPr>
          <w:rFonts w:eastAsia="Arial"/>
          <w:color w:val="000000" w:themeColor="text1"/>
          <w:lang w:eastAsia="en-GB"/>
        </w:rPr>
        <w:t xml:space="preserve"> </w:t>
      </w:r>
      <w:r w:rsidR="00703F6B" w:rsidRPr="00703F6B">
        <w:rPr>
          <w:rFonts w:eastAsia="Arial"/>
          <w:color w:val="000000" w:themeColor="text1"/>
          <w:lang w:eastAsia="en-GB"/>
        </w:rPr>
        <w:t>a constraint commonly observed in operational and manufacturing environments (CIPD, 2023; Chung, 2022).</w:t>
      </w:r>
      <w:r w:rsidR="006A2674">
        <w:rPr>
          <w:rFonts w:eastAsia="Arial"/>
          <w:color w:val="000000" w:themeColor="text1"/>
          <w:lang w:eastAsia="en-GB"/>
        </w:rPr>
        <w:t xml:space="preserve"> </w:t>
      </w:r>
      <w:r w:rsidR="00554F38">
        <w:rPr>
          <w:rFonts w:eastAsia="Arial"/>
          <w:color w:val="000000" w:themeColor="text1"/>
          <w:lang w:eastAsia="en-GB"/>
        </w:rPr>
        <w:t>R</w:t>
      </w:r>
      <w:r w:rsidR="00F1683D" w:rsidRPr="00F1683D">
        <w:rPr>
          <w:rFonts w:eastAsia="Arial"/>
          <w:color w:val="000000" w:themeColor="text1"/>
          <w:lang w:eastAsia="en-GB"/>
        </w:rPr>
        <w:t xml:space="preserve">esearch, such as the </w:t>
      </w:r>
      <w:r w:rsidR="00F1683D" w:rsidRPr="00A84E73">
        <w:rPr>
          <w:rFonts w:eastAsia="Arial"/>
          <w:color w:val="000000" w:themeColor="text1"/>
          <w:lang w:eastAsia="en-GB"/>
        </w:rPr>
        <w:t>CIPD’s Flexible and Hybrid Working Practices report (2025), similarly shows that flexibility extends beyond remote working to include alternative shift patterns, compressed working weeks, part-time arrangements and predictable rostering</w:t>
      </w:r>
      <w:r w:rsidR="00452B1F" w:rsidRPr="00A84E73">
        <w:rPr>
          <w:rFonts w:eastAsia="Arial"/>
          <w:color w:val="000000" w:themeColor="text1"/>
          <w:lang w:eastAsia="en-GB"/>
        </w:rPr>
        <w:t xml:space="preserve">. </w:t>
      </w:r>
      <w:r w:rsidR="00703F6B" w:rsidRPr="00A84E73">
        <w:rPr>
          <w:rFonts w:eastAsia="Arial"/>
          <w:color w:val="000000" w:themeColor="text1"/>
          <w:lang w:eastAsia="en-GB"/>
        </w:rPr>
        <w:t>Additiona</w:t>
      </w:r>
      <w:r w:rsidR="00452B1F" w:rsidRPr="00A84E73">
        <w:rPr>
          <w:rFonts w:eastAsia="Arial"/>
          <w:color w:val="000000" w:themeColor="text1"/>
          <w:lang w:eastAsia="en-GB"/>
        </w:rPr>
        <w:t>l</w:t>
      </w:r>
      <w:r w:rsidR="00703F6B" w:rsidRPr="00A84E73">
        <w:rPr>
          <w:rFonts w:eastAsia="Arial"/>
          <w:color w:val="000000" w:themeColor="text1"/>
          <w:lang w:eastAsia="en-GB"/>
        </w:rPr>
        <w:t xml:space="preserve"> studies show that flexible</w:t>
      </w:r>
      <w:r w:rsidR="00703F6B" w:rsidRPr="00703F6B">
        <w:rPr>
          <w:rFonts w:eastAsia="Arial"/>
          <w:color w:val="000000" w:themeColor="text1"/>
          <w:lang w:eastAsia="en-GB"/>
        </w:rPr>
        <w:t xml:space="preserve"> job design can improve employee wellbeing, retention and performance, even in roles that must remain on site (Boxall </w:t>
      </w:r>
      <w:r w:rsidR="0090397C">
        <w:rPr>
          <w:rFonts w:eastAsia="Arial"/>
          <w:color w:val="000000" w:themeColor="text1"/>
          <w:lang w:eastAsia="en-GB"/>
        </w:rPr>
        <w:t>and</w:t>
      </w:r>
      <w:r w:rsidR="00703F6B" w:rsidRPr="00703F6B">
        <w:rPr>
          <w:rFonts w:eastAsia="Arial"/>
          <w:color w:val="000000" w:themeColor="text1"/>
          <w:lang w:eastAsia="en-GB"/>
        </w:rPr>
        <w:t xml:space="preserve"> Macky, 2014; Atkinson </w:t>
      </w:r>
      <w:r w:rsidR="0090397C">
        <w:rPr>
          <w:rFonts w:eastAsia="Arial"/>
          <w:color w:val="000000" w:themeColor="text1"/>
          <w:lang w:eastAsia="en-GB"/>
        </w:rPr>
        <w:t>and</w:t>
      </w:r>
      <w:r w:rsidR="00703F6B" w:rsidRPr="00703F6B">
        <w:rPr>
          <w:rFonts w:eastAsia="Arial"/>
          <w:color w:val="000000" w:themeColor="text1"/>
          <w:lang w:eastAsia="en-GB"/>
        </w:rPr>
        <w:t xml:space="preserve"> Sandiford, 2016).</w:t>
      </w:r>
      <w:r w:rsidR="00E91305">
        <w:rPr>
          <w:rFonts w:eastAsia="Arial"/>
          <w:color w:val="000000" w:themeColor="text1"/>
          <w:lang w:eastAsia="en-GB"/>
        </w:rPr>
        <w:t xml:space="preserve"> </w:t>
      </w:r>
      <w:r w:rsidR="00A30395">
        <w:rPr>
          <w:rFonts w:eastAsia="Arial"/>
          <w:color w:val="000000" w:themeColor="text1"/>
          <w:lang w:eastAsia="en-GB"/>
        </w:rPr>
        <w:t>R</w:t>
      </w:r>
      <w:r w:rsidR="00703F6B" w:rsidRPr="00703F6B">
        <w:rPr>
          <w:rFonts w:eastAsia="Arial"/>
          <w:color w:val="000000" w:themeColor="text1"/>
          <w:lang w:eastAsia="en-GB"/>
        </w:rPr>
        <w:t>ethinking flexibility through this broader lens, C</w:t>
      </w:r>
      <w:r w:rsidR="006A2674">
        <w:rPr>
          <w:rFonts w:eastAsia="Arial"/>
          <w:color w:val="000000" w:themeColor="text1"/>
          <w:lang w:eastAsia="en-GB"/>
        </w:rPr>
        <w:t>HF</w:t>
      </w:r>
      <w:r w:rsidR="00703F6B" w:rsidRPr="00703F6B">
        <w:rPr>
          <w:rFonts w:eastAsia="Arial"/>
          <w:color w:val="000000" w:themeColor="text1"/>
          <w:lang w:eastAsia="en-GB"/>
        </w:rPr>
        <w:t xml:space="preserve"> could enhance work–life balance without compromising operational efficiency.</w:t>
      </w:r>
    </w:p>
    <w:p w14:paraId="529CC652" w14:textId="77777777" w:rsidR="00703F6B" w:rsidRPr="00A511BE" w:rsidRDefault="00703F6B" w:rsidP="00A511BE">
      <w:pPr>
        <w:spacing w:after="0"/>
        <w:jc w:val="both"/>
        <w:rPr>
          <w:rFonts w:eastAsia="Arial"/>
          <w:color w:val="000000" w:themeColor="text1"/>
          <w:lang w:eastAsia="en-GB"/>
        </w:rPr>
      </w:pPr>
    </w:p>
    <w:p w14:paraId="55C5A864" w14:textId="4AE26F0A" w:rsidR="00A43C19" w:rsidRDefault="00941BDE" w:rsidP="00A511BE">
      <w:pPr>
        <w:spacing w:after="0"/>
        <w:jc w:val="both"/>
        <w:rPr>
          <w:rFonts w:eastAsia="Arial"/>
          <w:color w:val="000000" w:themeColor="text1"/>
          <w:lang w:eastAsia="en-GB"/>
        </w:rPr>
      </w:pPr>
      <w:r>
        <w:rPr>
          <w:rFonts w:eastAsia="Arial"/>
          <w:color w:val="000000" w:themeColor="text1"/>
          <w:lang w:eastAsia="en-GB"/>
        </w:rPr>
        <w:t>CHF</w:t>
      </w:r>
      <w:r w:rsidRPr="00941BDE">
        <w:rPr>
          <w:rFonts w:eastAsia="Arial"/>
          <w:color w:val="000000" w:themeColor="text1"/>
          <w:lang w:eastAsia="en-GB"/>
        </w:rPr>
        <w:t xml:space="preserve"> currently offers limited formal flexible-working options, relying instead on informal arrangements such as accommodating personal requests or making ad hoc rota adjustments. While these practices demonstrate goodwill, they lack consistency, transparency, and alignment with a broader workforce strategy. The absence of clear guidance also creates cultural barriers</w:t>
      </w:r>
      <w:r w:rsidR="006A2674">
        <w:rPr>
          <w:rFonts w:eastAsia="Arial"/>
          <w:color w:val="000000" w:themeColor="text1"/>
          <w:lang w:eastAsia="en-GB"/>
        </w:rPr>
        <w:t>,</w:t>
      </w:r>
      <w:r w:rsidRPr="00941BDE">
        <w:rPr>
          <w:rFonts w:eastAsia="Arial"/>
          <w:color w:val="000000" w:themeColor="text1"/>
          <w:lang w:eastAsia="en-GB"/>
        </w:rPr>
        <w:t xml:space="preserve"> employees may feel uncomfortable requesting flexibility, perceive decisions as unfair or biased, or interpret inconsistent practices as favouring certain groups or working styles. A formal flexible-working policy would help reduce these cultural barriers by standardising approaches, improving fairness and communication, and signalling a genuine commitment to employee wellbeing. It would also enhance the organisation’s ability to attract and retain underrepresented groups</w:t>
      </w:r>
      <w:r>
        <w:rPr>
          <w:rFonts w:eastAsia="Arial"/>
          <w:color w:val="000000" w:themeColor="text1"/>
          <w:lang w:eastAsia="en-GB"/>
        </w:rPr>
        <w:t>,</w:t>
      </w:r>
      <w:r w:rsidR="00EA6782">
        <w:rPr>
          <w:rFonts w:eastAsia="Arial"/>
          <w:color w:val="000000" w:themeColor="text1"/>
          <w:lang w:eastAsia="en-GB"/>
        </w:rPr>
        <w:t xml:space="preserve"> </w:t>
      </w:r>
      <w:r w:rsidRPr="00941BDE">
        <w:rPr>
          <w:rFonts w:eastAsia="Arial"/>
          <w:color w:val="000000" w:themeColor="text1"/>
          <w:lang w:eastAsia="en-GB"/>
        </w:rPr>
        <w:t>who typically value predictability, autonomy, and work–life balance (CIPD, 2024).</w:t>
      </w:r>
    </w:p>
    <w:p w14:paraId="14B89F08" w14:textId="77777777" w:rsidR="00941BDE" w:rsidRPr="00A511BE" w:rsidRDefault="00941BDE" w:rsidP="00A511BE">
      <w:pPr>
        <w:spacing w:after="0"/>
        <w:jc w:val="both"/>
        <w:rPr>
          <w:rFonts w:eastAsia="Arial"/>
          <w:color w:val="000000" w:themeColor="text1"/>
          <w:lang w:eastAsia="en-GB"/>
        </w:rPr>
      </w:pPr>
    </w:p>
    <w:p w14:paraId="4E0134CA" w14:textId="6AD1C1CE" w:rsidR="00A511BE" w:rsidRPr="00A511BE" w:rsidRDefault="00A511BE" w:rsidP="00A511BE">
      <w:pPr>
        <w:spacing w:after="0"/>
        <w:jc w:val="both"/>
        <w:rPr>
          <w:rFonts w:eastAsia="Arial"/>
          <w:color w:val="000000" w:themeColor="text1"/>
          <w:lang w:eastAsia="en-GB"/>
        </w:rPr>
      </w:pPr>
      <w:r w:rsidRPr="00A511BE">
        <w:rPr>
          <w:rFonts w:eastAsia="Arial"/>
          <w:color w:val="000000" w:themeColor="text1"/>
          <w:lang w:eastAsia="en-GB"/>
        </w:rPr>
        <w:t xml:space="preserve">Integrating wellbeing initiatives alongside flexibility could amplify the positive impact on engagement and retention. For instance, providing mental health training for line managers, expanding access to employee assistance programmes (EAPs), and </w:t>
      </w:r>
      <w:r w:rsidRPr="00A81808">
        <w:rPr>
          <w:rFonts w:eastAsia="Arial"/>
          <w:color w:val="000000" w:themeColor="text1"/>
          <w:lang w:eastAsia="en-GB"/>
        </w:rPr>
        <w:t>promoting open communication channels would create a supportive culture. C</w:t>
      </w:r>
      <w:r w:rsidR="00B84A04">
        <w:rPr>
          <w:rFonts w:eastAsia="Arial"/>
          <w:color w:val="000000" w:themeColor="text1"/>
          <w:lang w:eastAsia="en-GB"/>
        </w:rPr>
        <w:t>IPD</w:t>
      </w:r>
      <w:r w:rsidRPr="00A81808">
        <w:rPr>
          <w:rFonts w:eastAsia="Arial"/>
          <w:color w:val="000000" w:themeColor="text1"/>
          <w:lang w:eastAsia="en-GB"/>
        </w:rPr>
        <w:t xml:space="preserve"> (2024) emphasises that organisations combining flexibility with wellbeing experience stronger employee advocacy and reduced turnover.</w:t>
      </w:r>
    </w:p>
    <w:p w14:paraId="1F3F6AEA" w14:textId="77777777" w:rsidR="00A511BE" w:rsidRPr="00A511BE" w:rsidRDefault="00A511BE" w:rsidP="00A511BE">
      <w:pPr>
        <w:spacing w:after="0"/>
        <w:jc w:val="both"/>
        <w:rPr>
          <w:rFonts w:eastAsia="Arial"/>
          <w:color w:val="000000" w:themeColor="text1"/>
          <w:lang w:eastAsia="en-GB"/>
        </w:rPr>
      </w:pPr>
    </w:p>
    <w:p w14:paraId="2EE32C13" w14:textId="5A4DAB8C" w:rsidR="00A511BE" w:rsidRPr="00A511BE" w:rsidRDefault="00701EF4" w:rsidP="00A511BE">
      <w:pPr>
        <w:spacing w:after="0"/>
        <w:jc w:val="both"/>
        <w:rPr>
          <w:rFonts w:eastAsia="Arial"/>
          <w:color w:val="000000" w:themeColor="text1"/>
          <w:lang w:eastAsia="en-GB"/>
        </w:rPr>
      </w:pPr>
      <w:r>
        <w:rPr>
          <w:rFonts w:eastAsia="Arial"/>
          <w:color w:val="000000" w:themeColor="text1"/>
          <w:lang w:eastAsia="en-GB"/>
        </w:rPr>
        <w:t>Strategically</w:t>
      </w:r>
      <w:r w:rsidR="00703F6B" w:rsidRPr="00703F6B">
        <w:rPr>
          <w:rFonts w:eastAsia="Arial"/>
          <w:color w:val="000000" w:themeColor="text1"/>
          <w:lang w:eastAsia="en-GB"/>
        </w:rPr>
        <w:t>, embedding flexible working into C</w:t>
      </w:r>
      <w:r>
        <w:rPr>
          <w:rFonts w:eastAsia="Arial"/>
          <w:color w:val="000000" w:themeColor="text1"/>
          <w:lang w:eastAsia="en-GB"/>
        </w:rPr>
        <w:t>HF’s</w:t>
      </w:r>
      <w:r w:rsidR="00703F6B" w:rsidRPr="00703F6B">
        <w:rPr>
          <w:rFonts w:eastAsia="Arial"/>
          <w:color w:val="000000" w:themeColor="text1"/>
          <w:lang w:eastAsia="en-GB"/>
        </w:rPr>
        <w:t xml:space="preserve"> EVP would modernise its reputation. Competitors in foodservice</w:t>
      </w:r>
      <w:r w:rsidR="00367B6D">
        <w:rPr>
          <w:rFonts w:eastAsia="Arial"/>
          <w:color w:val="000000" w:themeColor="text1"/>
          <w:lang w:eastAsia="en-GB"/>
        </w:rPr>
        <w:t xml:space="preserve"> </w:t>
      </w:r>
      <w:r w:rsidR="00703F6B" w:rsidRPr="00703F6B">
        <w:rPr>
          <w:rFonts w:eastAsia="Arial"/>
          <w:color w:val="000000" w:themeColor="text1"/>
          <w:lang w:eastAsia="en-GB"/>
        </w:rPr>
        <w:t xml:space="preserve">are increasingly marketing flexibility as a key differentiator to attract younger workers seeking balanced lifestyles (UNISON, 2024). </w:t>
      </w:r>
      <w:r w:rsidR="00367B6D">
        <w:rPr>
          <w:rFonts w:eastAsia="Arial"/>
          <w:color w:val="000000" w:themeColor="text1"/>
          <w:lang w:eastAsia="en-GB"/>
        </w:rPr>
        <w:t>A</w:t>
      </w:r>
      <w:r w:rsidR="00703F6B" w:rsidRPr="00703F6B">
        <w:rPr>
          <w:rFonts w:eastAsia="Arial"/>
          <w:color w:val="000000" w:themeColor="text1"/>
          <w:lang w:eastAsia="en-GB"/>
        </w:rPr>
        <w:t>dopting structured flexibility such as shift self-selection tools or compressed</w:t>
      </w:r>
      <w:r w:rsidR="00703F6B" w:rsidRPr="00703F6B">
        <w:rPr>
          <w:rFonts w:eastAsia="Arial"/>
          <w:color w:val="000000" w:themeColor="text1"/>
          <w:lang w:eastAsia="en-GB"/>
        </w:rPr>
        <w:noBreakHyphen/>
        <w:t>week options</w:t>
      </w:r>
      <w:r w:rsidR="00703F6B">
        <w:rPr>
          <w:rFonts w:eastAsia="Arial"/>
          <w:color w:val="000000" w:themeColor="text1"/>
          <w:lang w:eastAsia="en-GB"/>
        </w:rPr>
        <w:t xml:space="preserve">. </w:t>
      </w:r>
      <w:r w:rsidR="00244015">
        <w:rPr>
          <w:color w:val="000000" w:themeColor="text1"/>
        </w:rPr>
        <w:t>CHF</w:t>
      </w:r>
      <w:r w:rsidR="00244015" w:rsidRPr="00703F6B">
        <w:rPr>
          <w:rFonts w:eastAsia="Arial"/>
          <w:color w:val="000000" w:themeColor="text1"/>
          <w:lang w:eastAsia="en-GB"/>
        </w:rPr>
        <w:t xml:space="preserve"> </w:t>
      </w:r>
      <w:r w:rsidR="00703F6B" w:rsidRPr="00703F6B">
        <w:rPr>
          <w:rFonts w:eastAsia="Arial"/>
          <w:color w:val="000000" w:themeColor="text1"/>
          <w:lang w:eastAsia="en-GB"/>
        </w:rPr>
        <w:t>could demonstrate innovation while reinforcing its values of care and community. Flexible working has proven successful in organisations such as the NHS, where introducing flexible patterns has been linked to reduced sickness absence and higher retention (CIPD, 2019; NHS Professionals, 2023).</w:t>
      </w:r>
      <w:r w:rsidR="00367B6D">
        <w:rPr>
          <w:rFonts w:eastAsia="Arial"/>
          <w:color w:val="000000" w:themeColor="text1"/>
          <w:lang w:eastAsia="en-GB"/>
        </w:rPr>
        <w:t xml:space="preserve"> F</w:t>
      </w:r>
      <w:r w:rsidR="00703F6B" w:rsidRPr="00703F6B">
        <w:rPr>
          <w:rFonts w:eastAsia="Arial"/>
          <w:color w:val="000000" w:themeColor="text1"/>
          <w:lang w:eastAsia="en-GB"/>
        </w:rPr>
        <w:t xml:space="preserve">lexible practices can </w:t>
      </w:r>
      <w:r w:rsidR="00703F6B" w:rsidRPr="00703F6B">
        <w:rPr>
          <w:rFonts w:eastAsia="Arial"/>
          <w:color w:val="000000" w:themeColor="text1"/>
          <w:lang w:eastAsia="en-GB"/>
        </w:rPr>
        <w:lastRenderedPageBreak/>
        <w:t xml:space="preserve">improve productivity by reducing unexpected absenteeism and enhancing morale (Bloom </w:t>
      </w:r>
      <w:r w:rsidR="00703F6B" w:rsidRPr="001D5EC0">
        <w:rPr>
          <w:rFonts w:eastAsia="Arial"/>
          <w:i/>
          <w:iCs/>
          <w:color w:val="000000" w:themeColor="text1"/>
          <w:lang w:eastAsia="en-GB"/>
        </w:rPr>
        <w:t>et al.,</w:t>
      </w:r>
      <w:r w:rsidR="00703F6B" w:rsidRPr="00703F6B">
        <w:rPr>
          <w:rFonts w:eastAsia="Arial"/>
          <w:color w:val="000000" w:themeColor="text1"/>
          <w:lang w:eastAsia="en-GB"/>
        </w:rPr>
        <w:t xml:space="preserve"> 2015; UK Government, 2014).</w:t>
      </w:r>
    </w:p>
    <w:p w14:paraId="35D07FD0" w14:textId="25EA8E04" w:rsidR="008979CC" w:rsidRPr="001D5EC0" w:rsidRDefault="001D5EC0" w:rsidP="008979CC">
      <w:pPr>
        <w:pStyle w:val="Heading1"/>
        <w:rPr>
          <w:rFonts w:ascii="Arial" w:hAnsi="Arial" w:cs="Arial"/>
          <w:b/>
          <w:bCs/>
          <w:color w:val="auto"/>
          <w:sz w:val="24"/>
          <w:szCs w:val="24"/>
        </w:rPr>
      </w:pPr>
      <w:bookmarkStart w:id="0" w:name="_Toc174519104"/>
      <w:r w:rsidRPr="001D5EC0">
        <w:rPr>
          <w:rFonts w:ascii="Arial" w:hAnsi="Arial" w:cs="Arial"/>
          <w:b/>
          <w:bCs/>
          <w:color w:val="auto"/>
          <w:sz w:val="24"/>
          <w:szCs w:val="24"/>
        </w:rPr>
        <w:t xml:space="preserve">3.0 </w:t>
      </w:r>
      <w:r w:rsidR="000812D6" w:rsidRPr="001D5EC0">
        <w:rPr>
          <w:rFonts w:ascii="Arial" w:hAnsi="Arial" w:cs="Arial"/>
          <w:b/>
          <w:bCs/>
          <w:color w:val="auto"/>
          <w:sz w:val="24"/>
          <w:szCs w:val="24"/>
        </w:rPr>
        <w:t>Conclusion</w:t>
      </w:r>
      <w:bookmarkEnd w:id="0"/>
    </w:p>
    <w:p w14:paraId="1F1AEFCA" w14:textId="2B48CA27" w:rsidR="00703F6B" w:rsidRDefault="00703F6B" w:rsidP="00D25647">
      <w:pPr>
        <w:jc w:val="both"/>
        <w:rPr>
          <w:color w:val="000000" w:themeColor="text1"/>
        </w:rPr>
      </w:pPr>
      <w:r w:rsidRPr="00703F6B">
        <w:rPr>
          <w:color w:val="000000" w:themeColor="text1"/>
        </w:rPr>
        <w:t xml:space="preserve">This report has examined the factors influencing talent management at </w:t>
      </w:r>
      <w:r w:rsidR="006A17C2">
        <w:rPr>
          <w:color w:val="000000" w:themeColor="text1"/>
        </w:rPr>
        <w:t>CHF</w:t>
      </w:r>
      <w:r w:rsidR="006A17C2" w:rsidRPr="00703F6B">
        <w:rPr>
          <w:color w:val="000000" w:themeColor="text1"/>
        </w:rPr>
        <w:t xml:space="preserve"> </w:t>
      </w:r>
      <w:r w:rsidRPr="00703F6B">
        <w:rPr>
          <w:color w:val="000000" w:themeColor="text1"/>
        </w:rPr>
        <w:t xml:space="preserve">and assessed its approach to attracting, developing, and retaining employees (CIPD, 2024; Ulrich </w:t>
      </w:r>
      <w:r w:rsidRPr="001D5EC0">
        <w:rPr>
          <w:i/>
          <w:iCs/>
          <w:color w:val="000000" w:themeColor="text1"/>
        </w:rPr>
        <w:t>et al.,</w:t>
      </w:r>
      <w:r w:rsidRPr="00703F6B">
        <w:rPr>
          <w:color w:val="000000" w:themeColor="text1"/>
        </w:rPr>
        <w:t xml:space="preserve"> 2012). While the company benefits from a strong culture rooted in community values and employee loyalty (Family Business UK, 2024; Braidford </w:t>
      </w:r>
      <w:r w:rsidRPr="001D5EC0">
        <w:rPr>
          <w:i/>
          <w:iCs/>
          <w:color w:val="000000" w:themeColor="text1"/>
        </w:rPr>
        <w:t>et al.,</w:t>
      </w:r>
      <w:r w:rsidRPr="00703F6B">
        <w:rPr>
          <w:color w:val="000000" w:themeColor="text1"/>
        </w:rPr>
        <w:t xml:space="preserve"> 2014), its talent management practices need strategic enhancement to address modern demands, including digital skills, flexible working, and structured leadership development (Highhouse </w:t>
      </w:r>
      <w:r w:rsidRPr="001D5EC0">
        <w:rPr>
          <w:i/>
          <w:iCs/>
          <w:color w:val="000000" w:themeColor="text1"/>
        </w:rPr>
        <w:t>et al.,</w:t>
      </w:r>
      <w:r w:rsidRPr="00703F6B">
        <w:rPr>
          <w:color w:val="000000" w:themeColor="text1"/>
        </w:rPr>
        <w:t xml:space="preserve"> 2022; CIPD, 2023; Kelliher </w:t>
      </w:r>
      <w:r w:rsidR="0085075F">
        <w:rPr>
          <w:color w:val="000000" w:themeColor="text1"/>
        </w:rPr>
        <w:t>and</w:t>
      </w:r>
      <w:r w:rsidRPr="00703F6B">
        <w:rPr>
          <w:color w:val="000000" w:themeColor="text1"/>
        </w:rPr>
        <w:t xml:space="preserve"> Anderson, 2010).</w:t>
      </w:r>
    </w:p>
    <w:p w14:paraId="1AFF6859" w14:textId="172A8D83" w:rsidR="00703F6B" w:rsidRDefault="00703F6B" w:rsidP="00D25647">
      <w:pPr>
        <w:jc w:val="both"/>
        <w:rPr>
          <w:color w:val="000000" w:themeColor="text1"/>
        </w:rPr>
      </w:pPr>
      <w:r w:rsidRPr="00703F6B">
        <w:rPr>
          <w:color w:val="000000" w:themeColor="text1"/>
        </w:rPr>
        <w:t xml:space="preserve">Externally, </w:t>
      </w:r>
      <w:r w:rsidR="006A17C2">
        <w:rPr>
          <w:color w:val="000000" w:themeColor="text1"/>
        </w:rPr>
        <w:t>CHF</w:t>
      </w:r>
      <w:r w:rsidR="006A17C2" w:rsidRPr="00703F6B">
        <w:rPr>
          <w:color w:val="000000" w:themeColor="text1"/>
        </w:rPr>
        <w:t xml:space="preserve"> </w:t>
      </w:r>
      <w:r w:rsidR="004B1B74">
        <w:rPr>
          <w:color w:val="000000" w:themeColor="text1"/>
        </w:rPr>
        <w:t>r</w:t>
      </w:r>
      <w:r w:rsidRPr="00703F6B">
        <w:rPr>
          <w:color w:val="000000" w:themeColor="text1"/>
        </w:rPr>
        <w:t xml:space="preserve">eliance on traditional recruitment channels and a limited digital presence reduces the company’s ability to attract diverse or nationally mobile candidates, particularly younger, digitally oriented workers (Highhouse </w:t>
      </w:r>
      <w:r w:rsidRPr="001D5EC0">
        <w:rPr>
          <w:i/>
          <w:iCs/>
          <w:color w:val="000000" w:themeColor="text1"/>
        </w:rPr>
        <w:t>et al.,</w:t>
      </w:r>
      <w:r w:rsidRPr="00703F6B">
        <w:rPr>
          <w:color w:val="000000" w:themeColor="text1"/>
        </w:rPr>
        <w:t xml:space="preserve"> 2022; Nikolaou, 2021).</w:t>
      </w:r>
    </w:p>
    <w:p w14:paraId="395CD979" w14:textId="0C52E3A6" w:rsidR="00BA2067" w:rsidRDefault="0096747F" w:rsidP="00D25647">
      <w:pPr>
        <w:jc w:val="both"/>
        <w:rPr>
          <w:color w:val="000000" w:themeColor="text1"/>
        </w:rPr>
      </w:pPr>
      <w:r w:rsidRPr="0096747F">
        <w:rPr>
          <w:color w:val="000000" w:themeColor="text1"/>
        </w:rPr>
        <w:t xml:space="preserve">Internally, </w:t>
      </w:r>
      <w:r w:rsidR="006A17C2">
        <w:rPr>
          <w:color w:val="000000" w:themeColor="text1"/>
        </w:rPr>
        <w:t>CHF</w:t>
      </w:r>
      <w:r w:rsidR="006A17C2" w:rsidRPr="0096747F">
        <w:rPr>
          <w:color w:val="000000" w:themeColor="text1"/>
        </w:rPr>
        <w:t xml:space="preserve"> </w:t>
      </w:r>
      <w:r w:rsidRPr="0096747F">
        <w:rPr>
          <w:color w:val="000000" w:themeColor="text1"/>
        </w:rPr>
        <w:t xml:space="preserve">benefits from an engaged and committed workforce; however, its </w:t>
      </w:r>
      <w:r w:rsidRPr="00A43C19">
        <w:rPr>
          <w:color w:val="000000" w:themeColor="text1"/>
        </w:rPr>
        <w:t>current HR systems remain largely</w:t>
      </w:r>
      <w:r w:rsidR="00740DC8" w:rsidRPr="00A43C19">
        <w:rPr>
          <w:color w:val="000000" w:themeColor="text1"/>
        </w:rPr>
        <w:t xml:space="preserve"> reactively</w:t>
      </w:r>
      <w:r w:rsidRPr="00A43C19">
        <w:rPr>
          <w:color w:val="000000" w:themeColor="text1"/>
        </w:rPr>
        <w:t xml:space="preserve"> operational rather than </w:t>
      </w:r>
      <w:r w:rsidR="00740DC8" w:rsidRPr="00A43C19">
        <w:rPr>
          <w:color w:val="000000" w:themeColor="text1"/>
        </w:rPr>
        <w:t xml:space="preserve">proactively </w:t>
      </w:r>
      <w:r w:rsidRPr="00A43C19">
        <w:rPr>
          <w:color w:val="000000" w:themeColor="text1"/>
        </w:rPr>
        <w:t xml:space="preserve">strategic. Learning and development activities are predominantly compliance-based, offering limited pathways for progression or leadership development. This restricts internal </w:t>
      </w:r>
      <w:r w:rsidRPr="0096747F">
        <w:rPr>
          <w:color w:val="000000" w:themeColor="text1"/>
        </w:rPr>
        <w:t xml:space="preserve">mobility and risks skill stagnation. </w:t>
      </w:r>
    </w:p>
    <w:p w14:paraId="311522CA" w14:textId="5635B0CF" w:rsidR="00703F6B" w:rsidRDefault="00703F6B" w:rsidP="00703F6B">
      <w:pPr>
        <w:pStyle w:val="Heading1"/>
        <w:jc w:val="both"/>
        <w:rPr>
          <w:rFonts w:ascii="Arial" w:eastAsiaTheme="minorHAnsi" w:hAnsi="Arial" w:cs="Arial"/>
          <w:color w:val="000000" w:themeColor="text1"/>
          <w:sz w:val="24"/>
          <w:szCs w:val="24"/>
        </w:rPr>
      </w:pPr>
      <w:r w:rsidRPr="00703F6B">
        <w:rPr>
          <w:rFonts w:ascii="Arial" w:eastAsiaTheme="minorHAnsi" w:hAnsi="Arial" w:cs="Arial"/>
          <w:color w:val="000000" w:themeColor="text1"/>
          <w:sz w:val="24"/>
          <w:szCs w:val="24"/>
        </w:rPr>
        <w:t xml:space="preserve">Flexibility and employee wellbeing are increasingly recognised as key drivers of attraction and retention across the UK labour market (CIPD, 2023; Kelliher </w:t>
      </w:r>
      <w:r w:rsidR="00855A20">
        <w:rPr>
          <w:rFonts w:ascii="Arial" w:eastAsiaTheme="minorHAnsi" w:hAnsi="Arial" w:cs="Arial"/>
          <w:color w:val="000000" w:themeColor="text1"/>
          <w:sz w:val="24"/>
          <w:szCs w:val="24"/>
        </w:rPr>
        <w:t>and</w:t>
      </w:r>
      <w:r w:rsidRPr="00703F6B">
        <w:rPr>
          <w:rFonts w:ascii="Arial" w:eastAsiaTheme="minorHAnsi" w:hAnsi="Arial" w:cs="Arial"/>
          <w:color w:val="000000" w:themeColor="text1"/>
          <w:sz w:val="24"/>
          <w:szCs w:val="24"/>
        </w:rPr>
        <w:t xml:space="preserve"> Anderson, </w:t>
      </w:r>
      <w:r w:rsidRPr="006A17C2">
        <w:rPr>
          <w:rFonts w:ascii="Arial" w:eastAsiaTheme="minorHAnsi" w:hAnsi="Arial" w:cs="Arial"/>
          <w:color w:val="000000" w:themeColor="text1"/>
          <w:sz w:val="24"/>
          <w:szCs w:val="24"/>
        </w:rPr>
        <w:t xml:space="preserve">2010). </w:t>
      </w:r>
      <w:r w:rsidR="006A17C2" w:rsidRPr="006A17C2">
        <w:rPr>
          <w:rFonts w:ascii="Arial" w:hAnsi="Arial" w:cs="Arial"/>
          <w:color w:val="000000" w:themeColor="text1"/>
          <w:sz w:val="24"/>
          <w:szCs w:val="24"/>
        </w:rPr>
        <w:t>CHF</w:t>
      </w:r>
      <w:r w:rsidR="006A17C2" w:rsidRPr="006A17C2">
        <w:rPr>
          <w:rFonts w:ascii="Arial" w:eastAsiaTheme="minorHAnsi" w:hAnsi="Arial" w:cs="Arial"/>
          <w:color w:val="000000" w:themeColor="text1"/>
          <w:sz w:val="24"/>
          <w:szCs w:val="24"/>
        </w:rPr>
        <w:t xml:space="preserve"> </w:t>
      </w:r>
      <w:r w:rsidRPr="006A17C2">
        <w:rPr>
          <w:rFonts w:ascii="Arial" w:eastAsiaTheme="minorHAnsi" w:hAnsi="Arial" w:cs="Arial"/>
          <w:color w:val="000000" w:themeColor="text1"/>
          <w:sz w:val="24"/>
          <w:szCs w:val="24"/>
        </w:rPr>
        <w:t>lack of</w:t>
      </w:r>
      <w:r w:rsidR="00367B6D">
        <w:rPr>
          <w:rFonts w:ascii="Arial" w:eastAsiaTheme="minorHAnsi" w:hAnsi="Arial" w:cs="Arial"/>
          <w:color w:val="000000" w:themeColor="text1"/>
          <w:sz w:val="24"/>
          <w:szCs w:val="24"/>
        </w:rPr>
        <w:t xml:space="preserve"> </w:t>
      </w:r>
      <w:r w:rsidR="00367B6D" w:rsidRPr="00703F6B">
        <w:rPr>
          <w:rFonts w:ascii="Arial" w:eastAsiaTheme="minorHAnsi" w:hAnsi="Arial" w:cs="Arial"/>
          <w:color w:val="000000" w:themeColor="text1"/>
          <w:sz w:val="24"/>
          <w:szCs w:val="24"/>
        </w:rPr>
        <w:t>structu</w:t>
      </w:r>
      <w:r w:rsidR="00367B6D">
        <w:rPr>
          <w:rFonts w:ascii="Arial" w:eastAsiaTheme="minorHAnsi" w:hAnsi="Arial" w:cs="Arial"/>
          <w:color w:val="000000" w:themeColor="text1"/>
          <w:sz w:val="24"/>
          <w:szCs w:val="24"/>
        </w:rPr>
        <w:t xml:space="preserve">ral </w:t>
      </w:r>
      <w:r w:rsidRPr="00703F6B">
        <w:rPr>
          <w:rFonts w:ascii="Arial" w:eastAsiaTheme="minorHAnsi" w:hAnsi="Arial" w:cs="Arial"/>
          <w:color w:val="000000" w:themeColor="text1"/>
          <w:sz w:val="24"/>
          <w:szCs w:val="24"/>
        </w:rPr>
        <w:t xml:space="preserve"> approach to flexible working limits its ability to meet modern workforce expectations and appeal to a broader range of candidates (Bloom </w:t>
      </w:r>
      <w:r w:rsidRPr="001D5EC0">
        <w:rPr>
          <w:rFonts w:ascii="Arial" w:eastAsiaTheme="minorHAnsi" w:hAnsi="Arial" w:cs="Arial"/>
          <w:i/>
          <w:iCs/>
          <w:color w:val="000000" w:themeColor="text1"/>
          <w:sz w:val="24"/>
          <w:szCs w:val="24"/>
        </w:rPr>
        <w:t>et al.,</w:t>
      </w:r>
      <w:r w:rsidRPr="00703F6B">
        <w:rPr>
          <w:rFonts w:ascii="Arial" w:eastAsiaTheme="minorHAnsi" w:hAnsi="Arial" w:cs="Arial"/>
          <w:color w:val="000000" w:themeColor="text1"/>
          <w:sz w:val="24"/>
          <w:szCs w:val="24"/>
        </w:rPr>
        <w:t xml:space="preserve"> 2015; Learning and Work Institute, 2024). </w:t>
      </w:r>
    </w:p>
    <w:p w14:paraId="62A3AA86" w14:textId="1E2889C5" w:rsidR="00703F6B" w:rsidRDefault="00367B6D" w:rsidP="00703F6B">
      <w:pPr>
        <w:pStyle w:val="Heading1"/>
        <w:jc w:val="both"/>
        <w:rPr>
          <w:rFonts w:ascii="Arial" w:eastAsiaTheme="minorHAnsi" w:hAnsi="Arial" w:cs="Arial"/>
          <w:color w:val="000000" w:themeColor="text1"/>
          <w:sz w:val="24"/>
          <w:szCs w:val="24"/>
        </w:rPr>
      </w:pPr>
      <w:r>
        <w:rPr>
          <w:rFonts w:ascii="Arial" w:eastAsiaTheme="minorHAnsi" w:hAnsi="Arial" w:cs="Arial"/>
          <w:color w:val="000000" w:themeColor="text1"/>
          <w:sz w:val="24"/>
          <w:szCs w:val="24"/>
        </w:rPr>
        <w:t>T</w:t>
      </w:r>
      <w:r w:rsidR="00703F6B" w:rsidRPr="00703F6B">
        <w:rPr>
          <w:rFonts w:ascii="Arial" w:eastAsiaTheme="minorHAnsi" w:hAnsi="Arial" w:cs="Arial"/>
          <w:color w:val="000000" w:themeColor="text1"/>
          <w:sz w:val="24"/>
          <w:szCs w:val="24"/>
        </w:rPr>
        <w:t xml:space="preserve">he company faces a critical juncture, needing to evolve from a traditional, community-oriented employer to a strategically agile organisation that proactively develops, empowers and retains its workforce. The following presents evidence-based, costed recommendations to strengthen talent management, enhance its employer value proposition, and build long-term resilience in an increasingly competitive labour market (Ulrich </w:t>
      </w:r>
      <w:r w:rsidR="00703F6B" w:rsidRPr="001D5EC0">
        <w:rPr>
          <w:rFonts w:ascii="Arial" w:eastAsiaTheme="minorHAnsi" w:hAnsi="Arial" w:cs="Arial"/>
          <w:i/>
          <w:iCs/>
          <w:color w:val="000000" w:themeColor="text1"/>
          <w:sz w:val="24"/>
          <w:szCs w:val="24"/>
        </w:rPr>
        <w:t>et al.,</w:t>
      </w:r>
      <w:r w:rsidR="00703F6B" w:rsidRPr="00703F6B">
        <w:rPr>
          <w:rFonts w:ascii="Arial" w:eastAsiaTheme="minorHAnsi" w:hAnsi="Arial" w:cs="Arial"/>
          <w:color w:val="000000" w:themeColor="text1"/>
          <w:sz w:val="24"/>
          <w:szCs w:val="24"/>
        </w:rPr>
        <w:t xml:space="preserve"> 2012; Highhouse </w:t>
      </w:r>
      <w:r w:rsidR="00703F6B" w:rsidRPr="00855A20">
        <w:rPr>
          <w:rFonts w:ascii="Arial" w:eastAsiaTheme="minorHAnsi" w:hAnsi="Arial" w:cs="Arial"/>
          <w:i/>
          <w:iCs/>
          <w:color w:val="000000" w:themeColor="text1"/>
          <w:sz w:val="24"/>
          <w:szCs w:val="24"/>
        </w:rPr>
        <w:t>et al.,</w:t>
      </w:r>
      <w:r w:rsidR="00703F6B" w:rsidRPr="00703F6B">
        <w:rPr>
          <w:rFonts w:ascii="Arial" w:eastAsiaTheme="minorHAnsi" w:hAnsi="Arial" w:cs="Arial"/>
          <w:color w:val="000000" w:themeColor="text1"/>
          <w:sz w:val="24"/>
          <w:szCs w:val="24"/>
        </w:rPr>
        <w:t xml:space="preserve"> 2022).</w:t>
      </w:r>
    </w:p>
    <w:p w14:paraId="7B6E0034" w14:textId="77777777" w:rsidR="002A4E50" w:rsidRDefault="002A4E50" w:rsidP="002A4E50"/>
    <w:p w14:paraId="24F0828F" w14:textId="77777777" w:rsidR="002A4E50" w:rsidRPr="002A4E50" w:rsidRDefault="002A4E50" w:rsidP="002A4E50"/>
    <w:p w14:paraId="128A59B2" w14:textId="77777777" w:rsidR="00AE11A2" w:rsidRDefault="00AE11A2" w:rsidP="00F938FF">
      <w:pPr>
        <w:rPr>
          <w:b/>
          <w:bCs/>
        </w:rPr>
      </w:pPr>
    </w:p>
    <w:p w14:paraId="4D260D48" w14:textId="77777777" w:rsidR="009A3943" w:rsidRDefault="009A3943" w:rsidP="00F938FF">
      <w:pPr>
        <w:rPr>
          <w:b/>
          <w:bCs/>
        </w:rPr>
      </w:pPr>
    </w:p>
    <w:p w14:paraId="55D2CD83" w14:textId="77777777" w:rsidR="009A3943" w:rsidRDefault="009A3943" w:rsidP="00F938FF">
      <w:pPr>
        <w:rPr>
          <w:b/>
          <w:bCs/>
        </w:rPr>
      </w:pPr>
    </w:p>
    <w:p w14:paraId="3DA94169" w14:textId="77777777" w:rsidR="009A3943" w:rsidRDefault="009A3943" w:rsidP="00F938FF">
      <w:pPr>
        <w:rPr>
          <w:b/>
          <w:bCs/>
        </w:rPr>
      </w:pPr>
    </w:p>
    <w:p w14:paraId="1082C78F" w14:textId="1322EB4A" w:rsidR="00F938FF" w:rsidRPr="00F938FF" w:rsidRDefault="001D5EC0" w:rsidP="00F938FF">
      <w:pPr>
        <w:rPr>
          <w:b/>
          <w:bCs/>
        </w:rPr>
      </w:pPr>
      <w:r>
        <w:rPr>
          <w:b/>
          <w:bCs/>
        </w:rPr>
        <w:lastRenderedPageBreak/>
        <w:t xml:space="preserve">4.0 </w:t>
      </w:r>
      <w:r w:rsidR="00F938FF" w:rsidRPr="00F938FF">
        <w:rPr>
          <w:b/>
          <w:bCs/>
        </w:rPr>
        <w:t>Recommendations</w:t>
      </w:r>
    </w:p>
    <w:p w14:paraId="71F50321" w14:textId="78C04917" w:rsidR="00AA03FB" w:rsidRDefault="00F938FF" w:rsidP="00F938FF">
      <w:pPr>
        <w:jc w:val="both"/>
      </w:pPr>
      <w:r w:rsidRPr="00F938FF">
        <w:t xml:space="preserve">In response to the critical findings outlined in this report, </w:t>
      </w:r>
      <w:r w:rsidR="006A17C2">
        <w:rPr>
          <w:color w:val="000000" w:themeColor="text1"/>
        </w:rPr>
        <w:t>CHF</w:t>
      </w:r>
      <w:r w:rsidR="006A17C2" w:rsidRPr="00F938FF">
        <w:t xml:space="preserve"> </w:t>
      </w:r>
      <w:r w:rsidRPr="00F938FF">
        <w:t xml:space="preserve">should implement a series of strategic initiatives designed to enhance its talent management capabilities, strengthen its employer value proposition, and ensure long-term organisational resilience. </w:t>
      </w:r>
    </w:p>
    <w:p w14:paraId="042E7C63" w14:textId="473424D7" w:rsidR="00F938FF" w:rsidRPr="00F938FF" w:rsidRDefault="00F938FF" w:rsidP="00F938FF">
      <w:pPr>
        <w:jc w:val="both"/>
      </w:pPr>
      <w:r w:rsidRPr="00F938FF">
        <w:t>First,</w:t>
      </w:r>
      <w:r w:rsidR="00D06A71">
        <w:t xml:space="preserve"> CHF</w:t>
      </w:r>
      <w:r w:rsidRPr="00F938FF">
        <w:t xml:space="preserve"> should invest in an integrated operational software solution, such as an Enterprise Resource Planning (ERP) system, to modernise workforce management </w:t>
      </w:r>
      <w:r w:rsidRPr="004B1B74">
        <w:t xml:space="preserve">and embed data-driven decision-making into operational and HR processes. </w:t>
      </w:r>
      <w:r w:rsidR="004B1B74" w:rsidRPr="004B1B74">
        <w:t xml:space="preserve">By adopting such technology, the organisation would project a progressive digital employer brand, attracting younger, tech-literate candidates and improving efficiency. </w:t>
      </w:r>
      <w:r w:rsidRPr="004B1B74">
        <w:t>Implementation costs would comprise consultation and package selection (£15,000), system customisation and user training (£7,500), and ongoing licence and support fees (£400 per month). While the initial outlay is substantial, the</w:t>
      </w:r>
      <w:r w:rsidRPr="00F938FF">
        <w:t xml:space="preserve"> system would deliver long-term returns through improved workforce planning, recruitment analytics, and enhanced decision-making capabilities.</w:t>
      </w:r>
    </w:p>
    <w:p w14:paraId="0666A7BA" w14:textId="5008496E" w:rsidR="00F938FF" w:rsidRPr="00F938FF" w:rsidRDefault="00F938FF" w:rsidP="00F938FF">
      <w:pPr>
        <w:jc w:val="both"/>
      </w:pPr>
      <w:r w:rsidRPr="00F938FF">
        <w:t>Second</w:t>
      </w:r>
      <w:r w:rsidR="00AA03FB">
        <w:t>ly</w:t>
      </w:r>
      <w:r w:rsidRPr="00F938FF">
        <w:t xml:space="preserve">, </w:t>
      </w:r>
      <w:r w:rsidR="006A17C2">
        <w:rPr>
          <w:color w:val="000000" w:themeColor="text1"/>
        </w:rPr>
        <w:t>CHF</w:t>
      </w:r>
      <w:r w:rsidR="006A17C2" w:rsidRPr="00F938FF">
        <w:t xml:space="preserve"> </w:t>
      </w:r>
      <w:r w:rsidRPr="00F938FF">
        <w:t>should develop a comprehensive, strategically aligned recruitment framework</w:t>
      </w:r>
      <w:r w:rsidR="00AA03FB">
        <w:t>,</w:t>
      </w:r>
      <w:r w:rsidRPr="00F938FF">
        <w:t xml:space="preserve"> to reposition talent attraction as a core business function</w:t>
      </w:r>
      <w:r w:rsidR="00AA03FB">
        <w:t>,</w:t>
      </w:r>
      <w:r w:rsidRPr="00F938FF">
        <w:t xml:space="preserve"> rather than a purely administrative activity. This approach would dissolve the company’s current transactional image and improve access to diverse, mobile talent pools, addressing the competitive pressures identified in Section 2.2.1. The costs associated with this recommendation include internal resource allocation for strategy development and board approval (£1,800–£2,000), advertising and recruitment software (£200 per role and £100 per user per month, respectively), agency fees ranging between 15–30% of the role’s salary, and induction and onboarding for new hires. Additionally, consideration m</w:t>
      </w:r>
      <w:r w:rsidR="00AA03FB">
        <w:t>ust</w:t>
      </w:r>
      <w:r w:rsidRPr="00F938FF">
        <w:t xml:space="preserve"> be given to potential productivity loss during recruitment and the risk of poor hires, which may cost between one and six months’ salary per role. By professionalising recruitment and embedding strategic employer branding, the company can enhance candidate quality, reduce turnover risk, and strengthen its competitive position in a constrained labour market.</w:t>
      </w:r>
    </w:p>
    <w:p w14:paraId="2B3D422B" w14:textId="302D93B8" w:rsidR="00F938FF" w:rsidRPr="00F938FF" w:rsidRDefault="00F938FF" w:rsidP="003B69F5">
      <w:pPr>
        <w:jc w:val="both"/>
      </w:pPr>
      <w:r w:rsidRPr="00F938FF">
        <w:t>Finally, to retain critical talent and ensure knowledge transfer, the organisation should introduce structured leadership development, coaching, and mentoring programmes targeted at the experienced workforce. Leadership development courses, such as ILM programmes, would cost between £1,500–£3,000 per manager, with five managers participating, alongside salary costs for time away from operational duties. Complementary coaching and mentoring for fifteen key employees would incur</w:t>
      </w:r>
      <w:r w:rsidR="00AA03FB">
        <w:t xml:space="preserve"> a charge of</w:t>
      </w:r>
      <w:r w:rsidRPr="00F938FF">
        <w:t xml:space="preserve"> £500 per participant, excluding travel and associated expenses. These initiatives would secure succession readiness, reinforce internal capability, and support engagement by providing clear development pathways for both existing and emerging talent</w:t>
      </w:r>
      <w:r w:rsidR="00E239CA">
        <w:t>.</w:t>
      </w:r>
    </w:p>
    <w:p w14:paraId="1DB80B51" w14:textId="5BFFA08C" w:rsidR="00A23134" w:rsidRPr="007469D8" w:rsidRDefault="00A22220" w:rsidP="003B69F5">
      <w:pPr>
        <w:jc w:val="both"/>
        <w:rPr>
          <w:color w:val="EE0000"/>
        </w:rPr>
      </w:pPr>
      <w:r w:rsidRPr="00A22220">
        <w:t xml:space="preserve">Collectively, these recommendations align with contemporary HR best practice, addressing recruitment, development, and retention holistically (CIPD, 2025). By </w:t>
      </w:r>
      <w:r w:rsidRPr="00A22220">
        <w:lastRenderedPageBreak/>
        <w:t xml:space="preserve">integrating technology, strategic recruitment, and targeted leadership initiatives, </w:t>
      </w:r>
      <w:r w:rsidR="006A17C2">
        <w:rPr>
          <w:color w:val="000000" w:themeColor="text1"/>
        </w:rPr>
        <w:t>CHF</w:t>
      </w:r>
      <w:r w:rsidR="006A17C2" w:rsidRPr="00A22220">
        <w:t xml:space="preserve"> </w:t>
      </w:r>
      <w:r w:rsidRPr="00A22220">
        <w:t>can enhance operational resilience, strengthen its employer brand, and ensure sustained access to high-quality talent (Maurer, 2025; Deloitte, 2021).</w:t>
      </w:r>
    </w:p>
    <w:p w14:paraId="62ADA673" w14:textId="5F7C9989" w:rsidR="003E1F24" w:rsidRDefault="00457D74">
      <w:pPr>
        <w:rPr>
          <w:b/>
          <w:bCs/>
        </w:rPr>
      </w:pPr>
      <w:r w:rsidRPr="00457D74">
        <w:rPr>
          <w:b/>
          <w:bCs/>
        </w:rPr>
        <w:t>References</w:t>
      </w:r>
    </w:p>
    <w:p w14:paraId="69BAFD1C" w14:textId="77777777" w:rsidR="00F920F7" w:rsidRPr="00B64300" w:rsidRDefault="00F920F7" w:rsidP="00F920F7">
      <w:pPr>
        <w:ind w:left="360"/>
      </w:pPr>
      <w:r w:rsidRPr="00B64300">
        <w:t xml:space="preserve">Alvesson, M. and Sveningsson, S. (2016) </w:t>
      </w:r>
      <w:r w:rsidRPr="00B64300">
        <w:rPr>
          <w:i/>
          <w:iCs/>
        </w:rPr>
        <w:t>Changing organizational culture: Cultural change work in progress</w:t>
      </w:r>
      <w:r w:rsidRPr="00B64300">
        <w:t>. 2nd ed. London: Routledge.</w:t>
      </w:r>
    </w:p>
    <w:p w14:paraId="458D1A07" w14:textId="77777777" w:rsidR="00F920F7" w:rsidRPr="00B64300" w:rsidRDefault="00F920F7" w:rsidP="00F920F7">
      <w:pPr>
        <w:ind w:left="360"/>
      </w:pPr>
      <w:r w:rsidRPr="00B64300">
        <w:t xml:space="preserve">Anderson, D. and Adams, R. (2022) </w:t>
      </w:r>
      <w:r w:rsidRPr="00B64300">
        <w:rPr>
          <w:i/>
          <w:iCs/>
        </w:rPr>
        <w:t>Addressing skills shortages in UK logistics: Regional perspectives</w:t>
      </w:r>
      <w:r w:rsidRPr="00B64300">
        <w:t>. Cardiff: Wales Policy Review.</w:t>
      </w:r>
    </w:p>
    <w:p w14:paraId="512C45E0" w14:textId="77777777" w:rsidR="00F920F7" w:rsidRPr="00B64300" w:rsidRDefault="00F920F7" w:rsidP="00F920F7">
      <w:pPr>
        <w:ind w:left="360"/>
      </w:pPr>
      <w:r w:rsidRPr="00B64300">
        <w:t xml:space="preserve">Armstrong, M. and Taylor, S. (2020) </w:t>
      </w:r>
      <w:r w:rsidRPr="00B64300">
        <w:rPr>
          <w:i/>
          <w:iCs/>
        </w:rPr>
        <w:t>Armstrong’s handbook of human resource management practice</w:t>
      </w:r>
      <w:r w:rsidRPr="00B64300">
        <w:t>. 15th ed. London: Kogan Page.</w:t>
      </w:r>
    </w:p>
    <w:p w14:paraId="2A817938" w14:textId="77777777" w:rsidR="00F920F7" w:rsidRPr="00B64300" w:rsidRDefault="00F920F7" w:rsidP="00F920F7">
      <w:pPr>
        <w:ind w:left="360"/>
      </w:pPr>
      <w:r w:rsidRPr="00B64300">
        <w:t xml:space="preserve">Atkinson, C. and Sandiford, P. (2016) ‘Flexible work practices: Improving employee well-being and productivity’, </w:t>
      </w:r>
      <w:r w:rsidRPr="00B64300">
        <w:rPr>
          <w:i/>
          <w:iCs/>
        </w:rPr>
        <w:t>Employee Relations</w:t>
      </w:r>
      <w:r w:rsidRPr="00B64300">
        <w:t>, 38(6), pp. 890–905.</w:t>
      </w:r>
    </w:p>
    <w:p w14:paraId="441420D3" w14:textId="77777777" w:rsidR="00F920F7" w:rsidRPr="00B64300" w:rsidRDefault="00F920F7" w:rsidP="00F920F7">
      <w:pPr>
        <w:ind w:left="360"/>
      </w:pPr>
      <w:r w:rsidRPr="00B64300">
        <w:t xml:space="preserve">Backhaus, K. and Tikoo, S. (2004) ‘Conceptualizing and researching employer branding’, </w:t>
      </w:r>
      <w:r w:rsidRPr="00B64300">
        <w:rPr>
          <w:i/>
          <w:iCs/>
        </w:rPr>
        <w:t>Career Development International</w:t>
      </w:r>
      <w:r w:rsidRPr="00B64300">
        <w:t>, 9(5), pp. 501–517.</w:t>
      </w:r>
    </w:p>
    <w:p w14:paraId="533C236E" w14:textId="77777777" w:rsidR="00F920F7" w:rsidRPr="00B64300" w:rsidRDefault="00F920F7" w:rsidP="00F920F7">
      <w:pPr>
        <w:ind w:left="360"/>
      </w:pPr>
      <w:r w:rsidRPr="00B64300">
        <w:t xml:space="preserve">BBC News (2024) ‘UK skills shortage deepens across key sectors’, 12 March. Available at: </w:t>
      </w:r>
      <w:hyperlink r:id="rId8" w:tgtFrame="_new" w:history="1">
        <w:r w:rsidRPr="00B64300">
          <w:rPr>
            <w:rStyle w:val="Hyperlink"/>
          </w:rPr>
          <w:t>https://www.bbc.co.uk/news/uk-skills-shortage</w:t>
        </w:r>
      </w:hyperlink>
      <w:r w:rsidRPr="00B64300">
        <w:t xml:space="preserve"> (Accessed: 25 November 2025).</w:t>
      </w:r>
    </w:p>
    <w:p w14:paraId="45281890" w14:textId="77777777" w:rsidR="00F920F7" w:rsidRPr="00B64300" w:rsidRDefault="00F920F7" w:rsidP="00F920F7">
      <w:pPr>
        <w:ind w:left="360"/>
      </w:pPr>
      <w:r w:rsidRPr="00B64300">
        <w:t xml:space="preserve">Beardwell, J. and Thompson, A. (2017) </w:t>
      </w:r>
      <w:r w:rsidRPr="00B64300">
        <w:rPr>
          <w:i/>
          <w:iCs/>
        </w:rPr>
        <w:t>Human resource management: A contemporary approach</w:t>
      </w:r>
      <w:r w:rsidRPr="00B64300">
        <w:t>. 8th ed. Harlow: Pearson.</w:t>
      </w:r>
    </w:p>
    <w:p w14:paraId="2E4331D7" w14:textId="77777777" w:rsidR="00F920F7" w:rsidRPr="00B64300" w:rsidRDefault="00F920F7" w:rsidP="00F920F7">
      <w:pPr>
        <w:ind w:left="360"/>
      </w:pPr>
      <w:r w:rsidRPr="00B64300">
        <w:t xml:space="preserve">Bersin, J. (2022) </w:t>
      </w:r>
      <w:r w:rsidRPr="00B64300">
        <w:rPr>
          <w:i/>
          <w:iCs/>
        </w:rPr>
        <w:t>State of HR and talent management 2022</w:t>
      </w:r>
      <w:r w:rsidRPr="00B64300">
        <w:t xml:space="preserve">. Deloitte Insights. Available at: </w:t>
      </w:r>
      <w:hyperlink r:id="rId9" w:tgtFrame="_new" w:history="1">
        <w:r w:rsidRPr="00B64300">
          <w:rPr>
            <w:rStyle w:val="Hyperlink"/>
          </w:rPr>
          <w:t>https://www2.deloitte.com/hr</w:t>
        </w:r>
      </w:hyperlink>
      <w:r w:rsidRPr="00B64300">
        <w:t xml:space="preserve"> (Accessed: 25 November 2025).</w:t>
      </w:r>
    </w:p>
    <w:p w14:paraId="28B9D371" w14:textId="77777777" w:rsidR="00F920F7" w:rsidRPr="00B64300" w:rsidRDefault="00F920F7" w:rsidP="00F920F7">
      <w:pPr>
        <w:ind w:left="360"/>
      </w:pPr>
      <w:r w:rsidRPr="00B64300">
        <w:t xml:space="preserve">Bloom, N., Liang, J., Roberts, J. and Ying, Z.J. (2015) ‘Does working from home work? Evidence from a Chinese experiment’, </w:t>
      </w:r>
      <w:r w:rsidRPr="00B64300">
        <w:rPr>
          <w:i/>
          <w:iCs/>
        </w:rPr>
        <w:t>Quarterly Journal of Economics</w:t>
      </w:r>
      <w:r w:rsidRPr="00B64300">
        <w:t>, 130(1), pp. 165–218.</w:t>
      </w:r>
    </w:p>
    <w:p w14:paraId="7BF151FD" w14:textId="77777777" w:rsidR="00F920F7" w:rsidRPr="00B64300" w:rsidRDefault="00F920F7" w:rsidP="00F920F7">
      <w:pPr>
        <w:ind w:left="360"/>
      </w:pPr>
      <w:r w:rsidRPr="00B64300">
        <w:t xml:space="preserve">Boudreau, J.W. and Ramstad, P.M. (2005) </w:t>
      </w:r>
      <w:proofErr w:type="spellStart"/>
      <w:r w:rsidRPr="00B64300">
        <w:rPr>
          <w:i/>
          <w:iCs/>
        </w:rPr>
        <w:t>Talentship</w:t>
      </w:r>
      <w:proofErr w:type="spellEnd"/>
      <w:r w:rsidRPr="00B64300">
        <w:rPr>
          <w:i/>
          <w:iCs/>
        </w:rPr>
        <w:t xml:space="preserve"> and HR measurement and analysis: From ROI to strategic organisational change</w:t>
      </w:r>
      <w:r w:rsidRPr="00B64300">
        <w:t>. Boston: Harvard Business School Press.</w:t>
      </w:r>
    </w:p>
    <w:p w14:paraId="73E36319" w14:textId="77777777" w:rsidR="00F920F7" w:rsidRPr="00B64300" w:rsidRDefault="00F920F7" w:rsidP="00F920F7">
      <w:pPr>
        <w:ind w:left="360"/>
      </w:pPr>
      <w:r w:rsidRPr="00B64300">
        <w:t xml:space="preserve">Boxall, P. and Macky, K. (2014) ‘High-involvement work processes, work intensification and employee well-being’, </w:t>
      </w:r>
      <w:r w:rsidRPr="00B64300">
        <w:rPr>
          <w:i/>
          <w:iCs/>
        </w:rPr>
        <w:t>Work, Employment and Society</w:t>
      </w:r>
      <w:r w:rsidRPr="00B64300">
        <w:t>, 28(6), pp. 963–984.</w:t>
      </w:r>
    </w:p>
    <w:p w14:paraId="755DB096" w14:textId="77777777" w:rsidR="00F920F7" w:rsidRPr="00B64300" w:rsidRDefault="00F920F7" w:rsidP="00F920F7">
      <w:pPr>
        <w:ind w:left="360"/>
      </w:pPr>
      <w:r w:rsidRPr="00B64300">
        <w:t xml:space="preserve">Braidford, P., Smith, H. and Jones, K. (2014) </w:t>
      </w:r>
      <w:r w:rsidRPr="00B64300">
        <w:rPr>
          <w:i/>
          <w:iCs/>
        </w:rPr>
        <w:t>Family business engagement and sustainability in Wales</w:t>
      </w:r>
      <w:r w:rsidRPr="00B64300">
        <w:t>. Cardiff: Cardiff Business School.</w:t>
      </w:r>
    </w:p>
    <w:p w14:paraId="264C6A19" w14:textId="77777777" w:rsidR="00F920F7" w:rsidRPr="00B64300" w:rsidRDefault="00F920F7" w:rsidP="00F920F7">
      <w:pPr>
        <w:ind w:left="360"/>
      </w:pPr>
      <w:r w:rsidRPr="00B64300">
        <w:t xml:space="preserve">Cappelli, P. (2019) </w:t>
      </w:r>
      <w:r w:rsidRPr="00B64300">
        <w:rPr>
          <w:i/>
          <w:iCs/>
        </w:rPr>
        <w:t>Talent on demand: Managing talent in an age of uncertainty</w:t>
      </w:r>
      <w:r w:rsidRPr="00B64300">
        <w:t>. Boston: Harvard Business Review Press.</w:t>
      </w:r>
    </w:p>
    <w:p w14:paraId="5C8F0172" w14:textId="77777777" w:rsidR="00F920F7" w:rsidRPr="00B64300" w:rsidRDefault="00F920F7" w:rsidP="00F920F7">
      <w:pPr>
        <w:ind w:left="360"/>
      </w:pPr>
      <w:r w:rsidRPr="00B64300">
        <w:t xml:space="preserve">Castell Howell Foods (2024) </w:t>
      </w:r>
      <w:r w:rsidRPr="00B64300">
        <w:rPr>
          <w:i/>
          <w:iCs/>
        </w:rPr>
        <w:t>Company report 2024</w:t>
      </w:r>
      <w:r w:rsidRPr="00B64300">
        <w:t>. Llandeilo: Castell Howell Foods.</w:t>
      </w:r>
    </w:p>
    <w:p w14:paraId="75374D60" w14:textId="77777777" w:rsidR="00F920F7" w:rsidRPr="00B64300" w:rsidRDefault="00F920F7" w:rsidP="00F920F7">
      <w:pPr>
        <w:ind w:left="360"/>
      </w:pPr>
      <w:r w:rsidRPr="00B64300">
        <w:lastRenderedPageBreak/>
        <w:t xml:space="preserve">CIPD (2020) </w:t>
      </w:r>
      <w:r w:rsidRPr="00B64300">
        <w:rPr>
          <w:i/>
          <w:iCs/>
        </w:rPr>
        <w:t>Resourcing and talent planning: Survey report</w:t>
      </w:r>
      <w:r w:rsidRPr="00B64300">
        <w:t>. London: CIPD.</w:t>
      </w:r>
    </w:p>
    <w:p w14:paraId="65A04958" w14:textId="77777777" w:rsidR="00F920F7" w:rsidRPr="00B64300" w:rsidRDefault="00F920F7" w:rsidP="00F920F7">
      <w:pPr>
        <w:ind w:left="360"/>
      </w:pPr>
      <w:r w:rsidRPr="00B64300">
        <w:t xml:space="preserve">CIPD (2021) </w:t>
      </w:r>
      <w:r w:rsidRPr="00B64300">
        <w:rPr>
          <w:i/>
          <w:iCs/>
        </w:rPr>
        <w:t>People management: Evidence-based practice in HR</w:t>
      </w:r>
      <w:r w:rsidRPr="00B64300">
        <w:t>. London: CIPD.</w:t>
      </w:r>
    </w:p>
    <w:p w14:paraId="512A9D58" w14:textId="77777777" w:rsidR="00F920F7" w:rsidRPr="00B64300" w:rsidRDefault="00F920F7" w:rsidP="00F920F7">
      <w:pPr>
        <w:ind w:left="360"/>
      </w:pPr>
      <w:r w:rsidRPr="00B64300">
        <w:t xml:space="preserve">CIPD (2023) </w:t>
      </w:r>
      <w:r w:rsidRPr="00B64300">
        <w:rPr>
          <w:i/>
          <w:iCs/>
        </w:rPr>
        <w:t>Resourcing and talent planning survey 2023</w:t>
      </w:r>
      <w:r w:rsidRPr="00B64300">
        <w:t>. London: CIPD.</w:t>
      </w:r>
    </w:p>
    <w:p w14:paraId="6AE313C8" w14:textId="77777777" w:rsidR="00F920F7" w:rsidRPr="00B64300" w:rsidRDefault="00F920F7" w:rsidP="00F920F7">
      <w:pPr>
        <w:ind w:left="360"/>
      </w:pPr>
      <w:r w:rsidRPr="00B64300">
        <w:t xml:space="preserve">CIPD (2024) </w:t>
      </w:r>
      <w:r w:rsidRPr="00B64300">
        <w:rPr>
          <w:i/>
          <w:iCs/>
        </w:rPr>
        <w:t>Resourcing and talent planning report 2024</w:t>
      </w:r>
      <w:r w:rsidRPr="00B64300">
        <w:t>. London: CIPD.</w:t>
      </w:r>
    </w:p>
    <w:p w14:paraId="247ABF31" w14:textId="77777777" w:rsidR="00F920F7" w:rsidRPr="00B64300" w:rsidRDefault="00F920F7" w:rsidP="00F920F7">
      <w:pPr>
        <w:ind w:left="360"/>
      </w:pPr>
      <w:r w:rsidRPr="00B64300">
        <w:t xml:space="preserve">CIPD (2025) </w:t>
      </w:r>
      <w:r w:rsidRPr="00B64300">
        <w:rPr>
          <w:i/>
          <w:iCs/>
        </w:rPr>
        <w:t>Flexible and hybrid working practices: Guidance for employers</w:t>
      </w:r>
      <w:r w:rsidRPr="00B64300">
        <w:t>. London: CIPD.</w:t>
      </w:r>
    </w:p>
    <w:p w14:paraId="1405850F" w14:textId="77777777" w:rsidR="00F920F7" w:rsidRPr="00B64300" w:rsidRDefault="00F920F7" w:rsidP="00F920F7">
      <w:pPr>
        <w:ind w:left="360"/>
      </w:pPr>
      <w:r w:rsidRPr="00B64300">
        <w:t xml:space="preserve">CIPD and Omni RMS (2024) </w:t>
      </w:r>
      <w:r w:rsidRPr="00B64300">
        <w:rPr>
          <w:i/>
          <w:iCs/>
        </w:rPr>
        <w:t>Learning and development trends in UK workplaces</w:t>
      </w:r>
      <w:r w:rsidRPr="00B64300">
        <w:t>. London: CIPD.</w:t>
      </w:r>
    </w:p>
    <w:p w14:paraId="32CE4427" w14:textId="77777777" w:rsidR="00F920F7" w:rsidRPr="00B64300" w:rsidRDefault="00F920F7" w:rsidP="00F920F7">
      <w:pPr>
        <w:ind w:left="360"/>
      </w:pPr>
      <w:r w:rsidRPr="00B64300">
        <w:t xml:space="preserve">Chung, H. (2022) ‘Workplace flexibility: Lessons from UK food production’, </w:t>
      </w:r>
      <w:r w:rsidRPr="00B64300">
        <w:rPr>
          <w:i/>
          <w:iCs/>
        </w:rPr>
        <w:t>Work, Employment and Society</w:t>
      </w:r>
      <w:r w:rsidRPr="00B64300">
        <w:t>, 36(2), pp. 345–362.</w:t>
      </w:r>
    </w:p>
    <w:p w14:paraId="2E194C62" w14:textId="77777777" w:rsidR="00F920F7" w:rsidRPr="00B64300" w:rsidRDefault="00F920F7" w:rsidP="00F920F7">
      <w:pPr>
        <w:ind w:left="360"/>
      </w:pPr>
      <w:r w:rsidRPr="00B64300">
        <w:t xml:space="preserve">Cleanroom Technology (2023) ‘Skills transfer from pharma to food manufacturing’. Available at: </w:t>
      </w:r>
      <w:hyperlink r:id="rId10" w:tgtFrame="_new" w:history="1">
        <w:r w:rsidRPr="00B64300">
          <w:rPr>
            <w:rStyle w:val="Hyperlink"/>
          </w:rPr>
          <w:t>https://www.cleanroomtechnology.com</w:t>
        </w:r>
      </w:hyperlink>
      <w:r w:rsidRPr="00B64300">
        <w:t xml:space="preserve"> (Accessed: 17 November 2025).</w:t>
      </w:r>
    </w:p>
    <w:p w14:paraId="1B9418A1" w14:textId="77777777" w:rsidR="00F920F7" w:rsidRPr="00B64300" w:rsidRDefault="00F920F7" w:rsidP="00F920F7">
      <w:pPr>
        <w:ind w:left="360"/>
      </w:pPr>
      <w:proofErr w:type="spellStart"/>
      <w:r w:rsidRPr="00B64300">
        <w:t>Darogan</w:t>
      </w:r>
      <w:proofErr w:type="spellEnd"/>
      <w:r w:rsidRPr="00B64300">
        <w:t xml:space="preserve">, R. (2025) </w:t>
      </w:r>
      <w:r w:rsidRPr="00B64300">
        <w:rPr>
          <w:i/>
          <w:iCs/>
        </w:rPr>
        <w:t>Graduate mobility and regional skills disparities in Wales</w:t>
      </w:r>
      <w:r w:rsidRPr="00B64300">
        <w:t>. Swansea: WISERD.</w:t>
      </w:r>
    </w:p>
    <w:p w14:paraId="1B81A7D7" w14:textId="77777777" w:rsidR="00F920F7" w:rsidRPr="00B64300" w:rsidRDefault="00F920F7" w:rsidP="00F920F7">
      <w:pPr>
        <w:ind w:left="360"/>
      </w:pPr>
      <w:r w:rsidRPr="00B64300">
        <w:t xml:space="preserve">Deloitte (2021) </w:t>
      </w:r>
      <w:r w:rsidRPr="00B64300">
        <w:rPr>
          <w:i/>
          <w:iCs/>
        </w:rPr>
        <w:t>Talent management and workforce planning: UK insights</w:t>
      </w:r>
      <w:r w:rsidRPr="00B64300">
        <w:t>. London: Deloitte.</w:t>
      </w:r>
    </w:p>
    <w:p w14:paraId="5810A44B" w14:textId="77777777" w:rsidR="00F920F7" w:rsidRPr="00B64300" w:rsidRDefault="00F920F7" w:rsidP="00F920F7">
      <w:pPr>
        <w:ind w:left="360"/>
      </w:pPr>
      <w:r w:rsidRPr="00B64300">
        <w:t xml:space="preserve">Family Business UK (2024) </w:t>
      </w:r>
      <w:r w:rsidRPr="00B64300">
        <w:rPr>
          <w:i/>
          <w:iCs/>
        </w:rPr>
        <w:t>UK family business report 2024</w:t>
      </w:r>
      <w:r w:rsidRPr="00B64300">
        <w:t>. London: Family Business UK.</w:t>
      </w:r>
    </w:p>
    <w:p w14:paraId="117BAC23" w14:textId="77777777" w:rsidR="00F920F7" w:rsidRPr="00B64300" w:rsidRDefault="00F920F7" w:rsidP="00F920F7">
      <w:pPr>
        <w:ind w:left="360"/>
      </w:pPr>
      <w:r w:rsidRPr="00B64300">
        <w:t xml:space="preserve">Food and Drink Federation (2023) </w:t>
      </w:r>
      <w:r w:rsidRPr="00B64300">
        <w:rPr>
          <w:i/>
          <w:iCs/>
        </w:rPr>
        <w:t>Sector skills shortages and labour market trends</w:t>
      </w:r>
      <w:r w:rsidRPr="00B64300">
        <w:t>. London: FDF.</w:t>
      </w:r>
    </w:p>
    <w:p w14:paraId="50877ADA" w14:textId="77777777" w:rsidR="00F920F7" w:rsidRPr="00B64300" w:rsidRDefault="00F920F7" w:rsidP="00F920F7">
      <w:pPr>
        <w:ind w:left="360"/>
      </w:pPr>
      <w:r w:rsidRPr="00B64300">
        <w:t xml:space="preserve">Food and Drink Federation (2024) </w:t>
      </w:r>
      <w:r w:rsidRPr="00B64300">
        <w:rPr>
          <w:i/>
          <w:iCs/>
        </w:rPr>
        <w:t>UK foodservice sector report 2024</w:t>
      </w:r>
      <w:r w:rsidRPr="00B64300">
        <w:t>. London: FDF.</w:t>
      </w:r>
    </w:p>
    <w:p w14:paraId="7880E99D" w14:textId="77777777" w:rsidR="00F920F7" w:rsidRPr="00B64300" w:rsidRDefault="00F920F7" w:rsidP="00F920F7">
      <w:pPr>
        <w:ind w:left="360"/>
      </w:pPr>
      <w:r w:rsidRPr="00B64300">
        <w:t xml:space="preserve">GOV.UK (2022) ‘Technology adoption in UK SMEs’. Available at: </w:t>
      </w:r>
      <w:hyperlink r:id="rId11" w:tgtFrame="_new" w:history="1">
        <w:r w:rsidRPr="00B64300">
          <w:rPr>
            <w:rStyle w:val="Hyperlink"/>
          </w:rPr>
          <w:t>https://www.gov.uk/government/publications</w:t>
        </w:r>
      </w:hyperlink>
      <w:r w:rsidRPr="00B64300">
        <w:t xml:space="preserve"> (Accessed: 20 November 2025).</w:t>
      </w:r>
    </w:p>
    <w:p w14:paraId="048F25DF" w14:textId="77777777" w:rsidR="00F920F7" w:rsidRPr="00B64300" w:rsidRDefault="00F920F7" w:rsidP="00F920F7">
      <w:pPr>
        <w:ind w:left="360"/>
      </w:pPr>
      <w:r w:rsidRPr="00B64300">
        <w:t xml:space="preserve">Green, F. (2021) </w:t>
      </w:r>
      <w:r w:rsidRPr="00B64300">
        <w:rPr>
          <w:i/>
          <w:iCs/>
        </w:rPr>
        <w:t>Workforce engagement and organisational performance</w:t>
      </w:r>
      <w:r w:rsidRPr="00B64300">
        <w:t>. London: Routledge.</w:t>
      </w:r>
    </w:p>
    <w:p w14:paraId="02AC9CFB" w14:textId="77777777" w:rsidR="00F920F7" w:rsidRPr="00B64300" w:rsidRDefault="00F920F7" w:rsidP="00F920F7">
      <w:pPr>
        <w:ind w:left="360"/>
      </w:pPr>
      <w:r w:rsidRPr="00B64300">
        <w:t xml:space="preserve">Highhouse, S., Lievens, F. and Sinar, E. (2022) ‘Employer branding and recruitment effectiveness’, </w:t>
      </w:r>
      <w:r w:rsidRPr="00B64300">
        <w:rPr>
          <w:i/>
          <w:iCs/>
        </w:rPr>
        <w:t>Journal of Applied Psychology</w:t>
      </w:r>
      <w:r w:rsidRPr="00B64300">
        <w:t>, 107(4), pp. 655–674.</w:t>
      </w:r>
    </w:p>
    <w:p w14:paraId="330EE8CE" w14:textId="77777777" w:rsidR="00F920F7" w:rsidRPr="00B64300" w:rsidRDefault="00F920F7" w:rsidP="00F920F7">
      <w:pPr>
        <w:ind w:left="360"/>
      </w:pPr>
      <w:r w:rsidRPr="00B64300">
        <w:t xml:space="preserve">Hofstede, G., Hofstede, G.J. and Minkov, M. (2010) </w:t>
      </w:r>
      <w:r w:rsidRPr="00B64300">
        <w:rPr>
          <w:i/>
          <w:iCs/>
        </w:rPr>
        <w:t>Cultures and organizations: Software of the mind</w:t>
      </w:r>
      <w:r w:rsidRPr="00B64300">
        <w:t>. 3rd ed. New York: McGraw-Hill.</w:t>
      </w:r>
    </w:p>
    <w:p w14:paraId="5E05F357" w14:textId="77777777" w:rsidR="00F920F7" w:rsidRPr="00B64300" w:rsidRDefault="00F920F7" w:rsidP="00F920F7">
      <w:pPr>
        <w:ind w:left="360"/>
      </w:pPr>
      <w:r w:rsidRPr="00B64300">
        <w:t xml:space="preserve">Holm, A. and Haahr, J. (2019) ‘Digital recruitment: Tools, challenges, and opportunities’, </w:t>
      </w:r>
      <w:r w:rsidRPr="00B64300">
        <w:rPr>
          <w:i/>
          <w:iCs/>
        </w:rPr>
        <w:t>International Journal of Human Resource Management</w:t>
      </w:r>
      <w:r w:rsidRPr="00B64300">
        <w:t>, 30(15), pp. 2245–2263.</w:t>
      </w:r>
    </w:p>
    <w:p w14:paraId="25552C8B" w14:textId="77777777" w:rsidR="00F920F7" w:rsidRPr="00B64300" w:rsidRDefault="00F920F7" w:rsidP="00F920F7">
      <w:pPr>
        <w:ind w:left="360"/>
      </w:pPr>
      <w:r w:rsidRPr="00B64300">
        <w:lastRenderedPageBreak/>
        <w:t xml:space="preserve">JEMI (2025) ‘Digital culture in family businesses’, </w:t>
      </w:r>
      <w:r w:rsidRPr="00B64300">
        <w:rPr>
          <w:i/>
          <w:iCs/>
        </w:rPr>
        <w:t>Journal of Enterprising Management and Innovation</w:t>
      </w:r>
      <w:r w:rsidRPr="00B64300">
        <w:t>, 11(2), pp. 45–60.</w:t>
      </w:r>
    </w:p>
    <w:p w14:paraId="4F9AA577" w14:textId="77777777" w:rsidR="00F920F7" w:rsidRPr="00B64300" w:rsidRDefault="00F920F7" w:rsidP="00F920F7">
      <w:pPr>
        <w:ind w:left="360"/>
      </w:pPr>
      <w:r w:rsidRPr="00B64300">
        <w:t xml:space="preserve">Kelliher, C. and Anderson, D. (2010) ‘Doing more with less? Flexible working practices and the intensification of work’, </w:t>
      </w:r>
      <w:r w:rsidRPr="00B64300">
        <w:rPr>
          <w:i/>
          <w:iCs/>
        </w:rPr>
        <w:t>Human Relations</w:t>
      </w:r>
      <w:r w:rsidRPr="00B64300">
        <w:t>, 63(1), pp. 83–106.</w:t>
      </w:r>
    </w:p>
    <w:p w14:paraId="7ACA9F51" w14:textId="77777777" w:rsidR="00F920F7" w:rsidRPr="00B64300" w:rsidRDefault="00F920F7" w:rsidP="00F920F7">
      <w:pPr>
        <w:ind w:left="360"/>
      </w:pPr>
      <w:r w:rsidRPr="00B64300">
        <w:t xml:space="preserve">Kotter, J.P. (2012) </w:t>
      </w:r>
      <w:r w:rsidRPr="00B64300">
        <w:rPr>
          <w:i/>
          <w:iCs/>
        </w:rPr>
        <w:t>Leading change</w:t>
      </w:r>
      <w:r w:rsidRPr="00B64300">
        <w:t>. Boston: Harvard Business Review Press.</w:t>
      </w:r>
    </w:p>
    <w:p w14:paraId="4A4EE581" w14:textId="77777777" w:rsidR="00F920F7" w:rsidRPr="00B64300" w:rsidRDefault="00F920F7" w:rsidP="00F920F7">
      <w:pPr>
        <w:ind w:left="360"/>
      </w:pPr>
      <w:r w:rsidRPr="00B64300">
        <w:t xml:space="preserve">Learning and Work Institute (2023) </w:t>
      </w:r>
      <w:r w:rsidRPr="00B64300">
        <w:rPr>
          <w:i/>
          <w:iCs/>
        </w:rPr>
        <w:t>UK skills report 2023</w:t>
      </w:r>
      <w:r w:rsidRPr="00B64300">
        <w:t>. London: Learning and Work Institute.</w:t>
      </w:r>
    </w:p>
    <w:p w14:paraId="4FC76219" w14:textId="77777777" w:rsidR="00F920F7" w:rsidRPr="00B64300" w:rsidRDefault="00F920F7" w:rsidP="00F920F7">
      <w:pPr>
        <w:ind w:left="360"/>
      </w:pPr>
      <w:r w:rsidRPr="00B64300">
        <w:t xml:space="preserve">Learning and Work Institute (2024) </w:t>
      </w:r>
      <w:r w:rsidRPr="00B64300">
        <w:rPr>
          <w:i/>
          <w:iCs/>
        </w:rPr>
        <w:t>Digital skills and workforce readiness in UK industries</w:t>
      </w:r>
      <w:r w:rsidRPr="00B64300">
        <w:t>. London: LWI.</w:t>
      </w:r>
    </w:p>
    <w:p w14:paraId="2F0B49ED" w14:textId="77777777" w:rsidR="00F920F7" w:rsidRPr="00B64300" w:rsidRDefault="00F920F7" w:rsidP="00F920F7">
      <w:pPr>
        <w:ind w:left="360"/>
      </w:pPr>
      <w:r w:rsidRPr="00B64300">
        <w:t xml:space="preserve">Learning and Work Institute (2025) </w:t>
      </w:r>
      <w:r w:rsidRPr="00B64300">
        <w:rPr>
          <w:i/>
          <w:iCs/>
        </w:rPr>
        <w:t>Rural labour market challenges in Wales</w:t>
      </w:r>
      <w:r w:rsidRPr="00B64300">
        <w:t>. London: LWI.</w:t>
      </w:r>
    </w:p>
    <w:p w14:paraId="5F1FD1B4" w14:textId="77777777" w:rsidR="00F920F7" w:rsidRPr="00B64300" w:rsidRDefault="00F920F7" w:rsidP="00F920F7">
      <w:pPr>
        <w:ind w:left="360"/>
      </w:pPr>
      <w:r w:rsidRPr="00B64300">
        <w:t xml:space="preserve">Lewis, R.E. and Heckman, R.J. (2006) ‘Talent management: A critical review’, </w:t>
      </w:r>
      <w:r w:rsidRPr="00B64300">
        <w:rPr>
          <w:i/>
          <w:iCs/>
        </w:rPr>
        <w:t>Human Resource Management Review</w:t>
      </w:r>
      <w:r w:rsidRPr="00B64300">
        <w:t>, 16(2), pp. 139–154.</w:t>
      </w:r>
    </w:p>
    <w:p w14:paraId="62BCC09A" w14:textId="77777777" w:rsidR="00F920F7" w:rsidRPr="00B64300" w:rsidRDefault="00F920F7" w:rsidP="00F920F7">
      <w:pPr>
        <w:ind w:left="360"/>
      </w:pPr>
      <w:r w:rsidRPr="00B64300">
        <w:t xml:space="preserve">Logistics UK (2024) </w:t>
      </w:r>
      <w:r w:rsidRPr="00B64300">
        <w:rPr>
          <w:i/>
          <w:iCs/>
        </w:rPr>
        <w:t>Labour and skills outlook report 2024</w:t>
      </w:r>
      <w:r w:rsidRPr="00B64300">
        <w:t>. London: Logistics UK.</w:t>
      </w:r>
    </w:p>
    <w:p w14:paraId="7E35C875" w14:textId="77777777" w:rsidR="00F920F7" w:rsidRPr="00B64300" w:rsidRDefault="00F920F7" w:rsidP="00F920F7">
      <w:pPr>
        <w:ind w:left="360"/>
      </w:pPr>
      <w:r w:rsidRPr="00B64300">
        <w:t xml:space="preserve">Marchington, M. and </w:t>
      </w:r>
      <w:proofErr w:type="spellStart"/>
      <w:r w:rsidRPr="00B64300">
        <w:t>Grugulis</w:t>
      </w:r>
      <w:proofErr w:type="spellEnd"/>
      <w:r w:rsidRPr="00B64300">
        <w:t xml:space="preserve">, I. (2000) ‘“Best practice” human resource management: Perfect opportunity or dangerous illusion?’, </w:t>
      </w:r>
      <w:r w:rsidRPr="00B64300">
        <w:rPr>
          <w:i/>
          <w:iCs/>
        </w:rPr>
        <w:t>International Journal of Human Resource Management</w:t>
      </w:r>
      <w:r w:rsidRPr="00B64300">
        <w:t>, 11(6), pp. 1104–1124.</w:t>
      </w:r>
    </w:p>
    <w:p w14:paraId="70581BA6" w14:textId="77777777" w:rsidR="00F920F7" w:rsidRPr="00B64300" w:rsidRDefault="00F920F7" w:rsidP="00F920F7">
      <w:pPr>
        <w:ind w:left="360"/>
      </w:pPr>
      <w:r w:rsidRPr="00B64300">
        <w:t xml:space="preserve">Maurer, R. (2025) </w:t>
      </w:r>
      <w:r w:rsidRPr="00B64300">
        <w:rPr>
          <w:i/>
          <w:iCs/>
        </w:rPr>
        <w:t>The future of talent management in the UK</w:t>
      </w:r>
      <w:r w:rsidRPr="00B64300">
        <w:t>. London: Routledge.</w:t>
      </w:r>
    </w:p>
    <w:p w14:paraId="7F29A5EA" w14:textId="77777777" w:rsidR="00F920F7" w:rsidRPr="00B64300" w:rsidRDefault="00F920F7" w:rsidP="00F920F7">
      <w:pPr>
        <w:ind w:left="360"/>
      </w:pPr>
      <w:r w:rsidRPr="00B64300">
        <w:t xml:space="preserve">Migration Observatory (2023) </w:t>
      </w:r>
      <w:r w:rsidRPr="00B64300">
        <w:rPr>
          <w:i/>
          <w:iCs/>
        </w:rPr>
        <w:t>Post-Brexit migration and the UK labour market</w:t>
      </w:r>
      <w:r w:rsidRPr="00B64300">
        <w:t>. Oxford: University of Oxford.</w:t>
      </w:r>
    </w:p>
    <w:p w14:paraId="7BCEF086" w14:textId="77777777" w:rsidR="00F920F7" w:rsidRPr="00B64300" w:rsidRDefault="00F920F7" w:rsidP="00F920F7">
      <w:pPr>
        <w:ind w:left="360"/>
      </w:pPr>
      <w:r w:rsidRPr="00B64300">
        <w:t xml:space="preserve">NHS Professionals (2023) </w:t>
      </w:r>
      <w:r w:rsidRPr="00B64300">
        <w:rPr>
          <w:i/>
          <w:iCs/>
        </w:rPr>
        <w:t>Flexible working initiatives in the NHS</w:t>
      </w:r>
      <w:r w:rsidRPr="00B64300">
        <w:t>. London: NHS Professionals.</w:t>
      </w:r>
    </w:p>
    <w:p w14:paraId="4CEE41E2" w14:textId="77777777" w:rsidR="00F920F7" w:rsidRPr="00B64300" w:rsidRDefault="00F920F7" w:rsidP="00F920F7">
      <w:pPr>
        <w:ind w:left="360"/>
      </w:pPr>
      <w:r w:rsidRPr="00B64300">
        <w:t xml:space="preserve">Nikolaou, I. (2021) ‘Social media in recruitment: Opportunities and challenges’, </w:t>
      </w:r>
      <w:r w:rsidRPr="00B64300">
        <w:rPr>
          <w:i/>
          <w:iCs/>
        </w:rPr>
        <w:t>Employee Relations</w:t>
      </w:r>
      <w:r w:rsidRPr="00B64300">
        <w:t>, 43(1), pp. 58–75.</w:t>
      </w:r>
    </w:p>
    <w:p w14:paraId="6B626905" w14:textId="77777777" w:rsidR="00F920F7" w:rsidRPr="00B64300" w:rsidRDefault="00F920F7" w:rsidP="00F920F7">
      <w:pPr>
        <w:ind w:left="360"/>
      </w:pPr>
      <w:r w:rsidRPr="00B64300">
        <w:t xml:space="preserve">OECD (2023) </w:t>
      </w:r>
      <w:r w:rsidRPr="00B64300">
        <w:rPr>
          <w:i/>
          <w:iCs/>
        </w:rPr>
        <w:t>Labour market trends and migration: UK 2023</w:t>
      </w:r>
      <w:r w:rsidRPr="00B64300">
        <w:t>. Paris: OECD.</w:t>
      </w:r>
    </w:p>
    <w:p w14:paraId="3963D090" w14:textId="77777777" w:rsidR="00F920F7" w:rsidRPr="00B64300" w:rsidRDefault="00F920F7" w:rsidP="00F920F7">
      <w:pPr>
        <w:ind w:left="360"/>
      </w:pPr>
      <w:r w:rsidRPr="00B64300">
        <w:t xml:space="preserve">People Management (2024) ‘Digital skills demand rises in UK workplaces’, 15 April. Available at: </w:t>
      </w:r>
      <w:hyperlink r:id="rId12" w:tgtFrame="_new" w:history="1">
        <w:r w:rsidRPr="00B64300">
          <w:rPr>
            <w:rStyle w:val="Hyperlink"/>
          </w:rPr>
          <w:t>https://www.peoplemanagement.co.uk</w:t>
        </w:r>
      </w:hyperlink>
      <w:r w:rsidRPr="00B64300">
        <w:t xml:space="preserve"> (Accessed: 17 November 2025).</w:t>
      </w:r>
    </w:p>
    <w:p w14:paraId="454505F2" w14:textId="77777777" w:rsidR="00F920F7" w:rsidRPr="00B64300" w:rsidRDefault="00F920F7" w:rsidP="00F920F7">
      <w:pPr>
        <w:ind w:left="360"/>
      </w:pPr>
      <w:r w:rsidRPr="00B64300">
        <w:t xml:space="preserve">Portes, J. (2022) ‘UK labour market challenges post-Brexit’, </w:t>
      </w:r>
      <w:r w:rsidRPr="00B64300">
        <w:rPr>
          <w:i/>
          <w:iCs/>
        </w:rPr>
        <w:t>Economic Affairs</w:t>
      </w:r>
      <w:r w:rsidRPr="00B64300">
        <w:t>, 42(2), pp. 207–222.</w:t>
      </w:r>
    </w:p>
    <w:p w14:paraId="0401E265" w14:textId="77777777" w:rsidR="00F920F7" w:rsidRPr="00B64300" w:rsidRDefault="00F920F7" w:rsidP="00F920F7">
      <w:pPr>
        <w:ind w:left="360"/>
      </w:pPr>
      <w:r w:rsidRPr="00B64300">
        <w:t xml:space="preserve">PwC (2025) </w:t>
      </w:r>
      <w:r w:rsidRPr="00B64300">
        <w:rPr>
          <w:i/>
          <w:iCs/>
        </w:rPr>
        <w:t>Digital skills in the workforce: UK insights 2025</w:t>
      </w:r>
      <w:r w:rsidRPr="00B64300">
        <w:t>. London: PricewaterhouseCoopers.</w:t>
      </w:r>
    </w:p>
    <w:p w14:paraId="5756E91F" w14:textId="77777777" w:rsidR="00F920F7" w:rsidRPr="00B64300" w:rsidRDefault="00F920F7" w:rsidP="00F920F7">
      <w:pPr>
        <w:ind w:left="360"/>
      </w:pPr>
      <w:r w:rsidRPr="00B64300">
        <w:t xml:space="preserve">Purcell, J. and Hutchinson, S. (2007) ‘Front-line managers as agents in HRM’, </w:t>
      </w:r>
      <w:r w:rsidRPr="00B64300">
        <w:rPr>
          <w:i/>
          <w:iCs/>
        </w:rPr>
        <w:t>Human Resource Management Journal</w:t>
      </w:r>
      <w:r w:rsidRPr="00B64300">
        <w:t>, 17(1), pp. 3–20.</w:t>
      </w:r>
    </w:p>
    <w:p w14:paraId="3C3A3F73" w14:textId="77777777" w:rsidR="00F920F7" w:rsidRPr="00B64300" w:rsidRDefault="00F920F7" w:rsidP="00F920F7">
      <w:pPr>
        <w:ind w:left="360"/>
      </w:pPr>
      <w:r w:rsidRPr="00B64300">
        <w:lastRenderedPageBreak/>
        <w:t xml:space="preserve">Schein, E.H. (2017) </w:t>
      </w:r>
      <w:r w:rsidRPr="00B64300">
        <w:rPr>
          <w:i/>
          <w:iCs/>
        </w:rPr>
        <w:t>Organizational culture and leadership</w:t>
      </w:r>
      <w:r w:rsidRPr="00B64300">
        <w:t>. 5th ed. Hoboken, NJ: Wiley.</w:t>
      </w:r>
    </w:p>
    <w:p w14:paraId="21A0FBEA" w14:textId="77777777" w:rsidR="00F920F7" w:rsidRPr="00B64300" w:rsidRDefault="00F920F7" w:rsidP="00F920F7">
      <w:pPr>
        <w:ind w:left="360"/>
      </w:pPr>
      <w:r w:rsidRPr="00B64300">
        <w:t xml:space="preserve">Schuler, R., Jackson, S. and Tarique, I. (2011) ‘Global talent management and global talent challenges: Strategic opportunities for IHRM’, </w:t>
      </w:r>
      <w:r w:rsidRPr="00B64300">
        <w:rPr>
          <w:i/>
          <w:iCs/>
        </w:rPr>
        <w:t>Journal of World Business</w:t>
      </w:r>
      <w:r w:rsidRPr="00B64300">
        <w:t>, 46(4), pp. 506–516.</w:t>
      </w:r>
    </w:p>
    <w:p w14:paraId="37ED1161" w14:textId="77777777" w:rsidR="00F920F7" w:rsidRPr="00B64300" w:rsidRDefault="00F920F7" w:rsidP="00F920F7">
      <w:pPr>
        <w:ind w:left="360"/>
      </w:pPr>
      <w:r w:rsidRPr="00B64300">
        <w:t>Small Business Economics (2023) ‘Digital adoption in family firms: Barriers and facilitators’, 61(2), pp. 321–337.</w:t>
      </w:r>
    </w:p>
    <w:p w14:paraId="1CC09A1F" w14:textId="77777777" w:rsidR="00F920F7" w:rsidRPr="00B64300" w:rsidRDefault="00F920F7" w:rsidP="00F920F7">
      <w:pPr>
        <w:ind w:left="360"/>
      </w:pPr>
      <w:r w:rsidRPr="00B64300">
        <w:t xml:space="preserve">Smith, J. (2021) ‘Employer branding strategies: The case of DELL Technologies’, </w:t>
      </w:r>
      <w:r w:rsidRPr="00B64300">
        <w:rPr>
          <w:i/>
          <w:iCs/>
        </w:rPr>
        <w:t>Journal of Business Strategy</w:t>
      </w:r>
      <w:r w:rsidRPr="00B64300">
        <w:t>, 42(3), pp. 55–64.</w:t>
      </w:r>
    </w:p>
    <w:p w14:paraId="29A11A6F" w14:textId="77777777" w:rsidR="00300566" w:rsidRPr="00B64300" w:rsidRDefault="00300566" w:rsidP="00300566">
      <w:pPr>
        <w:ind w:left="360"/>
      </w:pPr>
      <w:r w:rsidRPr="00B64300">
        <w:t xml:space="preserve">Taylor, S. and Collins, C. (2020) ‘Employer branding and competitive advantage’, </w:t>
      </w:r>
      <w:r w:rsidRPr="00B64300">
        <w:rPr>
          <w:i/>
          <w:iCs/>
        </w:rPr>
        <w:t>International Journal of Human Resource Management</w:t>
      </w:r>
      <w:r w:rsidRPr="00B64300">
        <w:t>, 31(12), pp. 1575–1598.</w:t>
      </w:r>
    </w:p>
    <w:p w14:paraId="2F2BDDED" w14:textId="77777777" w:rsidR="00F920F7" w:rsidRPr="00B64300" w:rsidRDefault="00F920F7" w:rsidP="00F920F7">
      <w:pPr>
        <w:ind w:left="360"/>
      </w:pPr>
      <w:r w:rsidRPr="00B64300">
        <w:t xml:space="preserve">Theurer, C.P., Tumasjan, A., </w:t>
      </w:r>
      <w:proofErr w:type="spellStart"/>
      <w:r w:rsidRPr="00B64300">
        <w:t>Welpe</w:t>
      </w:r>
      <w:proofErr w:type="spellEnd"/>
      <w:r w:rsidRPr="00B64300">
        <w:t xml:space="preserve">, I.M. and Lievens, F. (2018) ‘Employer branding: A review and research agenda’, </w:t>
      </w:r>
      <w:r w:rsidRPr="00B64300">
        <w:rPr>
          <w:i/>
          <w:iCs/>
        </w:rPr>
        <w:t>International Journal of Management Reviews</w:t>
      </w:r>
      <w:r w:rsidRPr="00B64300">
        <w:t>, 20(1), pp. 155–179.</w:t>
      </w:r>
    </w:p>
    <w:p w14:paraId="40EDA729" w14:textId="77777777" w:rsidR="00F920F7" w:rsidRPr="00B64300" w:rsidRDefault="00F920F7" w:rsidP="00F920F7">
      <w:pPr>
        <w:ind w:left="360"/>
      </w:pPr>
      <w:r w:rsidRPr="00B64300">
        <w:t xml:space="preserve">Tymon, W.G., Stumpf, S.A. and Doh, J.P. (2010) ‘Exploring talent management in SMEs’, </w:t>
      </w:r>
      <w:r w:rsidRPr="00B64300">
        <w:rPr>
          <w:i/>
          <w:iCs/>
        </w:rPr>
        <w:t>Journal of World Business</w:t>
      </w:r>
      <w:r w:rsidRPr="00B64300">
        <w:t>, 45(2), pp. 151–161.</w:t>
      </w:r>
    </w:p>
    <w:p w14:paraId="7832B678" w14:textId="77777777" w:rsidR="00F920F7" w:rsidRPr="00B64300" w:rsidRDefault="00F920F7" w:rsidP="00F920F7">
      <w:pPr>
        <w:ind w:left="360"/>
      </w:pPr>
      <w:r w:rsidRPr="00B64300">
        <w:t xml:space="preserve">Ulrich, D. (2019) </w:t>
      </w:r>
      <w:r w:rsidRPr="00B64300">
        <w:rPr>
          <w:i/>
          <w:iCs/>
        </w:rPr>
        <w:t>Reinventing the Organisation</w:t>
      </w:r>
      <w:r w:rsidRPr="00B64300">
        <w:t>. Boston: Harvard Business Review Press.</w:t>
      </w:r>
    </w:p>
    <w:p w14:paraId="4C8F0CFC" w14:textId="77777777" w:rsidR="00F920F7" w:rsidRPr="00B64300" w:rsidRDefault="00F920F7" w:rsidP="00F920F7">
      <w:pPr>
        <w:ind w:left="360"/>
      </w:pPr>
      <w:r w:rsidRPr="00B64300">
        <w:t xml:space="preserve">Ulrich, D., Brockbank, W., Johnson, D., </w:t>
      </w:r>
      <w:proofErr w:type="spellStart"/>
      <w:r w:rsidRPr="00B64300">
        <w:t>Sandholtz</w:t>
      </w:r>
      <w:proofErr w:type="spellEnd"/>
      <w:r w:rsidRPr="00B64300">
        <w:t xml:space="preserve">, K. and Younger, J. (2012) </w:t>
      </w:r>
      <w:r w:rsidRPr="00B64300">
        <w:rPr>
          <w:i/>
          <w:iCs/>
        </w:rPr>
        <w:t>HR competencies: Mastery at the intersection of people and business</w:t>
      </w:r>
      <w:r w:rsidRPr="00B64300">
        <w:t>. Alexandria, VA: SHRM.</w:t>
      </w:r>
    </w:p>
    <w:p w14:paraId="26F1EEE6" w14:textId="77777777" w:rsidR="00F920F7" w:rsidRPr="00B64300" w:rsidRDefault="00F920F7" w:rsidP="00F920F7">
      <w:pPr>
        <w:ind w:left="360"/>
      </w:pPr>
      <w:r w:rsidRPr="00B64300">
        <w:t xml:space="preserve">Ulrich, D. and Brockbank, W. (2018) </w:t>
      </w:r>
      <w:r w:rsidRPr="00B64300">
        <w:rPr>
          <w:i/>
          <w:iCs/>
        </w:rPr>
        <w:t>HR Competencies for the Future</w:t>
      </w:r>
      <w:r w:rsidRPr="00B64300">
        <w:t>. New York: McGraw-Hill.</w:t>
      </w:r>
    </w:p>
    <w:p w14:paraId="2A66AEBE" w14:textId="77777777" w:rsidR="00F920F7" w:rsidRPr="00B64300" w:rsidRDefault="00F920F7" w:rsidP="00F920F7">
      <w:pPr>
        <w:ind w:left="360"/>
      </w:pPr>
      <w:r w:rsidRPr="00B64300">
        <w:t xml:space="preserve">Ulrich, D. and Dulebohn, J.H. (2015) ‘Are we there yet? What’s next for HR?’, </w:t>
      </w:r>
      <w:r w:rsidRPr="00B64300">
        <w:rPr>
          <w:i/>
          <w:iCs/>
        </w:rPr>
        <w:t>Human Resource Management</w:t>
      </w:r>
      <w:r w:rsidRPr="00B64300">
        <w:t>, 54(2), pp. 133–155.</w:t>
      </w:r>
    </w:p>
    <w:p w14:paraId="404A89E9" w14:textId="77777777" w:rsidR="00F920F7" w:rsidRPr="00B64300" w:rsidRDefault="00F920F7" w:rsidP="00F920F7">
      <w:pPr>
        <w:ind w:left="360"/>
      </w:pPr>
      <w:r w:rsidRPr="00B64300">
        <w:t xml:space="preserve">Ulrich, D., Younger, J., Brockbank, W. and Ulrich, M. (2012) </w:t>
      </w:r>
      <w:r w:rsidRPr="00B64300">
        <w:rPr>
          <w:i/>
          <w:iCs/>
        </w:rPr>
        <w:t>HR from the Outside-In</w:t>
      </w:r>
      <w:r w:rsidRPr="00B64300">
        <w:t>. New York: McGraw-Hill.</w:t>
      </w:r>
    </w:p>
    <w:p w14:paraId="06999626" w14:textId="77777777" w:rsidR="00F920F7" w:rsidRPr="00B64300" w:rsidRDefault="00F920F7" w:rsidP="00F920F7">
      <w:pPr>
        <w:ind w:left="360"/>
      </w:pPr>
      <w:r w:rsidRPr="00B64300">
        <w:t xml:space="preserve">UK Government (2014) </w:t>
      </w:r>
      <w:r w:rsidRPr="00B64300">
        <w:rPr>
          <w:i/>
          <w:iCs/>
        </w:rPr>
        <w:t>Flexible working regulations</w:t>
      </w:r>
      <w:r w:rsidRPr="00B64300">
        <w:t>. London: HMSO.</w:t>
      </w:r>
    </w:p>
    <w:p w14:paraId="4D21F5DD" w14:textId="77777777" w:rsidR="00F920F7" w:rsidRPr="00B64300" w:rsidRDefault="00F920F7" w:rsidP="00F920F7">
      <w:pPr>
        <w:ind w:left="360"/>
      </w:pPr>
      <w:r w:rsidRPr="00B64300">
        <w:t xml:space="preserve">UK Government (2023) </w:t>
      </w:r>
      <w:r w:rsidRPr="00B64300">
        <w:rPr>
          <w:i/>
          <w:iCs/>
        </w:rPr>
        <w:t>UK labour market report 2023</w:t>
      </w:r>
      <w:r w:rsidRPr="00B64300">
        <w:t>. London: ONS.</w:t>
      </w:r>
    </w:p>
    <w:p w14:paraId="2AE1F2C2" w14:textId="77777777" w:rsidR="00F920F7" w:rsidRPr="00B64300" w:rsidRDefault="00F920F7" w:rsidP="00F920F7">
      <w:pPr>
        <w:ind w:left="360"/>
      </w:pPr>
      <w:r w:rsidRPr="00B64300">
        <w:t xml:space="preserve">UK Government (2023) </w:t>
      </w:r>
      <w:r w:rsidRPr="00B64300">
        <w:rPr>
          <w:i/>
          <w:iCs/>
        </w:rPr>
        <w:t>Workforce and Skills Insight Report</w:t>
      </w:r>
      <w:r w:rsidRPr="00B64300">
        <w:t>. London: UK Government.</w:t>
      </w:r>
    </w:p>
    <w:p w14:paraId="392ABD4A" w14:textId="77777777" w:rsidR="00F920F7" w:rsidRPr="00B64300" w:rsidRDefault="00F920F7" w:rsidP="00F920F7">
      <w:pPr>
        <w:ind w:left="360"/>
      </w:pPr>
      <w:r w:rsidRPr="00B64300">
        <w:t xml:space="preserve">UNISON (2024) </w:t>
      </w:r>
      <w:r w:rsidRPr="00B64300">
        <w:rPr>
          <w:i/>
          <w:iCs/>
        </w:rPr>
        <w:t>Flexible working in the UK public sector</w:t>
      </w:r>
      <w:r w:rsidRPr="00B64300">
        <w:t>. London: UNISON.</w:t>
      </w:r>
    </w:p>
    <w:p w14:paraId="37AC9E4B" w14:textId="77777777" w:rsidR="00F920F7" w:rsidRPr="00B64300" w:rsidRDefault="00F920F7" w:rsidP="00F920F7">
      <w:pPr>
        <w:ind w:left="360"/>
      </w:pPr>
      <w:r w:rsidRPr="00B64300">
        <w:t xml:space="preserve">UNISON (2024) </w:t>
      </w:r>
      <w:r w:rsidRPr="00B64300">
        <w:rPr>
          <w:i/>
          <w:iCs/>
        </w:rPr>
        <w:t>Flexible working in the food service sector</w:t>
      </w:r>
      <w:r w:rsidRPr="00B64300">
        <w:t>. London: UNISON.</w:t>
      </w:r>
    </w:p>
    <w:p w14:paraId="744177FD" w14:textId="77777777" w:rsidR="00F920F7" w:rsidRPr="00B64300" w:rsidRDefault="00F920F7" w:rsidP="00F920F7">
      <w:pPr>
        <w:ind w:left="360"/>
      </w:pPr>
      <w:r w:rsidRPr="00B64300">
        <w:t xml:space="preserve">Universities Wales (2023) </w:t>
      </w:r>
      <w:r w:rsidRPr="00B64300">
        <w:rPr>
          <w:i/>
          <w:iCs/>
        </w:rPr>
        <w:t>Skills and graduate employment projections 2035</w:t>
      </w:r>
      <w:r w:rsidRPr="00B64300">
        <w:t>. Cardiff: Universities Wales.</w:t>
      </w:r>
    </w:p>
    <w:p w14:paraId="0EA50F76" w14:textId="77777777" w:rsidR="00F920F7" w:rsidRPr="00B64300" w:rsidRDefault="00F920F7" w:rsidP="00F920F7">
      <w:pPr>
        <w:ind w:left="360"/>
      </w:pPr>
      <w:r w:rsidRPr="00B64300">
        <w:lastRenderedPageBreak/>
        <w:t xml:space="preserve">Universities Wales (2023) </w:t>
      </w:r>
      <w:r w:rsidRPr="00B64300">
        <w:rPr>
          <w:i/>
          <w:iCs/>
        </w:rPr>
        <w:t>Graduate Skills Forecast 2035</w:t>
      </w:r>
      <w:r w:rsidRPr="00B64300">
        <w:t>. Cardiff: Universities Wales.</w:t>
      </w:r>
    </w:p>
    <w:p w14:paraId="6D4EE0BB" w14:textId="77777777" w:rsidR="00F920F7" w:rsidRPr="00B64300" w:rsidRDefault="00F920F7" w:rsidP="00F920F7">
      <w:pPr>
        <w:ind w:left="360"/>
      </w:pPr>
      <w:r w:rsidRPr="00B64300">
        <w:t xml:space="preserve">Wales Centre for Public Policy (2023) </w:t>
      </w:r>
      <w:r w:rsidRPr="00B64300">
        <w:rPr>
          <w:i/>
          <w:iCs/>
        </w:rPr>
        <w:t>Labour market and regional skills challenges in Wales</w:t>
      </w:r>
      <w:r w:rsidRPr="00B64300">
        <w:t>. Cardiff: WCPP.</w:t>
      </w:r>
    </w:p>
    <w:p w14:paraId="06104EFD" w14:textId="77777777" w:rsidR="00F920F7" w:rsidRPr="00B64300" w:rsidRDefault="00F920F7" w:rsidP="00F920F7">
      <w:pPr>
        <w:ind w:left="360"/>
      </w:pPr>
      <w:r w:rsidRPr="00B64300">
        <w:t xml:space="preserve">Wales Centre for Public Policy (2023) </w:t>
      </w:r>
      <w:r w:rsidRPr="00B64300">
        <w:rPr>
          <w:i/>
          <w:iCs/>
        </w:rPr>
        <w:t>Rural labour market challenges</w:t>
      </w:r>
      <w:r w:rsidRPr="00B64300">
        <w:t>. Cardiff: WCPP.</w:t>
      </w:r>
    </w:p>
    <w:p w14:paraId="3AB2E680" w14:textId="77777777" w:rsidR="00F920F7" w:rsidRPr="00B64300" w:rsidRDefault="00F920F7" w:rsidP="00F920F7">
      <w:pPr>
        <w:ind w:left="360"/>
      </w:pPr>
      <w:r w:rsidRPr="00B64300">
        <w:t xml:space="preserve">WISERD (2024) </w:t>
      </w:r>
      <w:r w:rsidRPr="00B64300">
        <w:rPr>
          <w:i/>
          <w:iCs/>
        </w:rPr>
        <w:t>Graduate mobility and regional inequalities in Wales</w:t>
      </w:r>
      <w:r w:rsidRPr="00B64300">
        <w:t>. Cardiff: WISERD.</w:t>
      </w:r>
    </w:p>
    <w:p w14:paraId="7C4184E1" w14:textId="77777777" w:rsidR="00F920F7" w:rsidRPr="00B64300" w:rsidRDefault="00F920F7" w:rsidP="00F920F7">
      <w:pPr>
        <w:ind w:left="360"/>
      </w:pPr>
      <w:r w:rsidRPr="00B64300">
        <w:t xml:space="preserve">WISERD (2024) </w:t>
      </w:r>
      <w:r w:rsidRPr="00B64300">
        <w:rPr>
          <w:i/>
          <w:iCs/>
        </w:rPr>
        <w:t>Graduate mobility trends in Wales</w:t>
      </w:r>
      <w:r w:rsidRPr="00B64300">
        <w:t>. Cardiff: Wales Institute of Social and Economic Research.</w:t>
      </w:r>
    </w:p>
    <w:p w14:paraId="5389D4F1" w14:textId="77777777" w:rsidR="00F920F7" w:rsidRPr="00457D74" w:rsidRDefault="00F920F7">
      <w:pPr>
        <w:rPr>
          <w:b/>
          <w:bCs/>
        </w:rPr>
      </w:pPr>
    </w:p>
    <w:sectPr w:rsidR="00F920F7" w:rsidRPr="00457D74">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EF852" w14:textId="77777777" w:rsidR="00E426BD" w:rsidRDefault="00E426BD" w:rsidP="00D24792">
      <w:pPr>
        <w:spacing w:after="0" w:line="240" w:lineRule="auto"/>
      </w:pPr>
      <w:r>
        <w:separator/>
      </w:r>
    </w:p>
  </w:endnote>
  <w:endnote w:type="continuationSeparator" w:id="0">
    <w:p w14:paraId="33AC72EB" w14:textId="77777777" w:rsidR="00E426BD" w:rsidRDefault="00E426BD" w:rsidP="00D24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60395770"/>
      <w:docPartObj>
        <w:docPartGallery w:val="Page Numbers (Bottom of Page)"/>
        <w:docPartUnique/>
      </w:docPartObj>
    </w:sdtPr>
    <w:sdtContent>
      <w:p w14:paraId="4653B2A3" w14:textId="50E57084" w:rsidR="00D24792" w:rsidRDefault="00D24792" w:rsidP="000C70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49E143" w14:textId="77777777" w:rsidR="00D24792" w:rsidRDefault="00D24792" w:rsidP="00D2479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3045924"/>
      <w:docPartObj>
        <w:docPartGallery w:val="Page Numbers (Bottom of Page)"/>
        <w:docPartUnique/>
      </w:docPartObj>
    </w:sdtPr>
    <w:sdtContent>
      <w:p w14:paraId="23DA591B" w14:textId="206094A2" w:rsidR="00D24792" w:rsidRDefault="00D24792" w:rsidP="000C70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FCF89D" w14:textId="77777777" w:rsidR="00D24792" w:rsidRDefault="00D24792" w:rsidP="00D2479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8F3C6" w14:textId="77777777" w:rsidR="00E426BD" w:rsidRDefault="00E426BD" w:rsidP="00D24792">
      <w:pPr>
        <w:spacing w:after="0" w:line="240" w:lineRule="auto"/>
      </w:pPr>
      <w:r>
        <w:separator/>
      </w:r>
    </w:p>
  </w:footnote>
  <w:footnote w:type="continuationSeparator" w:id="0">
    <w:p w14:paraId="3859D7E6" w14:textId="77777777" w:rsidR="00E426BD" w:rsidRDefault="00E426BD" w:rsidP="00D247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C63C1"/>
    <w:multiLevelType w:val="multilevel"/>
    <w:tmpl w:val="816EFF7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49E168E"/>
    <w:multiLevelType w:val="hybridMultilevel"/>
    <w:tmpl w:val="FA22A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D26984"/>
    <w:multiLevelType w:val="hybridMultilevel"/>
    <w:tmpl w:val="60146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7F666C"/>
    <w:multiLevelType w:val="hybridMultilevel"/>
    <w:tmpl w:val="78DAB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1359F7"/>
    <w:multiLevelType w:val="multilevel"/>
    <w:tmpl w:val="336C3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E47B7D"/>
    <w:multiLevelType w:val="multilevel"/>
    <w:tmpl w:val="97A2ADAE"/>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77217AB5"/>
    <w:multiLevelType w:val="hybridMultilevel"/>
    <w:tmpl w:val="3B20BFC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618517">
    <w:abstractNumId w:val="1"/>
  </w:num>
  <w:num w:numId="2" w16cid:durableId="685906599">
    <w:abstractNumId w:val="2"/>
  </w:num>
  <w:num w:numId="3" w16cid:durableId="1033919255">
    <w:abstractNumId w:val="3"/>
  </w:num>
  <w:num w:numId="4" w16cid:durableId="29764918">
    <w:abstractNumId w:val="6"/>
  </w:num>
  <w:num w:numId="5" w16cid:durableId="1113478030">
    <w:abstractNumId w:val="5"/>
  </w:num>
  <w:num w:numId="6" w16cid:durableId="2058969088">
    <w:abstractNumId w:val="0"/>
  </w:num>
  <w:num w:numId="7" w16cid:durableId="10558525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9CC"/>
    <w:rsid w:val="000061C7"/>
    <w:rsid w:val="00006910"/>
    <w:rsid w:val="000173CC"/>
    <w:rsid w:val="00024CD7"/>
    <w:rsid w:val="0002597B"/>
    <w:rsid w:val="0003149D"/>
    <w:rsid w:val="00051412"/>
    <w:rsid w:val="00065BC5"/>
    <w:rsid w:val="00066D5B"/>
    <w:rsid w:val="00070556"/>
    <w:rsid w:val="000812D6"/>
    <w:rsid w:val="00081F27"/>
    <w:rsid w:val="00083DE7"/>
    <w:rsid w:val="000921D4"/>
    <w:rsid w:val="00093820"/>
    <w:rsid w:val="00095107"/>
    <w:rsid w:val="000B25F2"/>
    <w:rsid w:val="000B3E67"/>
    <w:rsid w:val="000B4951"/>
    <w:rsid w:val="000D145D"/>
    <w:rsid w:val="000D28F7"/>
    <w:rsid w:val="000D483D"/>
    <w:rsid w:val="000E3B62"/>
    <w:rsid w:val="000F7582"/>
    <w:rsid w:val="00101036"/>
    <w:rsid w:val="00117726"/>
    <w:rsid w:val="00120B9A"/>
    <w:rsid w:val="001268AA"/>
    <w:rsid w:val="001347E1"/>
    <w:rsid w:val="00143D5D"/>
    <w:rsid w:val="001535EF"/>
    <w:rsid w:val="00161EBC"/>
    <w:rsid w:val="00186809"/>
    <w:rsid w:val="00195067"/>
    <w:rsid w:val="001A19F1"/>
    <w:rsid w:val="001A5D5E"/>
    <w:rsid w:val="001B6343"/>
    <w:rsid w:val="001C5DC5"/>
    <w:rsid w:val="001C6C79"/>
    <w:rsid w:val="001D3B8E"/>
    <w:rsid w:val="001D5EC0"/>
    <w:rsid w:val="001E1EC9"/>
    <w:rsid w:val="001F3903"/>
    <w:rsid w:val="00241D10"/>
    <w:rsid w:val="00244015"/>
    <w:rsid w:val="002472D3"/>
    <w:rsid w:val="00255DA1"/>
    <w:rsid w:val="0025682D"/>
    <w:rsid w:val="002811AC"/>
    <w:rsid w:val="002A3E39"/>
    <w:rsid w:val="002A4E50"/>
    <w:rsid w:val="002A736C"/>
    <w:rsid w:val="002B2A8B"/>
    <w:rsid w:val="002B2DAE"/>
    <w:rsid w:val="002B7213"/>
    <w:rsid w:val="002D2885"/>
    <w:rsid w:val="002D47CD"/>
    <w:rsid w:val="002D7722"/>
    <w:rsid w:val="002E5E8D"/>
    <w:rsid w:val="002E684F"/>
    <w:rsid w:val="00300566"/>
    <w:rsid w:val="0030086F"/>
    <w:rsid w:val="00301559"/>
    <w:rsid w:val="00304F0E"/>
    <w:rsid w:val="003064B0"/>
    <w:rsid w:val="00311011"/>
    <w:rsid w:val="0032328E"/>
    <w:rsid w:val="003236DE"/>
    <w:rsid w:val="003241DE"/>
    <w:rsid w:val="00330E8E"/>
    <w:rsid w:val="00331942"/>
    <w:rsid w:val="00332759"/>
    <w:rsid w:val="00332E94"/>
    <w:rsid w:val="00335FF5"/>
    <w:rsid w:val="00342B27"/>
    <w:rsid w:val="00354140"/>
    <w:rsid w:val="00364A28"/>
    <w:rsid w:val="003671BB"/>
    <w:rsid w:val="00367B6D"/>
    <w:rsid w:val="0037318C"/>
    <w:rsid w:val="00380D99"/>
    <w:rsid w:val="003842AE"/>
    <w:rsid w:val="00387C8F"/>
    <w:rsid w:val="003B5EB2"/>
    <w:rsid w:val="003B6806"/>
    <w:rsid w:val="003B69F5"/>
    <w:rsid w:val="003C2000"/>
    <w:rsid w:val="003D07FD"/>
    <w:rsid w:val="003E1F24"/>
    <w:rsid w:val="003E254F"/>
    <w:rsid w:val="003E28CC"/>
    <w:rsid w:val="003F1EA7"/>
    <w:rsid w:val="003F2B76"/>
    <w:rsid w:val="003F74DA"/>
    <w:rsid w:val="003F77CE"/>
    <w:rsid w:val="00401110"/>
    <w:rsid w:val="00402CB2"/>
    <w:rsid w:val="00404EE5"/>
    <w:rsid w:val="004178F6"/>
    <w:rsid w:val="00421D6C"/>
    <w:rsid w:val="004308A9"/>
    <w:rsid w:val="00430B93"/>
    <w:rsid w:val="0044035F"/>
    <w:rsid w:val="0044178B"/>
    <w:rsid w:val="0044471B"/>
    <w:rsid w:val="00444E52"/>
    <w:rsid w:val="00452B1F"/>
    <w:rsid w:val="00457D74"/>
    <w:rsid w:val="0046215F"/>
    <w:rsid w:val="0046508B"/>
    <w:rsid w:val="00475005"/>
    <w:rsid w:val="00477BA9"/>
    <w:rsid w:val="004802B2"/>
    <w:rsid w:val="0048448D"/>
    <w:rsid w:val="00485F33"/>
    <w:rsid w:val="00493C33"/>
    <w:rsid w:val="004955F5"/>
    <w:rsid w:val="004A2812"/>
    <w:rsid w:val="004A2F33"/>
    <w:rsid w:val="004A3DA8"/>
    <w:rsid w:val="004B19CE"/>
    <w:rsid w:val="004B1B74"/>
    <w:rsid w:val="004B3F63"/>
    <w:rsid w:val="004B6491"/>
    <w:rsid w:val="004B69F0"/>
    <w:rsid w:val="004C2457"/>
    <w:rsid w:val="004D3867"/>
    <w:rsid w:val="004F10B1"/>
    <w:rsid w:val="004F1628"/>
    <w:rsid w:val="004F5346"/>
    <w:rsid w:val="005428FE"/>
    <w:rsid w:val="00546EED"/>
    <w:rsid w:val="00554F38"/>
    <w:rsid w:val="00587578"/>
    <w:rsid w:val="00595B87"/>
    <w:rsid w:val="005A2009"/>
    <w:rsid w:val="005B0D57"/>
    <w:rsid w:val="005B4893"/>
    <w:rsid w:val="005C676C"/>
    <w:rsid w:val="005C6E02"/>
    <w:rsid w:val="005D7333"/>
    <w:rsid w:val="005E7A2D"/>
    <w:rsid w:val="005F2C67"/>
    <w:rsid w:val="00601050"/>
    <w:rsid w:val="00604516"/>
    <w:rsid w:val="00620FAD"/>
    <w:rsid w:val="00621F78"/>
    <w:rsid w:val="0063078B"/>
    <w:rsid w:val="006379CC"/>
    <w:rsid w:val="00642D1A"/>
    <w:rsid w:val="00657859"/>
    <w:rsid w:val="00657E95"/>
    <w:rsid w:val="00667D92"/>
    <w:rsid w:val="0067024F"/>
    <w:rsid w:val="00670AD9"/>
    <w:rsid w:val="00673494"/>
    <w:rsid w:val="0067463D"/>
    <w:rsid w:val="00675122"/>
    <w:rsid w:val="00677D20"/>
    <w:rsid w:val="006803E2"/>
    <w:rsid w:val="00690740"/>
    <w:rsid w:val="0069221F"/>
    <w:rsid w:val="00695AC0"/>
    <w:rsid w:val="00697C70"/>
    <w:rsid w:val="006A0673"/>
    <w:rsid w:val="006A17C2"/>
    <w:rsid w:val="006A1CC8"/>
    <w:rsid w:val="006A2674"/>
    <w:rsid w:val="006A5C2B"/>
    <w:rsid w:val="006C4933"/>
    <w:rsid w:val="006C56A7"/>
    <w:rsid w:val="006E3E4A"/>
    <w:rsid w:val="006F17A8"/>
    <w:rsid w:val="006F2FFA"/>
    <w:rsid w:val="00701EF4"/>
    <w:rsid w:val="00703F6B"/>
    <w:rsid w:val="00706450"/>
    <w:rsid w:val="00710637"/>
    <w:rsid w:val="007255B4"/>
    <w:rsid w:val="00734B94"/>
    <w:rsid w:val="00740DC8"/>
    <w:rsid w:val="007469D8"/>
    <w:rsid w:val="0075112D"/>
    <w:rsid w:val="0075726C"/>
    <w:rsid w:val="00764F9B"/>
    <w:rsid w:val="007654D2"/>
    <w:rsid w:val="0077085B"/>
    <w:rsid w:val="00774A6D"/>
    <w:rsid w:val="007770FB"/>
    <w:rsid w:val="00783A18"/>
    <w:rsid w:val="00786F32"/>
    <w:rsid w:val="00791B48"/>
    <w:rsid w:val="007931E6"/>
    <w:rsid w:val="007A5F5C"/>
    <w:rsid w:val="007D024E"/>
    <w:rsid w:val="007D093A"/>
    <w:rsid w:val="007D27F9"/>
    <w:rsid w:val="007D41DB"/>
    <w:rsid w:val="007E1718"/>
    <w:rsid w:val="00803CF7"/>
    <w:rsid w:val="008072B3"/>
    <w:rsid w:val="00817413"/>
    <w:rsid w:val="00840D0B"/>
    <w:rsid w:val="00841BFC"/>
    <w:rsid w:val="0084349C"/>
    <w:rsid w:val="0085075F"/>
    <w:rsid w:val="00851D73"/>
    <w:rsid w:val="00855A20"/>
    <w:rsid w:val="00856F6A"/>
    <w:rsid w:val="008572B0"/>
    <w:rsid w:val="00860603"/>
    <w:rsid w:val="008738AC"/>
    <w:rsid w:val="0087747A"/>
    <w:rsid w:val="00884E3B"/>
    <w:rsid w:val="008979CC"/>
    <w:rsid w:val="008B0977"/>
    <w:rsid w:val="008B7359"/>
    <w:rsid w:val="008C5089"/>
    <w:rsid w:val="008C5598"/>
    <w:rsid w:val="008D6A32"/>
    <w:rsid w:val="008D7AED"/>
    <w:rsid w:val="008E164C"/>
    <w:rsid w:val="008F319C"/>
    <w:rsid w:val="0090397C"/>
    <w:rsid w:val="00904DDD"/>
    <w:rsid w:val="00915332"/>
    <w:rsid w:val="009209EB"/>
    <w:rsid w:val="00920CF4"/>
    <w:rsid w:val="00941BDE"/>
    <w:rsid w:val="0094461F"/>
    <w:rsid w:val="0094483E"/>
    <w:rsid w:val="00962F17"/>
    <w:rsid w:val="00965CB7"/>
    <w:rsid w:val="0096747F"/>
    <w:rsid w:val="00976E03"/>
    <w:rsid w:val="00982F6B"/>
    <w:rsid w:val="00992382"/>
    <w:rsid w:val="00996062"/>
    <w:rsid w:val="009A1387"/>
    <w:rsid w:val="009A3943"/>
    <w:rsid w:val="009A6365"/>
    <w:rsid w:val="009A6879"/>
    <w:rsid w:val="009C1BC0"/>
    <w:rsid w:val="009C5056"/>
    <w:rsid w:val="009D1C5A"/>
    <w:rsid w:val="009D5971"/>
    <w:rsid w:val="009D7638"/>
    <w:rsid w:val="009E079A"/>
    <w:rsid w:val="009E534C"/>
    <w:rsid w:val="009F0100"/>
    <w:rsid w:val="00A019E2"/>
    <w:rsid w:val="00A07E5E"/>
    <w:rsid w:val="00A13BA7"/>
    <w:rsid w:val="00A21C89"/>
    <w:rsid w:val="00A22220"/>
    <w:rsid w:val="00A23134"/>
    <w:rsid w:val="00A30395"/>
    <w:rsid w:val="00A43C19"/>
    <w:rsid w:val="00A511BE"/>
    <w:rsid w:val="00A533A0"/>
    <w:rsid w:val="00A6191C"/>
    <w:rsid w:val="00A63155"/>
    <w:rsid w:val="00A66B82"/>
    <w:rsid w:val="00A76E1A"/>
    <w:rsid w:val="00A8166C"/>
    <w:rsid w:val="00A81808"/>
    <w:rsid w:val="00A84E73"/>
    <w:rsid w:val="00A93037"/>
    <w:rsid w:val="00AA03FB"/>
    <w:rsid w:val="00AA190B"/>
    <w:rsid w:val="00AA1E71"/>
    <w:rsid w:val="00AA5E29"/>
    <w:rsid w:val="00AA5F06"/>
    <w:rsid w:val="00AC2777"/>
    <w:rsid w:val="00AC7291"/>
    <w:rsid w:val="00AD155A"/>
    <w:rsid w:val="00AE11A2"/>
    <w:rsid w:val="00AE76F9"/>
    <w:rsid w:val="00B021D8"/>
    <w:rsid w:val="00B0532C"/>
    <w:rsid w:val="00B06C9D"/>
    <w:rsid w:val="00B07735"/>
    <w:rsid w:val="00B16D7B"/>
    <w:rsid w:val="00B1711C"/>
    <w:rsid w:val="00B17A76"/>
    <w:rsid w:val="00B30B73"/>
    <w:rsid w:val="00B35588"/>
    <w:rsid w:val="00B358E1"/>
    <w:rsid w:val="00B4209B"/>
    <w:rsid w:val="00B47D78"/>
    <w:rsid w:val="00B60364"/>
    <w:rsid w:val="00B638A4"/>
    <w:rsid w:val="00B7749F"/>
    <w:rsid w:val="00B84A04"/>
    <w:rsid w:val="00B85B94"/>
    <w:rsid w:val="00B87AED"/>
    <w:rsid w:val="00B96D7E"/>
    <w:rsid w:val="00BA2067"/>
    <w:rsid w:val="00BB72F2"/>
    <w:rsid w:val="00BC50CC"/>
    <w:rsid w:val="00BD18C2"/>
    <w:rsid w:val="00BD3674"/>
    <w:rsid w:val="00BD541F"/>
    <w:rsid w:val="00BD5DA0"/>
    <w:rsid w:val="00C02A6B"/>
    <w:rsid w:val="00C10402"/>
    <w:rsid w:val="00C152C2"/>
    <w:rsid w:val="00C205F7"/>
    <w:rsid w:val="00C21D8B"/>
    <w:rsid w:val="00C33EEA"/>
    <w:rsid w:val="00C34180"/>
    <w:rsid w:val="00C3576B"/>
    <w:rsid w:val="00C468E9"/>
    <w:rsid w:val="00C46F4D"/>
    <w:rsid w:val="00C52930"/>
    <w:rsid w:val="00C53F26"/>
    <w:rsid w:val="00C556BD"/>
    <w:rsid w:val="00C71E9D"/>
    <w:rsid w:val="00C75F28"/>
    <w:rsid w:val="00C84062"/>
    <w:rsid w:val="00C902EE"/>
    <w:rsid w:val="00C95198"/>
    <w:rsid w:val="00CB24A3"/>
    <w:rsid w:val="00CC45CD"/>
    <w:rsid w:val="00CE44F8"/>
    <w:rsid w:val="00CE619C"/>
    <w:rsid w:val="00D06A71"/>
    <w:rsid w:val="00D14730"/>
    <w:rsid w:val="00D23785"/>
    <w:rsid w:val="00D24792"/>
    <w:rsid w:val="00D25203"/>
    <w:rsid w:val="00D25647"/>
    <w:rsid w:val="00D27884"/>
    <w:rsid w:val="00D30191"/>
    <w:rsid w:val="00D3189B"/>
    <w:rsid w:val="00D33161"/>
    <w:rsid w:val="00D46DB8"/>
    <w:rsid w:val="00D5471E"/>
    <w:rsid w:val="00D57C69"/>
    <w:rsid w:val="00D61EEE"/>
    <w:rsid w:val="00D62D72"/>
    <w:rsid w:val="00D66C6F"/>
    <w:rsid w:val="00D74C11"/>
    <w:rsid w:val="00D76A07"/>
    <w:rsid w:val="00D857F4"/>
    <w:rsid w:val="00D87EC5"/>
    <w:rsid w:val="00DA2436"/>
    <w:rsid w:val="00DA7A2F"/>
    <w:rsid w:val="00DB6914"/>
    <w:rsid w:val="00DC0947"/>
    <w:rsid w:val="00DC6321"/>
    <w:rsid w:val="00DD32EC"/>
    <w:rsid w:val="00DE4573"/>
    <w:rsid w:val="00DF1703"/>
    <w:rsid w:val="00E053A2"/>
    <w:rsid w:val="00E0735A"/>
    <w:rsid w:val="00E13BCB"/>
    <w:rsid w:val="00E20A7D"/>
    <w:rsid w:val="00E236FD"/>
    <w:rsid w:val="00E23822"/>
    <w:rsid w:val="00E239CA"/>
    <w:rsid w:val="00E272AD"/>
    <w:rsid w:val="00E37A0F"/>
    <w:rsid w:val="00E426BD"/>
    <w:rsid w:val="00E43BDC"/>
    <w:rsid w:val="00E52538"/>
    <w:rsid w:val="00E532FE"/>
    <w:rsid w:val="00E60466"/>
    <w:rsid w:val="00E637F0"/>
    <w:rsid w:val="00E70911"/>
    <w:rsid w:val="00E838A2"/>
    <w:rsid w:val="00E91305"/>
    <w:rsid w:val="00E94F14"/>
    <w:rsid w:val="00E95DBA"/>
    <w:rsid w:val="00EA6782"/>
    <w:rsid w:val="00EB1EB8"/>
    <w:rsid w:val="00EB694E"/>
    <w:rsid w:val="00ED3255"/>
    <w:rsid w:val="00EF7975"/>
    <w:rsid w:val="00F1683D"/>
    <w:rsid w:val="00F16F7C"/>
    <w:rsid w:val="00F236A9"/>
    <w:rsid w:val="00F27008"/>
    <w:rsid w:val="00F27A03"/>
    <w:rsid w:val="00F27A71"/>
    <w:rsid w:val="00F34B90"/>
    <w:rsid w:val="00F34EE4"/>
    <w:rsid w:val="00F40729"/>
    <w:rsid w:val="00F50119"/>
    <w:rsid w:val="00F559B9"/>
    <w:rsid w:val="00F74C69"/>
    <w:rsid w:val="00F920F7"/>
    <w:rsid w:val="00F92C32"/>
    <w:rsid w:val="00F938FF"/>
    <w:rsid w:val="00FC34F3"/>
    <w:rsid w:val="00FD31C3"/>
    <w:rsid w:val="00FF0B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CCDAB"/>
  <w15:chartTrackingRefBased/>
  <w15:docId w15:val="{9B09E9B3-678E-4F34-A554-25C464A09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9CC"/>
    <w:pPr>
      <w:spacing w:line="276" w:lineRule="auto"/>
    </w:pPr>
    <w:rPr>
      <w:rFonts w:ascii="Arial" w:eastAsiaTheme="minorHAnsi" w:hAnsi="Arial" w:cs="Arial"/>
      <w:kern w:val="0"/>
      <w:lang w:eastAsia="en-US"/>
      <w14:ligatures w14:val="none"/>
    </w:rPr>
  </w:style>
  <w:style w:type="paragraph" w:styleId="Heading1">
    <w:name w:val="heading 1"/>
    <w:basedOn w:val="Normal"/>
    <w:next w:val="Normal"/>
    <w:link w:val="Heading1Char"/>
    <w:uiPriority w:val="9"/>
    <w:qFormat/>
    <w:rsid w:val="008979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79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79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79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79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79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79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79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79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79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79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79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79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79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79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79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79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79CC"/>
    <w:rPr>
      <w:rFonts w:eastAsiaTheme="majorEastAsia" w:cstheme="majorBidi"/>
      <w:color w:val="272727" w:themeColor="text1" w:themeTint="D8"/>
    </w:rPr>
  </w:style>
  <w:style w:type="paragraph" w:styleId="Title">
    <w:name w:val="Title"/>
    <w:basedOn w:val="Normal"/>
    <w:next w:val="Normal"/>
    <w:link w:val="TitleChar"/>
    <w:uiPriority w:val="10"/>
    <w:qFormat/>
    <w:rsid w:val="008979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79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79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79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79CC"/>
    <w:pPr>
      <w:spacing w:before="160"/>
      <w:jc w:val="center"/>
    </w:pPr>
    <w:rPr>
      <w:i/>
      <w:iCs/>
      <w:color w:val="404040" w:themeColor="text1" w:themeTint="BF"/>
    </w:rPr>
  </w:style>
  <w:style w:type="character" w:customStyle="1" w:styleId="QuoteChar">
    <w:name w:val="Quote Char"/>
    <w:basedOn w:val="DefaultParagraphFont"/>
    <w:link w:val="Quote"/>
    <w:uiPriority w:val="29"/>
    <w:rsid w:val="008979CC"/>
    <w:rPr>
      <w:i/>
      <w:iCs/>
      <w:color w:val="404040" w:themeColor="text1" w:themeTint="BF"/>
    </w:rPr>
  </w:style>
  <w:style w:type="paragraph" w:styleId="ListParagraph">
    <w:name w:val="List Paragraph"/>
    <w:basedOn w:val="Normal"/>
    <w:uiPriority w:val="34"/>
    <w:qFormat/>
    <w:rsid w:val="008979CC"/>
    <w:pPr>
      <w:ind w:left="720"/>
      <w:contextualSpacing/>
    </w:pPr>
  </w:style>
  <w:style w:type="character" w:styleId="IntenseEmphasis">
    <w:name w:val="Intense Emphasis"/>
    <w:basedOn w:val="DefaultParagraphFont"/>
    <w:uiPriority w:val="21"/>
    <w:qFormat/>
    <w:rsid w:val="008979CC"/>
    <w:rPr>
      <w:i/>
      <w:iCs/>
      <w:color w:val="0F4761" w:themeColor="accent1" w:themeShade="BF"/>
    </w:rPr>
  </w:style>
  <w:style w:type="paragraph" w:styleId="IntenseQuote">
    <w:name w:val="Intense Quote"/>
    <w:basedOn w:val="Normal"/>
    <w:next w:val="Normal"/>
    <w:link w:val="IntenseQuoteChar"/>
    <w:uiPriority w:val="30"/>
    <w:qFormat/>
    <w:rsid w:val="008979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79CC"/>
    <w:rPr>
      <w:i/>
      <w:iCs/>
      <w:color w:val="0F4761" w:themeColor="accent1" w:themeShade="BF"/>
    </w:rPr>
  </w:style>
  <w:style w:type="character" w:styleId="IntenseReference">
    <w:name w:val="Intense Reference"/>
    <w:basedOn w:val="DefaultParagraphFont"/>
    <w:uiPriority w:val="32"/>
    <w:qFormat/>
    <w:rsid w:val="008979CC"/>
    <w:rPr>
      <w:b/>
      <w:bCs/>
      <w:smallCaps/>
      <w:color w:val="0F4761" w:themeColor="accent1" w:themeShade="BF"/>
      <w:spacing w:val="5"/>
    </w:rPr>
  </w:style>
  <w:style w:type="character" w:styleId="CommentReference">
    <w:name w:val="annotation reference"/>
    <w:basedOn w:val="DefaultParagraphFont"/>
    <w:uiPriority w:val="99"/>
    <w:semiHidden/>
    <w:unhideWhenUsed/>
    <w:rsid w:val="00734B94"/>
    <w:rPr>
      <w:sz w:val="16"/>
      <w:szCs w:val="16"/>
    </w:rPr>
  </w:style>
  <w:style w:type="paragraph" w:styleId="CommentText">
    <w:name w:val="annotation text"/>
    <w:basedOn w:val="Normal"/>
    <w:link w:val="CommentTextChar"/>
    <w:uiPriority w:val="99"/>
    <w:unhideWhenUsed/>
    <w:rsid w:val="00734B94"/>
    <w:pPr>
      <w:spacing w:line="240" w:lineRule="auto"/>
    </w:pPr>
    <w:rPr>
      <w:sz w:val="20"/>
      <w:szCs w:val="20"/>
    </w:rPr>
  </w:style>
  <w:style w:type="character" w:customStyle="1" w:styleId="CommentTextChar">
    <w:name w:val="Comment Text Char"/>
    <w:basedOn w:val="DefaultParagraphFont"/>
    <w:link w:val="CommentText"/>
    <w:uiPriority w:val="99"/>
    <w:rsid w:val="00734B94"/>
    <w:rPr>
      <w:rFonts w:ascii="Arial" w:eastAsiaTheme="minorHAnsi" w:hAnsi="Arial" w:cs="Arial"/>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734B94"/>
    <w:rPr>
      <w:b/>
      <w:bCs/>
    </w:rPr>
  </w:style>
  <w:style w:type="character" w:customStyle="1" w:styleId="CommentSubjectChar">
    <w:name w:val="Comment Subject Char"/>
    <w:basedOn w:val="CommentTextChar"/>
    <w:link w:val="CommentSubject"/>
    <w:uiPriority w:val="99"/>
    <w:semiHidden/>
    <w:rsid w:val="00734B94"/>
    <w:rPr>
      <w:rFonts w:ascii="Arial" w:eastAsiaTheme="minorHAnsi" w:hAnsi="Arial" w:cs="Arial"/>
      <w:b/>
      <w:bCs/>
      <w:kern w:val="0"/>
      <w:sz w:val="20"/>
      <w:szCs w:val="20"/>
      <w:lang w:eastAsia="en-US"/>
      <w14:ligatures w14:val="none"/>
    </w:rPr>
  </w:style>
  <w:style w:type="character" w:styleId="Hyperlink">
    <w:name w:val="Hyperlink"/>
    <w:basedOn w:val="DefaultParagraphFont"/>
    <w:uiPriority w:val="99"/>
    <w:unhideWhenUsed/>
    <w:rsid w:val="00642D1A"/>
    <w:rPr>
      <w:color w:val="467886" w:themeColor="hyperlink"/>
      <w:u w:val="single"/>
    </w:rPr>
  </w:style>
  <w:style w:type="character" w:styleId="UnresolvedMention">
    <w:name w:val="Unresolved Mention"/>
    <w:basedOn w:val="DefaultParagraphFont"/>
    <w:uiPriority w:val="99"/>
    <w:semiHidden/>
    <w:unhideWhenUsed/>
    <w:rsid w:val="00642D1A"/>
    <w:rPr>
      <w:color w:val="605E5C"/>
      <w:shd w:val="clear" w:color="auto" w:fill="E1DFDD"/>
    </w:rPr>
  </w:style>
  <w:style w:type="paragraph" w:styleId="Footer">
    <w:name w:val="footer"/>
    <w:basedOn w:val="Normal"/>
    <w:link w:val="FooterChar"/>
    <w:uiPriority w:val="99"/>
    <w:unhideWhenUsed/>
    <w:rsid w:val="00D247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792"/>
    <w:rPr>
      <w:rFonts w:ascii="Arial" w:eastAsiaTheme="minorHAnsi" w:hAnsi="Arial" w:cs="Arial"/>
      <w:kern w:val="0"/>
      <w:lang w:eastAsia="en-US"/>
      <w14:ligatures w14:val="none"/>
    </w:rPr>
  </w:style>
  <w:style w:type="character" w:styleId="PageNumber">
    <w:name w:val="page number"/>
    <w:basedOn w:val="DefaultParagraphFont"/>
    <w:uiPriority w:val="99"/>
    <w:semiHidden/>
    <w:unhideWhenUsed/>
    <w:rsid w:val="00D24792"/>
  </w:style>
  <w:style w:type="paragraph" w:styleId="NormalWeb">
    <w:name w:val="Normal (Web)"/>
    <w:basedOn w:val="Normal"/>
    <w:uiPriority w:val="99"/>
    <w:unhideWhenUsed/>
    <w:rsid w:val="00BD5DA0"/>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skills-shortag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eoplemanagement.co.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leanroomtechnology.com" TargetMode="External"/><Relationship Id="rId4" Type="http://schemas.openxmlformats.org/officeDocument/2006/relationships/settings" Target="settings.xml"/><Relationship Id="rId9" Type="http://schemas.openxmlformats.org/officeDocument/2006/relationships/hyperlink" Target="https://www2.deloitte.com/hr"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BB1B7BF-619C-C44C-8C3A-B96758DC2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6315</Words>
  <Characters>35997</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Alys Owens</cp:lastModifiedBy>
  <cp:revision>6</cp:revision>
  <dcterms:created xsi:type="dcterms:W3CDTF">2025-11-26T20:07:00Z</dcterms:created>
  <dcterms:modified xsi:type="dcterms:W3CDTF">2025-12-01T13:15:00Z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dafbd0e0-9251-4695-9fcd-e742829f54c2</vt:lpwstr>
  </property>
</Properties>
</file>