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bCs w:val="0"/>
          <w:iCs w:val="0"/>
          <w:color w:val="2F5496" w:themeColor="accent1" w:themeShade="BF"/>
          <w:sz w:val="24"/>
          <w:szCs w:val="28"/>
          <w:lang w:val="en-GB" w:eastAsia="en-US"/>
        </w:rPr>
        <w:id w:val="1775054314"/>
        <w:docPartObj>
          <w:docPartGallery w:val="Cover Pages"/>
          <w:docPartUnique/>
        </w:docPartObj>
      </w:sdtPr>
      <w:sdtEndPr>
        <w:rPr>
          <w:rFonts w:asciiTheme="majorHAnsi" w:eastAsiaTheme="majorEastAsia" w:hAnsiTheme="majorHAnsi" w:cstheme="majorBidi"/>
          <w:sz w:val="40"/>
          <w:szCs w:val="40"/>
        </w:rPr>
      </w:sdtEndPr>
      <w:sdtContent>
        <w:p w14:paraId="533D0163" w14:textId="38A37672" w:rsidR="00580EBD" w:rsidRDefault="00580EBD">
          <w:pPr>
            <w:pStyle w:val="NoSpacing"/>
          </w:pPr>
          <w:r>
            <w:rPr>
              <w:noProof/>
            </w:rPr>
            <mc:AlternateContent>
              <mc:Choice Requires="wpg">
                <w:drawing>
                  <wp:anchor distT="0" distB="0" distL="114300" distR="114300" simplePos="0" relativeHeight="251659264" behindDoc="1" locked="0" layoutInCell="1" allowOverlap="1" wp14:anchorId="597A916D" wp14:editId="4E29DA0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01T00:00:00Z">
                                      <w:dateFormat w:val="M/d/yyyy"/>
                                      <w:lid w:val="en-US"/>
                                      <w:storeMappedDataAs w:val="dateTime"/>
                                      <w:calendar w:val="gregorian"/>
                                    </w:date>
                                  </w:sdtPr>
                                  <w:sdtContent>
                                    <w:p w14:paraId="74C7E839" w14:textId="77777777" w:rsidR="00580EBD" w:rsidRDefault="00580EBD">
                                      <w:pPr>
                                        <w:pStyle w:val="NoSpacing"/>
                                        <w:jc w:val="right"/>
                                        <w:rPr>
                                          <w:color w:val="FFFFFF" w:themeColor="background1"/>
                                          <w:sz w:val="28"/>
                                          <w:szCs w:val="28"/>
                                        </w:rPr>
                                      </w:pPr>
                                      <w:r>
                                        <w:rPr>
                                          <w:color w:val="FFFFFF" w:themeColor="background1"/>
                                          <w:sz w:val="28"/>
                                          <w:szCs w:val="28"/>
                                        </w:rPr>
                                        <w:t>10/1/2025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97A916D" id="Group 6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0-01T00:00:00Z">
                                <w:dateFormat w:val="M/d/yyyy"/>
                                <w:lid w:val="en-US"/>
                                <w:storeMappedDataAs w:val="dateTime"/>
                                <w:calendar w:val="gregorian"/>
                              </w:date>
                            </w:sdtPr>
                            <w:sdtContent>
                              <w:p w14:paraId="74C7E839" w14:textId="77777777" w:rsidR="00580EBD" w:rsidRDefault="00580EBD">
                                <w:pPr>
                                  <w:pStyle w:val="NoSpacing"/>
                                  <w:jc w:val="right"/>
                                  <w:rPr>
                                    <w:color w:val="FFFFFF" w:themeColor="background1"/>
                                    <w:sz w:val="28"/>
                                    <w:szCs w:val="28"/>
                                  </w:rPr>
                                </w:pPr>
                                <w:r>
                                  <w:rPr>
                                    <w:color w:val="FFFFFF" w:themeColor="background1"/>
                                    <w:sz w:val="28"/>
                                    <w:szCs w:val="28"/>
                                  </w:rPr>
                                  <w:t>10/1/2025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66B1D5C" w14:textId="097E6A31" w:rsidR="00DF21C2" w:rsidRDefault="00DF21C2">
          <w:pPr>
            <w:rPr>
              <w:sz w:val="22"/>
              <w:szCs w:val="22"/>
            </w:rPr>
          </w:pPr>
          <w:r w:rsidRPr="00DF21C2">
            <w:rPr>
              <w:sz w:val="22"/>
              <w:szCs w:val="22"/>
            </w:rPr>
            <w:t xml:space="preserve">Module: Coaching, Mentoring and Professional Development in </w:t>
          </w:r>
          <w:r w:rsidR="006F6FAC">
            <w:rPr>
              <w:sz w:val="22"/>
              <w:szCs w:val="22"/>
            </w:rPr>
            <w:t>Health</w:t>
          </w:r>
          <w:r w:rsidRPr="00DF21C2">
            <w:rPr>
              <w:sz w:val="22"/>
              <w:szCs w:val="22"/>
            </w:rPr>
            <w:t xml:space="preserve"> and Care (BMHP6024)</w:t>
          </w:r>
        </w:p>
        <w:p w14:paraId="36524FED" w14:textId="77777777" w:rsidR="00DF21C2" w:rsidRDefault="00DF21C2">
          <w:pPr>
            <w:rPr>
              <w:sz w:val="22"/>
              <w:szCs w:val="22"/>
            </w:rPr>
          </w:pPr>
          <w:r>
            <w:rPr>
              <w:sz w:val="22"/>
              <w:szCs w:val="22"/>
            </w:rPr>
            <w:t>Lecturer: Janet Howells-Johnson</w:t>
          </w:r>
        </w:p>
        <w:p w14:paraId="10460ED8" w14:textId="51BC8F4D" w:rsidR="009C5141" w:rsidRDefault="00681DDF" w:rsidP="000D7C77">
          <w:pPr>
            <w:pStyle w:val="Heading1"/>
          </w:pPr>
          <w:bookmarkStart w:id="0" w:name="_Toc215520944"/>
          <w:r w:rsidRPr="00DF21C2">
            <w:rPr>
              <w:noProof/>
              <w:sz w:val="22"/>
              <w:szCs w:val="22"/>
            </w:rPr>
            <mc:AlternateContent>
              <mc:Choice Requires="wps">
                <w:drawing>
                  <wp:anchor distT="0" distB="0" distL="114300" distR="114300" simplePos="0" relativeHeight="251660288" behindDoc="0" locked="0" layoutInCell="1" allowOverlap="1" wp14:anchorId="17FC034D" wp14:editId="5813D8C0">
                    <wp:simplePos x="0" y="0"/>
                    <wp:positionH relativeFrom="page">
                      <wp:posOffset>786581</wp:posOffset>
                    </wp:positionH>
                    <wp:positionV relativeFrom="page">
                      <wp:posOffset>3106994</wp:posOffset>
                    </wp:positionV>
                    <wp:extent cx="6115664" cy="1069340"/>
                    <wp:effectExtent l="0" t="0" r="6350" b="3175"/>
                    <wp:wrapNone/>
                    <wp:docPr id="1" name="Text Box 64"/>
                    <wp:cNvGraphicFramePr/>
                    <a:graphic xmlns:a="http://schemas.openxmlformats.org/drawingml/2006/main">
                      <a:graphicData uri="http://schemas.microsoft.com/office/word/2010/wordprocessingShape">
                        <wps:wsp>
                          <wps:cNvSpPr txBox="1"/>
                          <wps:spPr>
                            <a:xfrm>
                              <a:off x="0" y="0"/>
                              <a:ext cx="6115664"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9DEB2B" w14:textId="3578791B" w:rsidR="00580EBD" w:rsidRPr="009F1AE3" w:rsidRDefault="00000000">
                                <w:pPr>
                                  <w:pStyle w:val="NoSpacing"/>
                                  <w:rPr>
                                    <w:rFonts w:asciiTheme="majorHAnsi" w:eastAsiaTheme="majorEastAsia" w:hAnsiTheme="majorHAnsi" w:cstheme="majorBidi"/>
                                    <w:b/>
                                    <w:bCs w:val="0"/>
                                    <w:color w:val="262626" w:themeColor="text1" w:themeTint="D9"/>
                                    <w:sz w:val="44"/>
                                    <w:szCs w:val="44"/>
                                  </w:rPr>
                                </w:pPr>
                                <w:sdt>
                                  <w:sdtPr>
                                    <w:rPr>
                                      <w:rFonts w:asciiTheme="majorHAnsi" w:eastAsiaTheme="majorEastAsia" w:hAnsiTheme="majorHAnsi" w:cstheme="majorBidi"/>
                                      <w:b/>
                                      <w:bCs w:val="0"/>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617A9">
                                      <w:rPr>
                                        <w:rFonts w:asciiTheme="majorHAnsi" w:eastAsiaTheme="majorEastAsia" w:hAnsiTheme="majorHAnsi" w:cstheme="majorBidi"/>
                                        <w:b/>
                                        <w:color w:val="262626" w:themeColor="text1" w:themeTint="D9"/>
                                        <w:sz w:val="44"/>
                                        <w:szCs w:val="44"/>
                                      </w:rPr>
                                      <w:t>Coaching and Mentoring in Contemporary Healthcare: Benefits, Challenges, and Implications for Team-based      Practice</w:t>
                                    </w:r>
                                  </w:sdtContent>
                                </w:sdt>
                              </w:p>
                              <w:p w14:paraId="1E53ADFC" w14:textId="77777777" w:rsidR="00580EBD" w:rsidRPr="00BA508E" w:rsidRDefault="00000000">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80EBD" w:rsidRPr="00BA508E">
                                      <w:rPr>
                                        <w:b/>
                                        <w:bCs/>
                                        <w:color w:val="404040" w:themeColor="text1" w:themeTint="BF"/>
                                        <w:sz w:val="36"/>
                                        <w:szCs w:val="36"/>
                                      </w:rPr>
                                      <w:t>REPORT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7FC034D" id="_x0000_t202" coordsize="21600,21600" o:spt="202" path="m,l,21600r21600,l21600,xe">
                    <v:stroke joinstyle="miter"/>
                    <v:path gradientshapeok="t" o:connecttype="rect"/>
                  </v:shapetype>
                  <v:shape id="Text Box 64" o:spid="_x0000_s1055" type="#_x0000_t202" style="position:absolute;margin-left:61.95pt;margin-top:244.65pt;width:481.5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" filled="f" stroked="f" strokeweight=".5pt">
                    <v:textbox style="mso-fit-shape-to-text:t" inset="0,0,0,0">
                      <w:txbxContent>
                        <w:p w14:paraId="2D9DEB2B" w14:textId="3578791B" w:rsidR="00580EBD" w:rsidRPr="009F1AE3" w:rsidRDefault="00000000">
                          <w:pPr>
                            <w:pStyle w:val="NoSpacing"/>
                            <w:rPr>
                              <w:rFonts w:asciiTheme="majorHAnsi" w:eastAsiaTheme="majorEastAsia" w:hAnsiTheme="majorHAnsi" w:cstheme="majorBidi"/>
                              <w:b/>
                              <w:bCs w:val="0"/>
                              <w:color w:val="262626" w:themeColor="text1" w:themeTint="D9"/>
                              <w:sz w:val="44"/>
                              <w:szCs w:val="44"/>
                            </w:rPr>
                          </w:pPr>
                          <w:sdt>
                            <w:sdtPr>
                              <w:rPr>
                                <w:rFonts w:asciiTheme="majorHAnsi" w:eastAsiaTheme="majorEastAsia" w:hAnsiTheme="majorHAnsi" w:cstheme="majorBidi"/>
                                <w:b/>
                                <w:bCs w:val="0"/>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617A9">
                                <w:rPr>
                                  <w:rFonts w:asciiTheme="majorHAnsi" w:eastAsiaTheme="majorEastAsia" w:hAnsiTheme="majorHAnsi" w:cstheme="majorBidi"/>
                                  <w:b/>
                                  <w:color w:val="262626" w:themeColor="text1" w:themeTint="D9"/>
                                  <w:sz w:val="44"/>
                                  <w:szCs w:val="44"/>
                                </w:rPr>
                                <w:t>Coaching and Mentoring in Contemporary Healthcare: Benefits, Challenges, and Implications for Team-based      Practice</w:t>
                              </w:r>
                            </w:sdtContent>
                          </w:sdt>
                        </w:p>
                        <w:p w14:paraId="1E53ADFC" w14:textId="77777777" w:rsidR="00580EBD" w:rsidRPr="00BA508E" w:rsidRDefault="00000000">
                          <w:pPr>
                            <w:spacing w:before="120"/>
                            <w:rPr>
                              <w:b/>
                              <w:bCs/>
                              <w:color w:val="404040" w:themeColor="text1" w:themeTint="BF"/>
                              <w:sz w:val="36"/>
                              <w:szCs w:val="36"/>
                            </w:rPr>
                          </w:pPr>
                          <w:sdt>
                            <w:sdtPr>
                              <w:rPr>
                                <w:b/>
                                <w:bCs/>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80EBD" w:rsidRPr="00BA508E">
                                <w:rPr>
                                  <w:b/>
                                  <w:bCs/>
                                  <w:color w:val="404040" w:themeColor="text1" w:themeTint="BF"/>
                                  <w:sz w:val="36"/>
                                  <w:szCs w:val="36"/>
                                </w:rPr>
                                <w:t>REPORT</w:t>
                              </w:r>
                            </w:sdtContent>
                          </w:sdt>
                        </w:p>
                      </w:txbxContent>
                    </v:textbox>
                    <w10:wrap anchorx="page" anchory="page"/>
                  </v:shape>
                </w:pict>
              </mc:Fallback>
            </mc:AlternateContent>
          </w:r>
          <w:r w:rsidR="00BA508E">
            <w:rPr>
              <w:noProof/>
            </w:rPr>
            <w:drawing>
              <wp:anchor distT="0" distB="0" distL="114300" distR="114300" simplePos="0" relativeHeight="251662336" behindDoc="0" locked="0" layoutInCell="1" allowOverlap="1" wp14:anchorId="2F56EBB0" wp14:editId="3FB5480B">
                <wp:simplePos x="0" y="0"/>
                <wp:positionH relativeFrom="margin">
                  <wp:posOffset>511175</wp:posOffset>
                </wp:positionH>
                <wp:positionV relativeFrom="margin">
                  <wp:posOffset>4109720</wp:posOffset>
                </wp:positionV>
                <wp:extent cx="5290185" cy="2413000"/>
                <wp:effectExtent l="0" t="0" r="5715" b="0"/>
                <wp:wrapSquare wrapText="bothSides"/>
                <wp:docPr id="148988181" name="Picture 28" descr="A blue text with red and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88181" name="Picture 28" descr="A blue text with red and white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290185" cy="2413000"/>
                        </a:xfrm>
                        <a:prstGeom prst="rect">
                          <a:avLst/>
                        </a:prstGeom>
                      </pic:spPr>
                    </pic:pic>
                  </a:graphicData>
                </a:graphic>
                <wp14:sizeRelH relativeFrom="margin">
                  <wp14:pctWidth>0</wp14:pctWidth>
                </wp14:sizeRelH>
                <wp14:sizeRelV relativeFrom="margin">
                  <wp14:pctHeight>0</wp14:pctHeight>
                </wp14:sizeRelV>
              </wp:anchor>
            </w:drawing>
          </w:r>
          <w:r w:rsidR="00BA508E">
            <w:rPr>
              <w:noProof/>
            </w:rPr>
            <mc:AlternateContent>
              <mc:Choice Requires="wps">
                <w:drawing>
                  <wp:anchor distT="0" distB="0" distL="114300" distR="114300" simplePos="0" relativeHeight="251664384" behindDoc="0" locked="0" layoutInCell="1" allowOverlap="1" wp14:anchorId="2097A929" wp14:editId="21E7AFE3">
                    <wp:simplePos x="0" y="0"/>
                    <wp:positionH relativeFrom="column">
                      <wp:posOffset>539127</wp:posOffset>
                    </wp:positionH>
                    <wp:positionV relativeFrom="paragraph">
                      <wp:posOffset>6123244</wp:posOffset>
                    </wp:positionV>
                    <wp:extent cx="5290185" cy="635"/>
                    <wp:effectExtent l="0" t="0" r="5715" b="12065"/>
                    <wp:wrapSquare wrapText="bothSides"/>
                    <wp:docPr id="2056569922" name="Text Box 1"/>
                    <wp:cNvGraphicFramePr/>
                    <a:graphic xmlns:a="http://schemas.openxmlformats.org/drawingml/2006/main">
                      <a:graphicData uri="http://schemas.microsoft.com/office/word/2010/wordprocessingShape">
                        <wps:wsp>
                          <wps:cNvSpPr txBox="1"/>
                          <wps:spPr>
                            <a:xfrm>
                              <a:off x="0" y="0"/>
                              <a:ext cx="5290185" cy="635"/>
                            </a:xfrm>
                            <a:prstGeom prst="rect">
                              <a:avLst/>
                            </a:prstGeom>
                            <a:solidFill>
                              <a:prstClr val="white"/>
                            </a:solidFill>
                            <a:ln>
                              <a:noFill/>
                            </a:ln>
                          </wps:spPr>
                          <wps:txbx>
                            <w:txbxContent>
                              <w:p w14:paraId="34B39BDD" w14:textId="788D94E3" w:rsidR="00BD6ACF" w:rsidRPr="004E6E1C" w:rsidRDefault="00BD6ACF" w:rsidP="00BD6ACF">
                                <w:pPr>
                                  <w:pStyle w:val="Caption"/>
                                  <w:rPr>
                                    <w:iCs w:val="0"/>
                                    <w:noProof/>
                                  </w:rPr>
                                </w:pPr>
                                <w:r>
                                  <w:t xml:space="preserve">Figure </w:t>
                                </w:r>
                                <w:fldSimple w:instr=" SEQ Figure \* ARABIC ">
                                  <w:r>
                                    <w:rPr>
                                      <w:noProof/>
                                    </w:rPr>
                                    <w:t>1</w:t>
                                  </w:r>
                                </w:fldSimple>
                                <w:r>
                                  <w:t>: Coaching and Mentoring (Vrogue, 2025).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97A929" id="Text Box 1" o:spid="_x0000_s1056" type="#_x0000_t202" style="position:absolute;margin-left:42.45pt;margin-top:482.15pt;width:416.55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" stroked="f">
                    <v:textbox style="mso-fit-shape-to-text:t" inset="0,0,0,0">
                      <w:txbxContent>
                        <w:p w14:paraId="34B39BDD" w14:textId="788D94E3" w:rsidR="00BD6ACF" w:rsidRPr="004E6E1C" w:rsidRDefault="00BD6ACF" w:rsidP="00BD6ACF">
                          <w:pPr>
                            <w:pStyle w:val="Caption"/>
                            <w:rPr>
                              <w:iCs w:val="0"/>
                              <w:noProof/>
                            </w:rPr>
                          </w:pPr>
                          <w:r>
                            <w:t xml:space="preserve">Figure </w:t>
                          </w:r>
                          <w:fldSimple w:instr=" SEQ Figure \* ARABIC ">
                            <w:r>
                              <w:rPr>
                                <w:noProof/>
                              </w:rPr>
                              <w:t>1</w:t>
                            </w:r>
                          </w:fldSimple>
                          <w:r>
                            <w:t>: Coaching and Mentoring (Vrogue, 2025).</w:t>
                          </w:r>
                        </w:p>
                      </w:txbxContent>
                    </v:textbox>
                    <w10:wrap type="square"/>
                  </v:shape>
                </w:pict>
              </mc:Fallback>
            </mc:AlternateContent>
          </w:r>
          <w:r w:rsidR="00AF6364">
            <w:rPr>
              <w:noProof/>
            </w:rPr>
            <mc:AlternateContent>
              <mc:Choice Requires="wps">
                <w:drawing>
                  <wp:anchor distT="0" distB="0" distL="114300" distR="114300" simplePos="0" relativeHeight="251661312" behindDoc="0" locked="0" layoutInCell="1" allowOverlap="1" wp14:anchorId="369E8A80" wp14:editId="7B1B7C9E">
                    <wp:simplePos x="0" y="0"/>
                    <wp:positionH relativeFrom="page">
                      <wp:posOffset>5037567</wp:posOffset>
                    </wp:positionH>
                    <wp:positionV relativeFrom="page">
                      <wp:posOffset>9910355</wp:posOffset>
                    </wp:positionV>
                    <wp:extent cx="2017058" cy="415930"/>
                    <wp:effectExtent l="0" t="0" r="2540" b="3175"/>
                    <wp:wrapNone/>
                    <wp:docPr id="32" name="Text Box 62"/>
                    <wp:cNvGraphicFramePr/>
                    <a:graphic xmlns:a="http://schemas.openxmlformats.org/drawingml/2006/main">
                      <a:graphicData uri="http://schemas.microsoft.com/office/word/2010/wordprocessingShape">
                        <wps:wsp>
                          <wps:cNvSpPr txBox="1"/>
                          <wps:spPr>
                            <a:xfrm>
                              <a:off x="0" y="0"/>
                              <a:ext cx="2017058" cy="4159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13F48" w14:textId="5F4A3BED" w:rsidR="00580EBD" w:rsidRPr="00D17F95" w:rsidRDefault="00000000">
                                <w:pPr>
                                  <w:pStyle w:val="NoSpacing"/>
                                  <w:rPr>
                                    <w:color w:val="4472C4" w:themeColor="accent1"/>
                                  </w:rPr>
                                </w:pPr>
                                <w:sdt>
                                  <w:sdtPr>
                                    <w:rPr>
                                      <w:color w:val="4472C4" w:themeColor="accen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80EBD" w:rsidRPr="00D17F95">
                                      <w:rPr>
                                        <w:color w:val="4472C4" w:themeColor="accent1"/>
                                      </w:rPr>
                                      <w:t>Liviu Befu-Romanescu</w:t>
                                    </w:r>
                                  </w:sdtContent>
                                </w:sdt>
                              </w:p>
                              <w:p w14:paraId="3C3555EB" w14:textId="51380677" w:rsidR="00580EBD" w:rsidRPr="00D17F95" w:rsidRDefault="00000000">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00AF6364" w:rsidRPr="00D17F95">
                                      <w:rPr>
                                        <w:caps/>
                                        <w:color w:val="595959" w:themeColor="text1" w:themeTint="A6"/>
                                      </w:rPr>
                                      <w:t>student id: 2225450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69E8A80" id="Text Box 62" o:spid="_x0000_s1057" type="#_x0000_t202" style="position:absolute;margin-left:396.65pt;margin-top:780.35pt;width:158.8pt;height:32.7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" filled="f" stroked="f" strokeweight=".5pt">
                    <v:textbox inset="0,0,0,0">
                      <w:txbxContent>
                        <w:p w14:paraId="01913F48" w14:textId="5F4A3BED" w:rsidR="00580EBD" w:rsidRPr="00D17F95" w:rsidRDefault="00000000">
                          <w:pPr>
                            <w:pStyle w:val="NoSpacing"/>
                            <w:rPr>
                              <w:color w:val="4472C4" w:themeColor="accent1"/>
                            </w:rPr>
                          </w:pPr>
                          <w:sdt>
                            <w:sdtPr>
                              <w:rPr>
                                <w:color w:val="4472C4" w:themeColor="accen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80EBD" w:rsidRPr="00D17F95">
                                <w:rPr>
                                  <w:color w:val="4472C4" w:themeColor="accent1"/>
                                </w:rPr>
                                <w:t>Liviu Befu-Romanescu</w:t>
                              </w:r>
                            </w:sdtContent>
                          </w:sdt>
                        </w:p>
                        <w:p w14:paraId="3C3555EB" w14:textId="51380677" w:rsidR="00580EBD" w:rsidRPr="00D17F95" w:rsidRDefault="00000000">
                          <w:pPr>
                            <w:pStyle w:val="NoSpacing"/>
                            <w:rPr>
                              <w:color w:val="595959" w:themeColor="text1" w:themeTint="A6"/>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00AF6364" w:rsidRPr="00D17F95">
                                <w:rPr>
                                  <w:caps/>
                                  <w:color w:val="595959" w:themeColor="text1" w:themeTint="A6"/>
                                </w:rPr>
                                <w:t>student id: 2225450</w:t>
                              </w:r>
                            </w:sdtContent>
                          </w:sdt>
                        </w:p>
                      </w:txbxContent>
                    </v:textbox>
                    <w10:wrap anchorx="page" anchory="page"/>
                  </v:shape>
                </w:pict>
              </mc:Fallback>
            </mc:AlternateContent>
          </w:r>
          <w:bookmarkEnd w:id="0"/>
          <w:r w:rsidR="00580EBD">
            <w:br w:type="page"/>
          </w:r>
        </w:p>
        <w:sdt>
          <w:sdtPr>
            <w:rPr>
              <w:rFonts w:ascii="Times New Roman" w:eastAsiaTheme="minorHAnsi" w:hAnsi="Times New Roman" w:cs="Times New Roman"/>
              <w:b w:val="0"/>
              <w:iCs w:val="0"/>
              <w:color w:val="auto"/>
              <w:sz w:val="24"/>
              <w:lang w:val="en-GB"/>
            </w:rPr>
            <w:id w:val="1930458675"/>
            <w:docPartObj>
              <w:docPartGallery w:val="Table of Contents"/>
              <w:docPartUnique/>
            </w:docPartObj>
          </w:sdtPr>
          <w:sdtEndPr>
            <w:rPr>
              <w:bCs/>
              <w:noProof/>
            </w:rPr>
          </w:sdtEndPr>
          <w:sdtContent>
            <w:p w14:paraId="1151FD8B" w14:textId="665A8409" w:rsidR="009C5141" w:rsidRDefault="009C5141">
              <w:pPr>
                <w:pStyle w:val="TOCHeading"/>
              </w:pPr>
              <w:r>
                <w:t>Table of Contents</w:t>
              </w:r>
            </w:p>
            <w:p w14:paraId="7AEB90AE" w14:textId="0259EB8F" w:rsidR="0069673E" w:rsidRDefault="009C5141">
              <w:pPr>
                <w:pStyle w:val="TOC1"/>
                <w:tabs>
                  <w:tab w:val="right" w:leader="dot" w:pos="9016"/>
                </w:tabs>
                <w:rPr>
                  <w:rFonts w:eastAsiaTheme="minorEastAsia" w:cstheme="minorBidi"/>
                  <w:b w:val="0"/>
                  <w:i w:val="0"/>
                  <w:noProof/>
                  <w:kern w:val="2"/>
                  <w:lang w:eastAsia="en-GB"/>
                  <w14:ligatures w14:val="standardContextual"/>
                </w:rPr>
              </w:pPr>
              <w:r>
                <w:rPr>
                  <w:b w:val="0"/>
                  <w:bCs/>
                </w:rPr>
                <w:fldChar w:fldCharType="begin"/>
              </w:r>
              <w:r>
                <w:instrText xml:space="preserve"> TOC \o "1-3" \h \z \u </w:instrText>
              </w:r>
              <w:r>
                <w:rPr>
                  <w:b w:val="0"/>
                  <w:bCs/>
                </w:rPr>
                <w:fldChar w:fldCharType="separate"/>
              </w:r>
              <w:hyperlink w:anchor="_Toc215520944" w:history="1">
                <w:r w:rsidR="0069673E">
                  <w:rPr>
                    <w:noProof/>
                    <w:webHidden/>
                  </w:rPr>
                  <w:tab/>
                </w:r>
                <w:r w:rsidR="0069673E">
                  <w:rPr>
                    <w:noProof/>
                    <w:webHidden/>
                  </w:rPr>
                  <w:fldChar w:fldCharType="begin"/>
                </w:r>
                <w:r w:rsidR="0069673E">
                  <w:rPr>
                    <w:noProof/>
                    <w:webHidden/>
                  </w:rPr>
                  <w:instrText xml:space="preserve"> PAGEREF _Toc215520944 \h </w:instrText>
                </w:r>
                <w:r w:rsidR="0069673E">
                  <w:rPr>
                    <w:noProof/>
                    <w:webHidden/>
                  </w:rPr>
                </w:r>
                <w:r w:rsidR="0069673E">
                  <w:rPr>
                    <w:noProof/>
                    <w:webHidden/>
                  </w:rPr>
                  <w:fldChar w:fldCharType="separate"/>
                </w:r>
                <w:r w:rsidR="0069673E">
                  <w:rPr>
                    <w:noProof/>
                    <w:webHidden/>
                  </w:rPr>
                  <w:t>0</w:t>
                </w:r>
                <w:r w:rsidR="0069673E">
                  <w:rPr>
                    <w:noProof/>
                    <w:webHidden/>
                  </w:rPr>
                  <w:fldChar w:fldCharType="end"/>
                </w:r>
              </w:hyperlink>
            </w:p>
            <w:p w14:paraId="3A1A5926" w14:textId="162E7689" w:rsidR="0069673E" w:rsidRDefault="0069673E">
              <w:pPr>
                <w:pStyle w:val="TOC1"/>
                <w:tabs>
                  <w:tab w:val="right" w:leader="dot" w:pos="9016"/>
                </w:tabs>
                <w:rPr>
                  <w:rFonts w:eastAsiaTheme="minorEastAsia" w:cstheme="minorBidi"/>
                  <w:b w:val="0"/>
                  <w:i w:val="0"/>
                  <w:noProof/>
                  <w:kern w:val="2"/>
                  <w:lang w:eastAsia="en-GB"/>
                  <w14:ligatures w14:val="standardContextual"/>
                </w:rPr>
              </w:pPr>
              <w:hyperlink w:anchor="_Toc215520945" w:history="1">
                <w:r w:rsidRPr="00946991">
                  <w:rPr>
                    <w:rStyle w:val="Hyperlink"/>
                    <w:noProof/>
                  </w:rPr>
                  <w:t>Abstract</w:t>
                </w:r>
                <w:r>
                  <w:rPr>
                    <w:noProof/>
                    <w:webHidden/>
                  </w:rPr>
                  <w:tab/>
                </w:r>
                <w:r>
                  <w:rPr>
                    <w:noProof/>
                    <w:webHidden/>
                  </w:rPr>
                  <w:fldChar w:fldCharType="begin"/>
                </w:r>
                <w:r>
                  <w:rPr>
                    <w:noProof/>
                    <w:webHidden/>
                  </w:rPr>
                  <w:instrText xml:space="preserve"> PAGEREF _Toc215520945 \h </w:instrText>
                </w:r>
                <w:r>
                  <w:rPr>
                    <w:noProof/>
                    <w:webHidden/>
                  </w:rPr>
                </w:r>
                <w:r>
                  <w:rPr>
                    <w:noProof/>
                    <w:webHidden/>
                  </w:rPr>
                  <w:fldChar w:fldCharType="separate"/>
                </w:r>
                <w:r>
                  <w:rPr>
                    <w:noProof/>
                    <w:webHidden/>
                  </w:rPr>
                  <w:t>2</w:t>
                </w:r>
                <w:r>
                  <w:rPr>
                    <w:noProof/>
                    <w:webHidden/>
                  </w:rPr>
                  <w:fldChar w:fldCharType="end"/>
                </w:r>
              </w:hyperlink>
            </w:p>
            <w:p w14:paraId="1FDADCE6" w14:textId="2807661A" w:rsidR="0069673E" w:rsidRDefault="0069673E">
              <w:pPr>
                <w:pStyle w:val="TOC1"/>
                <w:tabs>
                  <w:tab w:val="left" w:pos="480"/>
                  <w:tab w:val="right" w:leader="dot" w:pos="9016"/>
                </w:tabs>
                <w:rPr>
                  <w:rFonts w:eastAsiaTheme="minorEastAsia" w:cstheme="minorBidi"/>
                  <w:b w:val="0"/>
                  <w:i w:val="0"/>
                  <w:noProof/>
                  <w:kern w:val="2"/>
                  <w:lang w:eastAsia="en-GB"/>
                  <w14:ligatures w14:val="standardContextual"/>
                </w:rPr>
              </w:pPr>
              <w:hyperlink w:anchor="_Toc215520946" w:history="1">
                <w:r w:rsidRPr="00946991">
                  <w:rPr>
                    <w:rStyle w:val="Hyperlink"/>
                    <w:noProof/>
                  </w:rPr>
                  <w:t>1.</w:t>
                </w:r>
                <w:r>
                  <w:rPr>
                    <w:rFonts w:eastAsiaTheme="minorEastAsia" w:cstheme="minorBidi"/>
                    <w:b w:val="0"/>
                    <w:i w:val="0"/>
                    <w:noProof/>
                    <w:kern w:val="2"/>
                    <w:lang w:eastAsia="en-GB"/>
                    <w14:ligatures w14:val="standardContextual"/>
                  </w:rPr>
                  <w:tab/>
                </w:r>
                <w:r w:rsidRPr="00946991">
                  <w:rPr>
                    <w:rStyle w:val="Hyperlink"/>
                    <w:noProof/>
                  </w:rPr>
                  <w:t>Introduction</w:t>
                </w:r>
                <w:r>
                  <w:rPr>
                    <w:noProof/>
                    <w:webHidden/>
                  </w:rPr>
                  <w:tab/>
                </w:r>
                <w:r>
                  <w:rPr>
                    <w:noProof/>
                    <w:webHidden/>
                  </w:rPr>
                  <w:fldChar w:fldCharType="begin"/>
                </w:r>
                <w:r>
                  <w:rPr>
                    <w:noProof/>
                    <w:webHidden/>
                  </w:rPr>
                  <w:instrText xml:space="preserve"> PAGEREF _Toc215520946 \h </w:instrText>
                </w:r>
                <w:r>
                  <w:rPr>
                    <w:noProof/>
                    <w:webHidden/>
                  </w:rPr>
                </w:r>
                <w:r>
                  <w:rPr>
                    <w:noProof/>
                    <w:webHidden/>
                  </w:rPr>
                  <w:fldChar w:fldCharType="separate"/>
                </w:r>
                <w:r>
                  <w:rPr>
                    <w:noProof/>
                    <w:webHidden/>
                  </w:rPr>
                  <w:t>3</w:t>
                </w:r>
                <w:r>
                  <w:rPr>
                    <w:noProof/>
                    <w:webHidden/>
                  </w:rPr>
                  <w:fldChar w:fldCharType="end"/>
                </w:r>
              </w:hyperlink>
            </w:p>
            <w:p w14:paraId="2A593215" w14:textId="67B03D34" w:rsidR="0069673E" w:rsidRDefault="0069673E">
              <w:pPr>
                <w:pStyle w:val="TOC1"/>
                <w:tabs>
                  <w:tab w:val="left" w:pos="480"/>
                  <w:tab w:val="right" w:leader="dot" w:pos="9016"/>
                </w:tabs>
                <w:rPr>
                  <w:rFonts w:eastAsiaTheme="minorEastAsia" w:cstheme="minorBidi"/>
                  <w:b w:val="0"/>
                  <w:i w:val="0"/>
                  <w:noProof/>
                  <w:kern w:val="2"/>
                  <w:lang w:eastAsia="en-GB"/>
                  <w14:ligatures w14:val="standardContextual"/>
                </w:rPr>
              </w:pPr>
              <w:hyperlink w:anchor="_Toc215520947" w:history="1">
                <w:r w:rsidRPr="00946991">
                  <w:rPr>
                    <w:rStyle w:val="Hyperlink"/>
                    <w:noProof/>
                  </w:rPr>
                  <w:t>2.</w:t>
                </w:r>
                <w:r>
                  <w:rPr>
                    <w:rFonts w:eastAsiaTheme="minorEastAsia" w:cstheme="minorBidi"/>
                    <w:b w:val="0"/>
                    <w:i w:val="0"/>
                    <w:noProof/>
                    <w:kern w:val="2"/>
                    <w:lang w:eastAsia="en-GB"/>
                    <w14:ligatures w14:val="standardContextual"/>
                  </w:rPr>
                  <w:tab/>
                </w:r>
                <w:r w:rsidRPr="00946991">
                  <w:rPr>
                    <w:rStyle w:val="Hyperlink"/>
                    <w:noProof/>
                  </w:rPr>
                  <w:t>Coaching, Mentoring, and Team-Based Healthcare</w:t>
                </w:r>
                <w:r>
                  <w:rPr>
                    <w:noProof/>
                    <w:webHidden/>
                  </w:rPr>
                  <w:tab/>
                </w:r>
                <w:r>
                  <w:rPr>
                    <w:noProof/>
                    <w:webHidden/>
                  </w:rPr>
                  <w:fldChar w:fldCharType="begin"/>
                </w:r>
                <w:r>
                  <w:rPr>
                    <w:noProof/>
                    <w:webHidden/>
                  </w:rPr>
                  <w:instrText xml:space="preserve"> PAGEREF _Toc215520947 \h </w:instrText>
                </w:r>
                <w:r>
                  <w:rPr>
                    <w:noProof/>
                    <w:webHidden/>
                  </w:rPr>
                </w:r>
                <w:r>
                  <w:rPr>
                    <w:noProof/>
                    <w:webHidden/>
                  </w:rPr>
                  <w:fldChar w:fldCharType="separate"/>
                </w:r>
                <w:r>
                  <w:rPr>
                    <w:noProof/>
                    <w:webHidden/>
                  </w:rPr>
                  <w:t>5</w:t>
                </w:r>
                <w:r>
                  <w:rPr>
                    <w:noProof/>
                    <w:webHidden/>
                  </w:rPr>
                  <w:fldChar w:fldCharType="end"/>
                </w:r>
              </w:hyperlink>
            </w:p>
            <w:p w14:paraId="3AE310E4" w14:textId="0CCAE0B4" w:rsidR="0069673E" w:rsidRDefault="0069673E">
              <w:pPr>
                <w:pStyle w:val="TOC2"/>
                <w:tabs>
                  <w:tab w:val="right" w:leader="dot" w:pos="9016"/>
                </w:tabs>
                <w:rPr>
                  <w:rFonts w:eastAsiaTheme="minorEastAsia" w:cstheme="minorBidi"/>
                  <w:b w:val="0"/>
                  <w:iCs w:val="0"/>
                  <w:noProof/>
                  <w:kern w:val="2"/>
                  <w:sz w:val="24"/>
                  <w:szCs w:val="24"/>
                  <w:lang w:eastAsia="en-GB"/>
                  <w14:ligatures w14:val="standardContextual"/>
                </w:rPr>
              </w:pPr>
              <w:hyperlink w:anchor="_Toc215520948" w:history="1">
                <w:r w:rsidRPr="00946991">
                  <w:rPr>
                    <w:rStyle w:val="Hyperlink"/>
                    <w:noProof/>
                  </w:rPr>
                  <w:t>2.1 Background and Context</w:t>
                </w:r>
                <w:r>
                  <w:rPr>
                    <w:noProof/>
                    <w:webHidden/>
                  </w:rPr>
                  <w:tab/>
                </w:r>
                <w:r>
                  <w:rPr>
                    <w:noProof/>
                    <w:webHidden/>
                  </w:rPr>
                  <w:fldChar w:fldCharType="begin"/>
                </w:r>
                <w:r>
                  <w:rPr>
                    <w:noProof/>
                    <w:webHidden/>
                  </w:rPr>
                  <w:instrText xml:space="preserve"> PAGEREF _Toc215520948 \h </w:instrText>
                </w:r>
                <w:r>
                  <w:rPr>
                    <w:noProof/>
                    <w:webHidden/>
                  </w:rPr>
                </w:r>
                <w:r>
                  <w:rPr>
                    <w:noProof/>
                    <w:webHidden/>
                  </w:rPr>
                  <w:fldChar w:fldCharType="separate"/>
                </w:r>
                <w:r>
                  <w:rPr>
                    <w:noProof/>
                    <w:webHidden/>
                  </w:rPr>
                  <w:t>5</w:t>
                </w:r>
                <w:r>
                  <w:rPr>
                    <w:noProof/>
                    <w:webHidden/>
                  </w:rPr>
                  <w:fldChar w:fldCharType="end"/>
                </w:r>
              </w:hyperlink>
            </w:p>
            <w:p w14:paraId="340BDCAF" w14:textId="4D81C110" w:rsidR="0069673E" w:rsidRDefault="0069673E">
              <w:pPr>
                <w:pStyle w:val="TOC2"/>
                <w:tabs>
                  <w:tab w:val="right" w:leader="dot" w:pos="9016"/>
                </w:tabs>
                <w:rPr>
                  <w:rFonts w:eastAsiaTheme="minorEastAsia" w:cstheme="minorBidi"/>
                  <w:b w:val="0"/>
                  <w:iCs w:val="0"/>
                  <w:noProof/>
                  <w:kern w:val="2"/>
                  <w:sz w:val="24"/>
                  <w:szCs w:val="24"/>
                  <w:lang w:eastAsia="en-GB"/>
                  <w14:ligatures w14:val="standardContextual"/>
                </w:rPr>
              </w:pPr>
              <w:hyperlink w:anchor="_Toc215520949" w:history="1">
                <w:r w:rsidRPr="00946991">
                  <w:rPr>
                    <w:rStyle w:val="Hyperlink"/>
                    <w:noProof/>
                  </w:rPr>
                  <w:t>2.2 The Principles of Team-Based Healthcare</w:t>
                </w:r>
                <w:r>
                  <w:rPr>
                    <w:noProof/>
                    <w:webHidden/>
                  </w:rPr>
                  <w:tab/>
                </w:r>
                <w:r>
                  <w:rPr>
                    <w:noProof/>
                    <w:webHidden/>
                  </w:rPr>
                  <w:fldChar w:fldCharType="begin"/>
                </w:r>
                <w:r>
                  <w:rPr>
                    <w:noProof/>
                    <w:webHidden/>
                  </w:rPr>
                  <w:instrText xml:space="preserve"> PAGEREF _Toc215520949 \h </w:instrText>
                </w:r>
                <w:r>
                  <w:rPr>
                    <w:noProof/>
                    <w:webHidden/>
                  </w:rPr>
                </w:r>
                <w:r>
                  <w:rPr>
                    <w:noProof/>
                    <w:webHidden/>
                  </w:rPr>
                  <w:fldChar w:fldCharType="separate"/>
                </w:r>
                <w:r>
                  <w:rPr>
                    <w:noProof/>
                    <w:webHidden/>
                  </w:rPr>
                  <w:t>6</w:t>
                </w:r>
                <w:r>
                  <w:rPr>
                    <w:noProof/>
                    <w:webHidden/>
                  </w:rPr>
                  <w:fldChar w:fldCharType="end"/>
                </w:r>
              </w:hyperlink>
            </w:p>
            <w:p w14:paraId="461E07F4" w14:textId="59C034D2" w:rsidR="0069673E" w:rsidRDefault="0069673E">
              <w:pPr>
                <w:pStyle w:val="TOC2"/>
                <w:tabs>
                  <w:tab w:val="right" w:leader="dot" w:pos="9016"/>
                </w:tabs>
                <w:rPr>
                  <w:rFonts w:eastAsiaTheme="minorEastAsia" w:cstheme="minorBidi"/>
                  <w:b w:val="0"/>
                  <w:iCs w:val="0"/>
                  <w:noProof/>
                  <w:kern w:val="2"/>
                  <w:sz w:val="24"/>
                  <w:szCs w:val="24"/>
                  <w:lang w:eastAsia="en-GB"/>
                  <w14:ligatures w14:val="standardContextual"/>
                </w:rPr>
              </w:pPr>
              <w:hyperlink w:anchor="_Toc215520950" w:history="1">
                <w:r w:rsidRPr="00946991">
                  <w:rPr>
                    <w:rStyle w:val="Hyperlink"/>
                    <w:noProof/>
                  </w:rPr>
                  <w:t>2.3 Theoretical and Conceptual Frameworks</w:t>
                </w:r>
                <w:r>
                  <w:rPr>
                    <w:noProof/>
                    <w:webHidden/>
                  </w:rPr>
                  <w:tab/>
                </w:r>
                <w:r>
                  <w:rPr>
                    <w:noProof/>
                    <w:webHidden/>
                  </w:rPr>
                  <w:fldChar w:fldCharType="begin"/>
                </w:r>
                <w:r>
                  <w:rPr>
                    <w:noProof/>
                    <w:webHidden/>
                  </w:rPr>
                  <w:instrText xml:space="preserve"> PAGEREF _Toc215520950 \h </w:instrText>
                </w:r>
                <w:r>
                  <w:rPr>
                    <w:noProof/>
                    <w:webHidden/>
                  </w:rPr>
                </w:r>
                <w:r>
                  <w:rPr>
                    <w:noProof/>
                    <w:webHidden/>
                  </w:rPr>
                  <w:fldChar w:fldCharType="separate"/>
                </w:r>
                <w:r>
                  <w:rPr>
                    <w:noProof/>
                    <w:webHidden/>
                  </w:rPr>
                  <w:t>7</w:t>
                </w:r>
                <w:r>
                  <w:rPr>
                    <w:noProof/>
                    <w:webHidden/>
                  </w:rPr>
                  <w:fldChar w:fldCharType="end"/>
                </w:r>
              </w:hyperlink>
            </w:p>
            <w:p w14:paraId="09240871" w14:textId="39341B32" w:rsidR="0069673E" w:rsidRDefault="0069673E">
              <w:pPr>
                <w:pStyle w:val="TOC2"/>
                <w:tabs>
                  <w:tab w:val="left" w:pos="720"/>
                  <w:tab w:val="right" w:leader="dot" w:pos="9016"/>
                </w:tabs>
                <w:rPr>
                  <w:rFonts w:eastAsiaTheme="minorEastAsia" w:cstheme="minorBidi"/>
                  <w:b w:val="0"/>
                  <w:iCs w:val="0"/>
                  <w:noProof/>
                  <w:kern w:val="2"/>
                  <w:sz w:val="24"/>
                  <w:szCs w:val="24"/>
                  <w:lang w:eastAsia="en-GB"/>
                  <w14:ligatures w14:val="standardContextual"/>
                </w:rPr>
              </w:pPr>
              <w:hyperlink w:anchor="_Toc215520951" w:history="1">
                <w:r w:rsidRPr="00946991">
                  <w:rPr>
                    <w:rStyle w:val="Hyperlink"/>
                    <w:noProof/>
                  </w:rPr>
                  <w:t>a.</w:t>
                </w:r>
                <w:r>
                  <w:rPr>
                    <w:rFonts w:eastAsiaTheme="minorEastAsia" w:cstheme="minorBidi"/>
                    <w:b w:val="0"/>
                    <w:iCs w:val="0"/>
                    <w:noProof/>
                    <w:kern w:val="2"/>
                    <w:sz w:val="24"/>
                    <w:szCs w:val="24"/>
                    <w:lang w:eastAsia="en-GB"/>
                    <w14:ligatures w14:val="standardContextual"/>
                  </w:rPr>
                  <w:tab/>
                </w:r>
                <w:r w:rsidRPr="00946991">
                  <w:rPr>
                    <w:rStyle w:val="Hyperlink"/>
                    <w:noProof/>
                  </w:rPr>
                  <w:t>GROW Model of Coaching</w:t>
                </w:r>
                <w:r>
                  <w:rPr>
                    <w:noProof/>
                    <w:webHidden/>
                  </w:rPr>
                  <w:tab/>
                </w:r>
                <w:r>
                  <w:rPr>
                    <w:noProof/>
                    <w:webHidden/>
                  </w:rPr>
                  <w:fldChar w:fldCharType="begin"/>
                </w:r>
                <w:r>
                  <w:rPr>
                    <w:noProof/>
                    <w:webHidden/>
                  </w:rPr>
                  <w:instrText xml:space="preserve"> PAGEREF _Toc215520951 \h </w:instrText>
                </w:r>
                <w:r>
                  <w:rPr>
                    <w:noProof/>
                    <w:webHidden/>
                  </w:rPr>
                </w:r>
                <w:r>
                  <w:rPr>
                    <w:noProof/>
                    <w:webHidden/>
                  </w:rPr>
                  <w:fldChar w:fldCharType="separate"/>
                </w:r>
                <w:r>
                  <w:rPr>
                    <w:noProof/>
                    <w:webHidden/>
                  </w:rPr>
                  <w:t>8</w:t>
                </w:r>
                <w:r>
                  <w:rPr>
                    <w:noProof/>
                    <w:webHidden/>
                  </w:rPr>
                  <w:fldChar w:fldCharType="end"/>
                </w:r>
              </w:hyperlink>
            </w:p>
            <w:p w14:paraId="466480A3" w14:textId="7B25BC61" w:rsidR="0069673E" w:rsidRDefault="0069673E">
              <w:pPr>
                <w:pStyle w:val="TOC2"/>
                <w:tabs>
                  <w:tab w:val="left" w:pos="720"/>
                  <w:tab w:val="right" w:leader="dot" w:pos="9016"/>
                </w:tabs>
                <w:rPr>
                  <w:rFonts w:eastAsiaTheme="minorEastAsia" w:cstheme="minorBidi"/>
                  <w:b w:val="0"/>
                  <w:iCs w:val="0"/>
                  <w:noProof/>
                  <w:kern w:val="2"/>
                  <w:sz w:val="24"/>
                  <w:szCs w:val="24"/>
                  <w:lang w:eastAsia="en-GB"/>
                  <w14:ligatures w14:val="standardContextual"/>
                </w:rPr>
              </w:pPr>
              <w:hyperlink w:anchor="_Toc215520952" w:history="1">
                <w:r w:rsidRPr="00946991">
                  <w:rPr>
                    <w:rStyle w:val="Hyperlink"/>
                    <w:noProof/>
                  </w:rPr>
                  <w:t>b.</w:t>
                </w:r>
                <w:r>
                  <w:rPr>
                    <w:rFonts w:eastAsiaTheme="minorEastAsia" w:cstheme="minorBidi"/>
                    <w:b w:val="0"/>
                    <w:iCs w:val="0"/>
                    <w:noProof/>
                    <w:kern w:val="2"/>
                    <w:sz w:val="24"/>
                    <w:szCs w:val="24"/>
                    <w:lang w:eastAsia="en-GB"/>
                    <w14:ligatures w14:val="standardContextual"/>
                  </w:rPr>
                  <w:tab/>
                </w:r>
                <w:r w:rsidRPr="00946991">
                  <w:rPr>
                    <w:rStyle w:val="Hyperlink"/>
                    <w:noProof/>
                  </w:rPr>
                  <w:t>Clutterbuck’s Mentoring Model</w:t>
                </w:r>
                <w:r>
                  <w:rPr>
                    <w:noProof/>
                    <w:webHidden/>
                  </w:rPr>
                  <w:tab/>
                </w:r>
                <w:r>
                  <w:rPr>
                    <w:noProof/>
                    <w:webHidden/>
                  </w:rPr>
                  <w:fldChar w:fldCharType="begin"/>
                </w:r>
                <w:r>
                  <w:rPr>
                    <w:noProof/>
                    <w:webHidden/>
                  </w:rPr>
                  <w:instrText xml:space="preserve"> PAGEREF _Toc215520952 \h </w:instrText>
                </w:r>
                <w:r>
                  <w:rPr>
                    <w:noProof/>
                    <w:webHidden/>
                  </w:rPr>
                </w:r>
                <w:r>
                  <w:rPr>
                    <w:noProof/>
                    <w:webHidden/>
                  </w:rPr>
                  <w:fldChar w:fldCharType="separate"/>
                </w:r>
                <w:r>
                  <w:rPr>
                    <w:noProof/>
                    <w:webHidden/>
                  </w:rPr>
                  <w:t>9</w:t>
                </w:r>
                <w:r>
                  <w:rPr>
                    <w:noProof/>
                    <w:webHidden/>
                  </w:rPr>
                  <w:fldChar w:fldCharType="end"/>
                </w:r>
              </w:hyperlink>
            </w:p>
            <w:p w14:paraId="18A7BFCA" w14:textId="5B205EF3" w:rsidR="0069673E" w:rsidRDefault="0069673E">
              <w:pPr>
                <w:pStyle w:val="TOC2"/>
                <w:tabs>
                  <w:tab w:val="left" w:pos="720"/>
                  <w:tab w:val="right" w:leader="dot" w:pos="9016"/>
                </w:tabs>
                <w:rPr>
                  <w:rFonts w:eastAsiaTheme="minorEastAsia" w:cstheme="minorBidi"/>
                  <w:b w:val="0"/>
                  <w:iCs w:val="0"/>
                  <w:noProof/>
                  <w:kern w:val="2"/>
                  <w:sz w:val="24"/>
                  <w:szCs w:val="24"/>
                  <w:lang w:eastAsia="en-GB"/>
                  <w14:ligatures w14:val="standardContextual"/>
                </w:rPr>
              </w:pPr>
              <w:hyperlink w:anchor="_Toc215520953" w:history="1">
                <w:r w:rsidRPr="00946991">
                  <w:rPr>
                    <w:rStyle w:val="Hyperlink"/>
                    <w:rFonts w:eastAsia="Times New Roman"/>
                    <w:bCs/>
                    <w:noProof/>
                    <w:lang w:eastAsia="en-GB"/>
                  </w:rPr>
                  <w:t>c.</w:t>
                </w:r>
                <w:r>
                  <w:rPr>
                    <w:rFonts w:eastAsiaTheme="minorEastAsia" w:cstheme="minorBidi"/>
                    <w:b w:val="0"/>
                    <w:iCs w:val="0"/>
                    <w:noProof/>
                    <w:kern w:val="2"/>
                    <w:sz w:val="24"/>
                    <w:szCs w:val="24"/>
                    <w:lang w:eastAsia="en-GB"/>
                    <w14:ligatures w14:val="standardContextual"/>
                  </w:rPr>
                  <w:tab/>
                </w:r>
                <w:r w:rsidRPr="00946991">
                  <w:rPr>
                    <w:rStyle w:val="Hyperlink"/>
                    <w:noProof/>
                  </w:rPr>
                  <w:t>Kolb’s (1984) Learning Cycle</w:t>
                </w:r>
                <w:r>
                  <w:rPr>
                    <w:noProof/>
                    <w:webHidden/>
                  </w:rPr>
                  <w:tab/>
                </w:r>
                <w:r>
                  <w:rPr>
                    <w:noProof/>
                    <w:webHidden/>
                  </w:rPr>
                  <w:fldChar w:fldCharType="begin"/>
                </w:r>
                <w:r>
                  <w:rPr>
                    <w:noProof/>
                    <w:webHidden/>
                  </w:rPr>
                  <w:instrText xml:space="preserve"> PAGEREF _Toc215520953 \h </w:instrText>
                </w:r>
                <w:r>
                  <w:rPr>
                    <w:noProof/>
                    <w:webHidden/>
                  </w:rPr>
                </w:r>
                <w:r>
                  <w:rPr>
                    <w:noProof/>
                    <w:webHidden/>
                  </w:rPr>
                  <w:fldChar w:fldCharType="separate"/>
                </w:r>
                <w:r>
                  <w:rPr>
                    <w:noProof/>
                    <w:webHidden/>
                  </w:rPr>
                  <w:t>10</w:t>
                </w:r>
                <w:r>
                  <w:rPr>
                    <w:noProof/>
                    <w:webHidden/>
                  </w:rPr>
                  <w:fldChar w:fldCharType="end"/>
                </w:r>
              </w:hyperlink>
            </w:p>
            <w:p w14:paraId="7675624D" w14:textId="6484DD07" w:rsidR="0069673E" w:rsidRDefault="0069673E">
              <w:pPr>
                <w:pStyle w:val="TOC1"/>
                <w:tabs>
                  <w:tab w:val="left" w:pos="480"/>
                  <w:tab w:val="right" w:leader="dot" w:pos="9016"/>
                </w:tabs>
                <w:rPr>
                  <w:rFonts w:eastAsiaTheme="minorEastAsia" w:cstheme="minorBidi"/>
                  <w:b w:val="0"/>
                  <w:i w:val="0"/>
                  <w:noProof/>
                  <w:kern w:val="2"/>
                  <w:lang w:eastAsia="en-GB"/>
                  <w14:ligatures w14:val="standardContextual"/>
                </w:rPr>
              </w:pPr>
              <w:hyperlink w:anchor="_Toc215520954" w:history="1">
                <w:r w:rsidRPr="00946991">
                  <w:rPr>
                    <w:rStyle w:val="Hyperlink"/>
                    <w:noProof/>
                  </w:rPr>
                  <w:t>3.</w:t>
                </w:r>
                <w:r>
                  <w:rPr>
                    <w:rFonts w:eastAsiaTheme="minorEastAsia" w:cstheme="minorBidi"/>
                    <w:b w:val="0"/>
                    <w:i w:val="0"/>
                    <w:noProof/>
                    <w:kern w:val="2"/>
                    <w:lang w:eastAsia="en-GB"/>
                    <w14:ligatures w14:val="standardContextual"/>
                  </w:rPr>
                  <w:tab/>
                </w:r>
                <w:r w:rsidRPr="00946991">
                  <w:rPr>
                    <w:rStyle w:val="Hyperlink"/>
                    <w:noProof/>
                  </w:rPr>
                  <w:t>Benefits of Coaching, Mentoring, and Effective Teamwork</w:t>
                </w:r>
                <w:r>
                  <w:rPr>
                    <w:noProof/>
                    <w:webHidden/>
                  </w:rPr>
                  <w:tab/>
                </w:r>
                <w:r>
                  <w:rPr>
                    <w:noProof/>
                    <w:webHidden/>
                  </w:rPr>
                  <w:fldChar w:fldCharType="begin"/>
                </w:r>
                <w:r>
                  <w:rPr>
                    <w:noProof/>
                    <w:webHidden/>
                  </w:rPr>
                  <w:instrText xml:space="preserve"> PAGEREF _Toc215520954 \h </w:instrText>
                </w:r>
                <w:r>
                  <w:rPr>
                    <w:noProof/>
                    <w:webHidden/>
                  </w:rPr>
                </w:r>
                <w:r>
                  <w:rPr>
                    <w:noProof/>
                    <w:webHidden/>
                  </w:rPr>
                  <w:fldChar w:fldCharType="separate"/>
                </w:r>
                <w:r>
                  <w:rPr>
                    <w:noProof/>
                    <w:webHidden/>
                  </w:rPr>
                  <w:t>11</w:t>
                </w:r>
                <w:r>
                  <w:rPr>
                    <w:noProof/>
                    <w:webHidden/>
                  </w:rPr>
                  <w:fldChar w:fldCharType="end"/>
                </w:r>
              </w:hyperlink>
            </w:p>
            <w:p w14:paraId="10490D7A" w14:textId="68BD7221" w:rsidR="0069673E" w:rsidRDefault="0069673E">
              <w:pPr>
                <w:pStyle w:val="TOC1"/>
                <w:tabs>
                  <w:tab w:val="left" w:pos="480"/>
                  <w:tab w:val="right" w:leader="dot" w:pos="9016"/>
                </w:tabs>
                <w:rPr>
                  <w:rFonts w:eastAsiaTheme="minorEastAsia" w:cstheme="minorBidi"/>
                  <w:b w:val="0"/>
                  <w:i w:val="0"/>
                  <w:noProof/>
                  <w:kern w:val="2"/>
                  <w:lang w:eastAsia="en-GB"/>
                  <w14:ligatures w14:val="standardContextual"/>
                </w:rPr>
              </w:pPr>
              <w:hyperlink w:anchor="_Toc215520955" w:history="1">
                <w:r w:rsidRPr="00946991">
                  <w:rPr>
                    <w:rStyle w:val="Hyperlink"/>
                    <w:noProof/>
                  </w:rPr>
                  <w:t>4.</w:t>
                </w:r>
                <w:r>
                  <w:rPr>
                    <w:rFonts w:eastAsiaTheme="minorEastAsia" w:cstheme="minorBidi"/>
                    <w:b w:val="0"/>
                    <w:i w:val="0"/>
                    <w:noProof/>
                    <w:kern w:val="2"/>
                    <w:lang w:eastAsia="en-GB"/>
                    <w14:ligatures w14:val="standardContextual"/>
                  </w:rPr>
                  <w:tab/>
                </w:r>
                <w:r w:rsidRPr="00946991">
                  <w:rPr>
                    <w:rStyle w:val="Hyperlink"/>
                    <w:noProof/>
                  </w:rPr>
                  <w:t>Challenges and Limitations in Coaching, Mentoring, and Team-Based Practice</w:t>
                </w:r>
                <w:r>
                  <w:rPr>
                    <w:noProof/>
                    <w:webHidden/>
                  </w:rPr>
                  <w:tab/>
                </w:r>
                <w:r>
                  <w:rPr>
                    <w:noProof/>
                    <w:webHidden/>
                  </w:rPr>
                  <w:fldChar w:fldCharType="begin"/>
                </w:r>
                <w:r>
                  <w:rPr>
                    <w:noProof/>
                    <w:webHidden/>
                  </w:rPr>
                  <w:instrText xml:space="preserve"> PAGEREF _Toc215520955 \h </w:instrText>
                </w:r>
                <w:r>
                  <w:rPr>
                    <w:noProof/>
                    <w:webHidden/>
                  </w:rPr>
                </w:r>
                <w:r>
                  <w:rPr>
                    <w:noProof/>
                    <w:webHidden/>
                  </w:rPr>
                  <w:fldChar w:fldCharType="separate"/>
                </w:r>
                <w:r>
                  <w:rPr>
                    <w:noProof/>
                    <w:webHidden/>
                  </w:rPr>
                  <w:t>13</w:t>
                </w:r>
                <w:r>
                  <w:rPr>
                    <w:noProof/>
                    <w:webHidden/>
                  </w:rPr>
                  <w:fldChar w:fldCharType="end"/>
                </w:r>
              </w:hyperlink>
            </w:p>
            <w:p w14:paraId="5D96AB34" w14:textId="404B6E0B" w:rsidR="0069673E" w:rsidRDefault="0069673E">
              <w:pPr>
                <w:pStyle w:val="TOC1"/>
                <w:tabs>
                  <w:tab w:val="left" w:pos="480"/>
                  <w:tab w:val="right" w:leader="dot" w:pos="9016"/>
                </w:tabs>
                <w:rPr>
                  <w:rFonts w:eastAsiaTheme="minorEastAsia" w:cstheme="minorBidi"/>
                  <w:b w:val="0"/>
                  <w:i w:val="0"/>
                  <w:noProof/>
                  <w:kern w:val="2"/>
                  <w:lang w:eastAsia="en-GB"/>
                  <w14:ligatures w14:val="standardContextual"/>
                </w:rPr>
              </w:pPr>
              <w:hyperlink w:anchor="_Toc215520956" w:history="1">
                <w:r w:rsidRPr="00946991">
                  <w:rPr>
                    <w:rStyle w:val="Hyperlink"/>
                    <w:noProof/>
                  </w:rPr>
                  <w:t>5.</w:t>
                </w:r>
                <w:r>
                  <w:rPr>
                    <w:rFonts w:eastAsiaTheme="minorEastAsia" w:cstheme="minorBidi"/>
                    <w:b w:val="0"/>
                    <w:i w:val="0"/>
                    <w:noProof/>
                    <w:kern w:val="2"/>
                    <w:lang w:eastAsia="en-GB"/>
                    <w14:ligatures w14:val="standardContextual"/>
                  </w:rPr>
                  <w:tab/>
                </w:r>
                <w:r w:rsidRPr="00946991">
                  <w:rPr>
                    <w:rStyle w:val="Hyperlink"/>
                    <w:noProof/>
                  </w:rPr>
                  <w:t>Personal and Interpersonal Skills in Today’s Health and Care Environment and How They Can Be Nurtured</w:t>
                </w:r>
                <w:r>
                  <w:rPr>
                    <w:noProof/>
                    <w:webHidden/>
                  </w:rPr>
                  <w:tab/>
                </w:r>
                <w:r>
                  <w:rPr>
                    <w:noProof/>
                    <w:webHidden/>
                  </w:rPr>
                  <w:fldChar w:fldCharType="begin"/>
                </w:r>
                <w:r>
                  <w:rPr>
                    <w:noProof/>
                    <w:webHidden/>
                  </w:rPr>
                  <w:instrText xml:space="preserve"> PAGEREF _Toc215520956 \h </w:instrText>
                </w:r>
                <w:r>
                  <w:rPr>
                    <w:noProof/>
                    <w:webHidden/>
                  </w:rPr>
                </w:r>
                <w:r>
                  <w:rPr>
                    <w:noProof/>
                    <w:webHidden/>
                  </w:rPr>
                  <w:fldChar w:fldCharType="separate"/>
                </w:r>
                <w:r>
                  <w:rPr>
                    <w:noProof/>
                    <w:webHidden/>
                  </w:rPr>
                  <w:t>15</w:t>
                </w:r>
                <w:r>
                  <w:rPr>
                    <w:noProof/>
                    <w:webHidden/>
                  </w:rPr>
                  <w:fldChar w:fldCharType="end"/>
                </w:r>
              </w:hyperlink>
            </w:p>
            <w:p w14:paraId="7832D855" w14:textId="5604CA08" w:rsidR="0069673E" w:rsidRDefault="0069673E">
              <w:pPr>
                <w:pStyle w:val="TOC1"/>
                <w:tabs>
                  <w:tab w:val="left" w:pos="480"/>
                  <w:tab w:val="right" w:leader="dot" w:pos="9016"/>
                </w:tabs>
                <w:rPr>
                  <w:rFonts w:eastAsiaTheme="minorEastAsia" w:cstheme="minorBidi"/>
                  <w:b w:val="0"/>
                  <w:i w:val="0"/>
                  <w:noProof/>
                  <w:kern w:val="2"/>
                  <w:lang w:eastAsia="en-GB"/>
                  <w14:ligatures w14:val="standardContextual"/>
                </w:rPr>
              </w:pPr>
              <w:hyperlink w:anchor="_Toc215520957" w:history="1">
                <w:r w:rsidRPr="00946991">
                  <w:rPr>
                    <w:rStyle w:val="Hyperlink"/>
                    <w:noProof/>
                  </w:rPr>
                  <w:t>6.</w:t>
                </w:r>
                <w:r>
                  <w:rPr>
                    <w:rFonts w:eastAsiaTheme="minorEastAsia" w:cstheme="minorBidi"/>
                    <w:b w:val="0"/>
                    <w:i w:val="0"/>
                    <w:noProof/>
                    <w:kern w:val="2"/>
                    <w:lang w:eastAsia="en-GB"/>
                    <w14:ligatures w14:val="standardContextual"/>
                  </w:rPr>
                  <w:tab/>
                </w:r>
                <w:r w:rsidRPr="00946991">
                  <w:rPr>
                    <w:rStyle w:val="Hyperlink"/>
                    <w:noProof/>
                  </w:rPr>
                  <w:t>Conclusion</w:t>
                </w:r>
                <w:r>
                  <w:rPr>
                    <w:noProof/>
                    <w:webHidden/>
                  </w:rPr>
                  <w:tab/>
                </w:r>
                <w:r>
                  <w:rPr>
                    <w:noProof/>
                    <w:webHidden/>
                  </w:rPr>
                  <w:fldChar w:fldCharType="begin"/>
                </w:r>
                <w:r>
                  <w:rPr>
                    <w:noProof/>
                    <w:webHidden/>
                  </w:rPr>
                  <w:instrText xml:space="preserve"> PAGEREF _Toc215520957 \h </w:instrText>
                </w:r>
                <w:r>
                  <w:rPr>
                    <w:noProof/>
                    <w:webHidden/>
                  </w:rPr>
                </w:r>
                <w:r>
                  <w:rPr>
                    <w:noProof/>
                    <w:webHidden/>
                  </w:rPr>
                  <w:fldChar w:fldCharType="separate"/>
                </w:r>
                <w:r>
                  <w:rPr>
                    <w:noProof/>
                    <w:webHidden/>
                  </w:rPr>
                  <w:t>17</w:t>
                </w:r>
                <w:r>
                  <w:rPr>
                    <w:noProof/>
                    <w:webHidden/>
                  </w:rPr>
                  <w:fldChar w:fldCharType="end"/>
                </w:r>
              </w:hyperlink>
            </w:p>
            <w:p w14:paraId="51A22B0A" w14:textId="4E5DA225" w:rsidR="0069673E" w:rsidRDefault="0069673E">
              <w:pPr>
                <w:pStyle w:val="TOC1"/>
                <w:tabs>
                  <w:tab w:val="left" w:pos="480"/>
                  <w:tab w:val="right" w:leader="dot" w:pos="9016"/>
                </w:tabs>
                <w:rPr>
                  <w:rFonts w:eastAsiaTheme="minorEastAsia" w:cstheme="minorBidi"/>
                  <w:b w:val="0"/>
                  <w:i w:val="0"/>
                  <w:noProof/>
                  <w:kern w:val="2"/>
                  <w:lang w:eastAsia="en-GB"/>
                  <w14:ligatures w14:val="standardContextual"/>
                </w:rPr>
              </w:pPr>
              <w:hyperlink w:anchor="_Toc215520958" w:history="1">
                <w:r w:rsidRPr="00946991">
                  <w:rPr>
                    <w:rStyle w:val="Hyperlink"/>
                    <w:noProof/>
                  </w:rPr>
                  <w:t>7.</w:t>
                </w:r>
                <w:r>
                  <w:rPr>
                    <w:rFonts w:eastAsiaTheme="minorEastAsia" w:cstheme="minorBidi"/>
                    <w:b w:val="0"/>
                    <w:i w:val="0"/>
                    <w:noProof/>
                    <w:kern w:val="2"/>
                    <w:lang w:eastAsia="en-GB"/>
                    <w14:ligatures w14:val="standardContextual"/>
                  </w:rPr>
                  <w:tab/>
                </w:r>
                <w:r w:rsidRPr="00946991">
                  <w:rPr>
                    <w:rStyle w:val="Hyperlink"/>
                    <w:noProof/>
                  </w:rPr>
                  <w:t>References</w:t>
                </w:r>
                <w:r>
                  <w:rPr>
                    <w:noProof/>
                    <w:webHidden/>
                  </w:rPr>
                  <w:tab/>
                </w:r>
                <w:r>
                  <w:rPr>
                    <w:noProof/>
                    <w:webHidden/>
                  </w:rPr>
                  <w:fldChar w:fldCharType="begin"/>
                </w:r>
                <w:r>
                  <w:rPr>
                    <w:noProof/>
                    <w:webHidden/>
                  </w:rPr>
                  <w:instrText xml:space="preserve"> PAGEREF _Toc215520958 \h </w:instrText>
                </w:r>
                <w:r>
                  <w:rPr>
                    <w:noProof/>
                    <w:webHidden/>
                  </w:rPr>
                </w:r>
                <w:r>
                  <w:rPr>
                    <w:noProof/>
                    <w:webHidden/>
                  </w:rPr>
                  <w:fldChar w:fldCharType="separate"/>
                </w:r>
                <w:r>
                  <w:rPr>
                    <w:noProof/>
                    <w:webHidden/>
                  </w:rPr>
                  <w:t>18</w:t>
                </w:r>
                <w:r>
                  <w:rPr>
                    <w:noProof/>
                    <w:webHidden/>
                  </w:rPr>
                  <w:fldChar w:fldCharType="end"/>
                </w:r>
              </w:hyperlink>
            </w:p>
            <w:p w14:paraId="09579C51" w14:textId="555A09B4" w:rsidR="002332F7" w:rsidRDefault="009C5141" w:rsidP="002332F7">
              <w:pPr>
                <w:rPr>
                  <w:b/>
                  <w:bCs/>
                  <w:noProof/>
                </w:rPr>
              </w:pPr>
              <w:r>
                <w:rPr>
                  <w:b/>
                  <w:bCs/>
                  <w:noProof/>
                </w:rPr>
                <w:fldChar w:fldCharType="end"/>
              </w:r>
            </w:p>
            <w:p w14:paraId="0E138562" w14:textId="77777777" w:rsidR="002332F7" w:rsidRDefault="002332F7" w:rsidP="002332F7">
              <w:pPr>
                <w:rPr>
                  <w:b/>
                  <w:bCs/>
                  <w:noProof/>
                </w:rPr>
              </w:pPr>
            </w:p>
            <w:p w14:paraId="35B50664" w14:textId="77777777" w:rsidR="002332F7" w:rsidRDefault="002332F7" w:rsidP="002332F7">
              <w:pPr>
                <w:rPr>
                  <w:b/>
                  <w:bCs/>
                  <w:noProof/>
                </w:rPr>
              </w:pPr>
            </w:p>
            <w:p w14:paraId="5C8E74EB" w14:textId="77777777" w:rsidR="002332F7" w:rsidRDefault="002332F7" w:rsidP="002332F7">
              <w:pPr>
                <w:rPr>
                  <w:b/>
                  <w:bCs/>
                  <w:noProof/>
                </w:rPr>
              </w:pPr>
            </w:p>
            <w:p w14:paraId="18C50A9E" w14:textId="77777777" w:rsidR="006E73F2" w:rsidRDefault="006E73F2" w:rsidP="006E73F2"/>
            <w:p w14:paraId="66A55E60" w14:textId="77777777" w:rsidR="006E73F2" w:rsidRDefault="006E73F2" w:rsidP="006E73F2"/>
            <w:p w14:paraId="40098E0C" w14:textId="60A9A17F" w:rsidR="006E73F2" w:rsidRDefault="00000000" w:rsidP="006E73F2"/>
          </w:sdtContent>
        </w:sdt>
        <w:p w14:paraId="49ACBDA0" w14:textId="77777777" w:rsidR="006E73F2" w:rsidRDefault="006E73F2" w:rsidP="000D7C77">
          <w:pPr>
            <w:pStyle w:val="Heading1"/>
          </w:pPr>
        </w:p>
        <w:p w14:paraId="1B838941" w14:textId="77777777" w:rsidR="006E73F2" w:rsidRDefault="006E73F2" w:rsidP="000D7C77">
          <w:pPr>
            <w:pStyle w:val="Heading1"/>
          </w:pPr>
        </w:p>
        <w:p w14:paraId="07A771B3" w14:textId="77777777" w:rsidR="00D75D5F" w:rsidRDefault="00D75D5F" w:rsidP="000D7C77">
          <w:pPr>
            <w:pStyle w:val="Heading1"/>
          </w:pPr>
        </w:p>
        <w:p w14:paraId="448141D7" w14:textId="77777777" w:rsidR="00D75D5F" w:rsidRDefault="00D75D5F" w:rsidP="00D75D5F"/>
        <w:p w14:paraId="5FB7B549" w14:textId="77777777" w:rsidR="00D75D5F" w:rsidRDefault="00D75D5F" w:rsidP="00D75D5F"/>
        <w:p w14:paraId="4DDB371E" w14:textId="77777777" w:rsidR="00D75D5F" w:rsidRPr="00D75D5F" w:rsidRDefault="00D75D5F" w:rsidP="00D75D5F"/>
        <w:p w14:paraId="0286BCA4" w14:textId="1A5D4832" w:rsidR="009C5141" w:rsidRDefault="002332F7" w:rsidP="000D7C77">
          <w:pPr>
            <w:pStyle w:val="Heading1"/>
          </w:pPr>
          <w:bookmarkStart w:id="1" w:name="_Toc215520945"/>
          <w:r>
            <w:lastRenderedPageBreak/>
            <w:t>Abstract</w:t>
          </w:r>
          <w:bookmarkEnd w:id="1"/>
        </w:p>
        <w:p w14:paraId="4DAD914C" w14:textId="77777777" w:rsidR="009C5141" w:rsidRDefault="009C5141" w:rsidP="000D7C77">
          <w:pPr>
            <w:pStyle w:val="Heading1"/>
          </w:pPr>
        </w:p>
        <w:p w14:paraId="784CCDF0" w14:textId="5DEE8B3E" w:rsidR="007B1322" w:rsidRDefault="006E73F2" w:rsidP="006E73F2">
          <w:pPr>
            <w:spacing w:line="360" w:lineRule="auto"/>
          </w:pPr>
          <w:r w:rsidRPr="006E73F2">
            <w:t>This</w:t>
          </w:r>
          <w:r>
            <w:t xml:space="preserve"> report examines the benefits and challenges of coaching and mentoring in contemporary healthcare environments, emphasising team-based practice, personal skills, reflective practice, and relevant concepts and frameworks employed.  It explores the role of coaching and mentoring as developmental methods that enhance staff competence and confidence, while also fostering</w:t>
          </w:r>
          <w:r w:rsidR="007B1322">
            <w:t xml:space="preserve"> collaboration across multidisciplinary teams.  The analysis highlights how these strategies facilitate effective team-based </w:t>
          </w:r>
          <w:r w:rsidR="000F3A76">
            <w:t>Healthcare</w:t>
          </w:r>
          <w:r w:rsidR="007B1322">
            <w:t xml:space="preserve"> by fostering better communication, decision-making, and shared accountability.  Nevertheless, the report also highlights challenges and limitations, including time constraints, inconsistent training, cultural resistance, and digital inequalities, which may impede engagement and effectiveness.</w:t>
          </w:r>
        </w:p>
        <w:p w14:paraId="6A34D4F4" w14:textId="6970BE84" w:rsidR="007B1322" w:rsidRPr="006E73F2" w:rsidRDefault="007B1322" w:rsidP="006E73F2">
          <w:pPr>
            <w:spacing w:line="360" w:lineRule="auto"/>
          </w:pPr>
          <w:r>
            <w:t xml:space="preserve">Furthermore, it assesses the personal and interpersonal skills </w:t>
          </w:r>
          <w:r w:rsidR="003938B5">
            <w:t>essential</w:t>
          </w:r>
          <w:r>
            <w:t xml:space="preserve"> for contemporary healthcare professionals, </w:t>
          </w:r>
          <w:r w:rsidR="003938B5">
            <w:t>including</w:t>
          </w:r>
          <w:r>
            <w:t xml:space="preserve"> emotional intelligence, verbal and nonverbal communication, empathy, clarity, digital literacy</w:t>
          </w:r>
          <w:r w:rsidR="003938B5">
            <w:t>,</w:t>
          </w:r>
          <w:r>
            <w:t xml:space="preserve"> and adaptability</w:t>
          </w:r>
          <w:r w:rsidR="003938B5">
            <w:t>. It examines</w:t>
          </w:r>
          <w:r>
            <w:t xml:space="preserve"> how these skills can be nurtured through structured development programs.</w:t>
          </w:r>
        </w:p>
        <w:p w14:paraId="5107B272" w14:textId="77777777" w:rsidR="009C5141" w:rsidRDefault="009C5141" w:rsidP="000D7C77">
          <w:pPr>
            <w:pStyle w:val="Heading1"/>
          </w:pPr>
        </w:p>
        <w:p w14:paraId="69A35C06" w14:textId="77777777" w:rsidR="009C5141" w:rsidRDefault="009C5141" w:rsidP="000D7C77">
          <w:pPr>
            <w:pStyle w:val="Heading1"/>
          </w:pPr>
        </w:p>
        <w:p w14:paraId="51FBD15E" w14:textId="77777777" w:rsidR="002332F7" w:rsidRDefault="002332F7" w:rsidP="000D7C77">
          <w:pPr>
            <w:pStyle w:val="Heading1"/>
          </w:pPr>
        </w:p>
        <w:p w14:paraId="244555FD" w14:textId="0411E417" w:rsidR="000D7C77" w:rsidRDefault="00AF6364" w:rsidP="003D2524">
          <w:pPr>
            <w:pStyle w:val="Heading1"/>
            <w:numPr>
              <w:ilvl w:val="0"/>
              <w:numId w:val="1"/>
            </w:numPr>
          </w:pPr>
          <w:r>
            <w:br w:type="page"/>
          </w:r>
          <w:bookmarkStart w:id="2" w:name="_Toc215520946"/>
          <w:r>
            <w:lastRenderedPageBreak/>
            <w:t>Introduction</w:t>
          </w:r>
          <w:bookmarkEnd w:id="2"/>
        </w:p>
        <w:p w14:paraId="195B9B55" w14:textId="77777777" w:rsidR="000D7C77" w:rsidRDefault="000D7C77"/>
        <w:p w14:paraId="6A7BEA68" w14:textId="77777777" w:rsidR="000D7C77" w:rsidRDefault="000D7C77"/>
        <w:p w14:paraId="1607D1D9" w14:textId="0A968704" w:rsidR="00291ED4" w:rsidRDefault="00291ED4" w:rsidP="00F62F21">
          <w:pPr>
            <w:spacing w:line="360" w:lineRule="auto"/>
            <w:ind w:firstLine="720"/>
          </w:pPr>
          <w:r w:rsidRPr="00291ED4">
            <w:t>In today’s</w:t>
          </w:r>
          <w:r>
            <w:t xml:space="preserve"> healthcare environments, collaboration and teamwork are crucial for maintaining patient safety, promoting staff </w:t>
          </w:r>
          <w:r w:rsidR="003718D6">
            <w:t>wellbeing</w:t>
          </w:r>
          <w:r>
            <w:t xml:space="preserve">, and </w:t>
          </w:r>
          <w:r w:rsidR="00C07AB3">
            <w:t>optimising</w:t>
          </w:r>
          <w:r>
            <w:t xml:space="preserve"> service efficiency and healthcare outcomes. </w:t>
          </w:r>
        </w:p>
        <w:p w14:paraId="57D0B549" w14:textId="50BBC037" w:rsidR="00F62F21" w:rsidRDefault="0038604B" w:rsidP="00CE61E1">
          <w:pPr>
            <w:spacing w:line="360" w:lineRule="auto"/>
            <w:ind w:firstLine="720"/>
          </w:pPr>
          <w:r>
            <w:t xml:space="preserve">This report investigates the benefits and challenges associated with coaching, mentoring, and team-based </w:t>
          </w:r>
          <w:r w:rsidR="000F3A76">
            <w:t>Healthcare</w:t>
          </w:r>
          <w:r>
            <w:t xml:space="preserve">, examines the personal skills necessary for effective practice, and considers how these skills can be developed within today’s digitally advanced healthcare systems.  </w:t>
          </w:r>
          <w:r w:rsidR="00A8181C" w:rsidRPr="00A8181C">
            <w:t xml:space="preserve">Moreover, the paper will discuss key concepts and theories in </w:t>
          </w:r>
          <w:r w:rsidR="000F3A76">
            <w:t>Healthcare</w:t>
          </w:r>
          <w:r w:rsidR="00A8181C" w:rsidRPr="00A8181C">
            <w:t xml:space="preserve"> that support coaching and mentoring, including the GROW Model of Coaching, Clutterbuck’s Mentoring Model, and Kolb’s Learning Cycle.</w:t>
          </w:r>
          <w:r w:rsidR="00A8181C">
            <w:t xml:space="preserve">  </w:t>
          </w:r>
          <w:r w:rsidR="00CE61E1" w:rsidRPr="00CD33FF">
            <w:t>The structured analysis aims to illustrate that the effective implementation of coaching and mentoring, as well as other concepts, can play a crucial role in fostering a culture of learning, resilience, staff retention, and compassionate leadership within the health and social care workforce.</w:t>
          </w:r>
        </w:p>
        <w:p w14:paraId="0386D901" w14:textId="0D20AD79" w:rsidR="006F6FAC" w:rsidRDefault="006F6FAC" w:rsidP="006F6FAC">
          <w:pPr>
            <w:spacing w:line="360" w:lineRule="auto"/>
          </w:pPr>
          <w:r>
            <w:t>According to Meyer and Fourie (2006</w:t>
          </w:r>
          <w:r w:rsidR="00536B5D">
            <w:t>, p. 3</w:t>
          </w:r>
          <w:r>
            <w:t>), coaching is:</w:t>
          </w:r>
        </w:p>
        <w:p w14:paraId="321A027D" w14:textId="5D0BFCCF" w:rsidR="00F62F21" w:rsidRDefault="006F6FAC" w:rsidP="006F6FAC">
          <w:pPr>
            <w:spacing w:line="360" w:lineRule="auto"/>
            <w:ind w:left="720"/>
          </w:pPr>
          <w:r>
            <w:t>The systematic, planned</w:t>
          </w:r>
          <w:r w:rsidR="0024409B">
            <w:t>,</w:t>
          </w:r>
          <w:r>
            <w:t xml:space="preserve"> and direct guidance of an individual or group of individuals by a coach to learn and develop specific skills that are applied and implemented in the workforce</w:t>
          </w:r>
          <w:r w:rsidR="0024409B">
            <w:t>, thereby translating</w:t>
          </w:r>
          <w:r>
            <w:t xml:space="preserve"> directly to clearly defined performance outcomes achieved over a short period of time.</w:t>
          </w:r>
        </w:p>
        <w:p w14:paraId="0FC2F10C" w14:textId="18748C1B" w:rsidR="00665528" w:rsidRPr="00771706" w:rsidRDefault="00F62F21" w:rsidP="00665528">
          <w:pPr>
            <w:spacing w:line="360" w:lineRule="auto"/>
            <w:ind w:firstLine="720"/>
            <w:rPr>
              <w:bCs/>
              <w:iCs/>
              <w:szCs w:val="24"/>
            </w:rPr>
          </w:pPr>
          <w:r>
            <w:t xml:space="preserve">Furthermore, the NHS Support Foundation </w:t>
          </w:r>
          <w:r w:rsidR="008C304C">
            <w:t xml:space="preserve">(NHS) </w:t>
          </w:r>
          <w:r>
            <w:t>(2025) explains that the U</w:t>
          </w:r>
          <w:r w:rsidR="008C304C">
            <w:t xml:space="preserve">nited </w:t>
          </w:r>
          <w:r>
            <w:t>K</w:t>
          </w:r>
          <w:r w:rsidR="008C304C">
            <w:t>ingdom (UK)</w:t>
          </w:r>
          <w:r>
            <w:t xml:space="preserve"> is facing a significant staffing crisis, where underfunding training new staff, coupled with a deficiency in strategies aimed at retaining staff, has resulted in high pressure among the existing </w:t>
          </w:r>
          <w:r w:rsidR="00AA1ADC">
            <w:t>workforce</w:t>
          </w:r>
          <w:r>
            <w:t>.</w:t>
          </w:r>
          <w:r w:rsidR="00C07B33">
            <w:t xml:space="preserve"> </w:t>
          </w:r>
          <w:r>
            <w:t xml:space="preserve">Additionally, NHS Employers (2025) found in their research that coaching empowered their workforce to reflect on their skill set and make informed decisions regarding their career </w:t>
          </w:r>
          <w:r w:rsidR="00665528">
            <w:t>steps.</w:t>
          </w:r>
          <w:r w:rsidR="00C07B33">
            <w:rPr>
              <w:szCs w:val="24"/>
            </w:rPr>
            <w:t xml:space="preserve"> </w:t>
          </w:r>
          <w:r w:rsidR="00665528">
            <w:rPr>
              <w:szCs w:val="24"/>
            </w:rPr>
            <w:t xml:space="preserve">Another point to remember is that </w:t>
          </w:r>
          <w:r w:rsidR="00665528" w:rsidRPr="00665528">
            <w:rPr>
              <w:i/>
              <w:szCs w:val="24"/>
            </w:rPr>
            <w:t>empowerment</w:t>
          </w:r>
          <w:r w:rsidR="00665528">
            <w:rPr>
              <w:szCs w:val="24"/>
            </w:rPr>
            <w:t>,</w:t>
          </w:r>
          <w:r w:rsidR="00665528" w:rsidRPr="00771706">
            <w:rPr>
              <w:szCs w:val="24"/>
            </w:rPr>
            <w:t xml:space="preserve"> </w:t>
          </w:r>
          <w:r w:rsidR="00665528">
            <w:rPr>
              <w:szCs w:val="24"/>
            </w:rPr>
            <w:t>as defined</w:t>
          </w:r>
          <w:r w:rsidR="00665528" w:rsidRPr="00771706">
            <w:rPr>
              <w:szCs w:val="24"/>
            </w:rPr>
            <w:t xml:space="preserve"> by Gibson (1991</w:t>
          </w:r>
          <w:r w:rsidR="00536B5D">
            <w:rPr>
              <w:szCs w:val="24"/>
            </w:rPr>
            <w:t>, p.1</w:t>
          </w:r>
          <w:r w:rsidR="00665528" w:rsidRPr="00771706">
            <w:rPr>
              <w:szCs w:val="24"/>
            </w:rPr>
            <w:t>)</w:t>
          </w:r>
          <w:r w:rsidR="00665528">
            <w:rPr>
              <w:szCs w:val="24"/>
            </w:rPr>
            <w:t>, is</w:t>
          </w:r>
          <w:r w:rsidR="00665528" w:rsidRPr="00771706">
            <w:rPr>
              <w:szCs w:val="24"/>
            </w:rPr>
            <w:t>:</w:t>
          </w:r>
        </w:p>
        <w:p w14:paraId="44A6100F" w14:textId="329F836D" w:rsidR="00665528" w:rsidRDefault="00665528" w:rsidP="00665528">
          <w:pPr>
            <w:spacing w:line="360" w:lineRule="auto"/>
            <w:ind w:left="720"/>
            <w:rPr>
              <w:bCs/>
              <w:iCs/>
              <w:szCs w:val="24"/>
            </w:rPr>
          </w:pPr>
          <w:r>
            <w:rPr>
              <w:szCs w:val="24"/>
            </w:rPr>
            <w:t>A social</w:t>
          </w:r>
          <w:r w:rsidRPr="00771706">
            <w:rPr>
              <w:szCs w:val="24"/>
            </w:rPr>
            <w:t xml:space="preserve"> process that contributes to </w:t>
          </w:r>
          <w:r w:rsidR="00C07AB3">
            <w:rPr>
              <w:szCs w:val="24"/>
            </w:rPr>
            <w:t>recognising</w:t>
          </w:r>
          <w:r w:rsidRPr="00771706">
            <w:rPr>
              <w:szCs w:val="24"/>
            </w:rPr>
            <w:t xml:space="preserve">, promoting, and enhancing </w:t>
          </w:r>
          <w:r w:rsidR="00E33DAA">
            <w:rPr>
              <w:szCs w:val="24"/>
            </w:rPr>
            <w:t>people's</w:t>
          </w:r>
          <w:r w:rsidRPr="00771706">
            <w:rPr>
              <w:szCs w:val="24"/>
            </w:rPr>
            <w:t xml:space="preserve"> abilities to meet their own needs, solve their own problems, and </w:t>
          </w:r>
          <w:r w:rsidR="00C07AB3">
            <w:rPr>
              <w:szCs w:val="24"/>
            </w:rPr>
            <w:t>mobilise</w:t>
          </w:r>
          <w:r w:rsidRPr="00771706">
            <w:rPr>
              <w:szCs w:val="24"/>
            </w:rPr>
            <w:t xml:space="preserve"> necessary resources to feel in control of their own lives or the factors that affect their health.</w:t>
          </w:r>
        </w:p>
        <w:p w14:paraId="77B836F2" w14:textId="7B32129B" w:rsidR="00AA1ADC" w:rsidRDefault="00E72DC8" w:rsidP="00AA1ADC">
          <w:pPr>
            <w:spacing w:line="360" w:lineRule="auto"/>
          </w:pPr>
          <w:r>
            <w:t xml:space="preserve">NHS England (2025) states that legacy mentors are experienced nurses or other medical professionals, </w:t>
          </w:r>
          <w:r w:rsidR="00F276CD">
            <w:t>typically</w:t>
          </w:r>
          <w:r>
            <w:t xml:space="preserve"> in the later </w:t>
          </w:r>
          <w:r w:rsidR="00F276CD">
            <w:t>phases</w:t>
          </w:r>
          <w:r>
            <w:t xml:space="preserve"> of their careers, who offer coaching and mentoring to new personnel at the beginning of their </w:t>
          </w:r>
          <w:r w:rsidR="007F69C8">
            <w:t>jobs</w:t>
          </w:r>
          <w:r>
            <w:t xml:space="preserve"> or </w:t>
          </w:r>
          <w:r w:rsidR="00F276CD">
            <w:t xml:space="preserve">those </w:t>
          </w:r>
          <w:r>
            <w:t>newly appointed within the NHS.</w:t>
          </w:r>
          <w:r w:rsidR="00C07B33">
            <w:t xml:space="preserve"> </w:t>
          </w:r>
          <w:r>
            <w:t xml:space="preserve">In </w:t>
          </w:r>
          <w:r>
            <w:lastRenderedPageBreak/>
            <w:t>addition, the</w:t>
          </w:r>
          <w:r w:rsidR="00AA1ADC">
            <w:t xml:space="preserve"> Chartered Institute of Personnel Development (2025</w:t>
          </w:r>
          <w:r w:rsidR="00536B5D">
            <w:t>, p. 1</w:t>
          </w:r>
          <w:r w:rsidR="00AA1ADC">
            <w:t>), with Meyer and Fourie (2006</w:t>
          </w:r>
          <w:r w:rsidR="00536B5D">
            <w:t>, p. 4</w:t>
          </w:r>
          <w:r w:rsidR="00AA1ADC">
            <w:t>), define mentoring as:</w:t>
          </w:r>
        </w:p>
        <w:p w14:paraId="1472D760" w14:textId="4F3AEFBF" w:rsidR="00AA1ADC" w:rsidRDefault="00AA1ADC" w:rsidP="00AA1ADC">
          <w:pPr>
            <w:spacing w:line="360" w:lineRule="auto"/>
            <w:ind w:left="720"/>
          </w:pPr>
          <w:r>
            <w:t>A dynamic and reciprocal relationship in a work environment whereby a more advanced and career incumbent (mentor) helps a less experienced person who has development potential (mentee, who is not his direct subordinate) develop in some specific capacity.</w:t>
          </w:r>
        </w:p>
        <w:p w14:paraId="15C751EA" w14:textId="32CBB10F" w:rsidR="009B72B2" w:rsidRDefault="009B72B2" w:rsidP="009B72B2">
          <w:pPr>
            <w:spacing w:line="360" w:lineRule="auto"/>
          </w:pPr>
          <w:r>
            <w:t>Furthermore, teamwork is fundamental to safe, high-quality patient care, according to the South Dakota Cardiovascular Collaborative (2025</w:t>
          </w:r>
          <w:r w:rsidR="00846497">
            <w:t>, p. 1</w:t>
          </w:r>
          <w:r>
            <w:t>):</w:t>
          </w:r>
        </w:p>
        <w:p w14:paraId="340D0C5C" w14:textId="5249F1E5" w:rsidR="009B72B2" w:rsidRDefault="009B72B2" w:rsidP="009B72B2">
          <w:pPr>
            <w:spacing w:line="360" w:lineRule="auto"/>
            <w:ind w:left="720"/>
          </w:pPr>
          <w:r>
            <w:t xml:space="preserve">Team-based </w:t>
          </w:r>
          <w:r w:rsidR="000F3A76">
            <w:t>Healthcare</w:t>
          </w:r>
          <w:r>
            <w:t xml:space="preserve"> is the provision of health services to individuals, families, and/or their communities by at least two healthcare providers who work collaboratively with patients and their caregivers to the extent preferred by each patient to accomplish shared goals within and across settings, achieving coordinated, high-quality care.</w:t>
          </w:r>
        </w:p>
        <w:p w14:paraId="33BFBA92" w14:textId="77777777" w:rsidR="009B72B2" w:rsidRDefault="009B72B2" w:rsidP="00F62F21">
          <w:pPr>
            <w:spacing w:line="360" w:lineRule="auto"/>
          </w:pPr>
        </w:p>
        <w:p w14:paraId="113AB150" w14:textId="77777777" w:rsidR="009B72B2" w:rsidRDefault="009B72B2" w:rsidP="00F62F21">
          <w:pPr>
            <w:spacing w:line="360" w:lineRule="auto"/>
          </w:pPr>
        </w:p>
        <w:p w14:paraId="073DB158" w14:textId="77777777" w:rsidR="009B72B2" w:rsidRDefault="009B72B2" w:rsidP="00F62F21">
          <w:pPr>
            <w:spacing w:line="360" w:lineRule="auto"/>
          </w:pPr>
        </w:p>
        <w:p w14:paraId="267EAA61" w14:textId="77777777" w:rsidR="006E459C" w:rsidRDefault="006E459C" w:rsidP="00F62F21">
          <w:pPr>
            <w:spacing w:line="360" w:lineRule="auto"/>
          </w:pPr>
        </w:p>
        <w:p w14:paraId="13B0AFB9" w14:textId="77777777" w:rsidR="006E459C" w:rsidRDefault="006E459C" w:rsidP="00F62F21">
          <w:pPr>
            <w:spacing w:line="360" w:lineRule="auto"/>
          </w:pPr>
        </w:p>
        <w:p w14:paraId="182F6685" w14:textId="77777777" w:rsidR="006E459C" w:rsidRDefault="006E459C" w:rsidP="00F62F21">
          <w:pPr>
            <w:spacing w:line="360" w:lineRule="auto"/>
          </w:pPr>
        </w:p>
        <w:p w14:paraId="497CA902" w14:textId="77777777" w:rsidR="006E459C" w:rsidRDefault="006E459C" w:rsidP="00F62F21">
          <w:pPr>
            <w:spacing w:line="360" w:lineRule="auto"/>
          </w:pPr>
        </w:p>
        <w:p w14:paraId="66AD2AFD" w14:textId="77777777" w:rsidR="006E459C" w:rsidRDefault="006E459C" w:rsidP="00F62F21">
          <w:pPr>
            <w:spacing w:line="360" w:lineRule="auto"/>
          </w:pPr>
        </w:p>
        <w:p w14:paraId="1714193F" w14:textId="77777777" w:rsidR="006E459C" w:rsidRDefault="006E459C" w:rsidP="00F62F21">
          <w:pPr>
            <w:spacing w:line="360" w:lineRule="auto"/>
          </w:pPr>
        </w:p>
        <w:p w14:paraId="7FC5AD8D" w14:textId="77777777" w:rsidR="006E459C" w:rsidRDefault="006E459C" w:rsidP="00F62F21">
          <w:pPr>
            <w:spacing w:line="360" w:lineRule="auto"/>
          </w:pPr>
        </w:p>
        <w:p w14:paraId="6FDA5473" w14:textId="77777777" w:rsidR="006E459C" w:rsidRDefault="006E459C" w:rsidP="00F62F21">
          <w:pPr>
            <w:spacing w:line="360" w:lineRule="auto"/>
          </w:pPr>
        </w:p>
        <w:p w14:paraId="73577BFC" w14:textId="77777777" w:rsidR="006E459C" w:rsidRDefault="006E459C" w:rsidP="00F62F21">
          <w:pPr>
            <w:spacing w:line="360" w:lineRule="auto"/>
          </w:pPr>
        </w:p>
        <w:p w14:paraId="68C2E209" w14:textId="77777777" w:rsidR="006E459C" w:rsidRDefault="006E459C" w:rsidP="00F62F21">
          <w:pPr>
            <w:spacing w:line="360" w:lineRule="auto"/>
          </w:pPr>
        </w:p>
        <w:p w14:paraId="1AB80067" w14:textId="77777777" w:rsidR="006E459C" w:rsidRDefault="006E459C" w:rsidP="00F62F21">
          <w:pPr>
            <w:spacing w:line="360" w:lineRule="auto"/>
          </w:pPr>
        </w:p>
        <w:p w14:paraId="1F5B5ABC" w14:textId="77777777" w:rsidR="006E459C" w:rsidRDefault="006E459C" w:rsidP="00F62F21">
          <w:pPr>
            <w:spacing w:line="360" w:lineRule="auto"/>
          </w:pPr>
        </w:p>
        <w:p w14:paraId="1A5CE88E" w14:textId="77777777" w:rsidR="006E459C" w:rsidRDefault="006E459C" w:rsidP="00F62F21">
          <w:pPr>
            <w:spacing w:line="360" w:lineRule="auto"/>
          </w:pPr>
        </w:p>
        <w:p w14:paraId="1BA36DC6" w14:textId="77777777" w:rsidR="006E459C" w:rsidRDefault="006E459C" w:rsidP="00F62F21">
          <w:pPr>
            <w:spacing w:line="360" w:lineRule="auto"/>
          </w:pPr>
        </w:p>
        <w:p w14:paraId="0D3538DB" w14:textId="77777777" w:rsidR="006E459C" w:rsidRDefault="006E459C" w:rsidP="00F62F21">
          <w:pPr>
            <w:spacing w:line="360" w:lineRule="auto"/>
          </w:pPr>
        </w:p>
        <w:p w14:paraId="5C5F8636" w14:textId="77777777" w:rsidR="0038604B" w:rsidRDefault="0038604B" w:rsidP="00F62F21">
          <w:pPr>
            <w:spacing w:line="360" w:lineRule="auto"/>
          </w:pPr>
        </w:p>
        <w:p w14:paraId="49AB1F75" w14:textId="77777777" w:rsidR="00620231" w:rsidRDefault="00620231" w:rsidP="00F62F21">
          <w:pPr>
            <w:spacing w:line="360" w:lineRule="auto"/>
          </w:pPr>
        </w:p>
        <w:p w14:paraId="7205A4A0" w14:textId="77777777" w:rsidR="00620231" w:rsidRDefault="00620231" w:rsidP="00F62F21">
          <w:pPr>
            <w:spacing w:line="360" w:lineRule="auto"/>
          </w:pPr>
        </w:p>
        <w:p w14:paraId="441214CE" w14:textId="37C989C9" w:rsidR="00493298" w:rsidRDefault="00AF6364" w:rsidP="003D2524">
          <w:pPr>
            <w:pStyle w:val="Heading1"/>
            <w:numPr>
              <w:ilvl w:val="0"/>
              <w:numId w:val="1"/>
            </w:numPr>
          </w:pPr>
          <w:bookmarkStart w:id="3" w:name="_Toc215520947"/>
          <w:r>
            <w:lastRenderedPageBreak/>
            <w:t>Coaching</w:t>
          </w:r>
          <w:r w:rsidR="0001256C">
            <w:t xml:space="preserve">, </w:t>
          </w:r>
          <w:r w:rsidR="009C5141">
            <w:t>Mentoring</w:t>
          </w:r>
          <w:r w:rsidR="0001256C">
            <w:t>, and Team-Based Healthcare</w:t>
          </w:r>
          <w:bookmarkEnd w:id="3"/>
        </w:p>
        <w:p w14:paraId="75C14DB0" w14:textId="77777777" w:rsidR="00595D7B" w:rsidRPr="00595D7B" w:rsidRDefault="00595D7B" w:rsidP="00595D7B"/>
        <w:p w14:paraId="4DF39095" w14:textId="2473205D" w:rsidR="00E257EB" w:rsidRDefault="007C7F5A" w:rsidP="00DE031F">
          <w:pPr>
            <w:pStyle w:val="Heading2"/>
          </w:pPr>
          <w:r>
            <w:t xml:space="preserve">    </w:t>
          </w:r>
          <w:bookmarkStart w:id="4" w:name="_Toc215520948"/>
          <w:r w:rsidR="003D2524">
            <w:t xml:space="preserve">2.1 </w:t>
          </w:r>
          <w:r w:rsidR="00E257EB">
            <w:t>Background and Context</w:t>
          </w:r>
          <w:bookmarkEnd w:id="4"/>
        </w:p>
        <w:p w14:paraId="08DE7298" w14:textId="77777777" w:rsidR="00DE031F" w:rsidRPr="00DE031F" w:rsidRDefault="00DE031F" w:rsidP="00DE031F"/>
        <w:p w14:paraId="042240FB" w14:textId="4A09E72B" w:rsidR="003B144F" w:rsidRDefault="00812833" w:rsidP="003B144F">
          <w:pPr>
            <w:spacing w:line="360" w:lineRule="auto"/>
            <w:ind w:firstLine="720"/>
          </w:pPr>
          <w:r>
            <w:t xml:space="preserve">Alkan, Cushen-Brewster and Anyanwu (2024) state that the development, recruitment, and staff retention in </w:t>
          </w:r>
          <w:r w:rsidR="000F3A76">
            <w:t>Healthcare</w:t>
          </w:r>
          <w:r>
            <w:t xml:space="preserve"> are essential for delivering high-quality care services and sustaining and maintaining global initiatives, including Universal Health Coverage (UHC).</w:t>
          </w:r>
          <w:r w:rsidR="00C07B33">
            <w:t xml:space="preserve"> </w:t>
          </w:r>
          <w:r>
            <w:t>The same article</w:t>
          </w:r>
          <w:r w:rsidR="0024409B">
            <w:t>, as</w:t>
          </w:r>
          <w:r>
            <w:t xml:space="preserve"> </w:t>
          </w:r>
          <w:r w:rsidR="0024409B">
            <w:t>well as</w:t>
          </w:r>
          <w:r w:rsidR="00E61A84">
            <w:t xml:space="preserve"> the NHS Employers (2022)</w:t>
          </w:r>
          <w:r w:rsidR="0024409B">
            <w:t xml:space="preserve">, </w:t>
          </w:r>
          <w:r w:rsidR="009B6D0E">
            <w:t>indicates</w:t>
          </w:r>
          <w:r>
            <w:t xml:space="preserve"> that successful healthcare workforce development requires ongoing training and skills </w:t>
          </w:r>
          <w:r w:rsidR="0024409B">
            <w:t xml:space="preserve">development </w:t>
          </w:r>
          <w:r w:rsidR="00E61A84">
            <w:t>to</w:t>
          </w:r>
          <w:r>
            <w:t xml:space="preserve"> improve service quality and stability.</w:t>
          </w:r>
          <w:r w:rsidR="00C07B33">
            <w:t xml:space="preserve"> </w:t>
          </w:r>
          <w:r w:rsidR="003B144F">
            <w:t>Furthermore, the World Health Organisation (2025</w:t>
          </w:r>
          <w:r w:rsidR="00536B5D">
            <w:t>, p. 1</w:t>
          </w:r>
          <w:r w:rsidR="003B144F">
            <w:t>):</w:t>
          </w:r>
        </w:p>
        <w:p w14:paraId="549261AD" w14:textId="45F31899" w:rsidR="00536B5D" w:rsidRDefault="003B144F" w:rsidP="000D3F89">
          <w:pPr>
            <w:spacing w:line="360" w:lineRule="auto"/>
            <w:ind w:left="720"/>
          </w:pPr>
          <w:r>
            <w:t>U</w:t>
          </w:r>
          <w:r w:rsidR="000D3F89">
            <w:t>HC means that all people have access to the full range of quality health services they need, when and where they need them, without financial hardship.</w:t>
          </w:r>
          <w:r w:rsidR="00C07B33">
            <w:t xml:space="preserve"> </w:t>
          </w:r>
          <w:r w:rsidR="000D3F89">
            <w:t>It covers the full continuum of essential health services, from health promotion to prevention, treatment, rehabilitation and palliative care across the life course.</w:t>
          </w:r>
        </w:p>
        <w:p w14:paraId="585BA365" w14:textId="03F20299" w:rsidR="006F0F09" w:rsidRDefault="00536B5D" w:rsidP="000447F3">
          <w:pPr>
            <w:spacing w:line="360" w:lineRule="auto"/>
            <w:rPr>
              <w:color w:val="000000" w:themeColor="text1"/>
            </w:rPr>
          </w:pPr>
          <w:r>
            <w:t xml:space="preserve">Khan (2023) provides some background on the </w:t>
          </w:r>
          <w:r w:rsidR="00E33DAA">
            <w:t>NHS's primary challenges</w:t>
          </w:r>
          <w:r>
            <w:t>, including staff retention issues, bureaucratic processes, lack of digital technologies and barriers to sharing data for patient care.</w:t>
          </w:r>
          <w:r w:rsidR="00C07B33">
            <w:t xml:space="preserve"> </w:t>
          </w:r>
          <w:r w:rsidR="00BD19E3">
            <w:t xml:space="preserve"> </w:t>
          </w:r>
          <w:r w:rsidR="00022A8B">
            <w:t xml:space="preserve">Moreover, the Health and Social Care Providers Network (2025) </w:t>
          </w:r>
          <w:r w:rsidR="0024409B">
            <w:t>notes</w:t>
          </w:r>
          <w:r w:rsidR="00022A8B">
            <w:t xml:space="preserve"> that additional factors </w:t>
          </w:r>
          <w:r w:rsidR="0024409B">
            <w:t>contributing to</w:t>
          </w:r>
          <w:r w:rsidR="00022A8B">
            <w:t xml:space="preserve"> workforce challenges </w:t>
          </w:r>
          <w:r w:rsidR="0024409B">
            <w:t>include</w:t>
          </w:r>
          <w:r w:rsidR="00022A8B">
            <w:t xml:space="preserve"> rising costs, insufficient domestic training, burnout, and mental health issues.</w:t>
          </w:r>
          <w:r w:rsidR="005C75D6">
            <w:t xml:space="preserve">  </w:t>
          </w:r>
          <w:r w:rsidR="005C75D6" w:rsidRPr="005C75D6">
            <w:rPr>
              <w:color w:val="000000" w:themeColor="text1"/>
            </w:rPr>
            <w:t xml:space="preserve">According to Ferreira et al. (2025), the evolving digital Healthcare Landscape requires health professionals to adapt to online learning and virtual mentoring platforms, </w:t>
          </w:r>
          <w:r w:rsidR="00C07AB3">
            <w:rPr>
              <w:color w:val="000000" w:themeColor="text1"/>
            </w:rPr>
            <w:t>emphasising</w:t>
          </w:r>
          <w:r w:rsidR="005C75D6" w:rsidRPr="005C75D6">
            <w:rPr>
              <w:color w:val="000000" w:themeColor="text1"/>
            </w:rPr>
            <w:t xml:space="preserve"> the importance of personal skills, including emotional intelligence, effective communication, critical thinking, and digital literacy.</w:t>
          </w:r>
          <w:r w:rsidR="00836A80">
            <w:rPr>
              <w:color w:val="000000" w:themeColor="text1"/>
            </w:rPr>
            <w:t xml:space="preserve">  Moreover, </w:t>
          </w:r>
          <w:r w:rsidR="006F1510">
            <w:rPr>
              <w:color w:val="000000" w:themeColor="text1"/>
            </w:rPr>
            <w:t xml:space="preserve">to clarify, </w:t>
          </w:r>
          <w:r w:rsidR="00836A80">
            <w:rPr>
              <w:color w:val="000000" w:themeColor="text1"/>
            </w:rPr>
            <w:t>digital literacy</w:t>
          </w:r>
          <w:r w:rsidR="006F1510">
            <w:rPr>
              <w:color w:val="000000" w:themeColor="text1"/>
            </w:rPr>
            <w:t>,</w:t>
          </w:r>
          <w:r w:rsidR="00836A80">
            <w:rPr>
              <w:color w:val="000000" w:themeColor="text1"/>
            </w:rPr>
            <w:t xml:space="preserve"> as defined by NHS England (2025</w:t>
          </w:r>
          <w:r w:rsidR="00846497">
            <w:rPr>
              <w:color w:val="000000" w:themeColor="text1"/>
            </w:rPr>
            <w:t>, p. 1</w:t>
          </w:r>
          <w:r w:rsidR="00836A80">
            <w:rPr>
              <w:color w:val="000000" w:themeColor="text1"/>
            </w:rPr>
            <w:t xml:space="preserve">), </w:t>
          </w:r>
          <w:r w:rsidR="006F1510">
            <w:rPr>
              <w:color w:val="000000" w:themeColor="text1"/>
            </w:rPr>
            <w:t>is the ‘set of capabilities that enable someone to live, learn, work, participate, and thrive in a digital society’.</w:t>
          </w:r>
          <w:r w:rsidR="00836A80">
            <w:rPr>
              <w:color w:val="000000" w:themeColor="text1"/>
            </w:rPr>
            <w:t xml:space="preserve"> </w:t>
          </w:r>
        </w:p>
        <w:p w14:paraId="7DA7E08D" w14:textId="6A5EE4A0" w:rsidR="0024409B" w:rsidRPr="0024409B" w:rsidRDefault="00620231" w:rsidP="00BD19E3">
          <w:pPr>
            <w:spacing w:line="360" w:lineRule="auto"/>
            <w:ind w:firstLine="720"/>
          </w:pPr>
          <w:r>
            <w:t>Coaching and mentoring</w:t>
          </w:r>
          <w:r w:rsidR="00BD19E3">
            <w:t xml:space="preserve"> models, combined with reflective learning cycles,</w:t>
          </w:r>
          <w:r>
            <w:t xml:space="preserve"> have become indispensable tools for leadership development, enhancing team performance, facilitating individual growth, and fostering a culture of ongoing learning, according to the National Health Service Leadership Academy (2025).  In addition, NHS England (2025</w:t>
          </w:r>
          <w:r w:rsidR="00846497">
            <w:t>, p. 1</w:t>
          </w:r>
          <w:r>
            <w:t>) defines leadership as ‘the process of influence that occurs in a group setting towards the achievement of a common goal’.</w:t>
          </w:r>
        </w:p>
        <w:p w14:paraId="5736233B" w14:textId="57EFD8AA" w:rsidR="0001256C" w:rsidRDefault="007C7F5A" w:rsidP="00D3268C">
          <w:pPr>
            <w:pStyle w:val="Heading2"/>
          </w:pPr>
          <w:r>
            <w:lastRenderedPageBreak/>
            <w:t xml:space="preserve">    </w:t>
          </w:r>
          <w:bookmarkStart w:id="5" w:name="_Toc215520949"/>
          <w:r w:rsidR="00D3268C">
            <w:t xml:space="preserve">2.2 </w:t>
          </w:r>
          <w:r w:rsidR="0001256C">
            <w:t>The Principles of Team-Based Healthcare</w:t>
          </w:r>
          <w:bookmarkEnd w:id="5"/>
        </w:p>
        <w:p w14:paraId="4AFD8A76" w14:textId="77777777" w:rsidR="000447F3" w:rsidRDefault="000447F3" w:rsidP="000447F3"/>
        <w:p w14:paraId="55E4AA90" w14:textId="0E78CC75" w:rsidR="00D164A4" w:rsidRDefault="000E58BE" w:rsidP="000E58BE">
          <w:pPr>
            <w:spacing w:line="360" w:lineRule="auto"/>
            <w:ind w:firstLine="720"/>
          </w:pPr>
          <w:r>
            <w:t xml:space="preserve">According to Mitchell et al. (2012), the field of </w:t>
          </w:r>
          <w:r w:rsidR="000F3A76">
            <w:t>Healthcare</w:t>
          </w:r>
          <w:r>
            <w:t xml:space="preserve"> has undergone substantial changes over the past two decades, and practising in isolation within </w:t>
          </w:r>
          <w:r w:rsidR="000F3A76">
            <w:t>Healthcare</w:t>
          </w:r>
          <w:r>
            <w:t xml:space="preserve"> is not advisable, as it can put patients at risk</w:t>
          </w:r>
          <w:r w:rsidR="004B6D5E">
            <w:t>; t</w:t>
          </w:r>
          <w:r>
            <w:t xml:space="preserve">herefore, modern </w:t>
          </w:r>
          <w:r w:rsidR="000F3A76">
            <w:t>Healthcare</w:t>
          </w:r>
          <w:r>
            <w:t xml:space="preserve"> is the catalyst that shifts health professionals from individual to collaborating as part of a team with the same objectives.</w:t>
          </w:r>
          <w:r w:rsidR="004B6D5E">
            <w:t xml:space="preserve">  Thus, collaboration is crucial for ensuring patient safety, as it reduces the likelihood of incidents from miscommunication or misunderstandings regarding roles and responsibilities.</w:t>
          </w:r>
          <w:r w:rsidR="00D164A4">
            <w:t xml:space="preserve">  Another key point to consider is that Sundstrom et al. (1990</w:t>
          </w:r>
          <w:r w:rsidR="00846497">
            <w:t>, p.1</w:t>
          </w:r>
          <w:r w:rsidR="00D164A4">
            <w:t>) defined:</w:t>
          </w:r>
        </w:p>
        <w:p w14:paraId="0AE3B68D" w14:textId="77B75EBC" w:rsidR="000E58BE" w:rsidRDefault="00D164A4" w:rsidP="00D164A4">
          <w:pPr>
            <w:spacing w:line="360" w:lineRule="auto"/>
            <w:ind w:left="720"/>
          </w:pPr>
          <w:r>
            <w:t>A team is a group of people who are interdependent with respect to information, resources, and skills and who seek to combine their efforts to achieve a common goal.</w:t>
          </w:r>
        </w:p>
        <w:p w14:paraId="7830A746" w14:textId="0119B0EB" w:rsidR="000447F3" w:rsidRPr="000447F3" w:rsidRDefault="000447F3" w:rsidP="000447F3">
          <w:pPr>
            <w:spacing w:line="360" w:lineRule="auto"/>
          </w:pPr>
          <w:r>
            <w:t>Further, according to Babiker et al. (2014)</w:t>
          </w:r>
          <w:r w:rsidR="00B77E55">
            <w:t xml:space="preserve"> and the National Academy of Medicine (2025)</w:t>
          </w:r>
          <w:r w:rsidR="008C304C">
            <w:t>, along with the World Health Organisation (WHO) (2025)</w:t>
          </w:r>
          <w:r>
            <w:t>, successful team-based health care has the following characteristics:</w:t>
          </w:r>
        </w:p>
        <w:p w14:paraId="3CB607A4" w14:textId="575EEA21" w:rsidR="0001256C" w:rsidRDefault="000447F3" w:rsidP="000447F3">
          <w:pPr>
            <w:pStyle w:val="ListParagraph"/>
            <w:numPr>
              <w:ilvl w:val="0"/>
              <w:numId w:val="11"/>
            </w:numPr>
            <w:spacing w:line="360" w:lineRule="auto"/>
          </w:pPr>
          <w:r>
            <w:t>Shared Goals: where the team consists of the patient and, when suitable, family members or other support individuals, establishes a unified and distinctly articulated objective that encompasses collective interests and reflects shared ownership.</w:t>
          </w:r>
        </w:p>
        <w:p w14:paraId="58494176" w14:textId="5EC35073" w:rsidR="000447F3" w:rsidRDefault="000447F3" w:rsidP="000447F3">
          <w:pPr>
            <w:pStyle w:val="ListParagraph"/>
            <w:numPr>
              <w:ilvl w:val="0"/>
              <w:numId w:val="11"/>
            </w:numPr>
            <w:spacing w:line="360" w:lineRule="auto"/>
          </w:pPr>
          <w:r>
            <w:t xml:space="preserve">Clear Roles: </w:t>
          </w:r>
          <w:r w:rsidR="002261AB">
            <w:t>which are well-defined expectations regarding the roles, responsibilities, and accountabilities of each team member, which enhance the team’s efficiency and frequently enable the team to leverage the division of labour, thus achieving outcomes that exceed the mere sum of individual contributions, but also mutual trust and respect, the same article states.</w:t>
          </w:r>
        </w:p>
        <w:p w14:paraId="36AB03C9" w14:textId="412F219A" w:rsidR="002261AB" w:rsidRDefault="002261AB" w:rsidP="000447F3">
          <w:pPr>
            <w:pStyle w:val="ListParagraph"/>
            <w:numPr>
              <w:ilvl w:val="0"/>
              <w:numId w:val="11"/>
            </w:numPr>
            <w:spacing w:line="360" w:lineRule="auto"/>
          </w:pPr>
          <w:r>
            <w:t xml:space="preserve">Effective communication </w:t>
          </w:r>
          <w:r w:rsidR="00B77E55">
            <w:t xml:space="preserve">is crucial for </w:t>
          </w:r>
          <w:r w:rsidR="00674E44">
            <w:t xml:space="preserve">achieving </w:t>
          </w:r>
          <w:r w:rsidR="00B77E55">
            <w:t xml:space="preserve">successful outcomes, and the team places a high priority on </w:t>
          </w:r>
          <w:r w:rsidR="00674E44">
            <w:t>continually enhancing</w:t>
          </w:r>
          <w:r w:rsidR="00B77E55">
            <w:t xml:space="preserve"> its communication skills. It maintains reliable and easily accessible channels for comprehensive communication, </w:t>
          </w:r>
          <w:r w:rsidR="00C07AB3">
            <w:t>utilised</w:t>
          </w:r>
          <w:r w:rsidR="00B77E55">
            <w:t xml:space="preserve"> by all members in every context.</w:t>
          </w:r>
        </w:p>
        <w:p w14:paraId="42B447DA" w14:textId="73E962BA" w:rsidR="00B77E55" w:rsidRDefault="00B77E55" w:rsidP="000447F3">
          <w:pPr>
            <w:pStyle w:val="ListParagraph"/>
            <w:numPr>
              <w:ilvl w:val="0"/>
              <w:numId w:val="11"/>
            </w:numPr>
            <w:spacing w:line="360" w:lineRule="auto"/>
          </w:pPr>
          <w:r>
            <w:t xml:space="preserve">Measurable processes and outcomes: the team reaches a consensus and executes dependable and prompt feedback regarding both successes and failures, as well as the attainment of its objectives. This feedback is </w:t>
          </w:r>
          <w:r w:rsidR="00C07AB3">
            <w:t>utilised</w:t>
          </w:r>
          <w:r>
            <w:t xml:space="preserve"> to monitor and improve both in the short term and over extended periods of time. </w:t>
          </w:r>
        </w:p>
        <w:p w14:paraId="0770662C" w14:textId="70A57A41" w:rsidR="000B22F1" w:rsidRPr="000B22F1" w:rsidRDefault="00620231" w:rsidP="000B22F1">
          <w:pPr>
            <w:pStyle w:val="ListParagraph"/>
            <w:numPr>
              <w:ilvl w:val="0"/>
              <w:numId w:val="11"/>
            </w:numPr>
            <w:spacing w:line="360" w:lineRule="auto"/>
          </w:pPr>
          <w:r>
            <w:t xml:space="preserve">Leadership </w:t>
          </w:r>
          <w:r w:rsidR="00AE079C">
            <w:t xml:space="preserve">is an essential attribute of a successful team, and effective team leaders guide, </w:t>
          </w:r>
          <w:r w:rsidR="00C07AB3">
            <w:t>organise</w:t>
          </w:r>
          <w:r w:rsidR="00AE079C">
            <w:t>, mentor, and coach their fellow team members.</w:t>
          </w:r>
        </w:p>
        <w:p w14:paraId="76173B97" w14:textId="5793B5D5" w:rsidR="00CB1000" w:rsidRDefault="007C7F5A" w:rsidP="00CB1000">
          <w:pPr>
            <w:pStyle w:val="Heading2"/>
          </w:pPr>
          <w:r>
            <w:lastRenderedPageBreak/>
            <w:t xml:space="preserve">    </w:t>
          </w:r>
          <w:bookmarkStart w:id="6" w:name="_Toc215520950"/>
          <w:r w:rsidR="00CB1000">
            <w:t>2.</w:t>
          </w:r>
          <w:r w:rsidR="00543D3C">
            <w:t>3</w:t>
          </w:r>
          <w:r w:rsidR="00CB1000">
            <w:t xml:space="preserve"> Theoretical and Conceptual Frameworks</w:t>
          </w:r>
          <w:bookmarkEnd w:id="6"/>
        </w:p>
        <w:p w14:paraId="244B65DB" w14:textId="77777777" w:rsidR="00CB1000" w:rsidRDefault="00CB1000" w:rsidP="00CB1000">
          <w:pPr>
            <w:pStyle w:val="Heading2"/>
          </w:pPr>
        </w:p>
        <w:p w14:paraId="29EAFCC4" w14:textId="3E6F1486" w:rsidR="001A6951" w:rsidRDefault="00767563" w:rsidP="001A6951">
          <w:pPr>
            <w:spacing w:line="360" w:lineRule="auto"/>
            <w:ind w:firstLine="720"/>
          </w:pPr>
          <w:r>
            <w:t>Further, e</w:t>
          </w:r>
          <w:r w:rsidR="005C4AD1">
            <w:t xml:space="preserve">ffective coaching and mentoring are linked to the principles of team-based </w:t>
          </w:r>
          <w:r w:rsidR="000F3A76">
            <w:t>Healthcare</w:t>
          </w:r>
          <w:r w:rsidR="005C4AD1">
            <w:t xml:space="preserve">, which </w:t>
          </w:r>
          <w:r w:rsidR="00C07AB3">
            <w:t>prioritise</w:t>
          </w:r>
          <w:r w:rsidR="005C4AD1">
            <w:t xml:space="preserve"> collaborative decision-making, transparent communication, and respect for diverse professional expertise, </w:t>
          </w:r>
          <w:r w:rsidR="006E6A6B">
            <w:t>as reported by</w:t>
          </w:r>
          <w:r w:rsidR="005C4AD1">
            <w:t xml:space="preserve"> Scandiffio et al. (2024).</w:t>
          </w:r>
          <w:r w:rsidR="006E6A6B">
            <w:t xml:space="preserve">  According to</w:t>
          </w:r>
          <w:r w:rsidR="006E6A6B" w:rsidRPr="00BF5028">
            <w:t xml:space="preserve"> Keeping Well Academy (2025), coaching and mentoring programs in </w:t>
          </w:r>
          <w:r w:rsidR="000F3A76">
            <w:t>Healthcare</w:t>
          </w:r>
          <w:r w:rsidR="006E6A6B" w:rsidRPr="00BF5028">
            <w:t xml:space="preserve"> are developmental strategies that typically involve </w:t>
          </w:r>
          <w:r w:rsidR="006E6A6B">
            <w:t>one-on-one</w:t>
          </w:r>
          <w:r w:rsidR="006E6A6B" w:rsidRPr="00BF5028">
            <w:t xml:space="preserve"> discussions designed to enhance employees' skills, knowledge, and career development. </w:t>
          </w:r>
          <w:r w:rsidR="009E1736">
            <w:t xml:space="preserve"> </w:t>
          </w:r>
          <w:r w:rsidR="006E6A6B" w:rsidRPr="00BF5028">
            <w:t xml:space="preserve">These programs are </w:t>
          </w:r>
          <w:r w:rsidR="00C07AB3">
            <w:t>recognised</w:t>
          </w:r>
          <w:r w:rsidR="006E6A6B" w:rsidRPr="00BF5028">
            <w:t xml:space="preserve"> to have many benefits in health and social care settings in the UK. </w:t>
          </w:r>
          <w:r w:rsidR="00A30814">
            <w:t xml:space="preserve"> </w:t>
          </w:r>
          <w:r w:rsidR="006E6A6B" w:rsidRPr="00BF5028">
            <w:t>Moreover, as the Academy of Leadership and Management (2025) states, coaching generally aims to assist individuals in establishing specific objectives or enhancing their performance in particular areas within a defined timeframe where the coach is not required to be an expert; however, their role is to pose pertinent questions, provide a framework, and support the individual to find their own solutions.</w:t>
          </w:r>
        </w:p>
        <w:p w14:paraId="1090B33A" w14:textId="6BEF0B6A" w:rsidR="006E6A6B" w:rsidRDefault="00CF2526" w:rsidP="001A6951">
          <w:pPr>
            <w:spacing w:line="360" w:lineRule="auto"/>
            <w:ind w:firstLine="720"/>
          </w:pPr>
          <w:r>
            <w:t>Conversely</w:t>
          </w:r>
          <w:r w:rsidR="001A6951" w:rsidRPr="00BF5028">
            <w:t xml:space="preserve">, </w:t>
          </w:r>
          <w:r w:rsidR="001A6951">
            <w:t xml:space="preserve">as noted by the General Medical Council (2025), </w:t>
          </w:r>
          <w:r w:rsidR="001A6951" w:rsidRPr="00BF5028">
            <w:t xml:space="preserve">mentoring focuses on the exchange of extensive experience and knowledge, involving a senior guiding a less experienced individual, who is referred to as a mentee. They usually form long-term </w:t>
          </w:r>
          <w:r w:rsidR="001A6951">
            <w:t>relationships</w:t>
          </w:r>
          <w:r w:rsidR="001A6951" w:rsidRPr="00BF5028">
            <w:t xml:space="preserve"> and frequently do so over </w:t>
          </w:r>
          <w:r w:rsidR="001A6951">
            <w:t xml:space="preserve">time.  Additionally, mentoring is considered a highly effective and efficient strategy for shaping future leaders. There is an </w:t>
          </w:r>
          <w:r w:rsidR="002D4C56">
            <w:t>increasing</w:t>
          </w:r>
          <w:r w:rsidR="001A6951">
            <w:t xml:space="preserve"> recognition that fostering a sense of belonging, along with supporting and developing individuals, is </w:t>
          </w:r>
          <w:r w:rsidR="002D4C56">
            <w:t>a crucial</w:t>
          </w:r>
          <w:r w:rsidR="001A6951">
            <w:t xml:space="preserve"> component of talent management, </w:t>
          </w:r>
          <w:r w:rsidR="002D4C56">
            <w:t>essential</w:t>
          </w:r>
          <w:r w:rsidR="001A6951">
            <w:t xml:space="preserve"> for the future of healthcare services.</w:t>
          </w:r>
        </w:p>
        <w:p w14:paraId="126C151A" w14:textId="53C8438C" w:rsidR="00404EA2" w:rsidRPr="00404EA2" w:rsidRDefault="00E355ED" w:rsidP="00404EA2">
          <w:pPr>
            <w:spacing w:line="360" w:lineRule="auto"/>
            <w:ind w:firstLine="720"/>
          </w:pPr>
          <w:r>
            <w:t xml:space="preserve">In terms of reflection within </w:t>
          </w:r>
          <w:r w:rsidR="000F3A76">
            <w:t>Healthcare</w:t>
          </w:r>
          <w:r>
            <w:t xml:space="preserve">, according to </w:t>
          </w:r>
          <w:r w:rsidR="009E1736">
            <w:t xml:space="preserve">the Nursing and Midwifery Council (2024), reflective models are utilised within the UK Healthcare education and professional development, facilitating reflective practice and ongoing improvement.  Additionally, it </w:t>
          </w:r>
          <w:r w:rsidR="00674E44">
            <w:t>enables</w:t>
          </w:r>
          <w:r w:rsidR="009E1736">
            <w:t xml:space="preserve"> students and medical professionals to foster self-development, awareness, and </w:t>
          </w:r>
          <w:r w:rsidR="00674E44">
            <w:t xml:space="preserve">engage in </w:t>
          </w:r>
          <w:r w:rsidR="009E1736">
            <w:t>sharing and learning from their peers.</w:t>
          </w:r>
          <w:r w:rsidR="00363489">
            <w:t xml:space="preserve">  </w:t>
          </w:r>
          <w:r w:rsidR="00363489" w:rsidRPr="00404EA2">
            <w:t>Another highlight is that reflective practice, as per the Association for Project Management (2021), involves examining continuing professional development (CPD) activities, enabling learners to adjust their actions, behaviours, and learning goals.</w:t>
          </w:r>
          <w:r w:rsidR="006E76D6" w:rsidRPr="00404EA2">
            <w:t xml:space="preserve">  </w:t>
          </w:r>
          <w:r w:rsidR="00404EA2" w:rsidRPr="00404EA2">
            <w:t>In addition, the Health and Care Professions Council (2025, p. 1) defines:</w:t>
          </w:r>
        </w:p>
        <w:p w14:paraId="5772368C" w14:textId="77777777" w:rsidR="00404EA2" w:rsidRDefault="00404EA2" w:rsidP="00404EA2">
          <w:pPr>
            <w:spacing w:line="360" w:lineRule="auto"/>
            <w:ind w:left="720"/>
          </w:pPr>
          <w:r w:rsidRPr="00404EA2">
            <w:t>Continuing professional development is the way in which registrants continue to learn and develop throughout their careers, so they keep their skills and knowledge up to date and are able to practice safely and effectively.</w:t>
          </w:r>
        </w:p>
        <w:p w14:paraId="43AA7493" w14:textId="17898DAF" w:rsidR="008E7EB5" w:rsidRPr="008E7EB5" w:rsidRDefault="008E7EB5" w:rsidP="00510672">
          <w:pPr>
            <w:pStyle w:val="Heading2"/>
            <w:numPr>
              <w:ilvl w:val="0"/>
              <w:numId w:val="21"/>
            </w:numPr>
          </w:pPr>
          <w:bookmarkStart w:id="7" w:name="_Toc215520951"/>
          <w:r>
            <w:lastRenderedPageBreak/>
            <w:t>GROW Model of Coaching</w:t>
          </w:r>
          <w:bookmarkEnd w:id="7"/>
        </w:p>
        <w:p w14:paraId="1050E2D3" w14:textId="77777777" w:rsidR="008E7EB5" w:rsidRDefault="008E7EB5" w:rsidP="008E7EB5"/>
        <w:p w14:paraId="411D655F" w14:textId="309ADA11" w:rsidR="008E7EB5" w:rsidRDefault="00873958" w:rsidP="00873958">
          <w:pPr>
            <w:spacing w:line="360" w:lineRule="auto"/>
            <w:ind w:firstLine="720"/>
          </w:pPr>
          <w:r>
            <w:t>A</w:t>
          </w:r>
          <w:r w:rsidR="00867581">
            <w:t>s stated by</w:t>
          </w:r>
          <w:r>
            <w:t xml:space="preserve"> the British School of Coaching (2025), the GROW Model remains one of the most prevalent frameworks in coaching, designed to promote clarity, action, and reflection, enabling both coaches and clients to engage in a structured and adaptable coaching dialogue.  The latter further explains that this </w:t>
          </w:r>
          <w:r w:rsidR="009172F0">
            <w:t>Model</w:t>
          </w:r>
          <w:r>
            <w:t xml:space="preserve"> was developed by Sir John Whitmore, Graham Alexander and Alan Fine in the 1980s and stands for:</w:t>
          </w:r>
        </w:p>
        <w:p w14:paraId="14ABA9ED" w14:textId="357F705D" w:rsidR="00873958" w:rsidRDefault="00C2257F" w:rsidP="00873958">
          <w:pPr>
            <w:pStyle w:val="ListParagraph"/>
            <w:numPr>
              <w:ilvl w:val="0"/>
              <w:numId w:val="15"/>
            </w:numPr>
            <w:spacing w:line="360" w:lineRule="auto"/>
          </w:pPr>
          <w:r>
            <w:t>‘</w:t>
          </w:r>
          <w:r w:rsidR="00873958">
            <w:t>Goa</w:t>
          </w:r>
          <w:r w:rsidR="008B6EC8">
            <w:t>l</w:t>
          </w:r>
          <w:r w:rsidR="00510672">
            <w:t>’</w:t>
          </w:r>
        </w:p>
        <w:p w14:paraId="7656863B" w14:textId="68694842" w:rsidR="00873958" w:rsidRDefault="00510672" w:rsidP="00873958">
          <w:pPr>
            <w:pStyle w:val="ListParagraph"/>
            <w:numPr>
              <w:ilvl w:val="0"/>
              <w:numId w:val="15"/>
            </w:numPr>
            <w:spacing w:line="360" w:lineRule="auto"/>
          </w:pPr>
          <w:r>
            <w:t>‘</w:t>
          </w:r>
          <w:r w:rsidR="00873958">
            <w:t>Reality</w:t>
          </w:r>
          <w:r>
            <w:t>’</w:t>
          </w:r>
        </w:p>
        <w:p w14:paraId="1A9F7982" w14:textId="0F66A1D3" w:rsidR="00873958" w:rsidRDefault="00510672" w:rsidP="00873958">
          <w:pPr>
            <w:pStyle w:val="ListParagraph"/>
            <w:numPr>
              <w:ilvl w:val="0"/>
              <w:numId w:val="15"/>
            </w:numPr>
            <w:spacing w:line="360" w:lineRule="auto"/>
          </w:pPr>
          <w:r>
            <w:t>‘</w:t>
          </w:r>
          <w:r w:rsidR="00873958">
            <w:t>Options</w:t>
          </w:r>
          <w:r>
            <w:t>’</w:t>
          </w:r>
        </w:p>
        <w:p w14:paraId="558AFF72" w14:textId="58134049" w:rsidR="00873958" w:rsidRDefault="00510672" w:rsidP="00873958">
          <w:pPr>
            <w:pStyle w:val="ListParagraph"/>
            <w:numPr>
              <w:ilvl w:val="0"/>
              <w:numId w:val="15"/>
            </w:numPr>
            <w:spacing w:line="360" w:lineRule="auto"/>
          </w:pPr>
          <w:r>
            <w:t>‘</w:t>
          </w:r>
          <w:r w:rsidR="00873958">
            <w:t>Will or way Forward</w:t>
          </w:r>
          <w:r w:rsidR="00C2257F">
            <w:t>’</w:t>
          </w:r>
        </w:p>
        <w:p w14:paraId="136ECBF6" w14:textId="771760A2" w:rsidR="008B6EC8" w:rsidRDefault="008B6EC8" w:rsidP="00E20F07">
          <w:pPr>
            <w:spacing w:line="360" w:lineRule="auto"/>
            <w:ind w:firstLine="720"/>
          </w:pPr>
          <w:r>
            <w:t xml:space="preserve">Furthermore, the goal-setting phase enhances clarity and provides </w:t>
          </w:r>
          <w:r w:rsidR="006A31FB">
            <w:t>direction</w:t>
          </w:r>
          <w:r w:rsidR="00B54235">
            <w:t>. It</w:t>
          </w:r>
          <w:r>
            <w:t xml:space="preserve"> is centred on identifying the specific outcome for the </w:t>
          </w:r>
          <w:r w:rsidR="00B54235">
            <w:t>session,</w:t>
          </w:r>
          <w:r>
            <w:t xml:space="preserve"> rather than the long-term goals, </w:t>
          </w:r>
          <w:r w:rsidR="006A31FB">
            <w:t>Health Education</w:t>
          </w:r>
          <w:r>
            <w:t xml:space="preserve"> England (2025)</w:t>
          </w:r>
          <w:r w:rsidR="006A31FB">
            <w:t xml:space="preserve"> says</w:t>
          </w:r>
          <w:r>
            <w:t>.</w:t>
          </w:r>
          <w:r w:rsidR="006A31FB">
            <w:t xml:space="preserve">  </w:t>
          </w:r>
          <w:r w:rsidR="00B54235">
            <w:t>Additionally,</w:t>
          </w:r>
          <w:r w:rsidR="006A31FB">
            <w:t xml:space="preserve"> the second phase</w:t>
          </w:r>
          <w:r w:rsidR="00D329A9">
            <w:t xml:space="preserve">, </w:t>
          </w:r>
          <w:r w:rsidR="00B54235">
            <w:t>as the same article explains, focuses on enhancing awareness and obtaining a precise understanding of the existing circumstances</w:t>
          </w:r>
          <w:r w:rsidR="009D2AC0">
            <w:t>. C</w:t>
          </w:r>
          <w:r w:rsidR="00D329A9">
            <w:t xml:space="preserve">oaches assist the coachee in examining their environment without hastily forming conclusions or providing solutions.  The option stage of the </w:t>
          </w:r>
          <w:r w:rsidR="009172F0">
            <w:t>Model</w:t>
          </w:r>
          <w:r w:rsidR="00D329A9">
            <w:t>, as stated by Imperial College of London (2025), aims to produce a multitude of options pertinent to the goals, which can be documented in the form of a list or a diagram.</w:t>
          </w:r>
          <w:r w:rsidR="00F7227E">
            <w:t xml:space="preserve">  The final step, as detailed by the University of Bedfordshire (2025), is where reflection transforms into commitment, and the coachee identifies one or more actions they are prepared to take. Meanwhile, coaches may delve into motivation, anticipate challenges, and support the refinement of the plan.</w:t>
          </w:r>
        </w:p>
        <w:p w14:paraId="3D100995" w14:textId="122EBE00" w:rsidR="006E6A6B" w:rsidRDefault="00DC4A42" w:rsidP="00DC4A42">
          <w:pPr>
            <w:spacing w:line="360" w:lineRule="auto"/>
            <w:ind w:firstLine="720"/>
          </w:pPr>
          <w:r>
            <w:t xml:space="preserve">A key point to remember, as per Deiorio et al. (2022), is that the GROW Model of Coaching is also used in health and wellness coaching plays a significant role in encouraging lifestyle changes by aiding the coachee in comprehending their present health and </w:t>
          </w:r>
          <w:r w:rsidR="003718D6">
            <w:t>wellbeing</w:t>
          </w:r>
          <w:r>
            <w:t xml:space="preserve"> status, formulating a vision of ideal health, recognising the personal significance of optimal health, highlighting strengths and resources to boost self-efficacy, and initiating a series of behavioural experiments that foster a sustainable, health-promoting </w:t>
          </w:r>
          <w:r w:rsidR="00EC44B8">
            <w:t>routine</w:t>
          </w:r>
          <w:r>
            <w:t>.</w:t>
          </w:r>
        </w:p>
        <w:p w14:paraId="1AB13319" w14:textId="77777777" w:rsidR="004839F3" w:rsidRDefault="004839F3" w:rsidP="008B6EC8">
          <w:pPr>
            <w:spacing w:line="360" w:lineRule="auto"/>
          </w:pPr>
        </w:p>
        <w:p w14:paraId="7D5A9BE2" w14:textId="77777777" w:rsidR="004839F3" w:rsidRDefault="004839F3" w:rsidP="008B6EC8">
          <w:pPr>
            <w:spacing w:line="360" w:lineRule="auto"/>
          </w:pPr>
        </w:p>
        <w:p w14:paraId="11C24E58" w14:textId="77777777" w:rsidR="004839F3" w:rsidRDefault="004839F3" w:rsidP="008B6EC8">
          <w:pPr>
            <w:spacing w:line="360" w:lineRule="auto"/>
          </w:pPr>
        </w:p>
        <w:p w14:paraId="547762FD" w14:textId="77777777" w:rsidR="004839F3" w:rsidRDefault="004839F3" w:rsidP="008B6EC8">
          <w:pPr>
            <w:spacing w:line="360" w:lineRule="auto"/>
          </w:pPr>
        </w:p>
        <w:p w14:paraId="6A7E2458" w14:textId="77777777" w:rsidR="004839F3" w:rsidRDefault="004839F3" w:rsidP="008B6EC8">
          <w:pPr>
            <w:spacing w:line="360" w:lineRule="auto"/>
          </w:pPr>
        </w:p>
        <w:p w14:paraId="34A4AF5A" w14:textId="77777777" w:rsidR="004839F3" w:rsidRDefault="004839F3" w:rsidP="008B6EC8">
          <w:pPr>
            <w:spacing w:line="360" w:lineRule="auto"/>
          </w:pPr>
        </w:p>
        <w:p w14:paraId="268D285F" w14:textId="62912CE7" w:rsidR="008E7EB5" w:rsidRDefault="00767563" w:rsidP="00510672">
          <w:pPr>
            <w:pStyle w:val="Heading2"/>
            <w:numPr>
              <w:ilvl w:val="0"/>
              <w:numId w:val="21"/>
            </w:numPr>
          </w:pPr>
          <w:bookmarkStart w:id="8" w:name="_Toc215520952"/>
          <w:r>
            <w:lastRenderedPageBreak/>
            <w:t>Clutterbuck’s Mentoring Model</w:t>
          </w:r>
          <w:bookmarkEnd w:id="8"/>
        </w:p>
        <w:p w14:paraId="4D9E4A2D" w14:textId="77777777" w:rsidR="008E7EB5" w:rsidRDefault="008E7EB5" w:rsidP="008E7EB5"/>
        <w:p w14:paraId="1750747A" w14:textId="2AC1DFAF" w:rsidR="008E7EB5" w:rsidRDefault="005F4CB9" w:rsidP="005F4CB9">
          <w:pPr>
            <w:spacing w:line="360" w:lineRule="auto"/>
            <w:ind w:firstLine="720"/>
          </w:pPr>
          <w:r>
            <w:t xml:space="preserve">Each mentoring relationship, as </w:t>
          </w:r>
          <w:r w:rsidR="00B267CE">
            <w:t>highlighted</w:t>
          </w:r>
          <w:r>
            <w:t xml:space="preserve"> by the National Institute for Health and Care Research (2021)</w:t>
          </w:r>
          <w:r w:rsidR="00B267CE">
            <w:t>,</w:t>
          </w:r>
          <w:r w:rsidR="004839F3">
            <w:t xml:space="preserve"> </w:t>
          </w:r>
          <w:r w:rsidR="00B267CE">
            <w:t>undergoes</w:t>
          </w:r>
          <w:r w:rsidR="004839F3">
            <w:t xml:space="preserve"> a process of evolution, </w:t>
          </w:r>
          <w:r w:rsidR="007F69C8">
            <w:t>frequently</w:t>
          </w:r>
          <w:r w:rsidR="004839F3">
            <w:t xml:space="preserve"> referred to as the mentoring cycle or the </w:t>
          </w:r>
          <w:r w:rsidR="007F69C8">
            <w:t>stages</w:t>
          </w:r>
          <w:r w:rsidR="004839F3">
            <w:t xml:space="preserve"> of the mentoring relationship.  Moreover, David Clutterbuck, a </w:t>
          </w:r>
          <w:r w:rsidR="00C07AB3">
            <w:t>recognised</w:t>
          </w:r>
          <w:r w:rsidR="004839F3">
            <w:t xml:space="preserve"> author and thought leader in the field of coaching and mentoring, indicates that developmental relationships </w:t>
          </w:r>
          <w:r w:rsidR="00EC44B8">
            <w:t>evolve</w:t>
          </w:r>
          <w:r w:rsidR="004839F3">
            <w:t xml:space="preserve"> </w:t>
          </w:r>
          <w:r w:rsidR="00B267CE">
            <w:t>through</w:t>
          </w:r>
          <w:r w:rsidR="004839F3">
            <w:t xml:space="preserve"> five phases</w:t>
          </w:r>
          <w:r w:rsidR="00A10359">
            <w:t>,</w:t>
          </w:r>
          <w:r w:rsidR="004839F3">
            <w:t xml:space="preserve"> which are:</w:t>
          </w:r>
        </w:p>
        <w:p w14:paraId="1E050F27" w14:textId="745109A5" w:rsidR="004839F3" w:rsidRDefault="00C2257F" w:rsidP="004839F3">
          <w:pPr>
            <w:pStyle w:val="ListParagraph"/>
            <w:numPr>
              <w:ilvl w:val="0"/>
              <w:numId w:val="16"/>
            </w:numPr>
            <w:spacing w:line="360" w:lineRule="auto"/>
          </w:pPr>
          <w:r>
            <w:t>‘</w:t>
          </w:r>
          <w:r w:rsidR="004839F3">
            <w:t>Rapport building</w:t>
          </w:r>
          <w:r w:rsidR="00510672">
            <w:t>’</w:t>
          </w:r>
        </w:p>
        <w:p w14:paraId="400A7178" w14:textId="212564BC" w:rsidR="004839F3" w:rsidRDefault="00510672" w:rsidP="004839F3">
          <w:pPr>
            <w:pStyle w:val="ListParagraph"/>
            <w:numPr>
              <w:ilvl w:val="0"/>
              <w:numId w:val="16"/>
            </w:numPr>
            <w:spacing w:line="360" w:lineRule="auto"/>
          </w:pPr>
          <w:r>
            <w:t>‘</w:t>
          </w:r>
          <w:r w:rsidR="004839F3">
            <w:t>Direction setting</w:t>
          </w:r>
          <w:r>
            <w:t>’</w:t>
          </w:r>
        </w:p>
        <w:p w14:paraId="1FFEE8DC" w14:textId="25AC7644" w:rsidR="004839F3" w:rsidRDefault="00510672" w:rsidP="004839F3">
          <w:pPr>
            <w:pStyle w:val="ListParagraph"/>
            <w:numPr>
              <w:ilvl w:val="0"/>
              <w:numId w:val="16"/>
            </w:numPr>
            <w:spacing w:line="360" w:lineRule="auto"/>
          </w:pPr>
          <w:r>
            <w:t>‘</w:t>
          </w:r>
          <w:r w:rsidR="00C07AB3">
            <w:t>Heightened (mutual) learning</w:t>
          </w:r>
          <w:r>
            <w:t>’</w:t>
          </w:r>
        </w:p>
        <w:p w14:paraId="4A997889" w14:textId="784CC669" w:rsidR="004839F3" w:rsidRDefault="00510672" w:rsidP="004839F3">
          <w:pPr>
            <w:pStyle w:val="ListParagraph"/>
            <w:numPr>
              <w:ilvl w:val="0"/>
              <w:numId w:val="16"/>
            </w:numPr>
            <w:spacing w:line="360" w:lineRule="auto"/>
          </w:pPr>
          <w:r>
            <w:t>‘</w:t>
          </w:r>
          <w:r w:rsidR="004839F3">
            <w:t>Winding down</w:t>
          </w:r>
          <w:r>
            <w:t>’</w:t>
          </w:r>
        </w:p>
        <w:p w14:paraId="7F68547F" w14:textId="53AF1735" w:rsidR="00CB1000" w:rsidRDefault="00510672" w:rsidP="00CB1000">
          <w:pPr>
            <w:pStyle w:val="ListParagraph"/>
            <w:numPr>
              <w:ilvl w:val="0"/>
              <w:numId w:val="16"/>
            </w:numPr>
            <w:spacing w:line="360" w:lineRule="auto"/>
          </w:pPr>
          <w:r>
            <w:t>‘</w:t>
          </w:r>
          <w:r w:rsidR="004839F3">
            <w:t>Moving on</w:t>
          </w:r>
          <w:r w:rsidR="00C2257F">
            <w:t>’</w:t>
          </w:r>
        </w:p>
        <w:p w14:paraId="1B2261D3" w14:textId="661C60D3" w:rsidR="00DB324C" w:rsidRDefault="00E20F07" w:rsidP="009B6D0E">
          <w:pPr>
            <w:pStyle w:val="NormalWeb"/>
            <w:spacing w:line="360" w:lineRule="auto"/>
            <w:ind w:firstLine="720"/>
          </w:pPr>
          <w:r>
            <w:t>According to</w:t>
          </w:r>
          <w:r w:rsidR="002D2665">
            <w:t xml:space="preserve"> Jenkins (2013), the commencement of the mentoring relationship is marked by the first two phases: rapport building and direction setting.  Moreover, the first phase involves the mentee and mentor participating in a discussion to evaluate their capacity to collaborate effectively, which depends on factors such as mutual respect and the alignment of values.  It is worth mentioning that establishing a strong rapport is crucial for fostering the positive growth of the mentorship relationship.</w:t>
          </w:r>
          <w:r w:rsidR="007F16C3">
            <w:t xml:space="preserve">  On the other hand, </w:t>
          </w:r>
          <w:r w:rsidR="00DF2983">
            <w:t xml:space="preserve">according to Clutterbuck (2023), </w:t>
          </w:r>
          <w:r w:rsidR="007F16C3">
            <w:t>the second phase</w:t>
          </w:r>
          <w:r w:rsidR="001A3C3E">
            <w:t xml:space="preserve"> involves establishing goals, providing the relationship with a sense of purpose, and exploring the short-term, medium-term, and long-term directions that could be taken.  Another thing to remember is that phases one and two can be completed within a few meetings at the onset of the relationship.</w:t>
          </w:r>
          <w:r w:rsidR="008F0CDD">
            <w:t xml:space="preserve">  Further,</w:t>
          </w:r>
          <w:r w:rsidR="007A301F">
            <w:t xml:space="preserve"> in accordance with </w:t>
          </w:r>
          <w:r w:rsidR="00C07AB3">
            <w:t>Clutterbuck (2013), heightened learning represents the third phase, which is fundamental to the mentoring relationship, where the mentor and mentee have developed a mutual understanding and respect, establishing a distinct sense of purpose for their relationship.  This purpose enables the contextualisation of daily challenges, and the mentoring discussions are characterised by transparency, reflection, and shared learning.</w:t>
          </w:r>
          <w:r w:rsidR="00611B4D">
            <w:t xml:space="preserve">  The final two phases, </w:t>
          </w:r>
          <w:r w:rsidR="00494D30">
            <w:t>as</w:t>
          </w:r>
          <w:r w:rsidR="00611B4D">
            <w:t xml:space="preserve"> </w:t>
          </w:r>
          <w:r w:rsidR="00803E90">
            <w:t>supported</w:t>
          </w:r>
          <w:r w:rsidR="00611B4D">
            <w:t xml:space="preserve"> by Cranfield Trust (2025)</w:t>
          </w:r>
          <w:r w:rsidR="00494D30">
            <w:t xml:space="preserve">, </w:t>
          </w:r>
          <w:r w:rsidR="00DB324C">
            <w:t xml:space="preserve">are </w:t>
          </w:r>
          <w:r w:rsidR="00D37B3E">
            <w:t>crucial</w:t>
          </w:r>
          <w:r w:rsidR="00DB324C">
            <w:t xml:space="preserve"> </w:t>
          </w:r>
          <w:r w:rsidR="00494D30">
            <w:t xml:space="preserve">to </w:t>
          </w:r>
          <w:r w:rsidR="00DB324C">
            <w:t>consider when establishing</w:t>
          </w:r>
          <w:r w:rsidR="00494D30">
            <w:t xml:space="preserve"> winding up and moving </w:t>
          </w:r>
          <w:r w:rsidR="00D37B3E">
            <w:t>forward</w:t>
          </w:r>
          <w:r w:rsidR="00494D30">
            <w:t xml:space="preserve"> from any mentoring relationship, </w:t>
          </w:r>
          <w:r w:rsidR="00DB324C">
            <w:t>including planning</w:t>
          </w:r>
          <w:r w:rsidR="00803E90">
            <w:t xml:space="preserve">, </w:t>
          </w:r>
          <w:r w:rsidR="00DB324C">
            <w:t>facilitating</w:t>
          </w:r>
          <w:r w:rsidR="00803E90">
            <w:t xml:space="preserve"> closure, </w:t>
          </w:r>
          <w:r w:rsidR="00DB324C">
            <w:t>reflecting</w:t>
          </w:r>
          <w:r w:rsidR="00803E90">
            <w:t xml:space="preserve"> on the knowledge gained, and </w:t>
          </w:r>
          <w:r w:rsidR="00DB324C">
            <w:t>looking</w:t>
          </w:r>
          <w:r w:rsidR="00803E90">
            <w:t xml:space="preserve"> </w:t>
          </w:r>
          <w:r w:rsidR="00D37B3E">
            <w:t>ahead</w:t>
          </w:r>
          <w:r w:rsidR="00803E90">
            <w:t>.  Another aspect is that mentoring relationships that drift away tend to be recalled negatively by both the mentor and the mentee. At the same time, those that have a distinct ending, acknowledging each other’s contributions, are often perceived positively in retrospect.</w:t>
          </w:r>
        </w:p>
        <w:p w14:paraId="1A3B7E08" w14:textId="5262B779" w:rsidR="0017326C" w:rsidRPr="0017326C" w:rsidRDefault="00DB324C" w:rsidP="00510672">
          <w:pPr>
            <w:pStyle w:val="Heading2"/>
            <w:numPr>
              <w:ilvl w:val="0"/>
              <w:numId w:val="21"/>
            </w:numPr>
            <w:rPr>
              <w:rFonts w:eastAsia="Times New Roman"/>
              <w:bCs/>
              <w:iCs/>
              <w:szCs w:val="24"/>
              <w:lang w:eastAsia="en-GB"/>
            </w:rPr>
          </w:pPr>
          <w:bookmarkStart w:id="9" w:name="_Toc215520953"/>
          <w:r>
            <w:lastRenderedPageBreak/>
            <w:t xml:space="preserve">Kolb’s </w:t>
          </w:r>
          <w:r w:rsidR="00D37B3E">
            <w:t xml:space="preserve">(1984) </w:t>
          </w:r>
          <w:r>
            <w:t>Learning Cycle</w:t>
          </w:r>
          <w:bookmarkEnd w:id="9"/>
        </w:p>
        <w:p w14:paraId="09D9514E" w14:textId="77777777" w:rsidR="0017326C" w:rsidRDefault="0017326C" w:rsidP="0017326C">
          <w:pPr>
            <w:pStyle w:val="Heading2"/>
          </w:pPr>
        </w:p>
        <w:p w14:paraId="2F2AA1F9" w14:textId="77777777" w:rsidR="00E349FC" w:rsidRDefault="0017326C" w:rsidP="00D37B3E">
          <w:pPr>
            <w:spacing w:line="360" w:lineRule="auto"/>
            <w:ind w:firstLine="720"/>
          </w:pPr>
          <w:r w:rsidRPr="0017326C">
            <w:t>According to the NHS (2025)</w:t>
          </w:r>
          <w:r>
            <w:t>, Kolb created a learning model referred to as</w:t>
          </w:r>
          <w:r w:rsidRPr="0017326C">
            <w:t xml:space="preserve"> </w:t>
          </w:r>
          <w:r>
            <w:t xml:space="preserve">‘experimental learning’, which starts with a direct experience and progresses through three additional </w:t>
          </w:r>
          <w:r w:rsidR="00D37B3E">
            <w:t xml:space="preserve">stages of </w:t>
          </w:r>
          <w:r>
            <w:t xml:space="preserve">reflection, analysis, and evaluation.  The same article </w:t>
          </w:r>
          <w:r w:rsidR="00D37B3E">
            <w:t>notes</w:t>
          </w:r>
          <w:r>
            <w:t xml:space="preserve"> that this process </w:t>
          </w:r>
          <w:r w:rsidR="00D37B3E">
            <w:t>ultimately leads to</w:t>
          </w:r>
          <w:r>
            <w:t xml:space="preserve"> new </w:t>
          </w:r>
          <w:r w:rsidR="00D37B3E">
            <w:t>knowledge</w:t>
          </w:r>
          <w:r>
            <w:t xml:space="preserve"> derived from the learning, prompting the cycle to restart</w:t>
          </w:r>
          <w:r w:rsidR="00D37B3E">
            <w:t xml:space="preserve">.  Furthermore, in contrast to conventional models that focus on the passive reception of information, Kolb’s theory posits that learning is an active process in which knowledge is generated through </w:t>
          </w:r>
          <w:r w:rsidR="00B83CBE">
            <w:t xml:space="preserve">the </w:t>
          </w:r>
          <w:r w:rsidR="00D37B3E">
            <w:t>transformation of experiences</w:t>
          </w:r>
          <w:r w:rsidR="00B83CBE">
            <w:t>, as detailed by Eckstein (2025).</w:t>
          </w:r>
          <w:r w:rsidR="00FC58D1">
            <w:t xml:space="preserve">  Additionally, this process is cyclical, dynamic, and deeply personal, making it especially pertinent for adult learners and professionals operating in complex environments.</w:t>
          </w:r>
          <w:r w:rsidR="00E349FC">
            <w:t xml:space="preserve">  Moreover, as explained by Wijnen-Meijer et al. (2022), Kolb’s learning cycle has the following stages:</w:t>
          </w:r>
        </w:p>
        <w:p w14:paraId="4EBEAD15" w14:textId="064CB4AA" w:rsidR="00E349FC" w:rsidRDefault="008E7179" w:rsidP="00E349FC">
          <w:pPr>
            <w:pStyle w:val="ListParagraph"/>
            <w:numPr>
              <w:ilvl w:val="0"/>
              <w:numId w:val="18"/>
            </w:numPr>
            <w:spacing w:line="360" w:lineRule="auto"/>
          </w:pPr>
          <w:r>
            <w:t>‘</w:t>
          </w:r>
          <w:r w:rsidR="00E349FC">
            <w:t>Concrete Experience</w:t>
          </w:r>
          <w:r w:rsidR="00510672">
            <w:t>’</w:t>
          </w:r>
        </w:p>
        <w:p w14:paraId="03AEDCF8" w14:textId="70077A46" w:rsidR="00E349FC" w:rsidRDefault="00510672" w:rsidP="00E349FC">
          <w:pPr>
            <w:pStyle w:val="ListParagraph"/>
            <w:numPr>
              <w:ilvl w:val="0"/>
              <w:numId w:val="18"/>
            </w:numPr>
            <w:spacing w:line="360" w:lineRule="auto"/>
          </w:pPr>
          <w:r>
            <w:t>‘</w:t>
          </w:r>
          <w:r w:rsidR="00E349FC">
            <w:t>Reflective Observation</w:t>
          </w:r>
          <w:r>
            <w:t>’</w:t>
          </w:r>
        </w:p>
        <w:p w14:paraId="40FCADFC" w14:textId="7C3CE0A2" w:rsidR="00E349FC" w:rsidRDefault="00510672" w:rsidP="00E349FC">
          <w:pPr>
            <w:pStyle w:val="ListParagraph"/>
            <w:numPr>
              <w:ilvl w:val="0"/>
              <w:numId w:val="18"/>
            </w:numPr>
            <w:spacing w:line="360" w:lineRule="auto"/>
          </w:pPr>
          <w:r>
            <w:t>‘</w:t>
          </w:r>
          <w:r w:rsidR="00E349FC">
            <w:t>Abstract Conceptualisation</w:t>
          </w:r>
          <w:r>
            <w:t>’</w:t>
          </w:r>
        </w:p>
        <w:p w14:paraId="7B52083C" w14:textId="7BAC61E7" w:rsidR="006E13FA" w:rsidRDefault="00510672" w:rsidP="00E349FC">
          <w:pPr>
            <w:pStyle w:val="ListParagraph"/>
            <w:numPr>
              <w:ilvl w:val="0"/>
              <w:numId w:val="18"/>
            </w:numPr>
            <w:spacing w:line="360" w:lineRule="auto"/>
          </w:pPr>
          <w:r>
            <w:t>‘</w:t>
          </w:r>
          <w:r w:rsidR="00E349FC">
            <w:t>Active Experimentation</w:t>
          </w:r>
          <w:r w:rsidR="00C2257F">
            <w:t>’</w:t>
          </w:r>
        </w:p>
        <w:p w14:paraId="42EE3530" w14:textId="3E531675" w:rsidR="00AF6364" w:rsidRPr="00E61B15" w:rsidRDefault="006E13FA" w:rsidP="009D3EC0">
          <w:pPr>
            <w:spacing w:line="360" w:lineRule="auto"/>
            <w:ind w:firstLine="720"/>
          </w:pPr>
          <w:r>
            <w:t xml:space="preserve">Moreover, the first stage, concrete experience, represents the initial activity and data-producing segment of the experiential cycle, designed to facilitate participants' active engagement in the process of </w:t>
          </w:r>
          <w:r w:rsidR="00510672">
            <w:t>‘</w:t>
          </w:r>
          <w:r>
            <w:t>doing</w:t>
          </w:r>
          <w:r w:rsidR="00510672">
            <w:t>’</w:t>
          </w:r>
          <w:r>
            <w:t xml:space="preserve"> something.</w:t>
          </w:r>
          <w:r w:rsidR="00755BC1">
            <w:t xml:space="preserve">  The second stage, reflective observation, follows the concrete experience. The learner takes a moment to reflect on the events that have happened. This process includes analysing results, identifying patterns, and exploring different viewpoints, as outlined by the Institute for Experiential Learning (2025).</w:t>
          </w:r>
          <w:r w:rsidR="003F29EF">
            <w:t xml:space="preserve">  The third stage of the learning cycle, according to Nurunnabi et al. (2022), describes the abstract conceptualisation, in which the learner synthesises observations into theories, models, or frameworks, and represents the </w:t>
          </w:r>
          <w:r w:rsidR="00510672">
            <w:t>‘</w:t>
          </w:r>
          <w:r w:rsidR="003F29EF">
            <w:t>sense-making</w:t>
          </w:r>
          <w:r w:rsidR="00510672">
            <w:t>’</w:t>
          </w:r>
          <w:r w:rsidR="003F29EF">
            <w:t xml:space="preserve"> phase, during which experiences are converted into general principles.  Also in this stage, the learner employs reflection to enhance their understanding and problem-solving skills.</w:t>
          </w:r>
          <w:r w:rsidR="009D3EC0">
            <w:t xml:space="preserve">  Referencing Sinha (2023), the final phase, which </w:t>
          </w:r>
          <w:r w:rsidR="009E1736">
            <w:t>involves</w:t>
          </w:r>
          <w:r w:rsidR="009D3EC0">
            <w:t xml:space="preserve"> active experimentation, </w:t>
          </w:r>
          <w:r w:rsidR="009E1736">
            <w:t>entails</w:t>
          </w:r>
          <w:r w:rsidR="009D3EC0">
            <w:t xml:space="preserve"> learners </w:t>
          </w:r>
          <w:r w:rsidR="009E1736">
            <w:t>applying</w:t>
          </w:r>
          <w:r w:rsidR="009D3EC0">
            <w:t xml:space="preserve"> their theoretical concepts and ideas in real-world contexts to evaluate their effectiveness and usability.  This phase </w:t>
          </w:r>
          <w:r w:rsidR="009E1736">
            <w:t>involves</w:t>
          </w:r>
          <w:r w:rsidR="009D3EC0">
            <w:t xml:space="preserve"> taking risks, exploring new methods, and participating in problem-solving activities.  This final phase is vital as it enables learners to acquire hands-on experience, get feedback, and enhance their skills and abilities. </w:t>
          </w:r>
          <w:r w:rsidR="00DB324C" w:rsidRPr="0017326C">
            <w:br w:type="page"/>
          </w:r>
        </w:p>
        <w:p w14:paraId="5FBFB640" w14:textId="1F6DC39E" w:rsidR="00AF6364" w:rsidRDefault="009C5141" w:rsidP="003D2524">
          <w:pPr>
            <w:pStyle w:val="Heading1"/>
            <w:numPr>
              <w:ilvl w:val="0"/>
              <w:numId w:val="1"/>
            </w:numPr>
          </w:pPr>
          <w:bookmarkStart w:id="10" w:name="_Toc215520954"/>
          <w:r>
            <w:lastRenderedPageBreak/>
            <w:t>Benefits of Coaching</w:t>
          </w:r>
          <w:r w:rsidR="0001256C">
            <w:t xml:space="preserve">, </w:t>
          </w:r>
          <w:r w:rsidR="000D7C77">
            <w:t>Mentoring</w:t>
          </w:r>
          <w:r w:rsidR="0001256C">
            <w:t>, and Effective Teamwork</w:t>
          </w:r>
          <w:bookmarkEnd w:id="10"/>
        </w:p>
        <w:p w14:paraId="71052241" w14:textId="77777777" w:rsidR="00CB1000" w:rsidRDefault="00CB1000"/>
        <w:p w14:paraId="3EC537C7" w14:textId="1037441B" w:rsidR="0001256C" w:rsidRDefault="00867581" w:rsidP="00674E44">
          <w:pPr>
            <w:spacing w:line="360" w:lineRule="auto"/>
            <w:ind w:firstLine="720"/>
          </w:pPr>
          <w:r>
            <w:t>A</w:t>
          </w:r>
          <w:r w:rsidR="00510672">
            <w:t>ccord</w:t>
          </w:r>
          <w:r>
            <w:t>ing</w:t>
          </w:r>
          <w:r w:rsidR="00674E44">
            <w:t xml:space="preserve"> to the Chartered Institute of Personnel Development (2025), coaching and mentoring serve as valuable methods for employee development.  Moreover, many employers implement these strategies to </w:t>
          </w:r>
          <w:r w:rsidR="007F69C8">
            <w:t>enhance</w:t>
          </w:r>
          <w:r w:rsidR="00674E44">
            <w:t xml:space="preserve"> the skills, knowledge, and performance of their </w:t>
          </w:r>
          <w:r w:rsidR="007F69C8">
            <w:t>staff</w:t>
          </w:r>
          <w:r w:rsidR="00674E44">
            <w:t xml:space="preserve">, focusing on particular skills and </w:t>
          </w:r>
          <w:r w:rsidR="007F69C8">
            <w:t>goals</w:t>
          </w:r>
          <w:r w:rsidR="00674E44">
            <w:t>.</w:t>
          </w:r>
          <w:r w:rsidR="00C94D68">
            <w:t xml:space="preserve">  Furthermore, mentoring fosters a secure environment </w:t>
          </w:r>
          <w:r w:rsidR="00945564">
            <w:t>in which</w:t>
          </w:r>
          <w:r w:rsidR="00C94D68">
            <w:t xml:space="preserve"> healthcare professionals </w:t>
          </w:r>
          <w:r w:rsidR="00945564">
            <w:t>can</w:t>
          </w:r>
          <w:r w:rsidR="00C94D68">
            <w:t xml:space="preserve"> address challenges, express concerns, and pursue personal development. It also provides support and empathy, which can alleviate stress and enhance overall </w:t>
          </w:r>
          <w:r w:rsidR="003718D6">
            <w:t>well</w:t>
          </w:r>
          <w:r w:rsidR="00510672">
            <w:t>-</w:t>
          </w:r>
          <w:r w:rsidR="003718D6">
            <w:t>being</w:t>
          </w:r>
          <w:r w:rsidR="00C94D68">
            <w:t>, as highlighted by the Royal College of Radiologists (202</w:t>
          </w:r>
          <w:r w:rsidR="00536574">
            <w:t>4</w:t>
          </w:r>
          <w:r w:rsidR="00C94D68">
            <w:t>).</w:t>
          </w:r>
          <w:r w:rsidR="00163C60">
            <w:t xml:space="preserve">  The latter article states that mentoring enables knowledge transfer, allowing the mentee to </w:t>
          </w:r>
          <w:r w:rsidR="00484ACD">
            <w:t>benefit</w:t>
          </w:r>
          <w:r w:rsidR="00163C60">
            <w:t xml:space="preserve"> </w:t>
          </w:r>
          <w:r w:rsidR="00484ACD">
            <w:t xml:space="preserve">from </w:t>
          </w:r>
          <w:r w:rsidR="00163C60">
            <w:t xml:space="preserve">valuable insights, develop new skills, and enhance their professional capabilities, which can contribute to </w:t>
          </w:r>
          <w:r w:rsidR="00484ACD">
            <w:t>boosted</w:t>
          </w:r>
          <w:r w:rsidR="00163C60">
            <w:t xml:space="preserve"> job satisfaction.</w:t>
          </w:r>
          <w:r w:rsidR="00805FCF">
            <w:t xml:space="preserve">  In addition, Moudatsou et al. (2020</w:t>
          </w:r>
          <w:r w:rsidR="00846497">
            <w:t>, p.1</w:t>
          </w:r>
          <w:r w:rsidR="00805FCF">
            <w:t>) define empathy as:</w:t>
          </w:r>
        </w:p>
        <w:p w14:paraId="0B7CDD7E" w14:textId="5E80D3A7" w:rsidR="00805FCF" w:rsidRDefault="005D3032" w:rsidP="005D3032">
          <w:pPr>
            <w:spacing w:line="360" w:lineRule="auto"/>
            <w:ind w:left="720"/>
          </w:pPr>
          <w:r>
            <w:t>The</w:t>
          </w:r>
          <w:r w:rsidR="00805FCF">
            <w:t xml:space="preserve"> ability to understand the personal experience of the patient without bonding with them</w:t>
          </w:r>
          <w:r>
            <w:t xml:space="preserve"> constitutes a</w:t>
          </w:r>
          <w:r w:rsidR="00FD7BBE">
            <w:t xml:space="preserve"> vital</w:t>
          </w:r>
          <w:r>
            <w:t xml:space="preserve"> communication skill for a health professional, one that includes three dimensions: the emotional, cognitive, and behavioural.</w:t>
          </w:r>
        </w:p>
        <w:p w14:paraId="5468C53E" w14:textId="59906333" w:rsidR="007D4D48" w:rsidRDefault="007A6330" w:rsidP="002D4C56">
          <w:pPr>
            <w:spacing w:line="360" w:lineRule="auto"/>
            <w:ind w:firstLine="720"/>
          </w:pPr>
          <w:r>
            <w:t xml:space="preserve">Jansen et </w:t>
          </w:r>
          <w:r w:rsidR="00945564">
            <w:t>al.</w:t>
          </w:r>
          <w:r>
            <w:t xml:space="preserve"> (2024) </w:t>
          </w:r>
          <w:r w:rsidR="002D4C56">
            <w:t>emphasise</w:t>
          </w:r>
          <w:r>
            <w:t xml:space="preserve"> that</w:t>
          </w:r>
          <w:r w:rsidR="00945564">
            <w:t xml:space="preserve"> research has </w:t>
          </w:r>
          <w:r w:rsidR="002D4C56">
            <w:t>demonstrated the benefits of coaching</w:t>
          </w:r>
          <w:r w:rsidR="00945564">
            <w:t xml:space="preserve"> at both the individual and organisational levels. For instance, randomised controlled trials highlight how coaching can help prevent exhaustion and emotional distress while also fostering self-efficacy, work-life balance, and improving staff retention.</w:t>
          </w:r>
          <w:r w:rsidR="002D4C56">
            <w:t xml:space="preserve">  </w:t>
          </w:r>
          <w:r w:rsidR="0002459F">
            <w:t>Kendrick</w:t>
          </w:r>
          <w:r w:rsidR="002D4C56">
            <w:t xml:space="preserve"> (2025) reinforces that mentoring and coaching are essential components in the development and retention of talent, enabling organisations to cultivate their workforce and minimise turnover through the provision of career advancement pathways and ongoing learning opportunities.  It can also assist in </w:t>
          </w:r>
          <w:r w:rsidR="007157B5">
            <w:t>identifying</w:t>
          </w:r>
          <w:r w:rsidR="002D4C56">
            <w:t xml:space="preserve"> areas that require improvement, </w:t>
          </w:r>
          <w:r w:rsidR="007157B5">
            <w:t>establishing</w:t>
          </w:r>
          <w:r w:rsidR="002D4C56">
            <w:t xml:space="preserve"> objectives</w:t>
          </w:r>
          <w:r w:rsidR="007157B5">
            <w:t>, and supplying the essential resources for growth, which makes employees feel appreciated and understood, crucial for enhancing their commitment to the organisation.</w:t>
          </w:r>
          <w:r w:rsidR="0002459F">
            <w:t xml:space="preserve">  Another key aspect is that</w:t>
          </w:r>
          <w:r w:rsidR="003E7A40">
            <w:t>,</w:t>
          </w:r>
          <w:r w:rsidR="0002459F">
            <w:t xml:space="preserve"> according to</w:t>
          </w:r>
          <w:r w:rsidR="003E7A40">
            <w:t xml:space="preserve"> Halliwell, Mitchell, and Boyle (2023),</w:t>
          </w:r>
          <w:r w:rsidR="0002459F">
            <w:t xml:space="preserve"> coaching and mentoring empower leaders to nurture talent, improve team dynamics, and develop a robust workforce</w:t>
          </w:r>
          <w:r w:rsidR="003E7A40">
            <w:t>.  When</w:t>
          </w:r>
          <w:r w:rsidR="0002459F">
            <w:t xml:space="preserve"> integrated into leadership practices, these approaches </w:t>
          </w:r>
          <w:r w:rsidR="0095182B">
            <w:t>foster</w:t>
          </w:r>
          <w:r w:rsidR="0002459F">
            <w:t xml:space="preserve"> confidence, </w:t>
          </w:r>
          <w:r w:rsidR="0095182B">
            <w:t>enhance</w:t>
          </w:r>
          <w:r w:rsidR="0002459F">
            <w:t xml:space="preserve"> performance</w:t>
          </w:r>
          <w:r w:rsidR="003E7A40">
            <w:t>,</w:t>
          </w:r>
          <w:r w:rsidR="0002459F">
            <w:t xml:space="preserve"> and </w:t>
          </w:r>
          <w:r w:rsidR="0095182B">
            <w:t>cultivate</w:t>
          </w:r>
          <w:r w:rsidR="0002459F">
            <w:t xml:space="preserve"> </w:t>
          </w:r>
          <w:r w:rsidR="003E7A40">
            <w:t xml:space="preserve">a </w:t>
          </w:r>
          <w:r w:rsidR="0002459F">
            <w:t>culture of continuous learning</w:t>
          </w:r>
          <w:r w:rsidR="003A59CD">
            <w:t xml:space="preserve"> and improvement</w:t>
          </w:r>
          <w:r w:rsidR="0002459F">
            <w:t>.</w:t>
          </w:r>
          <w:r w:rsidR="00A910A7">
            <w:t xml:space="preserve">  Fostering a coaching culture within the organisation </w:t>
          </w:r>
          <w:r w:rsidR="003310E9">
            <w:t>promote</w:t>
          </w:r>
          <w:r w:rsidR="00A910A7">
            <w:t>s</w:t>
          </w:r>
          <w:r w:rsidR="00D410E1">
            <w:t xml:space="preserve"> staff engagement and motivation, </w:t>
          </w:r>
          <w:r w:rsidR="00D410E1">
            <w:lastRenderedPageBreak/>
            <w:t xml:space="preserve">empowerment, and devolved decision-making, </w:t>
          </w:r>
          <w:r w:rsidR="003310E9">
            <w:t>resulting in</w:t>
          </w:r>
          <w:r w:rsidR="00D410E1">
            <w:t xml:space="preserve"> increased productivity, creativity, innovation, satisfaction, and resilience, as per the North West Leadership Academy (2024).</w:t>
          </w:r>
        </w:p>
        <w:p w14:paraId="19A4C47B" w14:textId="286189B5" w:rsidR="007D4D48" w:rsidRPr="001740AB" w:rsidRDefault="007D4D48" w:rsidP="007D4D48">
          <w:pPr>
            <w:spacing w:line="360" w:lineRule="auto"/>
            <w:ind w:firstLine="720"/>
          </w:pPr>
          <w:r w:rsidRPr="001740AB">
            <w:t xml:space="preserve">The Nursing and Midwifery Council (2025) explains that reflection in teams </w:t>
          </w:r>
          <w:r w:rsidR="00945564" w:rsidRPr="001740AB">
            <w:t>can</w:t>
          </w:r>
          <w:r w:rsidRPr="001740AB">
            <w:t xml:space="preserve"> improve practice, </w:t>
          </w:r>
          <w:r w:rsidR="00945564" w:rsidRPr="001740AB">
            <w:t>while</w:t>
          </w:r>
          <w:r w:rsidRPr="001740AB">
            <w:t xml:space="preserve"> also </w:t>
          </w:r>
          <w:r w:rsidR="00945564" w:rsidRPr="001740AB">
            <w:t>fostering</w:t>
          </w:r>
          <w:r w:rsidRPr="001740AB">
            <w:t xml:space="preserve"> a shared wisdom through dialogue, support, and knowledge exchange, thereby enhancing the chances of achieving significant</w:t>
          </w:r>
          <w:r w:rsidR="00945564" w:rsidRPr="001740AB">
            <w:t>,</w:t>
          </w:r>
          <w:r w:rsidRPr="001740AB">
            <w:t xml:space="preserve"> beneficial transformations.  That being said, the quality of service provision is improved when multidisciplinary teams and groups are allowed to explore and reflect on their work collectively.  Furthermore, NHS Health Education England (2025</w:t>
          </w:r>
          <w:r w:rsidR="00BC3DB7" w:rsidRPr="001740AB">
            <w:t>, p. 1</w:t>
          </w:r>
          <w:r w:rsidRPr="001740AB">
            <w:t>) defines:</w:t>
          </w:r>
        </w:p>
        <w:p w14:paraId="5A5430BE" w14:textId="182C3520" w:rsidR="007D4D48" w:rsidRDefault="007D4D48" w:rsidP="007D4D48">
          <w:pPr>
            <w:spacing w:line="360" w:lineRule="auto"/>
            <w:ind w:left="720"/>
          </w:pPr>
          <w:r w:rsidRPr="001740AB">
            <w:t xml:space="preserve">Multidisciplinary teams or MDTs are teams consisting of individuals drawn from different disciplines who come together to achieve a common goal, whether that be a project to introduce a new role, </w:t>
          </w:r>
          <w:r w:rsidR="00984DC1" w:rsidRPr="001740AB">
            <w:t xml:space="preserve">a </w:t>
          </w:r>
          <w:r w:rsidRPr="001740AB">
            <w:t>redesign of a patient pathway or providing care in a different way.</w:t>
          </w:r>
        </w:p>
        <w:p w14:paraId="0769E08D" w14:textId="772F2AF4" w:rsidR="00BB6412" w:rsidRDefault="00BB6412" w:rsidP="00BB6412">
          <w:pPr>
            <w:spacing w:line="360" w:lineRule="auto"/>
          </w:pPr>
          <w:r>
            <w:t xml:space="preserve">The London School of Planning and Management (2025) emphasises that statistics </w:t>
          </w:r>
          <w:r w:rsidR="007F69C8">
            <w:t>emphasise</w:t>
          </w:r>
          <w:r>
            <w:t xml:space="preserve"> the critical role of integrating reflective practice models in MDTs to foster better communication, effective teamwork, and, in turn, enhance patient outcomes.</w:t>
          </w:r>
        </w:p>
        <w:p w14:paraId="24FEB0CD" w14:textId="7AF1B2C8" w:rsidR="001F35CB" w:rsidRDefault="00FD7BBE" w:rsidP="00CB64F3">
          <w:pPr>
            <w:spacing w:line="360" w:lineRule="auto"/>
            <w:ind w:firstLine="720"/>
          </w:pPr>
          <w:r>
            <w:t>According to the British School of Coaching (2025), reflective practice, which is closely linked to coaching and mentoring, involves a deliberate analysis of thoughts, emotions, and behaviours to enhance professional efficacy.  The same article notes that in professional coaching, reflective practice is more than just a skill; it is a habitual approach that encourages sustained growth and keeps the practice aligned with fundamental values, thereby helping to mitigate the risk of burnout. At the same time, it grants perspective when confronted with challenges and reassures renewal during periods of change.</w:t>
          </w:r>
          <w:r w:rsidR="00AF6364">
            <w:br w:type="page"/>
          </w:r>
        </w:p>
        <w:p w14:paraId="50C11F70" w14:textId="72787A43" w:rsidR="001F35CB" w:rsidRDefault="001F35CB" w:rsidP="001F35CB">
          <w:pPr>
            <w:pStyle w:val="Heading1"/>
            <w:numPr>
              <w:ilvl w:val="0"/>
              <w:numId w:val="1"/>
            </w:numPr>
          </w:pPr>
          <w:bookmarkStart w:id="11" w:name="_Toc215520955"/>
          <w:r>
            <w:lastRenderedPageBreak/>
            <w:t>Challenges and Limitations</w:t>
          </w:r>
          <w:r w:rsidR="00971EDE">
            <w:t xml:space="preserve"> in Coaching, Mentoring, and Team-Based Practice</w:t>
          </w:r>
          <w:bookmarkEnd w:id="11"/>
        </w:p>
        <w:p w14:paraId="540B98A4" w14:textId="77777777" w:rsidR="001F35CB" w:rsidRDefault="001F35CB" w:rsidP="001F35CB">
          <w:pPr>
            <w:spacing w:line="360" w:lineRule="auto"/>
            <w:ind w:firstLine="720"/>
          </w:pPr>
        </w:p>
        <w:p w14:paraId="1FD9D917" w14:textId="76AB006B" w:rsidR="001F35CB" w:rsidRDefault="003310E9" w:rsidP="001F35CB">
          <w:pPr>
            <w:spacing w:line="360" w:lineRule="auto"/>
            <w:ind w:firstLine="720"/>
          </w:pPr>
          <w:r>
            <w:t>According to Health Education England (2025), a significant challenge in coaching is the requirement for time and patience, where a coach must recognise the effectiveness of silence and its role in prompting individuals to engage in self-reflection.  The latter explains that it can be frustrating to withhold advice, solutions, or answers; however, this approach may prove counterproductive, as it encourages learners to depend on external guidance instead of cultivating their own critical thinking abilities.</w:t>
          </w:r>
          <w:r w:rsidR="008B7893">
            <w:t xml:space="preserve">  Furthermore, as detailed by Pradelli et al. (2025), factors such as the need for prompt decision-making</w:t>
          </w:r>
          <w:r w:rsidR="005425E5">
            <w:t>, communication</w:t>
          </w:r>
          <w:r w:rsidR="008B7893">
            <w:t xml:space="preserve"> and the participation of a diverse array of </w:t>
          </w:r>
          <w:r w:rsidR="007F69C8">
            <w:t>specialists</w:t>
          </w:r>
          <w:r w:rsidR="008B7893">
            <w:t xml:space="preserve"> with specialised skills, as in the case of MDTs, can impact collaboration throughout all levels of care.  Moreover, these difficulties can negatively </w:t>
          </w:r>
          <w:r w:rsidR="00484ACD">
            <w:t>impact</w:t>
          </w:r>
          <w:r w:rsidR="008B7893">
            <w:t xml:space="preserve"> team performance and patient </w:t>
          </w:r>
          <w:r w:rsidR="00484ACD">
            <w:t>outcomes</w:t>
          </w:r>
          <w:r w:rsidR="008B7893">
            <w:t xml:space="preserve">, even when every individual is fully committed to </w:t>
          </w:r>
          <w:r w:rsidR="00484ACD">
            <w:t>achieving</w:t>
          </w:r>
          <w:r w:rsidR="008B7893">
            <w:t xml:space="preserve"> optimal results.</w:t>
          </w:r>
        </w:p>
        <w:p w14:paraId="4EDF118A" w14:textId="5CC161BE" w:rsidR="000F5206" w:rsidRDefault="00253CE8" w:rsidP="001F35CB">
          <w:pPr>
            <w:spacing w:line="360" w:lineRule="auto"/>
            <w:ind w:firstLine="720"/>
          </w:pPr>
          <w:r>
            <w:t>As an emerging online platform, according to Jan and Mahboob (2022), found in their study called ‘Online mentoring: Challenges and Strategies’, E-mentoring offers a flexible approach for individuals who are often excluded from mentorship opportunities due to factors such as gender, ethnicity, disability, or location; however, it presents challenges.</w:t>
          </w:r>
          <w:r w:rsidR="003E6477">
            <w:t xml:space="preserve">  As such, the primary challenge lies in the absence of facial expressions and the difficulty in interpreting body language, which hinders both the mentor and mentee from recognising cues in asynchronous settings. Also, participants may demonstrate diminished trust in a mentoring relationship when it occurs in an online format.</w:t>
          </w:r>
          <w:r w:rsidR="009E4CD3">
            <w:t xml:space="preserve">  In addition, Carr (2012</w:t>
          </w:r>
          <w:r w:rsidR="00846497">
            <w:t>, p. 1</w:t>
          </w:r>
          <w:r w:rsidR="009E4CD3">
            <w:t xml:space="preserve">) </w:t>
          </w:r>
          <w:r w:rsidR="006E2AB5">
            <w:t>defines</w:t>
          </w:r>
          <w:r w:rsidR="009E4CD3">
            <w:t xml:space="preserve"> asynchronous learning</w:t>
          </w:r>
          <w:r w:rsidR="006E2AB5">
            <w:t xml:space="preserve"> as time-delayed and allows flexibility, so that student participants in an online classroom do not need to engage in a discussion </w:t>
          </w:r>
          <w:r w:rsidR="00846497">
            <w:t>simultaneously</w:t>
          </w:r>
          <w:r w:rsidR="006E2AB5">
            <w:t>.</w:t>
          </w:r>
        </w:p>
        <w:p w14:paraId="3D12EA0B" w14:textId="303E87B0" w:rsidR="0079106F" w:rsidRDefault="002648F9" w:rsidP="001F35CB">
          <w:pPr>
            <w:spacing w:line="360" w:lineRule="auto"/>
            <w:ind w:firstLine="720"/>
          </w:pPr>
          <w:r>
            <w:t xml:space="preserve">In terms of technological barriers and unequal access, according to Bennett and Szedlak (2023), these can constrain the inclusivity and </w:t>
          </w:r>
          <w:r w:rsidR="007F69C8">
            <w:t>efficiency</w:t>
          </w:r>
          <w:r>
            <w:t xml:space="preserve"> of coaching interventions.  </w:t>
          </w:r>
          <w:r w:rsidR="0079106F">
            <w:t>Moreover</w:t>
          </w:r>
          <w:r>
            <w:t>, coaches and the coachee are required to navigate multiple digital platforms, ensuring that they have the essential technological infrastructure and digital skills for complete participation.</w:t>
          </w:r>
          <w:r w:rsidR="0079106F">
            <w:t xml:space="preserve">  Additionally, the Chartered Institute for IT (2025</w:t>
          </w:r>
          <w:r w:rsidR="00846497">
            <w:t>, p.1</w:t>
          </w:r>
          <w:r w:rsidR="0079106F">
            <w:t>) defines:</w:t>
          </w:r>
        </w:p>
        <w:p w14:paraId="4804FA33" w14:textId="7AED49AA" w:rsidR="003938B5" w:rsidRDefault="0079106F" w:rsidP="00175DE3">
          <w:pPr>
            <w:spacing w:line="360" w:lineRule="auto"/>
            <w:ind w:left="360"/>
          </w:pPr>
          <w:r>
            <w:t>Digital literacy encompasses the knowledge, skills, and attitudes that underpin the ability to make confident, creative, and effective use of technologies and systems, and make well-informed, critical judgements about the implications and impact of how digital technology is used.</w:t>
          </w:r>
          <w:r w:rsidR="00175DE3">
            <w:t xml:space="preserve">  D’Arcy et al. (2024) reinforce that digital inequalities persist in the </w:t>
          </w:r>
          <w:r w:rsidR="00175DE3">
            <w:lastRenderedPageBreak/>
            <w:t xml:space="preserve">UK, where deficiencies in digital access and digital literacy </w:t>
          </w:r>
          <w:r w:rsidR="007F69C8">
            <w:t>abilities</w:t>
          </w:r>
          <w:r w:rsidR="00175DE3">
            <w:t xml:space="preserve"> continue to affect a significant portion of the population in ways closely linked to socio-economic inequalities.  Consequently, it is essential to address digital inequalities and foster digital inclusion through both policy initiatives and practical measures.</w:t>
          </w:r>
        </w:p>
        <w:p w14:paraId="004F4EB6" w14:textId="11D2CB73" w:rsidR="00FD4BAC" w:rsidRDefault="00FD4BAC" w:rsidP="00FD4BAC">
          <w:pPr>
            <w:spacing w:line="360" w:lineRule="auto"/>
            <w:ind w:left="357" w:firstLine="720"/>
          </w:pPr>
          <w:r>
            <w:t xml:space="preserve">Furthermore, ineffective mentoring and coaching relationships may stem from </w:t>
          </w:r>
          <w:r w:rsidR="00484ACD">
            <w:t>insufficient</w:t>
          </w:r>
          <w:r>
            <w:t xml:space="preserve"> communication, </w:t>
          </w:r>
          <w:r w:rsidR="00484ACD">
            <w:t xml:space="preserve">a lack of </w:t>
          </w:r>
          <w:r>
            <w:t xml:space="preserve">commitment, personality </w:t>
          </w:r>
          <w:r w:rsidR="00484ACD">
            <w:t>disparities</w:t>
          </w:r>
          <w:r>
            <w:t xml:space="preserve">, perceived competition, conflicts of interest, and </w:t>
          </w:r>
          <w:r w:rsidR="00484ACD">
            <w:t>an absence</w:t>
          </w:r>
          <w:r>
            <w:t xml:space="preserve"> of experience, as reported by Strauss et </w:t>
          </w:r>
          <w:r w:rsidR="00484ACD">
            <w:t>al.</w:t>
          </w:r>
          <w:r>
            <w:t xml:space="preserve"> (2013).</w:t>
          </w:r>
          <w:r w:rsidR="00280288">
            <w:t xml:space="preserve">  According to the London School of Planning and Management (2025), only about 40% of health and social care organisations in the UK have successfully adopted reflective practice models, underscoring the prevalent challenges associated with integrating these frameworks.  As such, time limitations represent a significant barrier, alongside difficulties related to staff resistance and insufficient availability of essential resources.</w:t>
          </w:r>
          <w:r w:rsidR="00E64E86">
            <w:t xml:space="preserve">  Likewise, as detailed by Lundgren, Carter and Klein (2025), resistance to change or feedback often presents a significant challenge within coaching and mentoring relationships.  Therefore, individuals may exhibit reluctance to accept change or struggle to process feedback, which can hinder their personal and professional development.</w:t>
          </w:r>
        </w:p>
        <w:p w14:paraId="0CE2FBAE" w14:textId="7ADE0425" w:rsidR="006E73F2" w:rsidRDefault="006E73F2" w:rsidP="00FD4BAC">
          <w:pPr>
            <w:spacing w:line="360" w:lineRule="auto"/>
            <w:ind w:left="357" w:firstLine="720"/>
          </w:pPr>
          <w:r>
            <w:t xml:space="preserve"> </w:t>
          </w:r>
        </w:p>
        <w:p w14:paraId="44B5C1AA" w14:textId="4829568D" w:rsidR="0079106F" w:rsidRDefault="0079106F" w:rsidP="001F35CB">
          <w:pPr>
            <w:spacing w:line="360" w:lineRule="auto"/>
            <w:ind w:firstLine="720"/>
          </w:pPr>
        </w:p>
        <w:p w14:paraId="0967B338" w14:textId="77777777" w:rsidR="00BC55D6" w:rsidRDefault="00BC55D6" w:rsidP="004A7EA6">
          <w:pPr>
            <w:spacing w:line="360" w:lineRule="auto"/>
          </w:pPr>
        </w:p>
        <w:p w14:paraId="3E76EE85" w14:textId="77777777" w:rsidR="00CF4D77" w:rsidRDefault="00CF4D77" w:rsidP="004A7EA6">
          <w:pPr>
            <w:spacing w:line="360" w:lineRule="auto"/>
          </w:pPr>
        </w:p>
        <w:p w14:paraId="3BA8F9E6" w14:textId="77777777" w:rsidR="00CF4D77" w:rsidRDefault="00CF4D77" w:rsidP="004A7EA6">
          <w:pPr>
            <w:spacing w:line="360" w:lineRule="auto"/>
          </w:pPr>
        </w:p>
        <w:p w14:paraId="2D68FAFF" w14:textId="77777777" w:rsidR="00CF4D77" w:rsidRDefault="00CF4D77" w:rsidP="004A7EA6">
          <w:pPr>
            <w:spacing w:line="360" w:lineRule="auto"/>
          </w:pPr>
        </w:p>
        <w:p w14:paraId="716EB4F1" w14:textId="77777777" w:rsidR="00CF4D77" w:rsidRDefault="00CF4D77" w:rsidP="004A7EA6">
          <w:pPr>
            <w:spacing w:line="360" w:lineRule="auto"/>
          </w:pPr>
        </w:p>
        <w:p w14:paraId="7BD14C76" w14:textId="77777777" w:rsidR="00CF4D77" w:rsidRDefault="00CF4D77" w:rsidP="004A7EA6">
          <w:pPr>
            <w:spacing w:line="360" w:lineRule="auto"/>
          </w:pPr>
        </w:p>
        <w:p w14:paraId="13EBB3AC" w14:textId="77777777" w:rsidR="00CF4D77" w:rsidRDefault="00CF4D77" w:rsidP="004A7EA6">
          <w:pPr>
            <w:spacing w:line="360" w:lineRule="auto"/>
          </w:pPr>
        </w:p>
        <w:p w14:paraId="5C873F49" w14:textId="77777777" w:rsidR="00CF4D77" w:rsidRDefault="00CF4D77" w:rsidP="004A7EA6">
          <w:pPr>
            <w:spacing w:line="360" w:lineRule="auto"/>
          </w:pPr>
        </w:p>
        <w:p w14:paraId="0B486155" w14:textId="77777777" w:rsidR="00CF4D77" w:rsidRDefault="00CF4D77" w:rsidP="004A7EA6">
          <w:pPr>
            <w:spacing w:line="360" w:lineRule="auto"/>
          </w:pPr>
        </w:p>
        <w:p w14:paraId="59223E91" w14:textId="77777777" w:rsidR="00CF4D77" w:rsidRDefault="00CF4D77" w:rsidP="004A7EA6">
          <w:pPr>
            <w:spacing w:line="360" w:lineRule="auto"/>
          </w:pPr>
        </w:p>
        <w:p w14:paraId="4F5AB779" w14:textId="77777777" w:rsidR="00CF4D77" w:rsidRDefault="00CF4D77" w:rsidP="004A7EA6">
          <w:pPr>
            <w:spacing w:line="360" w:lineRule="auto"/>
          </w:pPr>
        </w:p>
        <w:p w14:paraId="4031729C" w14:textId="77777777" w:rsidR="00CF4D77" w:rsidRDefault="00CF4D77" w:rsidP="004A7EA6">
          <w:pPr>
            <w:spacing w:line="360" w:lineRule="auto"/>
          </w:pPr>
        </w:p>
        <w:p w14:paraId="7247B088" w14:textId="77777777" w:rsidR="00CF4D77" w:rsidRDefault="00CF4D77" w:rsidP="004A7EA6">
          <w:pPr>
            <w:spacing w:line="360" w:lineRule="auto"/>
          </w:pPr>
        </w:p>
        <w:p w14:paraId="3CA54BF7" w14:textId="77777777" w:rsidR="00CF4D77" w:rsidRDefault="00CF4D77" w:rsidP="004A7EA6">
          <w:pPr>
            <w:spacing w:line="360" w:lineRule="auto"/>
          </w:pPr>
        </w:p>
        <w:p w14:paraId="6B0BEBF6" w14:textId="77777777" w:rsidR="00CF4D77" w:rsidRDefault="00CF4D77" w:rsidP="004A7EA6">
          <w:pPr>
            <w:spacing w:line="360" w:lineRule="auto"/>
          </w:pPr>
        </w:p>
        <w:p w14:paraId="1CB1554B" w14:textId="77777777" w:rsidR="00CF4D77" w:rsidRDefault="00CF4D77" w:rsidP="004A7EA6">
          <w:pPr>
            <w:spacing w:line="360" w:lineRule="auto"/>
          </w:pPr>
        </w:p>
        <w:p w14:paraId="1ED4BB01" w14:textId="702E878D" w:rsidR="00AF6364" w:rsidRDefault="009C5141" w:rsidP="003D2524">
          <w:pPr>
            <w:pStyle w:val="Heading1"/>
            <w:numPr>
              <w:ilvl w:val="0"/>
              <w:numId w:val="1"/>
            </w:numPr>
          </w:pPr>
          <w:bookmarkStart w:id="12" w:name="_Toc215520956"/>
          <w:r>
            <w:lastRenderedPageBreak/>
            <w:t xml:space="preserve">Personal </w:t>
          </w:r>
          <w:r w:rsidR="00971EDE">
            <w:t>and Interpersonal Skills in Today’s Health and Care Environment</w:t>
          </w:r>
          <w:r w:rsidR="000E42DE">
            <w:t xml:space="preserve"> </w:t>
          </w:r>
          <w:r w:rsidR="00AB3D90">
            <w:t xml:space="preserve">and How </w:t>
          </w:r>
          <w:r w:rsidR="0077735A">
            <w:t xml:space="preserve">They Can </w:t>
          </w:r>
          <w:r w:rsidR="00B8111D">
            <w:t>Be</w:t>
          </w:r>
          <w:r w:rsidR="00AB3D90">
            <w:t xml:space="preserve"> Nurture</w:t>
          </w:r>
          <w:r w:rsidR="0077735A">
            <w:t>d</w:t>
          </w:r>
          <w:bookmarkEnd w:id="12"/>
        </w:p>
        <w:p w14:paraId="6E314029" w14:textId="667763F8" w:rsidR="00233042" w:rsidRDefault="00233042" w:rsidP="00233042"/>
        <w:p w14:paraId="558660F3" w14:textId="2447321D" w:rsidR="007601A0" w:rsidRDefault="00CC5683" w:rsidP="003718D6">
          <w:pPr>
            <w:spacing w:line="360" w:lineRule="auto"/>
            <w:ind w:firstLine="720"/>
          </w:pPr>
          <w:r>
            <w:t>Further</w:t>
          </w:r>
          <w:r w:rsidR="003718D6">
            <w:t>, as detailed by the British School of Coaching (2025), effective coaching and mentoring relationships are characterised by mutual partnerships where both the coach and mentor possess skills in active listening, sharing insights, and are open to providing and receiving feedback</w:t>
          </w:r>
          <w:r>
            <w:t>,</w:t>
          </w:r>
          <w:r w:rsidR="003718D6">
            <w:t xml:space="preserve"> </w:t>
          </w:r>
          <w:r>
            <w:t>as well as</w:t>
          </w:r>
          <w:r w:rsidR="003718D6">
            <w:t xml:space="preserve"> clarifying roles and expectations.</w:t>
          </w:r>
          <w:r w:rsidR="007601A0">
            <w:t xml:space="preserve"> According to Rogers and Farson (</w:t>
          </w:r>
          <w:r w:rsidR="007D2356">
            <w:t>2015</w:t>
          </w:r>
          <w:r w:rsidR="00846497">
            <w:t>, p. 1</w:t>
          </w:r>
          <w:r w:rsidR="007601A0">
            <w:t>):</w:t>
          </w:r>
        </w:p>
        <w:p w14:paraId="46A28957" w14:textId="77777777" w:rsidR="00CC5683" w:rsidRDefault="007601A0" w:rsidP="007601A0">
          <w:pPr>
            <w:spacing w:line="360" w:lineRule="auto"/>
            <w:ind w:left="360"/>
          </w:pPr>
          <w:r>
            <w:t xml:space="preserve"> Active listening is a communication technique used in counselling, training, and conflict resolution, which requires the listener to provide feedback on what they hear to the speaker by </w:t>
          </w:r>
          <w:r w:rsidR="00AB3D90">
            <w:t>restating</w:t>
          </w:r>
          <w:r>
            <w:t xml:space="preserve"> or paraphrasing what they have </w:t>
          </w:r>
          <w:r w:rsidR="00CC5683">
            <w:t>heard</w:t>
          </w:r>
          <w:r>
            <w:t xml:space="preserve"> in their own words.</w:t>
          </w:r>
          <w:r w:rsidR="00CC5683">
            <w:t xml:space="preserve">  </w:t>
          </w:r>
        </w:p>
        <w:p w14:paraId="72A401EC" w14:textId="4B4BBC52" w:rsidR="003718D6" w:rsidRDefault="00CC5683" w:rsidP="00CC5683">
          <w:pPr>
            <w:spacing w:line="360" w:lineRule="auto"/>
          </w:pPr>
          <w:r>
            <w:t>Moreover, other key skills include communication skills, such as asking the right questions by demonstrating active listening, empathy to understand feelings, and non-verbal communication, as per the London School of International Business (2025).</w:t>
          </w:r>
          <w:r w:rsidR="00017D9F">
            <w:t xml:space="preserve">  The same author suggests that by mastering nonverbal communication, coaches and mentors can improve their effectiveness in fostering relationships.  In addition to clarifying, the American Psychological Association (2018</w:t>
          </w:r>
          <w:r w:rsidR="00846497">
            <w:t>, p. 1)</w:t>
          </w:r>
          <w:r w:rsidR="00017D9F">
            <w:t xml:space="preserve"> defines:</w:t>
          </w:r>
        </w:p>
        <w:p w14:paraId="56D304C4" w14:textId="10058931" w:rsidR="00017D9F" w:rsidRDefault="00017D9F" w:rsidP="00017D9F">
          <w:pPr>
            <w:spacing w:line="360" w:lineRule="auto"/>
            <w:ind w:left="360"/>
          </w:pPr>
          <w:r>
            <w:t>Nonverbal communication is the act of conveying information without the use of words and occurs through facial expressions, gestures, body language, tone of voice, and other physical indications of mood, attitude, approbation, and so forth, some of which may require knowledge of the culture or subculture to understand.</w:t>
          </w:r>
        </w:p>
        <w:p w14:paraId="49520F80" w14:textId="6D05CC46" w:rsidR="00957315" w:rsidRDefault="00957315" w:rsidP="00957315">
          <w:pPr>
            <w:spacing w:line="360" w:lineRule="auto"/>
          </w:pPr>
          <w:r>
            <w:t xml:space="preserve">The London School of Planning and Management (2025) notes that emotional intelligence is crucial for the effectiveness of coaching and mentoring relationships.  As such, by establishing trust, emotional intelligence enables coaches and mentors to </w:t>
          </w:r>
          <w:r w:rsidR="00B219BD">
            <w:t>foster a strong relationship</w:t>
          </w:r>
          <w:r>
            <w:t xml:space="preserve"> with their mentees.  By recognising and regulating their own emotions, coaches can create a secure and nurturing environment that motivates coachees </w:t>
          </w:r>
          <w:r w:rsidR="00F50F24">
            <w:t>to express their worries and share their thoughts.</w:t>
          </w:r>
          <w:r w:rsidR="00D824E1">
            <w:t xml:space="preserve">  In addition, to clarify, Guerra (2011, </w:t>
          </w:r>
          <w:r w:rsidR="0082331C">
            <w:t>pp.</w:t>
          </w:r>
          <w:r w:rsidR="00D824E1">
            <w:t xml:space="preserve"> 574-576) defines: </w:t>
          </w:r>
        </w:p>
        <w:p w14:paraId="3A6289B9" w14:textId="08AEE667" w:rsidR="00D824E1" w:rsidRDefault="00D824E1" w:rsidP="00D824E1">
          <w:pPr>
            <w:spacing w:line="360" w:lineRule="auto"/>
            <w:ind w:left="720"/>
          </w:pPr>
          <w:r>
            <w:t>Emotional Intelligence (EI) is an extension of social intelligence that describes a person’s innate cognitive ability to perceive, identify, assess, understand, manage, and explain emotions in order to reason, guide thinking and action, solve problems, and regulate behaviour.</w:t>
          </w:r>
        </w:p>
        <w:p w14:paraId="36470532" w14:textId="0ABD48B2" w:rsidR="00B219BD" w:rsidRDefault="00B219BD" w:rsidP="00260F6C">
          <w:pPr>
            <w:spacing w:line="360" w:lineRule="auto"/>
            <w:ind w:firstLine="720"/>
          </w:pPr>
          <w:r>
            <w:lastRenderedPageBreak/>
            <w:t xml:space="preserve">In terms of nurturing and developing these skills, according to Health Education England (2025), they can foster confidence and self-assurance, providing vital </w:t>
          </w:r>
          <w:r w:rsidR="0082331C">
            <w:t>opportunities for growth</w:t>
          </w:r>
          <w:r w:rsidR="00E26927">
            <w:t xml:space="preserve"> and development</w:t>
          </w:r>
          <w:r>
            <w:t xml:space="preserve">.  As highlighted by the Institute of Leadership and Management, </w:t>
          </w:r>
          <w:r w:rsidR="0082331C">
            <w:t>this</w:t>
          </w:r>
          <w:r>
            <w:t xml:space="preserve"> learning framework contextualises the principles of leadership</w:t>
          </w:r>
          <w:r w:rsidR="0082331C">
            <w:t>. It supports</w:t>
          </w:r>
          <w:r>
            <w:t xml:space="preserve"> continuing professional development (CPD) for individuals aiming to progress in their careers.  Additionally, in the same article, buddying can help new staff members acclimate to their new surroundings and adapt to their responsibilities by developing mentoring skills.</w:t>
          </w:r>
          <w:r w:rsidR="0034188C">
            <w:t xml:space="preserve"> </w:t>
          </w:r>
        </w:p>
        <w:p w14:paraId="517EA430" w14:textId="1E87356A" w:rsidR="0009143D" w:rsidRDefault="00A45144" w:rsidP="00260F6C">
          <w:pPr>
            <w:spacing w:line="360" w:lineRule="auto"/>
            <w:ind w:firstLine="720"/>
          </w:pPr>
          <w:r>
            <w:t>Furthermore, framework models such as the NHS Digital Academy and the IT Skills Pathway. As detailed by NHS England (202</w:t>
          </w:r>
          <w:r w:rsidR="0082331C">
            <w:t>4</w:t>
          </w:r>
          <w:r>
            <w:t>), these programs aim to help the workforce enhance their digital skills and enable users to identify areas for improvement and address them.</w:t>
          </w:r>
          <w:r w:rsidR="0082331C">
            <w:t xml:space="preserve">  Moreover, as per the International Coaching Federation (2025) and the Department of Education (2025), embedding reflective practice into coaching and mentoring can help nurture the skills needed to be effective by bringing a creative way of thinking, bringing your own systematic way of practice and facilitating both individual understanding and professional identity.</w:t>
          </w:r>
        </w:p>
        <w:p w14:paraId="37993AAA" w14:textId="5A22BE7E" w:rsidR="009C5141" w:rsidRPr="003D2524" w:rsidRDefault="001F35CB" w:rsidP="001F35CB">
          <w:pPr>
            <w:pStyle w:val="Heading1"/>
          </w:pPr>
          <w:r w:rsidRPr="003D2524">
            <w:t xml:space="preserve"> </w:t>
          </w:r>
          <w:r w:rsidR="009C5141" w:rsidRPr="003D2524">
            <w:br w:type="page"/>
          </w:r>
        </w:p>
        <w:p w14:paraId="11E54708" w14:textId="12F71598" w:rsidR="00727BCC" w:rsidRDefault="000D7C77" w:rsidP="003D2524">
          <w:pPr>
            <w:pStyle w:val="Heading1"/>
            <w:numPr>
              <w:ilvl w:val="0"/>
              <w:numId w:val="1"/>
            </w:numPr>
          </w:pPr>
          <w:bookmarkStart w:id="13" w:name="_Toc215520957"/>
          <w:r>
            <w:lastRenderedPageBreak/>
            <w:t>Conclusion</w:t>
          </w:r>
          <w:bookmarkEnd w:id="13"/>
        </w:p>
        <w:p w14:paraId="7B74020E" w14:textId="77777777" w:rsidR="00727BCC" w:rsidRDefault="00727BCC" w:rsidP="00727BCC">
          <w:pPr>
            <w:pStyle w:val="Heading1"/>
          </w:pPr>
        </w:p>
        <w:p w14:paraId="07F68E15" w14:textId="22A540A7" w:rsidR="000F3A76" w:rsidRDefault="00727BCC" w:rsidP="0046048F">
          <w:pPr>
            <w:spacing w:line="360" w:lineRule="auto"/>
            <w:ind w:firstLine="720"/>
          </w:pPr>
          <w:r w:rsidRPr="00727BCC">
            <w:t>In summary,</w:t>
          </w:r>
          <w:r>
            <w:t xml:space="preserve"> effective coaching and mentoring play a crucial role in promoting contemporary health and care management skills</w:t>
          </w:r>
          <w:r w:rsidR="0024409B">
            <w:t>,</w:t>
          </w:r>
          <w:r>
            <w:t xml:space="preserve"> fostering confidence</w:t>
          </w:r>
          <w:r w:rsidR="0024409B">
            <w:t>,</w:t>
          </w:r>
          <w:r>
            <w:t xml:space="preserve"> and </w:t>
          </w:r>
          <w:r w:rsidR="0024409B">
            <w:t xml:space="preserve">enhancing </w:t>
          </w:r>
          <w:r>
            <w:t xml:space="preserve">adaptability.  </w:t>
          </w:r>
          <w:r w:rsidR="000F3A76">
            <w:t>This report has illustrated that these frameworks offer numerous benefits, such as improved communication, reflective practice, emotional intelligence, and professional confidence.  Within healthcare teams, coaching and mentoring foster collaboration, clarify roles, and encourage shared accountability, closely aligning with the principles of team-based care.  Multidisciplinary teams in hospitals and care home environments benefit from these interventions, as they strengthen trust, morale, and collective decision-making, ultimately leading to enhanced patient outcomes.</w:t>
          </w:r>
        </w:p>
        <w:p w14:paraId="584073FB" w14:textId="25DE8145" w:rsidR="000F3A76" w:rsidRDefault="000F3A76" w:rsidP="0046048F">
          <w:pPr>
            <w:spacing w:line="360" w:lineRule="auto"/>
            <w:ind w:firstLine="720"/>
          </w:pPr>
          <w:r>
            <w:t>However, several challenges limit the effectiveness of coaching and mentoring in Healthcare.  These limitations include time constraints, workload pressures, cultural resistance, and inconsistent mentor training, which can obstruct engagement.  Digital platforms present opportunities through online coaching, e-mentoring, and virtual learning; nevertheless, digital inequalities and literacy may pose barriers.  Additionally, mentoring relationships necessitate careful management boundaries to prevent dependency or conflict.</w:t>
          </w:r>
        </w:p>
        <w:p w14:paraId="2372D18B" w14:textId="711A4D85" w:rsidR="000F3A76" w:rsidRDefault="000F3A76" w:rsidP="000F3A76">
          <w:pPr>
            <w:spacing w:line="360" w:lineRule="auto"/>
          </w:pPr>
          <w:r>
            <w:t xml:space="preserve">This report also highlighted </w:t>
          </w:r>
          <w:r w:rsidR="00FC3B09">
            <w:t xml:space="preserve">the </w:t>
          </w:r>
          <w:r>
            <w:t xml:space="preserve">essential personal and interpersonal skills </w:t>
          </w:r>
          <w:r w:rsidR="00FC3B09">
            <w:t>required</w:t>
          </w:r>
          <w:r>
            <w:t xml:space="preserve"> in today’s health and care environment, including adaptability, communication, emotional intelligence, empathy</w:t>
          </w:r>
          <w:r w:rsidR="00FC3B09">
            <w:t>,</w:t>
          </w:r>
          <w:r>
            <w:t xml:space="preserve"> </w:t>
          </w:r>
          <w:r w:rsidR="00FC3B09">
            <w:t>and</w:t>
          </w:r>
          <w:r>
            <w:t xml:space="preserve"> digital competence</w:t>
          </w:r>
          <w:r w:rsidR="00FC3B09">
            <w:t>.  These skills can be nurtured through structured developmental programs, reflective practice, training, and supporting organisational cultures, as well as continuing personal development.</w:t>
          </w:r>
        </w:p>
        <w:p w14:paraId="00EA8DB6" w14:textId="0A57FFFA" w:rsidR="000F3A76" w:rsidRDefault="00FC3B09" w:rsidP="0046048F">
          <w:pPr>
            <w:spacing w:line="360" w:lineRule="auto"/>
            <w:ind w:firstLine="720"/>
          </w:pPr>
          <w:r>
            <w:t xml:space="preserve">Finally, integrating coaching, mentoring, reflective practice, and team-based development into healthcare organisations is crucial for fostering resilient, competent, and collaborative teams.  By addressing the identified challenges and promoting skill development, healthcare professionals can enhance their workforce's performance, improve staff retention, and </w:t>
          </w:r>
          <w:r w:rsidR="00484ACD" w:rsidRPr="00FC3B09">
            <w:t>guarantee</w:t>
          </w:r>
          <w:r w:rsidRPr="00FC3B09">
            <w:t xml:space="preserve"> </w:t>
          </w:r>
          <w:r w:rsidR="003938B5">
            <w:t xml:space="preserve">the delivery of </w:t>
          </w:r>
          <w:r w:rsidR="00484ACD" w:rsidRPr="00FC3B09">
            <w:t>first-class</w:t>
          </w:r>
          <w:r w:rsidRPr="00FC3B09">
            <w:t xml:space="preserve">, sustainable </w:t>
          </w:r>
          <w:r w:rsidR="00484ACD">
            <w:t xml:space="preserve">health and </w:t>
          </w:r>
          <w:r w:rsidRPr="00FC3B09">
            <w:t>care.</w:t>
          </w:r>
        </w:p>
        <w:p w14:paraId="7E67B14D" w14:textId="77777777" w:rsidR="000F3A76" w:rsidRDefault="000F3A76" w:rsidP="0046048F">
          <w:pPr>
            <w:spacing w:line="360" w:lineRule="auto"/>
            <w:ind w:firstLine="720"/>
          </w:pPr>
        </w:p>
        <w:p w14:paraId="71B6605B" w14:textId="77777777" w:rsidR="000F3A76" w:rsidRDefault="000F3A76" w:rsidP="0046048F">
          <w:pPr>
            <w:spacing w:line="360" w:lineRule="auto"/>
            <w:ind w:firstLine="720"/>
          </w:pPr>
        </w:p>
        <w:p w14:paraId="7363C5F7" w14:textId="77777777" w:rsidR="000F3A76" w:rsidRDefault="000F3A76" w:rsidP="0046048F">
          <w:pPr>
            <w:spacing w:line="360" w:lineRule="auto"/>
            <w:ind w:firstLine="720"/>
          </w:pPr>
        </w:p>
        <w:p w14:paraId="24BFB025" w14:textId="77777777" w:rsidR="000F3A76" w:rsidRDefault="000F3A76" w:rsidP="0046048F">
          <w:pPr>
            <w:spacing w:line="360" w:lineRule="auto"/>
            <w:ind w:firstLine="720"/>
          </w:pPr>
        </w:p>
        <w:p w14:paraId="56251727" w14:textId="77777777" w:rsidR="000F3A76" w:rsidRDefault="000F3A76" w:rsidP="0046048F">
          <w:pPr>
            <w:spacing w:line="360" w:lineRule="auto"/>
            <w:ind w:firstLine="720"/>
          </w:pPr>
        </w:p>
        <w:p w14:paraId="0ED11A75" w14:textId="7BBD7499" w:rsidR="00580EBD" w:rsidRDefault="00AF6364" w:rsidP="001F35CB">
          <w:pPr>
            <w:pStyle w:val="Heading1"/>
            <w:numPr>
              <w:ilvl w:val="0"/>
              <w:numId w:val="1"/>
            </w:numPr>
          </w:pPr>
          <w:bookmarkStart w:id="14" w:name="_Toc215520958"/>
          <w:r w:rsidRPr="001F35CB">
            <w:lastRenderedPageBreak/>
            <w:t>References</w:t>
          </w:r>
        </w:p>
      </w:sdtContent>
    </w:sdt>
    <w:bookmarkEnd w:id="14" w:displacedByCustomXml="prev"/>
    <w:p w14:paraId="02F3C45C" w14:textId="77777777" w:rsidR="00A30814" w:rsidRDefault="00A30814" w:rsidP="00665528">
      <w:pPr>
        <w:spacing w:line="276" w:lineRule="auto"/>
      </w:pPr>
    </w:p>
    <w:p w14:paraId="4B9A3CEC" w14:textId="77777777" w:rsidR="00460D38" w:rsidRDefault="00460D38" w:rsidP="00460D38">
      <w:pPr>
        <w:ind w:left="720" w:hanging="720"/>
      </w:pPr>
      <w:r>
        <w:t xml:space="preserve">Academy of Leadership and Management (2025) </w:t>
      </w:r>
      <w:r w:rsidRPr="00C07B33">
        <w:rPr>
          <w:i/>
        </w:rPr>
        <w:t>Coaching vs Mentoring: What’s the difference and why it matters</w:t>
      </w:r>
      <w:r>
        <w:t xml:space="preserve">. Available at: </w:t>
      </w:r>
      <w:r w:rsidRPr="00C07B33">
        <w:t>https://academylm.co.uk/coaching-mentoring/coaching-vs-mentoring-whats-the-difference-and-why-it-matters/</w:t>
      </w:r>
      <w:r>
        <w:t xml:space="preserve"> (Retrieved 28 October 2025).</w:t>
      </w:r>
    </w:p>
    <w:p w14:paraId="772019D3" w14:textId="77777777" w:rsidR="00460D38" w:rsidRDefault="00460D38" w:rsidP="00460D38">
      <w:pPr>
        <w:ind w:left="720" w:hanging="720"/>
      </w:pPr>
      <w:r>
        <w:t xml:space="preserve">Alkan, E., Cushen-Brewster, Anyanwu, P. (2024) 'Organisational factors associated with healthcare workforce development, recruitment, and retention in the United Kingdom: a systematic review', </w:t>
      </w:r>
      <w:r w:rsidRPr="00212AD8">
        <w:rPr>
          <w:i/>
        </w:rPr>
        <w:t>BMC Nursing</w:t>
      </w:r>
      <w:r>
        <w:t>, 23(604).</w:t>
      </w:r>
    </w:p>
    <w:p w14:paraId="258BA9AB" w14:textId="77777777" w:rsidR="00460D38" w:rsidRDefault="00460D38" w:rsidP="00460D38">
      <w:pPr>
        <w:ind w:left="720" w:hanging="720"/>
      </w:pPr>
      <w:r>
        <w:t xml:space="preserve">American Psychological Association (2018) </w:t>
      </w:r>
      <w:r w:rsidRPr="007B26C2">
        <w:rPr>
          <w:i/>
          <w:iCs/>
        </w:rPr>
        <w:t>Nonverbal communication</w:t>
      </w:r>
      <w:r>
        <w:t xml:space="preserve">. Available at: </w:t>
      </w:r>
      <w:r w:rsidRPr="007B26C2">
        <w:t>https://dictionary.apa.org/nonverbal-communication</w:t>
      </w:r>
      <w:r>
        <w:t xml:space="preserve"> (Retrieved 25 November 2025).</w:t>
      </w:r>
    </w:p>
    <w:p w14:paraId="79F8BBE4" w14:textId="77777777" w:rsidR="00460D38" w:rsidRDefault="00460D38" w:rsidP="00460D38">
      <w:pPr>
        <w:ind w:left="720" w:hanging="720"/>
      </w:pPr>
      <w:r>
        <w:t xml:space="preserve">Association for Project Management (2021) </w:t>
      </w:r>
      <w:r w:rsidRPr="00363489">
        <w:rPr>
          <w:i/>
          <w:iCs/>
        </w:rPr>
        <w:t>Reflections on CPD</w:t>
      </w:r>
      <w:r>
        <w:t xml:space="preserve">. Available at: </w:t>
      </w:r>
      <w:r w:rsidRPr="00363489">
        <w:t>https://www.apm.org.uk/blog/reflections-on-cpd/</w:t>
      </w:r>
      <w:r>
        <w:t xml:space="preserve"> (Retrieved 18 November 2025).</w:t>
      </w:r>
    </w:p>
    <w:p w14:paraId="564D1190" w14:textId="77777777" w:rsidR="00460D38" w:rsidRDefault="00460D38" w:rsidP="00460D38">
      <w:pPr>
        <w:ind w:left="720" w:hanging="720"/>
      </w:pPr>
      <w:r>
        <w:t xml:space="preserve">Babiker, A., El Husseini, M., Al Nemiri, A., Al Frayh, A., Al Juryyan, N., O Faki, M., Assiri, A., Al Saadi, M., Shaikh, F. and Al Zamil (2014) ‘Health care professional development: Working as a team to improve patient care’, </w:t>
      </w:r>
      <w:r w:rsidRPr="002261AB">
        <w:rPr>
          <w:i/>
          <w:iCs/>
        </w:rPr>
        <w:t>Sudan J Paediatr</w:t>
      </w:r>
      <w:r>
        <w:t>, 14(2), pp. 9-16.</w:t>
      </w:r>
    </w:p>
    <w:p w14:paraId="65A7A531" w14:textId="77777777" w:rsidR="00460D38" w:rsidRDefault="00460D38" w:rsidP="00460D38">
      <w:pPr>
        <w:ind w:left="720" w:hanging="720"/>
      </w:pPr>
      <w:r>
        <w:t xml:space="preserve">Bennett, B. and Szedlak, C. (2023) ‘Aligning online and remote coaching with the digital age: Novel perspectives for an emerging field of research and practice’, </w:t>
      </w:r>
      <w:r w:rsidRPr="002648F9">
        <w:rPr>
          <w:i/>
          <w:iCs/>
        </w:rPr>
        <w:t>International Journal of Sports Science and Coaching,</w:t>
      </w:r>
      <w:r>
        <w:t xml:space="preserve"> 19(2), pp. 882-893.</w:t>
      </w:r>
    </w:p>
    <w:p w14:paraId="6B792782" w14:textId="77777777" w:rsidR="00460D38" w:rsidRDefault="00460D38" w:rsidP="00460D38">
      <w:pPr>
        <w:ind w:left="720" w:hanging="720"/>
      </w:pPr>
      <w:r>
        <w:t xml:space="preserve">British School of Coaching (2025) </w:t>
      </w:r>
      <w:r w:rsidRPr="00E90788">
        <w:rPr>
          <w:i/>
          <w:iCs/>
        </w:rPr>
        <w:t>Reflective Practice in Coaching: The Habit that Sustains Growth</w:t>
      </w:r>
      <w:r>
        <w:t xml:space="preserve">. Available at: </w:t>
      </w:r>
      <w:r w:rsidRPr="00E90788">
        <w:t>https://www.britishschoolofcoaching.com/reflective-practice-in-coaching-the-habit-that-sustains-growth/</w:t>
      </w:r>
      <w:r>
        <w:t xml:space="preserve"> (Retrieved 24 November 2025).</w:t>
      </w:r>
    </w:p>
    <w:p w14:paraId="21ED96D9" w14:textId="77777777" w:rsidR="00460D38" w:rsidRDefault="00460D38" w:rsidP="00460D38">
      <w:pPr>
        <w:ind w:left="720" w:hanging="720"/>
      </w:pPr>
      <w:r>
        <w:t xml:space="preserve">British School of Coaching (2025) </w:t>
      </w:r>
      <w:r w:rsidRPr="00C45CF2">
        <w:rPr>
          <w:i/>
          <w:iCs/>
        </w:rPr>
        <w:t>The GROW Coaching Model</w:t>
      </w:r>
      <w:r>
        <w:t xml:space="preserve">. Available at: </w:t>
      </w:r>
      <w:r w:rsidRPr="00C45CF2">
        <w:t>https://www.britishschoolofcoaching.com/the-grow-coaching-model/</w:t>
      </w:r>
      <w:r>
        <w:t xml:space="preserve"> (Retrieved 10 November 2025).</w:t>
      </w:r>
    </w:p>
    <w:p w14:paraId="32C0B69C" w14:textId="77777777" w:rsidR="00460D38" w:rsidRDefault="00460D38" w:rsidP="00460D38">
      <w:pPr>
        <w:ind w:left="720" w:hanging="720"/>
      </w:pPr>
      <w:r>
        <w:t xml:space="preserve">Carr, V. B. (2012) Asynchronous Learning. In: Seel, N. M. (eds) </w:t>
      </w:r>
      <w:r w:rsidRPr="006E2AB5">
        <w:rPr>
          <w:i/>
          <w:iCs/>
        </w:rPr>
        <w:t>Encyclopaedia of the Sciences of Learning</w:t>
      </w:r>
      <w:r>
        <w:t>. Springer: Boston.</w:t>
      </w:r>
    </w:p>
    <w:p w14:paraId="262A45DB" w14:textId="77777777" w:rsidR="00460D38" w:rsidRDefault="00460D38" w:rsidP="00460D38">
      <w:pPr>
        <w:ind w:left="720" w:hanging="720"/>
      </w:pPr>
      <w:r>
        <w:t xml:space="preserve">Chartered Institute of Personnel and Development (2025) </w:t>
      </w:r>
      <w:r w:rsidRPr="001B5F60">
        <w:rPr>
          <w:i/>
          <w:iCs/>
        </w:rPr>
        <w:t>Coaching and Mentoring</w:t>
      </w:r>
      <w:r>
        <w:t xml:space="preserve">. Available at: </w:t>
      </w:r>
      <w:r w:rsidRPr="001B5F60">
        <w:t>https://www.cipd.org/uk/knowledge/factsheets/coaching-mentoring-factsheet/</w:t>
      </w:r>
      <w:r>
        <w:t xml:space="preserve"> (Retrieved 19 November 2025).</w:t>
      </w:r>
    </w:p>
    <w:p w14:paraId="3EC6AB77" w14:textId="77777777" w:rsidR="00460D38" w:rsidRDefault="00460D38" w:rsidP="00460D38">
      <w:pPr>
        <w:ind w:left="720" w:hanging="720"/>
      </w:pPr>
      <w:r>
        <w:t xml:space="preserve">Chartered Institute of Personnel Development (2025) </w:t>
      </w:r>
      <w:r w:rsidRPr="00AA1ADC">
        <w:rPr>
          <w:i/>
        </w:rPr>
        <w:t>Coaching and Mentoring</w:t>
      </w:r>
      <w:r>
        <w:t xml:space="preserve">. Available at: </w:t>
      </w:r>
      <w:r w:rsidRPr="00AA1ADC">
        <w:t>https://www.cipd.org/uk/knowledge/factsheets/coaching-mentoring-factsheet/</w:t>
      </w:r>
      <w:r>
        <w:t xml:space="preserve"> (Retrieved 27 October 2025).</w:t>
      </w:r>
    </w:p>
    <w:p w14:paraId="66ACC3F4" w14:textId="77777777" w:rsidR="00460D38" w:rsidRDefault="00460D38" w:rsidP="00460D38">
      <w:pPr>
        <w:ind w:left="720" w:hanging="720"/>
      </w:pPr>
      <w:r>
        <w:t xml:space="preserve">Clutterbuck, D. (2013) </w:t>
      </w:r>
      <w:r w:rsidRPr="00127AAD">
        <w:rPr>
          <w:i/>
          <w:iCs/>
        </w:rPr>
        <w:t>Making the most of developmental mentoring</w:t>
      </w:r>
      <w:r>
        <w:t>. Wordscapes: Liverpool.</w:t>
      </w:r>
    </w:p>
    <w:p w14:paraId="0CE64BAC" w14:textId="77777777" w:rsidR="00460D38" w:rsidRDefault="00460D38" w:rsidP="00460D38">
      <w:pPr>
        <w:ind w:left="720" w:hanging="720"/>
      </w:pPr>
      <w:r>
        <w:t xml:space="preserve">Clutterbuck, D. (2023) </w:t>
      </w:r>
      <w:r w:rsidRPr="007E00EB">
        <w:rPr>
          <w:i/>
          <w:iCs/>
        </w:rPr>
        <w:t>Coaching and Mentoring</w:t>
      </w:r>
      <w:r>
        <w:t>. New York: Routledge.</w:t>
      </w:r>
    </w:p>
    <w:p w14:paraId="79F1CBC4" w14:textId="77777777" w:rsidR="00460D38" w:rsidRDefault="00460D38" w:rsidP="00460D38">
      <w:pPr>
        <w:ind w:left="720" w:hanging="720"/>
      </w:pPr>
      <w:r>
        <w:t xml:space="preserve">Cranfield Trust (2025) </w:t>
      </w:r>
      <w:r w:rsidRPr="00611B4D">
        <w:rPr>
          <w:i/>
          <w:iCs/>
        </w:rPr>
        <w:t>Mentoring</w:t>
      </w:r>
      <w:r>
        <w:t xml:space="preserve">. Available at: </w:t>
      </w:r>
      <w:r w:rsidRPr="00611B4D">
        <w:t>https://www.cranfieldtrust.org/pages/mentoring</w:t>
      </w:r>
      <w:r>
        <w:t xml:space="preserve"> (Retrieved 11 November 2025).</w:t>
      </w:r>
    </w:p>
    <w:p w14:paraId="4C230694" w14:textId="77777777" w:rsidR="00460D38" w:rsidRDefault="00460D38" w:rsidP="00460D38">
      <w:pPr>
        <w:ind w:left="720" w:hanging="720"/>
      </w:pPr>
      <w:r>
        <w:t xml:space="preserve">D’Arcy, J., Polizzi, G., Harris, R., Barrera, P., Yates, S. and Yeoman (2024) </w:t>
      </w:r>
      <w:r w:rsidRPr="00175DE3">
        <w:rPr>
          <w:i/>
          <w:iCs/>
        </w:rPr>
        <w:t>Exploring challenges and best practice in addressing digital inequalities: A UK regional case study approach</w:t>
      </w:r>
      <w:r>
        <w:t>. Digital Media and Society Institute: Liverpool.</w:t>
      </w:r>
    </w:p>
    <w:p w14:paraId="76C036A7" w14:textId="77777777" w:rsidR="00460D38" w:rsidRDefault="00460D38" w:rsidP="00460D38">
      <w:pPr>
        <w:ind w:left="720" w:hanging="720"/>
      </w:pPr>
      <w:r>
        <w:t xml:space="preserve">Deiorio, M. N., Moore, M., Santen, A. S., Dalrymple, L. J. and Hammoud, M. (2022) ‘Coaching models, theories, and structures: An overview for teaching faculty in the emergency department and educators in the offices’, </w:t>
      </w:r>
      <w:r w:rsidRPr="00F66042">
        <w:rPr>
          <w:i/>
          <w:iCs/>
        </w:rPr>
        <w:t>AEM Educ. Train</w:t>
      </w:r>
      <w:r>
        <w:t>., 17;6(5), pp. e10801.</w:t>
      </w:r>
    </w:p>
    <w:p w14:paraId="46FD8B2B" w14:textId="77777777" w:rsidR="00460D38" w:rsidRDefault="00460D38" w:rsidP="00460D38">
      <w:pPr>
        <w:ind w:left="720" w:hanging="720"/>
      </w:pPr>
      <w:r>
        <w:t xml:space="preserve">Department of Education (2025) </w:t>
      </w:r>
      <w:r w:rsidRPr="00460D38">
        <w:rPr>
          <w:i/>
          <w:iCs/>
        </w:rPr>
        <w:t>Reflective Tool.</w:t>
      </w:r>
      <w:r>
        <w:t xml:space="preserve"> Available at: </w:t>
      </w:r>
      <w:r w:rsidRPr="00460D38">
        <w:t>https://foundations.org.uk/wp-content/uploads/2025/04/reflective-tool-mentoring-and-befriending-practice-guide.pdf</w:t>
      </w:r>
      <w:r>
        <w:t xml:space="preserve"> (Retrieved 29 November 2025).</w:t>
      </w:r>
    </w:p>
    <w:p w14:paraId="07D0DD0C" w14:textId="77777777" w:rsidR="00460D38" w:rsidRDefault="00460D38" w:rsidP="00460D38">
      <w:pPr>
        <w:ind w:left="720" w:hanging="720"/>
      </w:pPr>
      <w:r>
        <w:lastRenderedPageBreak/>
        <w:t xml:space="preserve">Eckstein B. (2025) </w:t>
      </w:r>
      <w:r w:rsidRPr="00FC58D1">
        <w:rPr>
          <w:i/>
          <w:iCs/>
        </w:rPr>
        <w:t>Kolb’s Experimental Learning Cycle</w:t>
      </w:r>
      <w:r>
        <w:t xml:space="preserve">. Available at: </w:t>
      </w:r>
      <w:r w:rsidRPr="00FC58D1">
        <w:t>https://strategy-leadership.com/wp-content/uploads/2025/08/Kolbs-Experiential-Learning-Cycle.pdf</w:t>
      </w:r>
      <w:r>
        <w:t xml:space="preserve"> (Retrieved 18 November 2025).</w:t>
      </w:r>
    </w:p>
    <w:p w14:paraId="72BCC277" w14:textId="77777777" w:rsidR="00460D38" w:rsidRDefault="00460D38" w:rsidP="00460D38">
      <w:pPr>
        <w:ind w:left="720" w:hanging="720"/>
      </w:pPr>
      <w:r>
        <w:t xml:space="preserve">Ferreira, C. J., Elvas, B. L., Correira, R. and Mascarenhas, M. (2025) 'Empowering Health Professionals with Digital Skills to Improve Patient Care and Daily Workflows', </w:t>
      </w:r>
      <w:r w:rsidRPr="006D1FC9">
        <w:rPr>
          <w:i/>
        </w:rPr>
        <w:t>Healthcare (Basel</w:t>
      </w:r>
      <w:r>
        <w:t>), 5;13(3), pp. 329,</w:t>
      </w:r>
    </w:p>
    <w:p w14:paraId="4E7D3668" w14:textId="77777777" w:rsidR="00460D38" w:rsidRDefault="00460D38" w:rsidP="00460D38">
      <w:pPr>
        <w:ind w:left="720" w:hanging="720"/>
      </w:pPr>
      <w:r>
        <w:t xml:space="preserve">General Medical Council (2025) </w:t>
      </w:r>
      <w:r w:rsidRPr="00A30814">
        <w:rPr>
          <w:i/>
          <w:iCs/>
        </w:rPr>
        <w:t>Mentoring toolkit</w:t>
      </w:r>
      <w:r>
        <w:t xml:space="preserve">. Available at: </w:t>
      </w:r>
      <w:r w:rsidRPr="00A30814">
        <w:t>https://www.gmc-uk.org/education/standards-guidance-and-curricula/guidance/mentoring-toolkit</w:t>
      </w:r>
      <w:r>
        <w:t xml:space="preserve"> (Retrieved 10 November 2025).</w:t>
      </w:r>
    </w:p>
    <w:p w14:paraId="349D1244" w14:textId="77777777" w:rsidR="00460D38" w:rsidRDefault="00460D38" w:rsidP="00460D38">
      <w:r>
        <w:t xml:space="preserve">Gibson, C., H. (1991) 'A concept analysis of empowerment', </w:t>
      </w:r>
      <w:r w:rsidRPr="00A408BE">
        <w:rPr>
          <w:i/>
        </w:rPr>
        <w:t>J Adv Nurs</w:t>
      </w:r>
      <w:r>
        <w:t>., 16(3), pp. 354-61.</w:t>
      </w:r>
    </w:p>
    <w:p w14:paraId="08D2966B" w14:textId="77777777" w:rsidR="00460D38" w:rsidRDefault="00460D38" w:rsidP="00460D38">
      <w:pPr>
        <w:ind w:left="720" w:hanging="720"/>
      </w:pPr>
      <w:r>
        <w:t xml:space="preserve">Guerra, N. S. (2011) </w:t>
      </w:r>
      <w:r w:rsidRPr="00295A49">
        <w:rPr>
          <w:i/>
          <w:iCs/>
        </w:rPr>
        <w:t>Emotional Intelligence</w:t>
      </w:r>
      <w:r>
        <w:t xml:space="preserve">. In: Goldstein, S., Naglieri, J., A. (eds) </w:t>
      </w:r>
      <w:r w:rsidRPr="00295A49">
        <w:rPr>
          <w:i/>
          <w:iCs/>
        </w:rPr>
        <w:t>Encyclopaedia of child behaviour and Development</w:t>
      </w:r>
      <w:r>
        <w:t>. Springer: Boston.</w:t>
      </w:r>
    </w:p>
    <w:p w14:paraId="11E146F0" w14:textId="77777777" w:rsidR="00460D38" w:rsidRDefault="00460D38" w:rsidP="00460D38">
      <w:pPr>
        <w:ind w:left="720" w:hanging="720"/>
      </w:pPr>
      <w:r>
        <w:t xml:space="preserve">Halliwell, R., P., Mitchell, R. and Boyle, B. (2023) ‘Leadership effectiveness through coaching: Authentic and change-oriented leadership’, </w:t>
      </w:r>
      <w:r w:rsidRPr="003E7A40">
        <w:rPr>
          <w:i/>
          <w:iCs/>
        </w:rPr>
        <w:t>PloS One</w:t>
      </w:r>
      <w:r>
        <w:t>, 6;8(12), pp. e0294953.</w:t>
      </w:r>
    </w:p>
    <w:p w14:paraId="0A6B2448" w14:textId="77777777" w:rsidR="00460D38" w:rsidRDefault="00460D38" w:rsidP="00460D38">
      <w:pPr>
        <w:ind w:left="720" w:hanging="720"/>
      </w:pPr>
      <w:r>
        <w:t xml:space="preserve">Health and Care Professions Council (2025) </w:t>
      </w:r>
      <w:r w:rsidRPr="008E7C28">
        <w:rPr>
          <w:i/>
          <w:iCs/>
        </w:rPr>
        <w:t>Continuing Professional Development (CPD</w:t>
      </w:r>
      <w:r>
        <w:t xml:space="preserve">). Available at: </w:t>
      </w:r>
      <w:r w:rsidRPr="008E7C28">
        <w:t>https://www.hcpc-uk.org/cpd/</w:t>
      </w:r>
      <w:r>
        <w:t xml:space="preserve"> (Retrieved 18 November 2025).</w:t>
      </w:r>
    </w:p>
    <w:p w14:paraId="12988968" w14:textId="77777777" w:rsidR="00460D38" w:rsidRDefault="00460D38" w:rsidP="00460D38">
      <w:pPr>
        <w:ind w:left="720" w:hanging="720"/>
      </w:pPr>
      <w:r>
        <w:t xml:space="preserve">Health and Social Care Providers Network (2025) </w:t>
      </w:r>
      <w:r w:rsidRPr="00022A8B">
        <w:rPr>
          <w:i/>
        </w:rPr>
        <w:t>Workforce challenges and Solutions in UK Health and Social Care, 2025</w:t>
      </w:r>
      <w:r>
        <w:t xml:space="preserve">. Available at: </w:t>
      </w:r>
      <w:r w:rsidRPr="00022A8B">
        <w:t>https://hscpn.org/workforce-challenges-and-solutions-in-uk-health-and-social-care-2025/</w:t>
      </w:r>
      <w:r>
        <w:t xml:space="preserve"> (Retrieved 28 October 2025).</w:t>
      </w:r>
    </w:p>
    <w:p w14:paraId="00DC165A" w14:textId="77777777" w:rsidR="00460D38" w:rsidRDefault="00460D38" w:rsidP="00460D38">
      <w:pPr>
        <w:ind w:left="720" w:hanging="720"/>
      </w:pPr>
      <w:r>
        <w:t xml:space="preserve">Health Education England (2025) </w:t>
      </w:r>
      <w:r w:rsidRPr="003310E9">
        <w:rPr>
          <w:i/>
          <w:iCs/>
        </w:rPr>
        <w:t>Coaching Skills</w:t>
      </w:r>
      <w:r>
        <w:t xml:space="preserve">. Available at: </w:t>
      </w:r>
      <w:r w:rsidRPr="003310E9">
        <w:t>https://www.hee.nhs.uk/sites/default/files/documents/Coaching%20Skills.pdf</w:t>
      </w:r>
      <w:r>
        <w:t xml:space="preserve"> (Retrieved 24 November 2025).</w:t>
      </w:r>
    </w:p>
    <w:p w14:paraId="16523DAF" w14:textId="77777777" w:rsidR="00460D38" w:rsidRDefault="00460D38" w:rsidP="00460D38">
      <w:pPr>
        <w:ind w:left="720" w:hanging="720"/>
      </w:pPr>
      <w:r>
        <w:t xml:space="preserve">Health Education England (2025) </w:t>
      </w:r>
      <w:r w:rsidRPr="006A31FB">
        <w:rPr>
          <w:i/>
          <w:iCs/>
        </w:rPr>
        <w:t>Module: T-GROW</w:t>
      </w:r>
      <w:r>
        <w:t xml:space="preserve">. Available at: </w:t>
      </w:r>
      <w:r w:rsidRPr="006A31FB">
        <w:t>https://kss.hee.nhs.uk/wp-content/uploads/sites/15/2022/08/Coaching-for-success-TGROW.pdf</w:t>
      </w:r>
      <w:r>
        <w:t xml:space="preserve"> (Retrieved 10 November 2025).</w:t>
      </w:r>
    </w:p>
    <w:p w14:paraId="6C1524E2" w14:textId="77777777" w:rsidR="00460D38" w:rsidRDefault="00460D38" w:rsidP="00460D38">
      <w:pPr>
        <w:ind w:left="720" w:hanging="720"/>
      </w:pPr>
      <w:r>
        <w:t xml:space="preserve">Health Education England (2025) </w:t>
      </w:r>
      <w:r w:rsidRPr="00B219BD">
        <w:rPr>
          <w:i/>
          <w:iCs/>
        </w:rPr>
        <w:t>Personal skills</w:t>
      </w:r>
      <w:r>
        <w:t xml:space="preserve">. Available at: </w:t>
      </w:r>
      <w:r w:rsidRPr="00B219BD">
        <w:t>https://www.hee.nhs.uk/our-work/talent-care-widening-participation/support-worker-help-resources/healthcare-support-worker-learning-development-roadmap/personal-skills</w:t>
      </w:r>
      <w:r>
        <w:t xml:space="preserve"> (Retrieved 29 November 2025).</w:t>
      </w:r>
    </w:p>
    <w:p w14:paraId="0234F44B" w14:textId="77777777" w:rsidR="00460D38" w:rsidRDefault="00460D38" w:rsidP="00460D38">
      <w:pPr>
        <w:ind w:left="720" w:hanging="720"/>
      </w:pPr>
      <w:r>
        <w:t xml:space="preserve">Health Education England (2025) </w:t>
      </w:r>
      <w:r w:rsidRPr="00984DC1">
        <w:rPr>
          <w:i/>
          <w:iCs/>
        </w:rPr>
        <w:t>Working differently together: Progressing a one workforce approach</w:t>
      </w:r>
      <w:r>
        <w:t xml:space="preserve">. Available at: </w:t>
      </w:r>
      <w:r w:rsidRPr="00984DC1">
        <w:t>https://www.hee.nhs.uk/sites/default/files/documents/HEE_MDT_Toolkit_V1.1.pdf</w:t>
      </w:r>
      <w:r>
        <w:t xml:space="preserve"> (Retrieved 19 November 2025).</w:t>
      </w:r>
    </w:p>
    <w:p w14:paraId="448C989E" w14:textId="77777777" w:rsidR="00460D38" w:rsidRDefault="00460D38" w:rsidP="00460D38">
      <w:pPr>
        <w:ind w:left="720" w:hanging="720"/>
      </w:pPr>
      <w:r>
        <w:t xml:space="preserve">Imperial College of London (2025) </w:t>
      </w:r>
      <w:r w:rsidRPr="00D329A9">
        <w:rPr>
          <w:i/>
          <w:iCs/>
        </w:rPr>
        <w:t>The GROW coaching model</w:t>
      </w:r>
      <w:r>
        <w:t xml:space="preserve">. Available at: </w:t>
      </w:r>
      <w:r w:rsidRPr="00D329A9">
        <w:t>https://www.imperial.ac.uk/students/success-guide/ug/effective-study/coaching/the-grow-coaching-model/</w:t>
      </w:r>
      <w:r>
        <w:t xml:space="preserve"> (Retrieved 10 November 2025).</w:t>
      </w:r>
    </w:p>
    <w:p w14:paraId="60C7C828" w14:textId="77777777" w:rsidR="00460D38" w:rsidRDefault="00460D38" w:rsidP="00460D38">
      <w:pPr>
        <w:ind w:left="720" w:hanging="720"/>
      </w:pPr>
      <w:r>
        <w:t xml:space="preserve">Institute for Experiential Learning (2025) </w:t>
      </w:r>
      <w:r w:rsidRPr="00755BC1">
        <w:rPr>
          <w:i/>
          <w:iCs/>
        </w:rPr>
        <w:t>What is experiential learning?</w:t>
      </w:r>
      <w:r>
        <w:t xml:space="preserve"> Available at: </w:t>
      </w:r>
      <w:r w:rsidRPr="00755BC1">
        <w:t>https://experientiallearninginstitute.org/what-is-experiential-learning/</w:t>
      </w:r>
      <w:r>
        <w:t xml:space="preserve"> (Retrieved 18 November 2025).</w:t>
      </w:r>
    </w:p>
    <w:p w14:paraId="6B568071" w14:textId="77777777" w:rsidR="00460D38" w:rsidRDefault="00460D38" w:rsidP="00460D38">
      <w:pPr>
        <w:ind w:left="720" w:hanging="720"/>
      </w:pPr>
      <w:r>
        <w:t xml:space="preserve">International Coaching Federation (2025) </w:t>
      </w:r>
      <w:r w:rsidRPr="00460D38">
        <w:rPr>
          <w:i/>
          <w:iCs/>
        </w:rPr>
        <w:t>Reflective Practice for Coaches</w:t>
      </w:r>
      <w:r>
        <w:t xml:space="preserve">. Available at: </w:t>
      </w:r>
      <w:r w:rsidRPr="00460D38">
        <w:t>https://coachingfederation.org/blog/walking-the-talk-reflective-practice-for-coaches/</w:t>
      </w:r>
      <w:r>
        <w:t xml:space="preserve"> (Retrieved 29 November 2025).</w:t>
      </w:r>
    </w:p>
    <w:p w14:paraId="708A6E0D" w14:textId="77777777" w:rsidR="00460D38" w:rsidRDefault="00460D38" w:rsidP="00460D38">
      <w:pPr>
        <w:ind w:left="720" w:hanging="720"/>
      </w:pPr>
      <w:r>
        <w:t xml:space="preserve">Jan, S. and Mahboob, U. (2022) ‘Online mentoring: challenges and strategies’, </w:t>
      </w:r>
      <w:r w:rsidRPr="003E6477">
        <w:rPr>
          <w:i/>
          <w:iCs/>
        </w:rPr>
        <w:t>Park J. Med Sci.</w:t>
      </w:r>
      <w:r>
        <w:t>, 38(8), pp. 2272-2277.</w:t>
      </w:r>
    </w:p>
    <w:p w14:paraId="09ACE46F" w14:textId="77777777" w:rsidR="00460D38" w:rsidRDefault="00460D38" w:rsidP="00460D38">
      <w:pPr>
        <w:ind w:left="720" w:hanging="720"/>
      </w:pPr>
      <w:r>
        <w:t xml:space="preserve">Jansen, J. E., Czabanowska, K., de Pagter, A., P., J. and de Koeijer, J., R. (2024) ‘Implementing coaching programmes for healthcare professionals-A review of the barriers and facilitators’, </w:t>
      </w:r>
      <w:r w:rsidRPr="008D4EA3">
        <w:rPr>
          <w:i/>
          <w:iCs/>
        </w:rPr>
        <w:t>International Journal of Health Planning and Management</w:t>
      </w:r>
      <w:r>
        <w:t>, 39(3), pp. 860-878.</w:t>
      </w:r>
    </w:p>
    <w:p w14:paraId="48C4259B" w14:textId="77777777" w:rsidR="00460D38" w:rsidRDefault="00460D38" w:rsidP="00460D38">
      <w:pPr>
        <w:ind w:left="720" w:hanging="720"/>
      </w:pPr>
      <w:r>
        <w:lastRenderedPageBreak/>
        <w:t xml:space="preserve">Jenkins, S. (2013) ‘David Clutterbuck, Mentoring and Coaching’, </w:t>
      </w:r>
      <w:r w:rsidRPr="001A3C3E">
        <w:rPr>
          <w:i/>
          <w:iCs/>
        </w:rPr>
        <w:t>International Journal of Sports &amp; Science</w:t>
      </w:r>
      <w:r>
        <w:t>,</w:t>
      </w:r>
      <w:r w:rsidRPr="001A3C3E">
        <w:t xml:space="preserve"> </w:t>
      </w:r>
      <w:r>
        <w:t>8(1), pp. 139-161.</w:t>
      </w:r>
    </w:p>
    <w:p w14:paraId="27E37663" w14:textId="77777777" w:rsidR="00460D38" w:rsidRDefault="00460D38" w:rsidP="00460D38">
      <w:pPr>
        <w:ind w:left="720" w:hanging="720"/>
      </w:pPr>
      <w:r>
        <w:t xml:space="preserve">Keeping Well Academy (2025) </w:t>
      </w:r>
      <w:r w:rsidRPr="00E33DAA">
        <w:rPr>
          <w:i/>
        </w:rPr>
        <w:t>Coaching and Mentoring.</w:t>
      </w:r>
      <w:r>
        <w:t xml:space="preserve"> Available at: </w:t>
      </w:r>
      <w:r w:rsidRPr="00E33DAA">
        <w:t>https://www.keepingwellnwl.nhs.uk/academy/fulfilment-work/coaching-and-mentoring</w:t>
      </w:r>
      <w:r>
        <w:t xml:space="preserve"> (Retrieved 28 October 2025).</w:t>
      </w:r>
    </w:p>
    <w:p w14:paraId="5C418DF4" w14:textId="77777777" w:rsidR="00460D38" w:rsidRDefault="00460D38" w:rsidP="00460D38">
      <w:pPr>
        <w:ind w:left="720" w:hanging="720"/>
      </w:pPr>
      <w:r>
        <w:t xml:space="preserve">Kendrick, S. (2025) </w:t>
      </w:r>
      <w:r w:rsidRPr="006A2245">
        <w:rPr>
          <w:i/>
          <w:iCs/>
        </w:rPr>
        <w:t>How do mentoring and coaching contribute to organisational success?</w:t>
      </w:r>
      <w:r>
        <w:t xml:space="preserve"> Available at: </w:t>
      </w:r>
      <w:r w:rsidRPr="006A2245">
        <w:t>https://drkendrickscott.com/2024/05/16/how-do-mentoring-and-coaching-contribute-to-organizational-success/</w:t>
      </w:r>
      <w:r>
        <w:t xml:space="preserve"> (Retrieved 19 November 2025).</w:t>
      </w:r>
    </w:p>
    <w:p w14:paraId="59EFA93F" w14:textId="77777777" w:rsidR="00460D38" w:rsidRDefault="00460D38" w:rsidP="00460D38">
      <w:pPr>
        <w:ind w:left="720" w:hanging="720"/>
      </w:pPr>
      <w:r>
        <w:t xml:space="preserve">Khan, Z. (2023) 'The Emerging Challenges and Strengths of the National Health Service: A Physician Perspective', </w:t>
      </w:r>
      <w:r w:rsidRPr="00A84DA8">
        <w:rPr>
          <w:i/>
        </w:rPr>
        <w:t>Cureus</w:t>
      </w:r>
      <w:r>
        <w:t>., 5(15), pp. e38617.</w:t>
      </w:r>
    </w:p>
    <w:p w14:paraId="5A3CCD65" w14:textId="77777777" w:rsidR="00460D38" w:rsidRDefault="00460D38" w:rsidP="00460D38">
      <w:pPr>
        <w:ind w:left="720" w:hanging="720"/>
      </w:pPr>
      <w:r>
        <w:t xml:space="preserve">London School of International Business (2025) </w:t>
      </w:r>
      <w:r w:rsidRPr="0077735A">
        <w:rPr>
          <w:i/>
          <w:iCs/>
        </w:rPr>
        <w:t>Essential Communication Skills for Coaching and Mentoring Success</w:t>
      </w:r>
      <w:r>
        <w:t xml:space="preserve">. Available at: </w:t>
      </w:r>
      <w:r w:rsidRPr="0077735A">
        <w:t>https://www.lsib.co.uk/2022/answers.aspx?id=335874&amp;Questions=What+are+the+key+communication+skills+required+for+successful+coaching+and+mentoring+relationships+in+the+Qcf+Level+4+Certificate+in+Coaching+and+Mentoring+to+Build+Relationships+part+time%3F&amp;CourseTitle=What+are+the+key+communication+skills+required+for+successful+coaching+and+mentoring+relationships+in+the+Qcf+Level+4+Certificate+in+Coaching+and+Mentoring+to+Build+Relationships+part+time%3F</w:t>
      </w:r>
      <w:r>
        <w:t xml:space="preserve"> (Retrieved 25 November 2025).</w:t>
      </w:r>
    </w:p>
    <w:p w14:paraId="69A09107" w14:textId="77777777" w:rsidR="00460D38" w:rsidRDefault="00460D38" w:rsidP="00460D38">
      <w:pPr>
        <w:ind w:left="720" w:hanging="720"/>
      </w:pPr>
      <w:r>
        <w:t xml:space="preserve">London School of Planning (2025) </w:t>
      </w:r>
      <w:r w:rsidRPr="00F50F24">
        <w:rPr>
          <w:i/>
          <w:iCs/>
        </w:rPr>
        <w:t xml:space="preserve">The role of Emotional Intelligence in Coaching and Mentoring: Insights from </w:t>
      </w:r>
      <w:r>
        <w:rPr>
          <w:i/>
          <w:iCs/>
        </w:rPr>
        <w:t>an</w:t>
      </w:r>
      <w:r w:rsidRPr="00F50F24">
        <w:rPr>
          <w:i/>
          <w:iCs/>
        </w:rPr>
        <w:t xml:space="preserve"> MA in Coaching and Mentoring program</w:t>
      </w:r>
      <w:r>
        <w:t xml:space="preserve">. Available at: </w:t>
      </w:r>
      <w:r w:rsidRPr="00F50F24">
        <w:t>https://www.lspm.org.uk/2022/blog.aspx?id=620690&amp;CourseTitle=The+Role+of+Emotional+Intelligence+in+Coaching+and+Mentoring%3a+Insights+from+an+MA+in+Coaching+and+Mentoring+(Top+up)+Program</w:t>
      </w:r>
      <w:r>
        <w:t xml:space="preserve"> (Retrieved 28 November 2025).</w:t>
      </w:r>
    </w:p>
    <w:p w14:paraId="4FE8A49D" w14:textId="77777777" w:rsidR="00460D38" w:rsidRDefault="00460D38" w:rsidP="00460D38">
      <w:pPr>
        <w:ind w:left="720" w:hanging="720"/>
      </w:pPr>
      <w:r>
        <w:t xml:space="preserve">London School of Planning and Management (2025) </w:t>
      </w:r>
      <w:r w:rsidRPr="00CB64F3">
        <w:rPr>
          <w:i/>
          <w:iCs/>
        </w:rPr>
        <w:t>Implementing Reflective Practice Models in Multidisciplinary Teams in Health and Social Care Level 5</w:t>
      </w:r>
      <w:r>
        <w:t xml:space="preserve">. Available at: </w:t>
      </w:r>
      <w:r w:rsidRPr="00CB64F3">
        <w:t>https://www.lspm.org.uk/2022/news.aspx?id=12422637&amp;CourseTitle=Implementing+Reflective+Practice+Models+in+Multidisciplinary+Teams+in+Health+and+Social+Care+Level+5</w:t>
      </w:r>
      <w:r>
        <w:t xml:space="preserve"> (Retrieved 24 November 2025).</w:t>
      </w:r>
    </w:p>
    <w:p w14:paraId="2B000A88" w14:textId="77777777" w:rsidR="00460D38" w:rsidRDefault="00460D38" w:rsidP="00460D38">
      <w:pPr>
        <w:ind w:left="720" w:hanging="720"/>
      </w:pPr>
      <w:r>
        <w:t xml:space="preserve">London School of Planning and Management (2025) </w:t>
      </w:r>
      <w:r w:rsidRPr="00B52A26">
        <w:rPr>
          <w:i/>
          <w:iCs/>
        </w:rPr>
        <w:t>The challenges of implementing reflective practice models in health and social care settings</w:t>
      </w:r>
      <w:r>
        <w:t xml:space="preserve">. Available at: </w:t>
      </w:r>
      <w:r w:rsidRPr="00B52A26">
        <w:t>https://www.lspm.org.uk/2022/news.aspx?id=12422853&amp;CourseTitle=The+challenges+of+implementing+reflective+practice+models+in+health+and+social+care+settings</w:t>
      </w:r>
      <w:r>
        <w:t xml:space="preserve"> (Retrieved 25 November 2025).</w:t>
      </w:r>
    </w:p>
    <w:p w14:paraId="3BA0C1AC" w14:textId="77777777" w:rsidR="00460D38" w:rsidRDefault="00460D38" w:rsidP="00460D38">
      <w:pPr>
        <w:ind w:left="720" w:hanging="720"/>
      </w:pPr>
      <w:r>
        <w:t xml:space="preserve">Lundgren, H., Carter, D., A. and Klein, E. (2025) ‘Cultural competence in leadership Coaching Education: What can we learn from Mentoring literature?’, </w:t>
      </w:r>
      <w:r w:rsidRPr="00474F48">
        <w:rPr>
          <w:i/>
          <w:iCs/>
        </w:rPr>
        <w:t>Human Resource Development Review</w:t>
      </w:r>
      <w:r>
        <w:t>, 0(0).</w:t>
      </w:r>
    </w:p>
    <w:p w14:paraId="2132BB27" w14:textId="77777777" w:rsidR="00460D38" w:rsidRDefault="00460D38" w:rsidP="00460D38">
      <w:pPr>
        <w:ind w:left="720" w:hanging="720"/>
      </w:pPr>
      <w:r>
        <w:t xml:space="preserve">Meyer, M. and Fourie, L. (2006) </w:t>
      </w:r>
      <w:r w:rsidRPr="006F6FAC">
        <w:rPr>
          <w:i/>
        </w:rPr>
        <w:t>Mentoring and Coaching.</w:t>
      </w:r>
      <w:r>
        <w:rPr>
          <w:i/>
        </w:rPr>
        <w:t xml:space="preserve"> </w:t>
      </w:r>
      <w:r w:rsidRPr="006F6FAC">
        <w:rPr>
          <w:i/>
        </w:rPr>
        <w:t>Tools and techniques for implementation</w:t>
      </w:r>
      <w:r>
        <w:t xml:space="preserve">. Johannesburg: Knowres Publishing. </w:t>
      </w:r>
    </w:p>
    <w:p w14:paraId="32428E93" w14:textId="77777777" w:rsidR="00460D38" w:rsidRDefault="00460D38" w:rsidP="00460D38">
      <w:pPr>
        <w:ind w:left="720" w:hanging="720"/>
      </w:pPr>
      <w:r>
        <w:t xml:space="preserve">Mitchell, P., Wynia, M., Golden, R., McNellis, B., Okun, S., Webb, E. C., Rohrbach, V. and Von Kohorn, I. (2012) </w:t>
      </w:r>
      <w:r w:rsidRPr="00036BD7">
        <w:rPr>
          <w:i/>
          <w:iCs/>
        </w:rPr>
        <w:t>Core Principles &amp; Values of Effective Team-Based Health Care.</w:t>
      </w:r>
      <w:r>
        <w:t xml:space="preserve"> Available at: </w:t>
      </w:r>
      <w:r w:rsidRPr="00036BD7">
        <w:t>https://nam.edu/wp-content/uploads/2015/06/VSRT-Team-Based-Care-Principles-Values.pdf</w:t>
      </w:r>
      <w:r>
        <w:t xml:space="preserve"> (Retrieved 05 November 2025).</w:t>
      </w:r>
    </w:p>
    <w:p w14:paraId="3E647B37" w14:textId="77777777" w:rsidR="00460D38" w:rsidRDefault="00460D38" w:rsidP="00460D38">
      <w:pPr>
        <w:ind w:left="720" w:hanging="720"/>
      </w:pPr>
      <w:r>
        <w:t xml:space="preserve">Moudatsou, M., Stavropolou, A., Philalithis, A. and KouKouli, S. (2020) ‘The Role of Empathy in Health and Social Care Professionals’, </w:t>
      </w:r>
      <w:r w:rsidRPr="005D3032">
        <w:rPr>
          <w:i/>
          <w:iCs/>
        </w:rPr>
        <w:t>Healthcare (Basel)</w:t>
      </w:r>
      <w:r>
        <w:t>, 30;8(1), pp. 26.</w:t>
      </w:r>
    </w:p>
    <w:p w14:paraId="2FD7B058" w14:textId="77777777" w:rsidR="00460D38" w:rsidRDefault="00460D38" w:rsidP="00460D38">
      <w:pPr>
        <w:ind w:left="720" w:hanging="720"/>
      </w:pPr>
      <w:r>
        <w:t xml:space="preserve">National Academy of Medicine (2025) </w:t>
      </w:r>
      <w:r w:rsidRPr="00B77E55">
        <w:rPr>
          <w:i/>
          <w:iCs/>
        </w:rPr>
        <w:t>Core Principles and Values of Effective Team-Based Health Care</w:t>
      </w:r>
      <w:r>
        <w:t xml:space="preserve">. Available at: </w:t>
      </w:r>
      <w:r w:rsidRPr="00B77E55">
        <w:t>https://nam.edu/perspectives/core-principles-values-of-effective-team-based-health-care/</w:t>
      </w:r>
      <w:r>
        <w:t xml:space="preserve"> (Retrieved 05 November 2025).</w:t>
      </w:r>
    </w:p>
    <w:p w14:paraId="0094DEC3" w14:textId="77777777" w:rsidR="00460D38" w:rsidRDefault="00460D38" w:rsidP="00460D38">
      <w:pPr>
        <w:ind w:left="720" w:hanging="720"/>
      </w:pPr>
      <w:r>
        <w:lastRenderedPageBreak/>
        <w:t xml:space="preserve">National Health England (2024) </w:t>
      </w:r>
      <w:r w:rsidRPr="00A45144">
        <w:rPr>
          <w:i/>
          <w:iCs/>
        </w:rPr>
        <w:t>Digital Skills – health informatics competency standards, frameworks and tools for healthcare professionals</w:t>
      </w:r>
      <w:r>
        <w:t xml:space="preserve">. Available at: </w:t>
      </w:r>
      <w:r w:rsidRPr="00A45144">
        <w:t>https://www.england.nhs.uk/long-read/digital-skills-health-informatics-competency-standards-frameworks-and-tools-for-healthcare-professionals/</w:t>
      </w:r>
      <w:r>
        <w:t xml:space="preserve"> (Retrieved 29 November 2025).</w:t>
      </w:r>
    </w:p>
    <w:p w14:paraId="6A329A8E" w14:textId="77777777" w:rsidR="00460D38" w:rsidRDefault="00460D38" w:rsidP="00460D38">
      <w:pPr>
        <w:ind w:left="720" w:hanging="720"/>
      </w:pPr>
      <w:r>
        <w:t xml:space="preserve">National Health Service (2025) </w:t>
      </w:r>
      <w:r w:rsidRPr="00D37B3E">
        <w:rPr>
          <w:i/>
          <w:iCs/>
        </w:rPr>
        <w:t>Capital Nurse.</w:t>
      </w:r>
      <w:r>
        <w:t xml:space="preserve"> Available at: </w:t>
      </w:r>
      <w:r w:rsidRPr="00D37B3E">
        <w:t>https://www.hee.nhs.uk/sites/default/files/documents/Kolb%20learning%20cycle.pdf</w:t>
      </w:r>
      <w:r>
        <w:t xml:space="preserve"> (Retrieved 18 November 2025).</w:t>
      </w:r>
    </w:p>
    <w:p w14:paraId="326030E0" w14:textId="77777777" w:rsidR="00460D38" w:rsidRDefault="00460D38" w:rsidP="00460D38">
      <w:pPr>
        <w:ind w:left="720" w:hanging="720"/>
      </w:pPr>
      <w:r>
        <w:t xml:space="preserve">National Health Service Employers (2022) </w:t>
      </w:r>
      <w:r w:rsidRPr="00E61A84">
        <w:rPr>
          <w:i/>
        </w:rPr>
        <w:t>Everyday experts: staff involvement in quality improvement.</w:t>
      </w:r>
      <w:r>
        <w:t xml:space="preserve"> Available at: </w:t>
      </w:r>
      <w:r w:rsidRPr="00E61A84">
        <w:t>https://www.nhsemployers.org/articles/everyday-experts-staff-involvement-quality-improvement</w:t>
      </w:r>
      <w:r>
        <w:t xml:space="preserve"> (Retrieved 28 October 2025).</w:t>
      </w:r>
    </w:p>
    <w:p w14:paraId="2F3FC6E9" w14:textId="77777777" w:rsidR="00460D38" w:rsidRDefault="00460D38" w:rsidP="00460D38">
      <w:pPr>
        <w:ind w:left="720" w:hanging="720"/>
      </w:pPr>
      <w:r>
        <w:t xml:space="preserve">National Health Service Employers (2025) </w:t>
      </w:r>
      <w:r w:rsidRPr="00F62F21">
        <w:rPr>
          <w:i/>
        </w:rPr>
        <w:t xml:space="preserve">Maintaining and retaining staff </w:t>
      </w:r>
      <w:r>
        <w:rPr>
          <w:i/>
        </w:rPr>
        <w:t>through</w:t>
      </w:r>
      <w:r w:rsidRPr="00F62F21">
        <w:rPr>
          <w:i/>
        </w:rPr>
        <w:t xml:space="preserve"> a career of coaching programme.</w:t>
      </w:r>
      <w:r>
        <w:t xml:space="preserve"> Available at: </w:t>
      </w:r>
      <w:r w:rsidRPr="00F62F21">
        <w:t>https://www.nhsemployers.org/case-studies/maintaining-and-retaining-staff-through-career-coaching-programme</w:t>
      </w:r>
      <w:r>
        <w:t xml:space="preserve"> (Retrieved 27 October 2025).</w:t>
      </w:r>
    </w:p>
    <w:p w14:paraId="3CBEA1B3" w14:textId="77777777" w:rsidR="00460D38" w:rsidRDefault="00460D38" w:rsidP="00460D38">
      <w:pPr>
        <w:ind w:left="720" w:hanging="720"/>
      </w:pPr>
      <w:r>
        <w:t xml:space="preserve">National Health Service England (2025) </w:t>
      </w:r>
      <w:r w:rsidRPr="00620231">
        <w:rPr>
          <w:i/>
          <w:iCs/>
        </w:rPr>
        <w:t>Leadership</w:t>
      </w:r>
      <w:r>
        <w:t xml:space="preserve">. Available at: </w:t>
      </w:r>
      <w:r w:rsidRPr="00620231">
        <w:t>https://www.hee.nhs.uk/our-work/enhancing-generalist-skills/enhance-learning-resources/handbook/cross-cutting-themes/leadership</w:t>
      </w:r>
      <w:r>
        <w:t xml:space="preserve"> (Retrieved 05 November 2025).</w:t>
      </w:r>
    </w:p>
    <w:p w14:paraId="784E2DAF" w14:textId="77777777" w:rsidR="00460D38" w:rsidRDefault="00460D38" w:rsidP="00460D38">
      <w:pPr>
        <w:ind w:left="720" w:hanging="720"/>
      </w:pPr>
      <w:r>
        <w:t xml:space="preserve">National Health Service England (2025) </w:t>
      </w:r>
      <w:r w:rsidRPr="00E72DC8">
        <w:rPr>
          <w:i/>
        </w:rPr>
        <w:t>Legacy mentoring</w:t>
      </w:r>
      <w:r>
        <w:t xml:space="preserve">. Available at: </w:t>
      </w:r>
      <w:r w:rsidRPr="00E72DC8">
        <w:t>https://www.england.nhs.uk/looking-after-our-people/supporting-people-in-early-and-late-career/legacy-mentoring/</w:t>
      </w:r>
      <w:r>
        <w:t xml:space="preserve"> (Retrieved 27 October 2025).</w:t>
      </w:r>
    </w:p>
    <w:p w14:paraId="6A3B94B9" w14:textId="77777777" w:rsidR="00460D38" w:rsidRDefault="00460D38" w:rsidP="00460D38">
      <w:pPr>
        <w:ind w:left="720" w:hanging="720"/>
      </w:pPr>
      <w:r>
        <w:t xml:space="preserve">National Health Service England (2025) </w:t>
      </w:r>
      <w:r w:rsidRPr="007C3F06">
        <w:rPr>
          <w:i/>
          <w:iCs/>
        </w:rPr>
        <w:t xml:space="preserve">What is digital literacy? </w:t>
      </w:r>
      <w:r>
        <w:t xml:space="preserve">Available at: </w:t>
      </w:r>
      <w:r w:rsidRPr="007C3F06">
        <w:t>https://digital-transformation.hee.nhs.uk/building-a-digital-workforce/digital-literacy/what-is-digital-literacy</w:t>
      </w:r>
      <w:r>
        <w:t xml:space="preserve"> (Retrieved 05 November 2025).</w:t>
      </w:r>
    </w:p>
    <w:p w14:paraId="0AC56AAE" w14:textId="77777777" w:rsidR="00460D38" w:rsidRDefault="00460D38" w:rsidP="00460D38">
      <w:pPr>
        <w:ind w:left="720" w:hanging="720"/>
      </w:pPr>
      <w:r>
        <w:t xml:space="preserve">National Health Service Leadership Academy (2025) </w:t>
      </w:r>
      <w:r w:rsidRPr="00BC3E18">
        <w:rPr>
          <w:i/>
        </w:rPr>
        <w:t>Coaching and Mentoring</w:t>
      </w:r>
      <w:r>
        <w:t xml:space="preserve">. Available at: </w:t>
      </w:r>
      <w:r w:rsidRPr="00BC3E18">
        <w:t>https://www.leadershipacademy.nhs.uk/programmes/coaching-and-mentoring/</w:t>
      </w:r>
      <w:r>
        <w:t xml:space="preserve"> (Retrieved 27 October 2025).</w:t>
      </w:r>
    </w:p>
    <w:p w14:paraId="529A5726" w14:textId="77777777" w:rsidR="00460D38" w:rsidRDefault="00460D38" w:rsidP="00460D38">
      <w:pPr>
        <w:ind w:left="720" w:hanging="720"/>
      </w:pPr>
      <w:r>
        <w:t xml:space="preserve">National Health Service Support Foundation (2025) </w:t>
      </w:r>
      <w:r w:rsidRPr="002577B6">
        <w:rPr>
          <w:i/>
        </w:rPr>
        <w:t>Staff Shortages</w:t>
      </w:r>
      <w:r>
        <w:t xml:space="preserve">. Available at: </w:t>
      </w:r>
      <w:r w:rsidRPr="002577B6">
        <w:t>https://nhscampaign.org/issues/staff-shortages/</w:t>
      </w:r>
      <w:r>
        <w:t xml:space="preserve"> (Retrieved 27 October 2025). </w:t>
      </w:r>
    </w:p>
    <w:p w14:paraId="060E20A7" w14:textId="77777777" w:rsidR="00460D38" w:rsidRDefault="00460D38" w:rsidP="00460D38">
      <w:pPr>
        <w:ind w:left="720" w:hanging="720"/>
      </w:pPr>
      <w:r>
        <w:t xml:space="preserve">National Institute for Health and Care Research (2021) </w:t>
      </w:r>
      <w:r w:rsidRPr="00A10359">
        <w:rPr>
          <w:i/>
          <w:iCs/>
        </w:rPr>
        <w:t>Phases of the mentorship relationship.</w:t>
      </w:r>
      <w:r>
        <w:t xml:space="preserve"> Available at: </w:t>
      </w:r>
      <w:r w:rsidRPr="00A10359">
        <w:t>https://www.nihr.ac.uk/phases-mentoring-relationship</w:t>
      </w:r>
      <w:r>
        <w:t xml:space="preserve"> (Retrieved 10 November 2025).</w:t>
      </w:r>
    </w:p>
    <w:p w14:paraId="670763F5" w14:textId="77777777" w:rsidR="00460D38" w:rsidRDefault="00460D38" w:rsidP="00460D38">
      <w:pPr>
        <w:ind w:left="720" w:hanging="720"/>
      </w:pPr>
      <w:r>
        <w:t xml:space="preserve">North West Leadership Academy (2024) </w:t>
      </w:r>
      <w:r w:rsidRPr="00D410E1">
        <w:rPr>
          <w:i/>
          <w:iCs/>
        </w:rPr>
        <w:t>Building a Coaching Culture</w:t>
      </w:r>
      <w:r>
        <w:t xml:space="preserve">. Available at: </w:t>
      </w:r>
      <w:r w:rsidRPr="00D410E1">
        <w:t>https://nw.leadershipacademy.nhs.uk/building-a-coaching-culture/</w:t>
      </w:r>
      <w:r>
        <w:t xml:space="preserve"> (Retrieved 19 November 2025).</w:t>
      </w:r>
    </w:p>
    <w:p w14:paraId="21929E2C" w14:textId="77777777" w:rsidR="00460D38" w:rsidRDefault="00460D38" w:rsidP="00460D38">
      <w:pPr>
        <w:ind w:left="720" w:hanging="720"/>
      </w:pPr>
      <w:r>
        <w:t xml:space="preserve">Nursing and Midwifery Council (2024) </w:t>
      </w:r>
      <w:r w:rsidRPr="00CA36DD">
        <w:rPr>
          <w:i/>
          <w:iCs/>
        </w:rPr>
        <w:t>Supporting information for reflection in nursing and midwifery practice</w:t>
      </w:r>
      <w:r>
        <w:t xml:space="preserve">. Available at: </w:t>
      </w:r>
      <w:r w:rsidRPr="00CA36DD">
        <w:t>https://www.nmc.org.uk/globalassets/sitedocuments/standards/supporting-information-for-reflection-in-nursing-and-midwifery-practice.pdf</w:t>
      </w:r>
      <w:r>
        <w:t xml:space="preserve"> (Retrieved 18 November 2025).</w:t>
      </w:r>
    </w:p>
    <w:p w14:paraId="10CAD49B" w14:textId="77777777" w:rsidR="00460D38" w:rsidRDefault="00460D38" w:rsidP="00460D38">
      <w:pPr>
        <w:ind w:left="720" w:hanging="720"/>
      </w:pPr>
      <w:r>
        <w:t xml:space="preserve">Nursing and Midwifery Council (2025) </w:t>
      </w:r>
      <w:r w:rsidRPr="00BC3DB7">
        <w:rPr>
          <w:i/>
          <w:iCs/>
        </w:rPr>
        <w:t>Benefits of becoming a reflective practitioner</w:t>
      </w:r>
      <w:r>
        <w:t xml:space="preserve">. Available at: </w:t>
      </w:r>
      <w:r w:rsidRPr="00BC3DB7">
        <w:t>https://www.nmc.org.uk/globalassets/sitedocuments/other-publications/benefits-of-becoming-a-reflective-practitioner---joint-statement-2019.pdf</w:t>
      </w:r>
      <w:r>
        <w:t xml:space="preserve"> (Retrieved 19 November 2025).</w:t>
      </w:r>
    </w:p>
    <w:p w14:paraId="504AF0E2" w14:textId="77777777" w:rsidR="00460D38" w:rsidRDefault="00460D38" w:rsidP="00460D38">
      <w:pPr>
        <w:ind w:left="720" w:hanging="720"/>
      </w:pPr>
      <w:r>
        <w:t xml:space="preserve">Nurunnabi, M., S., A., Rahim, R., Alo, D., Al Mamun, A., Kaiser, M., A., Mohammad, T. and Sultana, F. (2022) ‘Experiential Learning in Clinical Education Guided by the Kolb’s Experiential Learning Theory’, </w:t>
      </w:r>
      <w:r w:rsidRPr="003F29EF">
        <w:rPr>
          <w:i/>
          <w:iCs/>
        </w:rPr>
        <w:t>International Journal of Human and Health Services</w:t>
      </w:r>
      <w:r>
        <w:t>, 6(2), pp. 155-160.</w:t>
      </w:r>
    </w:p>
    <w:p w14:paraId="6607FF3E" w14:textId="77777777" w:rsidR="00460D38" w:rsidRDefault="00460D38" w:rsidP="00460D38">
      <w:pPr>
        <w:ind w:left="720" w:hanging="720"/>
      </w:pPr>
      <w:r>
        <w:t xml:space="preserve">Pradelli, L., Risoli, C., Summer, E., Bellini, G., Mozzarelli, F., Anderson, G., Guasconi, M., Artioli, G., Bonacaro, A. and Sarli, L. (2025) ‘Healthcare professional perspective on </w:t>
      </w:r>
      <w:r>
        <w:lastRenderedPageBreak/>
        <w:t xml:space="preserve">barriers and facilitators of multidisciplinary team working in acute care setting: a systematic review and meta-synthesis’, </w:t>
      </w:r>
      <w:r w:rsidRPr="005425E5">
        <w:rPr>
          <w:i/>
          <w:iCs/>
        </w:rPr>
        <w:t>BMJ Open</w:t>
      </w:r>
      <w:r>
        <w:t>., 21;15(3), pp. e087268.</w:t>
      </w:r>
    </w:p>
    <w:p w14:paraId="5BD7D200" w14:textId="77777777" w:rsidR="00460D38" w:rsidRDefault="00460D38" w:rsidP="00460D38">
      <w:pPr>
        <w:ind w:left="720" w:hanging="720"/>
      </w:pPr>
      <w:r>
        <w:t xml:space="preserve">Rogers, R. C. and Farson, E. R. (2015) </w:t>
      </w:r>
      <w:r w:rsidRPr="007601A0">
        <w:rPr>
          <w:i/>
          <w:iCs/>
        </w:rPr>
        <w:t>Active Listening</w:t>
      </w:r>
      <w:r>
        <w:t>. Martino Publishing: Connecticut.</w:t>
      </w:r>
    </w:p>
    <w:p w14:paraId="01A03A19" w14:textId="77777777" w:rsidR="00460D38" w:rsidRDefault="00460D38" w:rsidP="00460D38">
      <w:pPr>
        <w:ind w:left="720" w:hanging="720"/>
      </w:pPr>
      <w:r>
        <w:t xml:space="preserve">Royal College of Radiologists (2024) </w:t>
      </w:r>
      <w:r w:rsidRPr="00C94D68">
        <w:rPr>
          <w:i/>
          <w:iCs/>
        </w:rPr>
        <w:t>Unlocking potential: The key benefits of being a mentor</w:t>
      </w:r>
      <w:r>
        <w:t xml:space="preserve">. Available at: </w:t>
      </w:r>
      <w:r w:rsidRPr="00C94D68">
        <w:t>https://www.rcr.ac.uk/news-policy/latest-updates/unlocking-potential-the-key-benefits-of-being-a-mentor/</w:t>
      </w:r>
      <w:r>
        <w:t xml:space="preserve"> (Retrieved 19 October 2025).</w:t>
      </w:r>
    </w:p>
    <w:p w14:paraId="7AE17A5D" w14:textId="77777777" w:rsidR="00460D38" w:rsidRDefault="00460D38" w:rsidP="00460D38">
      <w:pPr>
        <w:ind w:left="720" w:hanging="720"/>
      </w:pPr>
      <w:r>
        <w:t xml:space="preserve">Scandiffio, J., Zhang, M., Karsan, I., Charow, R., Anderson, M., Salhia, M. and Wiljer, D. (2024) ‘The role of mentoring and coaching of healthcare professionals for digital technology adoption and implementation: A scoping review’, </w:t>
      </w:r>
      <w:r w:rsidRPr="00A942A7">
        <w:rPr>
          <w:i/>
          <w:iCs/>
        </w:rPr>
        <w:t>Digit Health,</w:t>
      </w:r>
      <w:r>
        <w:t xml:space="preserve"> 7(10).</w:t>
      </w:r>
    </w:p>
    <w:p w14:paraId="37204536" w14:textId="77777777" w:rsidR="00460D38" w:rsidRDefault="00460D38" w:rsidP="00460D38">
      <w:pPr>
        <w:ind w:left="720" w:hanging="720"/>
      </w:pPr>
      <w:r>
        <w:t xml:space="preserve">Sinha, E. (2023) ‘Co-creating experiential learning in the metaverse-extending the Kolb’s learning cycle and identifying potential challenges’, </w:t>
      </w:r>
      <w:r w:rsidRPr="009D3EC0">
        <w:rPr>
          <w:i/>
          <w:iCs/>
        </w:rPr>
        <w:t>The International Journal of Management Education’</w:t>
      </w:r>
      <w:r>
        <w:t>, 21(3), pp. 100875.</w:t>
      </w:r>
    </w:p>
    <w:p w14:paraId="6C0BFE8F" w14:textId="77777777" w:rsidR="00460D38" w:rsidRDefault="00460D38" w:rsidP="00460D38">
      <w:pPr>
        <w:ind w:left="720" w:hanging="720"/>
      </w:pPr>
      <w:r>
        <w:t xml:space="preserve">South Dakota Cardiovascular Collaborative (2025) </w:t>
      </w:r>
      <w:r w:rsidRPr="006F0F09">
        <w:rPr>
          <w:i/>
          <w:iCs/>
        </w:rPr>
        <w:t>What is team-based care?</w:t>
      </w:r>
      <w:r>
        <w:t xml:space="preserve"> Available at: </w:t>
      </w:r>
      <w:r w:rsidRPr="006F0F09">
        <w:t>https://doh.sd.gov/media/m4beks0b/what-is-team-based-care.pdf</w:t>
      </w:r>
      <w:r>
        <w:t xml:space="preserve"> (Retrieved 05 November 2025).</w:t>
      </w:r>
    </w:p>
    <w:p w14:paraId="23319AE7" w14:textId="77777777" w:rsidR="00460D38" w:rsidRDefault="00460D38" w:rsidP="00460D38">
      <w:pPr>
        <w:ind w:left="720" w:hanging="720"/>
      </w:pPr>
      <w:r>
        <w:t xml:space="preserve">Strauss, E. S., Johnson, O. M., Marquez, C. and Feldman, D. M. (2013) ‘Characteristics of Successful and Failed Mentorship Relationships: A qualitative Study Across Two Academic Health Centres’, </w:t>
      </w:r>
      <w:r w:rsidRPr="00FD4BAC">
        <w:rPr>
          <w:i/>
          <w:iCs/>
        </w:rPr>
        <w:t>Acad Med</w:t>
      </w:r>
      <w:r>
        <w:t>., 88(1), pp. 82-89.</w:t>
      </w:r>
    </w:p>
    <w:p w14:paraId="4110596C" w14:textId="77777777" w:rsidR="00460D38" w:rsidRDefault="00460D38" w:rsidP="00460D38">
      <w:pPr>
        <w:ind w:left="720" w:hanging="720"/>
      </w:pPr>
      <w:r>
        <w:t xml:space="preserve">Sundstrom, E., Meuse, D., Kenneth, P. and Futrell, D. (1990) ‘Work teams: Applications and effectiveness’, </w:t>
      </w:r>
      <w:r w:rsidRPr="00D164A4">
        <w:rPr>
          <w:i/>
          <w:iCs/>
        </w:rPr>
        <w:t>American Psychologist</w:t>
      </w:r>
      <w:r>
        <w:t>, 45(2), pp. 120-133.</w:t>
      </w:r>
    </w:p>
    <w:p w14:paraId="2B436558" w14:textId="77777777" w:rsidR="00460D38" w:rsidRDefault="00460D38" w:rsidP="00460D38">
      <w:pPr>
        <w:ind w:left="720" w:hanging="720"/>
      </w:pPr>
      <w:r>
        <w:t xml:space="preserve">The Chartered Institute for IT (2025) </w:t>
      </w:r>
      <w:r w:rsidRPr="0079106F">
        <w:rPr>
          <w:i/>
          <w:iCs/>
        </w:rPr>
        <w:t>Digital literacy</w:t>
      </w:r>
      <w:r>
        <w:t xml:space="preserve">. Available at: </w:t>
      </w:r>
      <w:r w:rsidRPr="0079106F">
        <w:t>https://www.bcs.org/policy-and-influence/education/digital-literacy/</w:t>
      </w:r>
      <w:r>
        <w:t xml:space="preserve"> (Retrieved 25 November 2025).</w:t>
      </w:r>
    </w:p>
    <w:p w14:paraId="5393A407" w14:textId="77777777" w:rsidR="00460D38" w:rsidRDefault="00460D38" w:rsidP="00460D38">
      <w:pPr>
        <w:ind w:left="720" w:hanging="720"/>
      </w:pPr>
      <w:r>
        <w:t xml:space="preserve">University of Bedfordshire (2025) Introduction to coaching, the GROW model and C-PAL. Available at: </w:t>
      </w:r>
      <w:r w:rsidRPr="000752D5">
        <w:t>https://www.beds.ac.uk/healthpracticelearning/nursing/part-one/activity-four/</w:t>
      </w:r>
      <w:r>
        <w:t xml:space="preserve"> (Retrieved 10 November 2025).</w:t>
      </w:r>
    </w:p>
    <w:p w14:paraId="6208902F" w14:textId="77777777" w:rsidR="00460D38" w:rsidRDefault="00460D38" w:rsidP="00460D38">
      <w:pPr>
        <w:ind w:left="720" w:hanging="720"/>
      </w:pPr>
      <w:r>
        <w:t xml:space="preserve">Vrogue (IMAGE) (2025) </w:t>
      </w:r>
      <w:r>
        <w:rPr>
          <w:i/>
        </w:rPr>
        <w:t>What's</w:t>
      </w:r>
      <w:r w:rsidRPr="00620893">
        <w:rPr>
          <w:i/>
        </w:rPr>
        <w:t xml:space="preserve"> the difference between mentoring and coaching</w:t>
      </w:r>
      <w:r>
        <w:rPr>
          <w:i/>
        </w:rPr>
        <w:t>?</w:t>
      </w:r>
      <w:r>
        <w:t xml:space="preserve"> Available at: </w:t>
      </w:r>
      <w:r w:rsidRPr="00620893">
        <w:t>https://www.vrogue.co/post/mentoring-concept-flowchart-stock-photo-image-of-expert-creativity</w:t>
      </w:r>
      <w:r>
        <w:t xml:space="preserve"> (Retrieved 27 October 20225).</w:t>
      </w:r>
    </w:p>
    <w:p w14:paraId="7D904DA3" w14:textId="77777777" w:rsidR="00460D38" w:rsidRDefault="00460D38" w:rsidP="00460D38">
      <w:pPr>
        <w:ind w:left="720" w:hanging="720"/>
      </w:pPr>
      <w:r>
        <w:t xml:space="preserve">Wijner-Meijer, M., Brandhuber, T., Schneider, A. and Perberat, P.O. (2023) ‘Implementing Kolb’s Experiential Learning Cycle by Linking Real Experience, Case-Based Discussion and Simulation’, </w:t>
      </w:r>
      <w:r w:rsidRPr="006E13FA">
        <w:rPr>
          <w:i/>
          <w:iCs/>
        </w:rPr>
        <w:t>J Med Educ Curric Dev</w:t>
      </w:r>
      <w:r>
        <w:t>., 12(9), pp. 239.</w:t>
      </w:r>
    </w:p>
    <w:p w14:paraId="23FF5C01" w14:textId="77777777" w:rsidR="00460D38" w:rsidRDefault="00460D38" w:rsidP="00460D38">
      <w:pPr>
        <w:ind w:left="720" w:hanging="720"/>
      </w:pPr>
      <w:r>
        <w:t xml:space="preserve">World Health Organisation (2025) </w:t>
      </w:r>
      <w:r w:rsidRPr="000D3F89">
        <w:rPr>
          <w:i/>
        </w:rPr>
        <w:t>Universal Health Coverage (UHC).</w:t>
      </w:r>
      <w:r>
        <w:t xml:space="preserve"> Available at: </w:t>
      </w:r>
      <w:r w:rsidRPr="000D3F89">
        <w:t>https://www.who.int/news-room/fact-sheets/detail/universal-health-coverage-(uhc)</w:t>
      </w:r>
      <w:r>
        <w:t xml:space="preserve"> (Retrieved 28 October 2025).</w:t>
      </w:r>
    </w:p>
    <w:p w14:paraId="16795A86" w14:textId="77777777" w:rsidR="00460D38" w:rsidRDefault="00460D38" w:rsidP="00460D38">
      <w:pPr>
        <w:ind w:left="720" w:hanging="720"/>
      </w:pPr>
      <w:r>
        <w:t xml:space="preserve">World Health Organisation. (2025). </w:t>
      </w:r>
      <w:r w:rsidRPr="00126B1D">
        <w:rPr>
          <w:i/>
          <w:iCs/>
        </w:rPr>
        <w:t xml:space="preserve">WHO principles for effective </w:t>
      </w:r>
      <w:r>
        <w:rPr>
          <w:i/>
          <w:iCs/>
        </w:rPr>
        <w:t>communication</w:t>
      </w:r>
      <w:r>
        <w:t xml:space="preserve">. Available at: </w:t>
      </w:r>
      <w:r w:rsidRPr="00126B1D">
        <w:t>https://www.who.int/about/communications/principles</w:t>
      </w:r>
      <w:r>
        <w:t xml:space="preserve"> (Retrieved 05 November 2025).</w:t>
      </w:r>
    </w:p>
    <w:sectPr w:rsidR="00460D38" w:rsidSect="00AF6364">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78535C" w14:textId="77777777" w:rsidR="007F66E4" w:rsidRDefault="007F66E4" w:rsidP="00AF6364">
      <w:r>
        <w:separator/>
      </w:r>
    </w:p>
  </w:endnote>
  <w:endnote w:type="continuationSeparator" w:id="0">
    <w:p w14:paraId="24204235" w14:textId="77777777" w:rsidR="007F66E4" w:rsidRDefault="007F66E4" w:rsidP="00AF63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3315669"/>
      <w:docPartObj>
        <w:docPartGallery w:val="Page Numbers (Bottom of Page)"/>
        <w:docPartUnique/>
      </w:docPartObj>
    </w:sdtPr>
    <w:sdtContent>
      <w:p w14:paraId="7116AEC2" w14:textId="107D4E1F" w:rsidR="00AF6364" w:rsidRDefault="00AF6364" w:rsidP="00AF63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76537B4" w14:textId="77777777" w:rsidR="00AF6364" w:rsidRDefault="00AF6364" w:rsidP="00AF63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62873193"/>
      <w:docPartObj>
        <w:docPartGallery w:val="Page Numbers (Bottom of Page)"/>
        <w:docPartUnique/>
      </w:docPartObj>
    </w:sdtPr>
    <w:sdtContent>
      <w:p w14:paraId="153B998C" w14:textId="62737BF6" w:rsidR="00AF6364" w:rsidRDefault="00AF6364" w:rsidP="00AF636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7938DB22" w14:textId="77777777" w:rsidR="00AF6364" w:rsidRDefault="00AF6364" w:rsidP="00AF6364">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880E18" w14:textId="77777777" w:rsidR="00D85346" w:rsidRDefault="00D853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23F4C8" w14:textId="77777777" w:rsidR="007F66E4" w:rsidRDefault="007F66E4" w:rsidP="00AF6364">
      <w:r>
        <w:separator/>
      </w:r>
    </w:p>
  </w:footnote>
  <w:footnote w:type="continuationSeparator" w:id="0">
    <w:p w14:paraId="37DD957F" w14:textId="77777777" w:rsidR="007F66E4" w:rsidRDefault="007F66E4" w:rsidP="00AF63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DA41CF" w14:textId="77777777" w:rsidR="00D85346" w:rsidRDefault="00D853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A086C0" w14:textId="77777777" w:rsidR="00D85346" w:rsidRDefault="00D853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1998FE" w14:textId="77777777" w:rsidR="00D85346" w:rsidRDefault="00D853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3467D"/>
    <w:multiLevelType w:val="hybridMultilevel"/>
    <w:tmpl w:val="F89AB3D8"/>
    <w:lvl w:ilvl="0" w:tplc="43C0AD7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1344770"/>
    <w:multiLevelType w:val="hybridMultilevel"/>
    <w:tmpl w:val="064A9ED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B15B17"/>
    <w:multiLevelType w:val="hybridMultilevel"/>
    <w:tmpl w:val="C93EF20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280178"/>
    <w:multiLevelType w:val="hybridMultilevel"/>
    <w:tmpl w:val="319C7FF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567E94"/>
    <w:multiLevelType w:val="hybridMultilevel"/>
    <w:tmpl w:val="6B400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D2259C"/>
    <w:multiLevelType w:val="multilevel"/>
    <w:tmpl w:val="0B342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7B05FC"/>
    <w:multiLevelType w:val="multilevel"/>
    <w:tmpl w:val="75640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CF1310"/>
    <w:multiLevelType w:val="hybridMultilevel"/>
    <w:tmpl w:val="766812DA"/>
    <w:lvl w:ilvl="0" w:tplc="A72494EA">
      <w:start w:val="2"/>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D0E5DB9"/>
    <w:multiLevelType w:val="multilevel"/>
    <w:tmpl w:val="BEEC13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8E4F13"/>
    <w:multiLevelType w:val="hybridMultilevel"/>
    <w:tmpl w:val="9BA0D2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33855D2"/>
    <w:multiLevelType w:val="hybridMultilevel"/>
    <w:tmpl w:val="45B6B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883773"/>
    <w:multiLevelType w:val="hybridMultilevel"/>
    <w:tmpl w:val="EF926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E315C6"/>
    <w:multiLevelType w:val="hybridMultilevel"/>
    <w:tmpl w:val="F15288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C12C3D"/>
    <w:multiLevelType w:val="multilevel"/>
    <w:tmpl w:val="985A4698"/>
    <w:lvl w:ilvl="0">
      <w:start w:val="1"/>
      <w:numFmt w:val="decimal"/>
      <w:lvlText w:val="%1."/>
      <w:lvlJc w:val="left"/>
      <w:pPr>
        <w:ind w:left="36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64486F86"/>
    <w:multiLevelType w:val="hybridMultilevel"/>
    <w:tmpl w:val="650C1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EF2789"/>
    <w:multiLevelType w:val="hybridMultilevel"/>
    <w:tmpl w:val="BE984B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E436195"/>
    <w:multiLevelType w:val="hybridMultilevel"/>
    <w:tmpl w:val="AC90B46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010115"/>
    <w:multiLevelType w:val="hybridMultilevel"/>
    <w:tmpl w:val="802A64D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75616A4E"/>
    <w:multiLevelType w:val="hybridMultilevel"/>
    <w:tmpl w:val="008C46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B832C35"/>
    <w:multiLevelType w:val="hybridMultilevel"/>
    <w:tmpl w:val="617C33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BD6249C"/>
    <w:multiLevelType w:val="hybridMultilevel"/>
    <w:tmpl w:val="498A908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1046370387">
    <w:abstractNumId w:val="13"/>
  </w:num>
  <w:num w:numId="2" w16cid:durableId="1093474234">
    <w:abstractNumId w:val="17"/>
  </w:num>
  <w:num w:numId="3" w16cid:durableId="1175346047">
    <w:abstractNumId w:val="10"/>
  </w:num>
  <w:num w:numId="4" w16cid:durableId="1350059454">
    <w:abstractNumId w:val="8"/>
  </w:num>
  <w:num w:numId="5" w16cid:durableId="194079485">
    <w:abstractNumId w:val="6"/>
  </w:num>
  <w:num w:numId="6" w16cid:durableId="1325665647">
    <w:abstractNumId w:val="5"/>
  </w:num>
  <w:num w:numId="7" w16cid:durableId="1769428309">
    <w:abstractNumId w:val="12"/>
  </w:num>
  <w:num w:numId="8" w16cid:durableId="1625037163">
    <w:abstractNumId w:val="14"/>
  </w:num>
  <w:num w:numId="9" w16cid:durableId="1728332600">
    <w:abstractNumId w:val="15"/>
  </w:num>
  <w:num w:numId="10" w16cid:durableId="1184200334">
    <w:abstractNumId w:val="18"/>
  </w:num>
  <w:num w:numId="11" w16cid:durableId="1491949572">
    <w:abstractNumId w:val="11"/>
  </w:num>
  <w:num w:numId="12" w16cid:durableId="1848595394">
    <w:abstractNumId w:val="16"/>
  </w:num>
  <w:num w:numId="13" w16cid:durableId="342245821">
    <w:abstractNumId w:val="3"/>
  </w:num>
  <w:num w:numId="14" w16cid:durableId="38864035">
    <w:abstractNumId w:val="1"/>
  </w:num>
  <w:num w:numId="15" w16cid:durableId="1434549178">
    <w:abstractNumId w:val="9"/>
  </w:num>
  <w:num w:numId="16" w16cid:durableId="196940266">
    <w:abstractNumId w:val="19"/>
  </w:num>
  <w:num w:numId="17" w16cid:durableId="1399790986">
    <w:abstractNumId w:val="20"/>
  </w:num>
  <w:num w:numId="18" w16cid:durableId="1577473617">
    <w:abstractNumId w:val="4"/>
  </w:num>
  <w:num w:numId="19" w16cid:durableId="586814823">
    <w:abstractNumId w:val="7"/>
  </w:num>
  <w:num w:numId="20" w16cid:durableId="1985039472">
    <w:abstractNumId w:val="0"/>
  </w:num>
  <w:num w:numId="21" w16cid:durableId="10388158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EBD"/>
    <w:rsid w:val="0001256C"/>
    <w:rsid w:val="00017D9F"/>
    <w:rsid w:val="00022A8B"/>
    <w:rsid w:val="0002459F"/>
    <w:rsid w:val="00036BD7"/>
    <w:rsid w:val="00037EC7"/>
    <w:rsid w:val="000447F3"/>
    <w:rsid w:val="00045841"/>
    <w:rsid w:val="00054556"/>
    <w:rsid w:val="000617A9"/>
    <w:rsid w:val="000752D5"/>
    <w:rsid w:val="00086324"/>
    <w:rsid w:val="0009143D"/>
    <w:rsid w:val="000A2AE5"/>
    <w:rsid w:val="000B22F1"/>
    <w:rsid w:val="000C1324"/>
    <w:rsid w:val="000C45C3"/>
    <w:rsid w:val="000D371B"/>
    <w:rsid w:val="000D3F89"/>
    <w:rsid w:val="000D7C77"/>
    <w:rsid w:val="000E42DE"/>
    <w:rsid w:val="000E58BE"/>
    <w:rsid w:val="000F1F0F"/>
    <w:rsid w:val="000F2F20"/>
    <w:rsid w:val="000F3A76"/>
    <w:rsid w:val="000F49E5"/>
    <w:rsid w:val="000F5206"/>
    <w:rsid w:val="00126B1D"/>
    <w:rsid w:val="00127AAD"/>
    <w:rsid w:val="00163C60"/>
    <w:rsid w:val="0017326C"/>
    <w:rsid w:val="001740AB"/>
    <w:rsid w:val="00175DE3"/>
    <w:rsid w:val="0019585E"/>
    <w:rsid w:val="0019696A"/>
    <w:rsid w:val="001A146C"/>
    <w:rsid w:val="001A3C3E"/>
    <w:rsid w:val="001A6951"/>
    <w:rsid w:val="001B5F60"/>
    <w:rsid w:val="001D410C"/>
    <w:rsid w:val="001F35CB"/>
    <w:rsid w:val="00212AD8"/>
    <w:rsid w:val="002261AB"/>
    <w:rsid w:val="00233042"/>
    <w:rsid w:val="002332F7"/>
    <w:rsid w:val="0024409B"/>
    <w:rsid w:val="00253CE8"/>
    <w:rsid w:val="002577B6"/>
    <w:rsid w:val="00257DED"/>
    <w:rsid w:val="00260F6C"/>
    <w:rsid w:val="002648F9"/>
    <w:rsid w:val="00267608"/>
    <w:rsid w:val="00280288"/>
    <w:rsid w:val="00291ED4"/>
    <w:rsid w:val="00295A49"/>
    <w:rsid w:val="002B3408"/>
    <w:rsid w:val="002D2665"/>
    <w:rsid w:val="002D4C56"/>
    <w:rsid w:val="002D6937"/>
    <w:rsid w:val="002E2B5D"/>
    <w:rsid w:val="003207C2"/>
    <w:rsid w:val="003310E9"/>
    <w:rsid w:val="0034188C"/>
    <w:rsid w:val="00363489"/>
    <w:rsid w:val="003718D6"/>
    <w:rsid w:val="0037502C"/>
    <w:rsid w:val="0038604B"/>
    <w:rsid w:val="003938B5"/>
    <w:rsid w:val="003A255E"/>
    <w:rsid w:val="003A59CD"/>
    <w:rsid w:val="003B144F"/>
    <w:rsid w:val="003C1D40"/>
    <w:rsid w:val="003D2524"/>
    <w:rsid w:val="003E6477"/>
    <w:rsid w:val="003E7A40"/>
    <w:rsid w:val="003F29EF"/>
    <w:rsid w:val="00404EA2"/>
    <w:rsid w:val="004207F5"/>
    <w:rsid w:val="00422486"/>
    <w:rsid w:val="004435A8"/>
    <w:rsid w:val="0046048F"/>
    <w:rsid w:val="00460D38"/>
    <w:rsid w:val="00474F48"/>
    <w:rsid w:val="004839F3"/>
    <w:rsid w:val="0048433B"/>
    <w:rsid w:val="00484ACD"/>
    <w:rsid w:val="00485D25"/>
    <w:rsid w:val="00493298"/>
    <w:rsid w:val="00494D30"/>
    <w:rsid w:val="004A7EA6"/>
    <w:rsid w:val="004B6D5E"/>
    <w:rsid w:val="004D2F4C"/>
    <w:rsid w:val="004E2ED7"/>
    <w:rsid w:val="00510672"/>
    <w:rsid w:val="00536574"/>
    <w:rsid w:val="00536B5D"/>
    <w:rsid w:val="005425E5"/>
    <w:rsid w:val="00543D3C"/>
    <w:rsid w:val="00555BC2"/>
    <w:rsid w:val="005651A7"/>
    <w:rsid w:val="00580EBD"/>
    <w:rsid w:val="00587F4F"/>
    <w:rsid w:val="00595D7B"/>
    <w:rsid w:val="005C4AD1"/>
    <w:rsid w:val="005C75D6"/>
    <w:rsid w:val="005D3032"/>
    <w:rsid w:val="005F0693"/>
    <w:rsid w:val="005F1625"/>
    <w:rsid w:val="005F4CB9"/>
    <w:rsid w:val="00611B4D"/>
    <w:rsid w:val="00620231"/>
    <w:rsid w:val="00620893"/>
    <w:rsid w:val="00665528"/>
    <w:rsid w:val="00674E44"/>
    <w:rsid w:val="006755BD"/>
    <w:rsid w:val="0068059F"/>
    <w:rsid w:val="00681DDF"/>
    <w:rsid w:val="0069673E"/>
    <w:rsid w:val="006A2245"/>
    <w:rsid w:val="006A31FB"/>
    <w:rsid w:val="006C291F"/>
    <w:rsid w:val="006D1FC9"/>
    <w:rsid w:val="006E13FA"/>
    <w:rsid w:val="006E2AB5"/>
    <w:rsid w:val="006E459C"/>
    <w:rsid w:val="006E6A6B"/>
    <w:rsid w:val="006E73F2"/>
    <w:rsid w:val="006E76D6"/>
    <w:rsid w:val="006F0F09"/>
    <w:rsid w:val="006F1510"/>
    <w:rsid w:val="006F6FAC"/>
    <w:rsid w:val="006F7AC5"/>
    <w:rsid w:val="007157B5"/>
    <w:rsid w:val="007216BB"/>
    <w:rsid w:val="00722626"/>
    <w:rsid w:val="00727BCC"/>
    <w:rsid w:val="00755BC1"/>
    <w:rsid w:val="007601A0"/>
    <w:rsid w:val="00762113"/>
    <w:rsid w:val="00763E1F"/>
    <w:rsid w:val="00767563"/>
    <w:rsid w:val="00770962"/>
    <w:rsid w:val="00772DB7"/>
    <w:rsid w:val="0077735A"/>
    <w:rsid w:val="00790C1D"/>
    <w:rsid w:val="0079106F"/>
    <w:rsid w:val="007A0177"/>
    <w:rsid w:val="007A301F"/>
    <w:rsid w:val="007A36F3"/>
    <w:rsid w:val="007A376C"/>
    <w:rsid w:val="007A6330"/>
    <w:rsid w:val="007B1322"/>
    <w:rsid w:val="007B190B"/>
    <w:rsid w:val="007B26C2"/>
    <w:rsid w:val="007C3F06"/>
    <w:rsid w:val="007C7F5A"/>
    <w:rsid w:val="007D2356"/>
    <w:rsid w:val="007D4D48"/>
    <w:rsid w:val="007E00EB"/>
    <w:rsid w:val="007E4EE0"/>
    <w:rsid w:val="007F16C3"/>
    <w:rsid w:val="007F66E4"/>
    <w:rsid w:val="007F69C8"/>
    <w:rsid w:val="00803E90"/>
    <w:rsid w:val="00805FCF"/>
    <w:rsid w:val="00811854"/>
    <w:rsid w:val="00812833"/>
    <w:rsid w:val="0082331C"/>
    <w:rsid w:val="00835514"/>
    <w:rsid w:val="00836A80"/>
    <w:rsid w:val="00846497"/>
    <w:rsid w:val="00850DDC"/>
    <w:rsid w:val="00867581"/>
    <w:rsid w:val="00873958"/>
    <w:rsid w:val="00883E40"/>
    <w:rsid w:val="008B6EC8"/>
    <w:rsid w:val="008B7893"/>
    <w:rsid w:val="008C1BFB"/>
    <w:rsid w:val="008C304C"/>
    <w:rsid w:val="008C4E6F"/>
    <w:rsid w:val="008C6D0E"/>
    <w:rsid w:val="008D4EA3"/>
    <w:rsid w:val="008D63B7"/>
    <w:rsid w:val="008E7179"/>
    <w:rsid w:val="008E7C28"/>
    <w:rsid w:val="008E7EB5"/>
    <w:rsid w:val="008F0CDD"/>
    <w:rsid w:val="008F2A01"/>
    <w:rsid w:val="009172F0"/>
    <w:rsid w:val="00945564"/>
    <w:rsid w:val="0095182B"/>
    <w:rsid w:val="00953E3C"/>
    <w:rsid w:val="00957315"/>
    <w:rsid w:val="00971EDE"/>
    <w:rsid w:val="00984DC1"/>
    <w:rsid w:val="009B6D0E"/>
    <w:rsid w:val="009B72B2"/>
    <w:rsid w:val="009C5141"/>
    <w:rsid w:val="009D2AC0"/>
    <w:rsid w:val="009D3EC0"/>
    <w:rsid w:val="009D6940"/>
    <w:rsid w:val="009E1736"/>
    <w:rsid w:val="009E4CD3"/>
    <w:rsid w:val="009F1AE3"/>
    <w:rsid w:val="00A075CE"/>
    <w:rsid w:val="00A10359"/>
    <w:rsid w:val="00A15730"/>
    <w:rsid w:val="00A254A5"/>
    <w:rsid w:val="00A30814"/>
    <w:rsid w:val="00A45144"/>
    <w:rsid w:val="00A8181C"/>
    <w:rsid w:val="00A84DA8"/>
    <w:rsid w:val="00A910A7"/>
    <w:rsid w:val="00A942A7"/>
    <w:rsid w:val="00AA1ADC"/>
    <w:rsid w:val="00AA3285"/>
    <w:rsid w:val="00AA637E"/>
    <w:rsid w:val="00AB3D90"/>
    <w:rsid w:val="00AD0BD4"/>
    <w:rsid w:val="00AE079C"/>
    <w:rsid w:val="00AF6364"/>
    <w:rsid w:val="00B14FC0"/>
    <w:rsid w:val="00B219BD"/>
    <w:rsid w:val="00B22690"/>
    <w:rsid w:val="00B267CE"/>
    <w:rsid w:val="00B31303"/>
    <w:rsid w:val="00B45322"/>
    <w:rsid w:val="00B52A26"/>
    <w:rsid w:val="00B54235"/>
    <w:rsid w:val="00B75588"/>
    <w:rsid w:val="00B7757C"/>
    <w:rsid w:val="00B77E55"/>
    <w:rsid w:val="00B8111D"/>
    <w:rsid w:val="00B83CBE"/>
    <w:rsid w:val="00BA508E"/>
    <w:rsid w:val="00BB5C6C"/>
    <w:rsid w:val="00BB6412"/>
    <w:rsid w:val="00BC25A6"/>
    <w:rsid w:val="00BC3DB7"/>
    <w:rsid w:val="00BC3E18"/>
    <w:rsid w:val="00BC55D6"/>
    <w:rsid w:val="00BD19E3"/>
    <w:rsid w:val="00BD3C45"/>
    <w:rsid w:val="00BD6ACF"/>
    <w:rsid w:val="00BE34AF"/>
    <w:rsid w:val="00BE4EFF"/>
    <w:rsid w:val="00BF05D0"/>
    <w:rsid w:val="00BF5028"/>
    <w:rsid w:val="00C0782A"/>
    <w:rsid w:val="00C07AB3"/>
    <w:rsid w:val="00C07B33"/>
    <w:rsid w:val="00C124C9"/>
    <w:rsid w:val="00C20476"/>
    <w:rsid w:val="00C2257F"/>
    <w:rsid w:val="00C2269C"/>
    <w:rsid w:val="00C27BE5"/>
    <w:rsid w:val="00C45CF2"/>
    <w:rsid w:val="00C47FE9"/>
    <w:rsid w:val="00C879E2"/>
    <w:rsid w:val="00C925E7"/>
    <w:rsid w:val="00C93405"/>
    <w:rsid w:val="00C94D68"/>
    <w:rsid w:val="00CA36DD"/>
    <w:rsid w:val="00CB1000"/>
    <w:rsid w:val="00CB64F3"/>
    <w:rsid w:val="00CC3AC4"/>
    <w:rsid w:val="00CC5683"/>
    <w:rsid w:val="00CD33FF"/>
    <w:rsid w:val="00CE61E1"/>
    <w:rsid w:val="00CF2526"/>
    <w:rsid w:val="00CF4D77"/>
    <w:rsid w:val="00D164A4"/>
    <w:rsid w:val="00D17F95"/>
    <w:rsid w:val="00D30870"/>
    <w:rsid w:val="00D3268C"/>
    <w:rsid w:val="00D329A9"/>
    <w:rsid w:val="00D37B3E"/>
    <w:rsid w:val="00D410E1"/>
    <w:rsid w:val="00D51103"/>
    <w:rsid w:val="00D75D5F"/>
    <w:rsid w:val="00D824E1"/>
    <w:rsid w:val="00D85346"/>
    <w:rsid w:val="00DA21EB"/>
    <w:rsid w:val="00DA79BC"/>
    <w:rsid w:val="00DB324C"/>
    <w:rsid w:val="00DC4A42"/>
    <w:rsid w:val="00DE031F"/>
    <w:rsid w:val="00DF21C2"/>
    <w:rsid w:val="00DF2983"/>
    <w:rsid w:val="00E07B38"/>
    <w:rsid w:val="00E20F07"/>
    <w:rsid w:val="00E257EB"/>
    <w:rsid w:val="00E26927"/>
    <w:rsid w:val="00E33DAA"/>
    <w:rsid w:val="00E349FC"/>
    <w:rsid w:val="00E355ED"/>
    <w:rsid w:val="00E36F59"/>
    <w:rsid w:val="00E458D0"/>
    <w:rsid w:val="00E61A84"/>
    <w:rsid w:val="00E61B15"/>
    <w:rsid w:val="00E64E86"/>
    <w:rsid w:val="00E67CEC"/>
    <w:rsid w:val="00E72DC8"/>
    <w:rsid w:val="00E90788"/>
    <w:rsid w:val="00EB3933"/>
    <w:rsid w:val="00EC44B8"/>
    <w:rsid w:val="00F276CD"/>
    <w:rsid w:val="00F50F24"/>
    <w:rsid w:val="00F60101"/>
    <w:rsid w:val="00F62F21"/>
    <w:rsid w:val="00F66042"/>
    <w:rsid w:val="00F7227E"/>
    <w:rsid w:val="00FC3B09"/>
    <w:rsid w:val="00FC58D1"/>
    <w:rsid w:val="00FD2F69"/>
    <w:rsid w:val="00FD4BAC"/>
    <w:rsid w:val="00FD7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F7D60"/>
  <w15:chartTrackingRefBased/>
  <w15:docId w15:val="{D44AA765-76D7-424B-8AB4-5A94FE122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8"/>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0EB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80EB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80EBD"/>
    <w:pPr>
      <w:keepNext/>
      <w:keepLines/>
      <w:spacing w:before="160" w:after="80"/>
      <w:outlineLvl w:val="2"/>
    </w:pPr>
    <w:rPr>
      <w:rFonts w:asciiTheme="minorHAnsi" w:eastAsiaTheme="majorEastAsia" w:hAnsiTheme="minorHAnsi" w:cstheme="majorBidi"/>
      <w:color w:val="2F5496" w:themeColor="accent1" w:themeShade="BF"/>
      <w:sz w:val="28"/>
    </w:rPr>
  </w:style>
  <w:style w:type="paragraph" w:styleId="Heading4">
    <w:name w:val="heading 4"/>
    <w:basedOn w:val="Normal"/>
    <w:next w:val="Normal"/>
    <w:link w:val="Heading4Char"/>
    <w:uiPriority w:val="9"/>
    <w:semiHidden/>
    <w:unhideWhenUsed/>
    <w:qFormat/>
    <w:rsid w:val="00580EBD"/>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80EB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80EB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80EB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80EB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80EB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EB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80EB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80EBD"/>
    <w:rPr>
      <w:rFonts w:asciiTheme="minorHAnsi" w:eastAsiaTheme="majorEastAsia" w:hAnsiTheme="minorHAnsi" w:cstheme="majorBidi"/>
      <w:color w:val="2F5496" w:themeColor="accent1" w:themeShade="BF"/>
      <w:sz w:val="28"/>
    </w:rPr>
  </w:style>
  <w:style w:type="character" w:customStyle="1" w:styleId="Heading4Char">
    <w:name w:val="Heading 4 Char"/>
    <w:basedOn w:val="DefaultParagraphFont"/>
    <w:link w:val="Heading4"/>
    <w:uiPriority w:val="9"/>
    <w:semiHidden/>
    <w:rsid w:val="00580EBD"/>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580EBD"/>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580EB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80EB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80EB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80EB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80EB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0E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0EBD"/>
    <w:pPr>
      <w:numPr>
        <w:ilvl w:val="1"/>
      </w:numPr>
      <w:spacing w:after="160"/>
    </w:pPr>
    <w:rPr>
      <w:rFonts w:asciiTheme="minorHAnsi" w:eastAsiaTheme="majorEastAsia" w:hAnsiTheme="minorHAnsi" w:cstheme="majorBidi"/>
      <w:color w:val="595959" w:themeColor="text1" w:themeTint="A6"/>
      <w:spacing w:val="15"/>
      <w:sz w:val="28"/>
    </w:rPr>
  </w:style>
  <w:style w:type="character" w:customStyle="1" w:styleId="SubtitleChar">
    <w:name w:val="Subtitle Char"/>
    <w:basedOn w:val="DefaultParagraphFont"/>
    <w:link w:val="Subtitle"/>
    <w:uiPriority w:val="11"/>
    <w:rsid w:val="00580EBD"/>
    <w:rPr>
      <w:rFonts w:asciiTheme="minorHAnsi" w:eastAsiaTheme="majorEastAsia" w:hAnsiTheme="minorHAnsi" w:cstheme="majorBidi"/>
      <w:color w:val="595959" w:themeColor="text1" w:themeTint="A6"/>
      <w:spacing w:val="15"/>
      <w:sz w:val="28"/>
    </w:rPr>
  </w:style>
  <w:style w:type="paragraph" w:styleId="Quote">
    <w:name w:val="Quote"/>
    <w:basedOn w:val="Normal"/>
    <w:next w:val="Normal"/>
    <w:link w:val="QuoteChar"/>
    <w:uiPriority w:val="29"/>
    <w:qFormat/>
    <w:rsid w:val="00580EB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80EBD"/>
    <w:rPr>
      <w:i/>
      <w:iCs/>
      <w:color w:val="404040" w:themeColor="text1" w:themeTint="BF"/>
    </w:rPr>
  </w:style>
  <w:style w:type="paragraph" w:styleId="ListParagraph">
    <w:name w:val="List Paragraph"/>
    <w:basedOn w:val="Normal"/>
    <w:uiPriority w:val="34"/>
    <w:qFormat/>
    <w:rsid w:val="00580EBD"/>
    <w:pPr>
      <w:ind w:left="720"/>
      <w:contextualSpacing/>
    </w:pPr>
  </w:style>
  <w:style w:type="character" w:styleId="IntenseEmphasis">
    <w:name w:val="Intense Emphasis"/>
    <w:basedOn w:val="DefaultParagraphFont"/>
    <w:uiPriority w:val="21"/>
    <w:qFormat/>
    <w:rsid w:val="00580EBD"/>
    <w:rPr>
      <w:i/>
      <w:iCs/>
      <w:color w:val="2F5496" w:themeColor="accent1" w:themeShade="BF"/>
    </w:rPr>
  </w:style>
  <w:style w:type="paragraph" w:styleId="IntenseQuote">
    <w:name w:val="Intense Quote"/>
    <w:basedOn w:val="Normal"/>
    <w:next w:val="Normal"/>
    <w:link w:val="IntenseQuoteChar"/>
    <w:uiPriority w:val="30"/>
    <w:qFormat/>
    <w:rsid w:val="00580EB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80EBD"/>
    <w:rPr>
      <w:i/>
      <w:iCs/>
      <w:color w:val="2F5496" w:themeColor="accent1" w:themeShade="BF"/>
    </w:rPr>
  </w:style>
  <w:style w:type="character" w:styleId="IntenseReference">
    <w:name w:val="Intense Reference"/>
    <w:basedOn w:val="DefaultParagraphFont"/>
    <w:uiPriority w:val="32"/>
    <w:qFormat/>
    <w:rsid w:val="00580EBD"/>
    <w:rPr>
      <w:b/>
      <w:bCs/>
      <w:smallCaps/>
      <w:color w:val="2F5496" w:themeColor="accent1" w:themeShade="BF"/>
      <w:spacing w:val="5"/>
    </w:rPr>
  </w:style>
  <w:style w:type="paragraph" w:styleId="NoSpacing">
    <w:name w:val="No Spacing"/>
    <w:link w:val="NoSpacingChar"/>
    <w:uiPriority w:val="1"/>
    <w:qFormat/>
    <w:rsid w:val="00580EBD"/>
    <w:rPr>
      <w:rFonts w:asciiTheme="minorHAnsi" w:eastAsiaTheme="minorEastAsia" w:hAnsiTheme="minorHAnsi" w:cstheme="minorBidi"/>
      <w:bCs/>
      <w:iCs/>
      <w:sz w:val="22"/>
      <w:szCs w:val="22"/>
      <w:lang w:val="en-US" w:eastAsia="zh-CN"/>
    </w:rPr>
  </w:style>
  <w:style w:type="character" w:customStyle="1" w:styleId="NoSpacingChar">
    <w:name w:val="No Spacing Char"/>
    <w:basedOn w:val="DefaultParagraphFont"/>
    <w:link w:val="NoSpacing"/>
    <w:uiPriority w:val="1"/>
    <w:rsid w:val="00580EBD"/>
    <w:rPr>
      <w:rFonts w:asciiTheme="minorHAnsi" w:eastAsiaTheme="minorEastAsia" w:hAnsiTheme="minorHAnsi" w:cstheme="minorBidi"/>
      <w:bCs/>
      <w:iCs/>
      <w:sz w:val="22"/>
      <w:szCs w:val="22"/>
      <w:lang w:val="en-US" w:eastAsia="zh-CN"/>
    </w:rPr>
  </w:style>
  <w:style w:type="paragraph" w:styleId="Footer">
    <w:name w:val="footer"/>
    <w:basedOn w:val="Normal"/>
    <w:link w:val="FooterChar"/>
    <w:uiPriority w:val="99"/>
    <w:unhideWhenUsed/>
    <w:rsid w:val="00AF6364"/>
    <w:pPr>
      <w:tabs>
        <w:tab w:val="center" w:pos="4513"/>
        <w:tab w:val="right" w:pos="9026"/>
      </w:tabs>
    </w:pPr>
  </w:style>
  <w:style w:type="character" w:customStyle="1" w:styleId="FooterChar">
    <w:name w:val="Footer Char"/>
    <w:basedOn w:val="DefaultParagraphFont"/>
    <w:link w:val="Footer"/>
    <w:uiPriority w:val="99"/>
    <w:rsid w:val="00AF6364"/>
  </w:style>
  <w:style w:type="character" w:styleId="PageNumber">
    <w:name w:val="page number"/>
    <w:basedOn w:val="DefaultParagraphFont"/>
    <w:uiPriority w:val="99"/>
    <w:semiHidden/>
    <w:unhideWhenUsed/>
    <w:rsid w:val="00AF6364"/>
  </w:style>
  <w:style w:type="character" w:styleId="Hyperlink">
    <w:name w:val="Hyperlink"/>
    <w:basedOn w:val="DefaultParagraphFont"/>
    <w:uiPriority w:val="99"/>
    <w:unhideWhenUsed/>
    <w:rsid w:val="00620893"/>
    <w:rPr>
      <w:color w:val="0563C1" w:themeColor="hyperlink"/>
      <w:u w:val="single"/>
    </w:rPr>
  </w:style>
  <w:style w:type="character" w:styleId="UnresolvedMention">
    <w:name w:val="Unresolved Mention"/>
    <w:basedOn w:val="DefaultParagraphFont"/>
    <w:uiPriority w:val="99"/>
    <w:semiHidden/>
    <w:unhideWhenUsed/>
    <w:rsid w:val="00620893"/>
    <w:rPr>
      <w:color w:val="605E5C"/>
      <w:shd w:val="clear" w:color="auto" w:fill="E1DFDD"/>
    </w:rPr>
  </w:style>
  <w:style w:type="paragraph" w:styleId="TOCHeading">
    <w:name w:val="TOC Heading"/>
    <w:basedOn w:val="Heading1"/>
    <w:next w:val="Normal"/>
    <w:uiPriority w:val="39"/>
    <w:unhideWhenUsed/>
    <w:qFormat/>
    <w:rsid w:val="009C5141"/>
    <w:pPr>
      <w:spacing w:before="480" w:after="0" w:line="276" w:lineRule="auto"/>
      <w:outlineLvl w:val="9"/>
    </w:pPr>
    <w:rPr>
      <w:b/>
      <w:iCs/>
      <w:sz w:val="28"/>
      <w:szCs w:val="28"/>
      <w:lang w:val="en-US"/>
    </w:rPr>
  </w:style>
  <w:style w:type="paragraph" w:styleId="TOC1">
    <w:name w:val="toc 1"/>
    <w:basedOn w:val="Normal"/>
    <w:next w:val="Normal"/>
    <w:autoRedefine/>
    <w:uiPriority w:val="39"/>
    <w:unhideWhenUsed/>
    <w:rsid w:val="009C5141"/>
    <w:pPr>
      <w:spacing w:before="120"/>
    </w:pPr>
    <w:rPr>
      <w:rFonts w:asciiTheme="minorHAnsi" w:hAnsiTheme="minorHAnsi" w:cstheme="minorHAnsi"/>
      <w:b/>
      <w:i/>
      <w:szCs w:val="24"/>
    </w:rPr>
  </w:style>
  <w:style w:type="paragraph" w:styleId="TOC2">
    <w:name w:val="toc 2"/>
    <w:basedOn w:val="Normal"/>
    <w:next w:val="Normal"/>
    <w:autoRedefine/>
    <w:uiPriority w:val="39"/>
    <w:unhideWhenUsed/>
    <w:rsid w:val="009C5141"/>
    <w:pPr>
      <w:spacing w:before="120"/>
      <w:ind w:left="240"/>
    </w:pPr>
    <w:rPr>
      <w:rFonts w:asciiTheme="minorHAnsi" w:hAnsiTheme="minorHAnsi" w:cstheme="minorHAnsi"/>
      <w:b/>
      <w:iCs/>
      <w:sz w:val="22"/>
      <w:szCs w:val="22"/>
    </w:rPr>
  </w:style>
  <w:style w:type="paragraph" w:styleId="TOC3">
    <w:name w:val="toc 3"/>
    <w:basedOn w:val="Normal"/>
    <w:next w:val="Normal"/>
    <w:autoRedefine/>
    <w:uiPriority w:val="39"/>
    <w:unhideWhenUsed/>
    <w:rsid w:val="009C5141"/>
    <w:pPr>
      <w:ind w:left="480"/>
    </w:pPr>
    <w:rPr>
      <w:rFonts w:asciiTheme="minorHAnsi" w:hAnsiTheme="minorHAnsi" w:cstheme="minorHAnsi"/>
      <w:bCs/>
      <w:iCs/>
      <w:sz w:val="20"/>
      <w:szCs w:val="20"/>
    </w:rPr>
  </w:style>
  <w:style w:type="paragraph" w:styleId="TOC4">
    <w:name w:val="toc 4"/>
    <w:basedOn w:val="Normal"/>
    <w:next w:val="Normal"/>
    <w:autoRedefine/>
    <w:uiPriority w:val="39"/>
    <w:semiHidden/>
    <w:unhideWhenUsed/>
    <w:rsid w:val="009C5141"/>
    <w:pPr>
      <w:ind w:left="720"/>
    </w:pPr>
    <w:rPr>
      <w:rFonts w:asciiTheme="minorHAnsi" w:hAnsiTheme="minorHAnsi" w:cstheme="minorHAnsi"/>
      <w:bCs/>
      <w:iCs/>
      <w:sz w:val="20"/>
      <w:szCs w:val="20"/>
    </w:rPr>
  </w:style>
  <w:style w:type="paragraph" w:styleId="TOC5">
    <w:name w:val="toc 5"/>
    <w:basedOn w:val="Normal"/>
    <w:next w:val="Normal"/>
    <w:autoRedefine/>
    <w:uiPriority w:val="39"/>
    <w:semiHidden/>
    <w:unhideWhenUsed/>
    <w:rsid w:val="009C5141"/>
    <w:pPr>
      <w:ind w:left="960"/>
    </w:pPr>
    <w:rPr>
      <w:rFonts w:asciiTheme="minorHAnsi" w:hAnsiTheme="minorHAnsi" w:cstheme="minorHAnsi"/>
      <w:bCs/>
      <w:iCs/>
      <w:sz w:val="20"/>
      <w:szCs w:val="20"/>
    </w:rPr>
  </w:style>
  <w:style w:type="paragraph" w:styleId="TOC6">
    <w:name w:val="toc 6"/>
    <w:basedOn w:val="Normal"/>
    <w:next w:val="Normal"/>
    <w:autoRedefine/>
    <w:uiPriority w:val="39"/>
    <w:semiHidden/>
    <w:unhideWhenUsed/>
    <w:rsid w:val="009C5141"/>
    <w:pPr>
      <w:ind w:left="1200"/>
    </w:pPr>
    <w:rPr>
      <w:rFonts w:asciiTheme="minorHAnsi" w:hAnsiTheme="minorHAnsi" w:cstheme="minorHAnsi"/>
      <w:bCs/>
      <w:iCs/>
      <w:sz w:val="20"/>
      <w:szCs w:val="20"/>
    </w:rPr>
  </w:style>
  <w:style w:type="paragraph" w:styleId="TOC7">
    <w:name w:val="toc 7"/>
    <w:basedOn w:val="Normal"/>
    <w:next w:val="Normal"/>
    <w:autoRedefine/>
    <w:uiPriority w:val="39"/>
    <w:semiHidden/>
    <w:unhideWhenUsed/>
    <w:rsid w:val="009C5141"/>
    <w:pPr>
      <w:ind w:left="1440"/>
    </w:pPr>
    <w:rPr>
      <w:rFonts w:asciiTheme="minorHAnsi" w:hAnsiTheme="minorHAnsi" w:cstheme="minorHAnsi"/>
      <w:bCs/>
      <w:iCs/>
      <w:sz w:val="20"/>
      <w:szCs w:val="20"/>
    </w:rPr>
  </w:style>
  <w:style w:type="paragraph" w:styleId="TOC8">
    <w:name w:val="toc 8"/>
    <w:basedOn w:val="Normal"/>
    <w:next w:val="Normal"/>
    <w:autoRedefine/>
    <w:uiPriority w:val="39"/>
    <w:semiHidden/>
    <w:unhideWhenUsed/>
    <w:rsid w:val="009C5141"/>
    <w:pPr>
      <w:ind w:left="1680"/>
    </w:pPr>
    <w:rPr>
      <w:rFonts w:asciiTheme="minorHAnsi" w:hAnsiTheme="minorHAnsi" w:cstheme="minorHAnsi"/>
      <w:bCs/>
      <w:iCs/>
      <w:sz w:val="20"/>
      <w:szCs w:val="20"/>
    </w:rPr>
  </w:style>
  <w:style w:type="paragraph" w:styleId="TOC9">
    <w:name w:val="toc 9"/>
    <w:basedOn w:val="Normal"/>
    <w:next w:val="Normal"/>
    <w:autoRedefine/>
    <w:uiPriority w:val="39"/>
    <w:semiHidden/>
    <w:unhideWhenUsed/>
    <w:rsid w:val="009C5141"/>
    <w:pPr>
      <w:ind w:left="1920"/>
    </w:pPr>
    <w:rPr>
      <w:rFonts w:asciiTheme="minorHAnsi" w:hAnsiTheme="minorHAnsi" w:cstheme="minorHAnsi"/>
      <w:bCs/>
      <w:iCs/>
      <w:sz w:val="20"/>
      <w:szCs w:val="20"/>
    </w:rPr>
  </w:style>
  <w:style w:type="paragraph" w:styleId="Caption">
    <w:name w:val="caption"/>
    <w:basedOn w:val="Normal"/>
    <w:next w:val="Normal"/>
    <w:uiPriority w:val="35"/>
    <w:unhideWhenUsed/>
    <w:qFormat/>
    <w:rsid w:val="002332F7"/>
    <w:pPr>
      <w:spacing w:after="200"/>
    </w:pPr>
    <w:rPr>
      <w:i/>
      <w:iCs/>
      <w:color w:val="44546A" w:themeColor="text2"/>
      <w:sz w:val="18"/>
      <w:szCs w:val="18"/>
    </w:rPr>
  </w:style>
  <w:style w:type="paragraph" w:styleId="NormalWeb">
    <w:name w:val="Normal (Web)"/>
    <w:basedOn w:val="Normal"/>
    <w:uiPriority w:val="99"/>
    <w:unhideWhenUsed/>
    <w:rsid w:val="00CB1000"/>
    <w:pPr>
      <w:spacing w:before="100" w:beforeAutospacing="1" w:after="100" w:afterAutospacing="1"/>
    </w:pPr>
    <w:rPr>
      <w:rFonts w:eastAsia="Times New Roman"/>
      <w:bCs/>
      <w:iCs/>
      <w:szCs w:val="24"/>
      <w:lang w:eastAsia="en-GB"/>
    </w:rPr>
  </w:style>
  <w:style w:type="character" w:customStyle="1" w:styleId="apple-converted-space">
    <w:name w:val="apple-converted-space"/>
    <w:basedOn w:val="DefaultParagraphFont"/>
    <w:rsid w:val="00CB1000"/>
  </w:style>
  <w:style w:type="character" w:styleId="Strong">
    <w:name w:val="Strong"/>
    <w:basedOn w:val="DefaultParagraphFont"/>
    <w:uiPriority w:val="22"/>
    <w:qFormat/>
    <w:rsid w:val="00CB1000"/>
    <w:rPr>
      <w:b/>
      <w:bCs/>
    </w:rPr>
  </w:style>
  <w:style w:type="paragraph" w:styleId="Header">
    <w:name w:val="header"/>
    <w:basedOn w:val="Normal"/>
    <w:link w:val="HeaderChar"/>
    <w:uiPriority w:val="99"/>
    <w:unhideWhenUsed/>
    <w:rsid w:val="00D85346"/>
    <w:pPr>
      <w:tabs>
        <w:tab w:val="center" w:pos="4513"/>
        <w:tab w:val="right" w:pos="9026"/>
      </w:tabs>
    </w:pPr>
  </w:style>
  <w:style w:type="character" w:customStyle="1" w:styleId="HeaderChar">
    <w:name w:val="Header Char"/>
    <w:basedOn w:val="DefaultParagraphFont"/>
    <w:link w:val="Header"/>
    <w:uiPriority w:val="99"/>
    <w:rsid w:val="00D853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2E7E3B6-544A-AF4B-B456-54EE42553112}">
  <we:reference id="wa200001011" version="1.2.0.0" store="en-US" storeType="OMEX"/>
  <we:alternateReferences>
    <we:reference id="wa200001011" version="1.2.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2025-10-01T00:00:00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BD97FA-9316-0F4C-B3CF-9F89047F6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1305</TotalTime>
  <Pages>23</Pages>
  <Words>7564</Words>
  <Characters>43117</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Coaching and Mentoring in Contemporary Healthcare: Benefits, Challenges, and Implications for Team-based      Practice</vt:lpstr>
    </vt:vector>
  </TitlesOfParts>
  <Company>student id: 2225450</Company>
  <LinksUpToDate>false</LinksUpToDate>
  <CharactersWithSpaces>50580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in Contemporary Healthcare: Benefits, Challenges, and Implications for Team-based      Practice</dc:title>
  <dc:subject>REPORT</dc:subject>
  <dc:creator>Liviu Befu-Romanescu</dc:creator>
  <cp:keywords/>
  <dc:description/>
  <cp:lastModifiedBy>Liviu Befu-Romanescu (2225450)</cp:lastModifiedBy>
  <cp:revision>214</cp:revision>
  <dcterms:created xsi:type="dcterms:W3CDTF">2025-10-01T12:26:00Z</dcterms:created>
  <dcterms:modified xsi:type="dcterms:W3CDTF">2025-12-01T22:36:00Z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documentId_2880</vt:lpwstr>
  </property>
  <property fmtid="{D5CDD505-2E9C-101B-9397-08002B2CF9AE}" pid="3" name="grammarly_documentContext">
    <vt:lpwstr>{"goals":[],"domain":"general","emotions":[],"dialect":"british"}</vt:lpwstr>
  </property>
</Properties>
</file>