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32AEE2F" w:rsidR="00986B43" w:rsidRPr="008E1506" w:rsidRDefault="00986B43"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53DD9" w:rsidRPr="008E1506">
              <w:rPr>
                <w:rFonts w:ascii="Times New Roman" w:hAnsi="Times New Roman" w:cs="Times New Roman"/>
                <w:color w:val="auto"/>
                <w:sz w:val="40"/>
                <w:szCs w:val="40"/>
              </w:rPr>
              <w:t>Elizabeth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E6374D" w:rsidR="009C337F" w:rsidRPr="00B53DD9" w:rsidRDefault="009C337F" w:rsidP="005D3F07">
            <w:pPr>
              <w:overflowPunct/>
              <w:autoSpaceDE/>
              <w:autoSpaceDN/>
              <w:adjustRightInd/>
              <w:ind w:right="-957"/>
              <w:textAlignment w:val="auto"/>
              <w:rPr>
                <w:rFonts w:ascii="Times New Roman" w:hAnsi="Times New Roman" w:cs="Times New Roman"/>
                <w:b/>
                <w:color w:val="auto"/>
                <w:sz w:val="28"/>
                <w:szCs w:val="28"/>
              </w:rPr>
            </w:pPr>
            <w:r>
              <w:rPr>
                <w:rFonts w:ascii="Times New Roman" w:hAnsi="Times New Roman" w:cs="Times New Roman"/>
                <w:b/>
                <w:color w:val="auto"/>
                <w:sz w:val="48"/>
              </w:rPr>
              <w:t>Email address:</w:t>
            </w:r>
            <w:r w:rsidR="00B53DD9">
              <w:rPr>
                <w:rFonts w:ascii="Times New Roman" w:hAnsi="Times New Roman" w:cs="Times New Roman"/>
                <w:b/>
                <w:color w:val="auto"/>
                <w:sz w:val="48"/>
              </w:rPr>
              <w:t xml:space="preserve"> </w:t>
            </w:r>
            <w:hyperlink r:id="rId11" w:history="1">
              <w:r w:rsidR="003E6928" w:rsidRPr="00B23C86">
                <w:rPr>
                  <w:rStyle w:val="Hyperlink"/>
                  <w:rFonts w:ascii="Times New Roman" w:hAnsi="Times New Roman" w:cs="Times New Roman"/>
                  <w:b/>
                  <w:sz w:val="28"/>
                  <w:szCs w:val="28"/>
                </w:rPr>
                <w:t>kakporll@yahoo.co.uk</w:t>
              </w:r>
            </w:hyperlink>
            <w:r w:rsidR="001C7EF8">
              <w:rPr>
                <w:rFonts w:ascii="Times New Roman" w:hAnsi="Times New Roman" w:cs="Times New Roman"/>
                <w:b/>
                <w:color w:val="auto"/>
                <w:sz w:val="28"/>
                <w:szCs w:val="28"/>
              </w:rPr>
              <w:t xml:space="preserve"> and</w:t>
            </w:r>
          </w:p>
          <w:p w14:paraId="0CE3BB6F" w14:textId="5869FF00" w:rsidR="00B53DD9" w:rsidRPr="00B53DD9" w:rsidRDefault="00B53DD9" w:rsidP="005D3F07">
            <w:pPr>
              <w:overflowPunct/>
              <w:autoSpaceDE/>
              <w:autoSpaceDN/>
              <w:adjustRightInd/>
              <w:ind w:right="-957"/>
              <w:textAlignment w:val="auto"/>
              <w:rPr>
                <w:rFonts w:ascii="Times New Roman" w:hAnsi="Times New Roman" w:cs="Times New Roman"/>
                <w:b/>
                <w:color w:val="auto"/>
                <w:sz w:val="28"/>
                <w:szCs w:val="28"/>
              </w:rPr>
            </w:pPr>
            <w:r w:rsidRPr="00B53DD9">
              <w:rPr>
                <w:rFonts w:ascii="Times New Roman" w:hAnsi="Times New Roman" w:cs="Times New Roman"/>
                <w:b/>
                <w:color w:val="auto"/>
                <w:sz w:val="28"/>
                <w:szCs w:val="28"/>
              </w:rPr>
              <w:t>lizzy.lloyd@wrexham.gov.uk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9C9DBEE" w:rsidR="00F927A1" w:rsidRPr="00A55FE4"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A55FE4">
              <w:rPr>
                <w:rFonts w:ascii="Times New Roman" w:hAnsi="Times New Roman" w:cs="Times New Roman"/>
                <w:b/>
                <w:color w:val="auto"/>
                <w:sz w:val="36"/>
                <w:szCs w:val="36"/>
              </w:rPr>
              <w:t>Learner’s University Registration</w:t>
            </w:r>
            <w:r w:rsidR="00F927A1" w:rsidRPr="00A55FE4">
              <w:rPr>
                <w:rFonts w:ascii="Times New Roman" w:hAnsi="Times New Roman" w:cs="Times New Roman"/>
                <w:b/>
                <w:color w:val="auto"/>
                <w:sz w:val="36"/>
                <w:szCs w:val="36"/>
              </w:rPr>
              <w:t xml:space="preserve"> Number:</w:t>
            </w:r>
            <w:r w:rsidR="00A55FE4">
              <w:rPr>
                <w:rFonts w:ascii="Times New Roman" w:hAnsi="Times New Roman" w:cs="Times New Roman"/>
                <w:b/>
                <w:color w:val="auto"/>
                <w:sz w:val="36"/>
                <w:szCs w:val="36"/>
              </w:rPr>
              <w:t xml:space="preserve"> 2329229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Pr="008E1506" w:rsidRDefault="00BB7FD2" w:rsidP="00FF7EBB">
            <w:pPr>
              <w:jc w:val="both"/>
              <w:rPr>
                <w:b/>
                <w:sz w:val="24"/>
                <w:szCs w:val="24"/>
              </w:rPr>
            </w:pPr>
            <w:r w:rsidRPr="008E1506">
              <w:rPr>
                <w:b/>
                <w:sz w:val="24"/>
                <w:szCs w:val="24"/>
              </w:rPr>
              <w:t xml:space="preserve">In an area that is not your main focus of work (see guidance above), </w:t>
            </w:r>
            <w:r w:rsidR="0002440E" w:rsidRPr="008E1506">
              <w:rPr>
                <w:b/>
                <w:sz w:val="24"/>
                <w:szCs w:val="24"/>
              </w:rPr>
              <w:t>explain</w:t>
            </w:r>
            <w:r w:rsidR="008340BA" w:rsidRPr="008E1506">
              <w:rPr>
                <w:b/>
                <w:sz w:val="24"/>
                <w:szCs w:val="24"/>
              </w:rPr>
              <w:t xml:space="preserve"> </w:t>
            </w:r>
            <w:r w:rsidR="00DA22EC" w:rsidRPr="008E1506">
              <w:rPr>
                <w:b/>
                <w:sz w:val="24"/>
                <w:szCs w:val="24"/>
              </w:rPr>
              <w:t>the</w:t>
            </w:r>
            <w:r w:rsidR="005A545C" w:rsidRPr="008E1506">
              <w:rPr>
                <w:b/>
                <w:sz w:val="24"/>
                <w:szCs w:val="24"/>
              </w:rPr>
              <w:t xml:space="preserve"> relevant </w:t>
            </w:r>
            <w:r w:rsidRPr="008E1506">
              <w:rPr>
                <w:b/>
                <w:sz w:val="24"/>
                <w:szCs w:val="24"/>
              </w:rPr>
              <w:t xml:space="preserve">legislation, </w:t>
            </w:r>
            <w:r w:rsidR="0002440E" w:rsidRPr="008E1506">
              <w:rPr>
                <w:b/>
                <w:sz w:val="24"/>
                <w:szCs w:val="24"/>
              </w:rPr>
              <w:t>and</w:t>
            </w:r>
            <w:r w:rsidR="008340BA" w:rsidRPr="008E1506">
              <w:rPr>
                <w:b/>
                <w:sz w:val="24"/>
                <w:szCs w:val="24"/>
              </w:rPr>
              <w:t xml:space="preserve"> the </w:t>
            </w:r>
            <w:r w:rsidR="005A545C" w:rsidRPr="008E1506">
              <w:rPr>
                <w:b/>
                <w:sz w:val="24"/>
                <w:szCs w:val="24"/>
              </w:rPr>
              <w:t>national, local and organisational policies and procedures</w:t>
            </w:r>
            <w:r w:rsidRPr="008E1506">
              <w:rPr>
                <w:b/>
                <w:sz w:val="24"/>
                <w:szCs w:val="24"/>
              </w:rPr>
              <w:t xml:space="preserve"> for safeguarding. </w:t>
            </w:r>
          </w:p>
          <w:p w14:paraId="1FBBCFA0" w14:textId="77777777" w:rsidR="006108C9" w:rsidRDefault="006108C9" w:rsidP="00FF7EBB">
            <w:pPr>
              <w:jc w:val="both"/>
              <w:rPr>
                <w:sz w:val="24"/>
                <w:szCs w:val="24"/>
              </w:rPr>
            </w:pPr>
          </w:p>
          <w:p w14:paraId="5BC29ABE" w14:textId="77777777" w:rsidR="00A04012" w:rsidRPr="00D82EFE" w:rsidRDefault="00A04012" w:rsidP="00A04012">
            <w:pPr>
              <w:spacing w:line="480" w:lineRule="auto"/>
              <w:jc w:val="both"/>
              <w:rPr>
                <w:color w:val="auto"/>
                <w:sz w:val="26"/>
                <w:szCs w:val="26"/>
              </w:rPr>
            </w:pPr>
            <w:r>
              <w:rPr>
                <w:color w:val="auto"/>
                <w:sz w:val="26"/>
                <w:szCs w:val="26"/>
              </w:rPr>
              <w:t xml:space="preserve">My primary work focuses on adults, so this essay will explore legislation relevant to children. </w:t>
            </w:r>
            <w:r w:rsidRPr="00D82EFE">
              <w:rPr>
                <w:color w:val="auto"/>
                <w:sz w:val="26"/>
                <w:szCs w:val="26"/>
              </w:rPr>
              <w:t xml:space="preserve">Social Care Wales (2024) defines a child as anyone under 18 years old. The Human Rights Act </w:t>
            </w:r>
            <w:r>
              <w:rPr>
                <w:color w:val="auto"/>
                <w:sz w:val="26"/>
                <w:szCs w:val="26"/>
              </w:rPr>
              <w:t>(</w:t>
            </w:r>
            <w:r w:rsidRPr="00D82EFE">
              <w:rPr>
                <w:color w:val="auto"/>
                <w:sz w:val="26"/>
                <w:szCs w:val="26"/>
              </w:rPr>
              <w:t>1998</w:t>
            </w:r>
            <w:r>
              <w:rPr>
                <w:color w:val="auto"/>
                <w:sz w:val="26"/>
                <w:szCs w:val="26"/>
              </w:rPr>
              <w:t>)</w:t>
            </w:r>
            <w:r w:rsidRPr="00D82EFE">
              <w:rPr>
                <w:color w:val="auto"/>
                <w:sz w:val="26"/>
                <w:szCs w:val="26"/>
              </w:rPr>
              <w:t xml:space="preserve"> protects the rights of individuals in the UK, including childr</w:t>
            </w:r>
            <w:r>
              <w:rPr>
                <w:color w:val="auto"/>
                <w:sz w:val="26"/>
                <w:szCs w:val="26"/>
              </w:rPr>
              <w:t>en, ensuring their</w:t>
            </w:r>
            <w:r w:rsidRPr="00D82EFE">
              <w:rPr>
                <w:color w:val="auto"/>
                <w:sz w:val="26"/>
                <w:szCs w:val="26"/>
              </w:rPr>
              <w:t xml:space="preserve"> safe</w:t>
            </w:r>
            <w:r>
              <w:rPr>
                <w:color w:val="auto"/>
                <w:sz w:val="26"/>
                <w:szCs w:val="26"/>
              </w:rPr>
              <w:t>ty</w:t>
            </w:r>
            <w:r w:rsidRPr="00D82EFE">
              <w:rPr>
                <w:color w:val="auto"/>
                <w:sz w:val="26"/>
                <w:szCs w:val="26"/>
              </w:rPr>
              <w:t xml:space="preserve"> (NSPCC, 2022). Article 3 of this Act protects everyone from torture or inhumane treatment, ensuring the right to live safely and with dignity. Wales is unique in the UK for officially adopting the United Nations Convention on the Rights of the Child (UNCRC) in 2004, which outlines the rights of children and young people worldwide (Children's Commissioner for Wales, 2019</w:t>
            </w:r>
            <w:r>
              <w:rPr>
                <w:color w:val="auto"/>
                <w:sz w:val="26"/>
                <w:szCs w:val="26"/>
              </w:rPr>
              <w:t>). This</w:t>
            </w:r>
            <w:r w:rsidRPr="00D82EFE">
              <w:rPr>
                <w:color w:val="auto"/>
                <w:sz w:val="26"/>
                <w:szCs w:val="26"/>
              </w:rPr>
              <w:t xml:space="preserve"> aligns with the Well-being of Future Generations (</w:t>
            </w:r>
            <w:r>
              <w:rPr>
                <w:color w:val="auto"/>
                <w:sz w:val="26"/>
                <w:szCs w:val="26"/>
              </w:rPr>
              <w:t>Wales) Act 2015. T</w:t>
            </w:r>
            <w:r w:rsidRPr="00D82EFE">
              <w:rPr>
                <w:color w:val="auto"/>
                <w:sz w:val="26"/>
                <w:szCs w:val="26"/>
              </w:rPr>
              <w:t xml:space="preserve">he Rights of Children and Young Persons (Wales) Measure 2011 is based on the </w:t>
            </w:r>
            <w:r>
              <w:rPr>
                <w:color w:val="auto"/>
                <w:sz w:val="26"/>
                <w:szCs w:val="26"/>
              </w:rPr>
              <w:t xml:space="preserve">values of the </w:t>
            </w:r>
            <w:r w:rsidRPr="00D82EFE">
              <w:rPr>
                <w:color w:val="auto"/>
                <w:sz w:val="26"/>
                <w:szCs w:val="26"/>
              </w:rPr>
              <w:t>UNCRC, which offers a key framework for policy evaluation and review (Welsh Government, 2023).</w:t>
            </w:r>
          </w:p>
          <w:p w14:paraId="53B74C81" w14:textId="77777777" w:rsidR="00A04012" w:rsidRDefault="00A04012" w:rsidP="00A04012">
            <w:pPr>
              <w:spacing w:line="480" w:lineRule="auto"/>
              <w:jc w:val="both"/>
              <w:rPr>
                <w:color w:val="auto"/>
                <w:sz w:val="26"/>
                <w:szCs w:val="26"/>
              </w:rPr>
            </w:pPr>
          </w:p>
          <w:p w14:paraId="39FED6C4" w14:textId="77777777" w:rsidR="00A04012" w:rsidRPr="00D82EFE" w:rsidRDefault="00A04012" w:rsidP="00A04012">
            <w:pPr>
              <w:spacing w:line="480" w:lineRule="auto"/>
              <w:jc w:val="both"/>
              <w:rPr>
                <w:color w:val="auto"/>
                <w:sz w:val="26"/>
                <w:szCs w:val="26"/>
              </w:rPr>
            </w:pPr>
            <w:r w:rsidRPr="00D82EFE">
              <w:rPr>
                <w:color w:val="auto"/>
                <w:sz w:val="26"/>
                <w:szCs w:val="26"/>
              </w:rPr>
              <w:lastRenderedPageBreak/>
              <w:t xml:space="preserve">In Wales, </w:t>
            </w:r>
            <w:r>
              <w:rPr>
                <w:color w:val="auto"/>
                <w:sz w:val="26"/>
                <w:szCs w:val="26"/>
              </w:rPr>
              <w:t xml:space="preserve">Section 7 of </w:t>
            </w:r>
            <w:r w:rsidRPr="00D82EFE">
              <w:rPr>
                <w:color w:val="auto"/>
                <w:sz w:val="26"/>
                <w:szCs w:val="26"/>
              </w:rPr>
              <w:t xml:space="preserve">the Social Services and Well-being (Wales) Act 2014 (SSWBA) clearly states what local authorities must do to assess risks, harm, abuse, and neglect. The Act emphasizes the need to take action to protect children and vulnerable adults. Safeguarding is a shared responsibility, requiring all professionals to take steps to ensure children’s safety (Social Care Wales, 2023). </w:t>
            </w:r>
            <w:r>
              <w:rPr>
                <w:color w:val="auto"/>
                <w:sz w:val="26"/>
                <w:szCs w:val="26"/>
              </w:rPr>
              <w:t>Part 7 of the guidelines</w:t>
            </w:r>
            <w:r w:rsidRPr="00D82EFE">
              <w:rPr>
                <w:color w:val="auto"/>
                <w:sz w:val="26"/>
                <w:szCs w:val="26"/>
              </w:rPr>
              <w:t xml:space="preserve"> document </w:t>
            </w:r>
            <w:r>
              <w:rPr>
                <w:color w:val="auto"/>
                <w:sz w:val="26"/>
                <w:szCs w:val="26"/>
              </w:rPr>
              <w:t>“</w:t>
            </w:r>
            <w:r w:rsidRPr="008E3DD8">
              <w:rPr>
                <w:color w:val="auto"/>
                <w:sz w:val="26"/>
                <w:szCs w:val="26"/>
              </w:rPr>
              <w:t>Strengthening Safeguarding</w:t>
            </w:r>
            <w:r>
              <w:rPr>
                <w:color w:val="auto"/>
                <w:sz w:val="26"/>
                <w:szCs w:val="26"/>
              </w:rPr>
              <w:t>”</w:t>
            </w:r>
            <w:r w:rsidRPr="008E3DD8">
              <w:rPr>
                <w:color w:val="auto"/>
                <w:sz w:val="26"/>
                <w:szCs w:val="26"/>
              </w:rPr>
              <w:t xml:space="preserve"> </w:t>
            </w:r>
            <w:r w:rsidRPr="00D82EFE">
              <w:rPr>
                <w:color w:val="auto"/>
                <w:sz w:val="26"/>
                <w:szCs w:val="26"/>
              </w:rPr>
              <w:t xml:space="preserve">explains the roles of various </w:t>
            </w:r>
            <w:r>
              <w:rPr>
                <w:color w:val="auto"/>
                <w:sz w:val="26"/>
                <w:szCs w:val="26"/>
              </w:rPr>
              <w:t>organisations</w:t>
            </w:r>
            <w:r w:rsidRPr="00D82EFE">
              <w:rPr>
                <w:color w:val="auto"/>
                <w:sz w:val="26"/>
                <w:szCs w:val="26"/>
              </w:rPr>
              <w:t xml:space="preserve"> in collaborating to improve child safety.</w:t>
            </w:r>
          </w:p>
          <w:p w14:paraId="0081F83F" w14:textId="77777777" w:rsidR="00A04012" w:rsidRPr="002B0C4F" w:rsidRDefault="00A04012" w:rsidP="00A04012">
            <w:pPr>
              <w:spacing w:line="480" w:lineRule="auto"/>
              <w:jc w:val="both"/>
              <w:rPr>
                <w:sz w:val="26"/>
                <w:szCs w:val="26"/>
              </w:rPr>
            </w:pPr>
            <w:r w:rsidRPr="002B0C4F">
              <w:rPr>
                <w:color w:val="auto"/>
                <w:sz w:val="26"/>
                <w:szCs w:val="26"/>
              </w:rPr>
              <w:t>The Wales Safeguarding Procedures (2019) (WSP19) replace the All Wales Child Protection Procedure 2008 and set import</w:t>
            </w:r>
            <w:r>
              <w:rPr>
                <w:color w:val="auto"/>
                <w:sz w:val="26"/>
                <w:szCs w:val="26"/>
              </w:rPr>
              <w:t xml:space="preserve">ant principles for safeguarding </w:t>
            </w:r>
            <w:r w:rsidRPr="002B0C4F">
              <w:rPr>
                <w:color w:val="auto"/>
                <w:sz w:val="26"/>
                <w:szCs w:val="26"/>
              </w:rPr>
              <w:t>both children and adults in Wales. The National Independent Safeguarding Board was established under section 132 of t</w:t>
            </w:r>
            <w:r>
              <w:rPr>
                <w:color w:val="auto"/>
                <w:sz w:val="26"/>
                <w:szCs w:val="26"/>
              </w:rPr>
              <w:t>he SSWBA</w:t>
            </w:r>
            <w:r w:rsidRPr="002B0C4F">
              <w:rPr>
                <w:color w:val="auto"/>
                <w:sz w:val="26"/>
                <w:szCs w:val="26"/>
              </w:rPr>
              <w:t>. This board has six m</w:t>
            </w:r>
            <w:r>
              <w:rPr>
                <w:color w:val="auto"/>
                <w:sz w:val="26"/>
                <w:szCs w:val="26"/>
              </w:rPr>
              <w:t>embers (Legislation.gov.uk, 2014)</w:t>
            </w:r>
            <w:r w:rsidRPr="002B0C4F">
              <w:rPr>
                <w:color w:val="auto"/>
                <w:sz w:val="26"/>
                <w:szCs w:val="26"/>
              </w:rPr>
              <w:t xml:space="preserve"> </w:t>
            </w:r>
            <w:r>
              <w:rPr>
                <w:color w:val="auto"/>
                <w:sz w:val="26"/>
                <w:szCs w:val="26"/>
              </w:rPr>
              <w:t>supporting</w:t>
            </w:r>
            <w:r w:rsidRPr="002B0C4F">
              <w:rPr>
                <w:color w:val="auto"/>
                <w:sz w:val="26"/>
                <w:szCs w:val="26"/>
              </w:rPr>
              <w:t xml:space="preserve"> the Welsh Government to safeguard children at risk of abuse, neglect, or harm. </w:t>
            </w:r>
            <w:r w:rsidRPr="002B0C4F">
              <w:rPr>
                <w:sz w:val="26"/>
                <w:szCs w:val="26"/>
              </w:rPr>
              <w:t>A child at risk of harm exhibits behavioural changes such as withdrawal, aggression, or alterations in personality, particularly when their fundamental needs remain unmet. It is essential to acknowledge that every child possesses the inherent right to protection from harm (NSPCC</w:t>
            </w:r>
            <w:r>
              <w:rPr>
                <w:sz w:val="26"/>
                <w:szCs w:val="26"/>
              </w:rPr>
              <w:t>,</w:t>
            </w:r>
            <w:r w:rsidRPr="002B0C4F">
              <w:rPr>
                <w:sz w:val="26"/>
                <w:szCs w:val="26"/>
              </w:rPr>
              <w:t xml:space="preserve"> 2025).</w:t>
            </w:r>
          </w:p>
          <w:p w14:paraId="4077ECA0" w14:textId="77777777" w:rsidR="00A04012" w:rsidRDefault="00A04012" w:rsidP="00A04012">
            <w:pPr>
              <w:spacing w:line="480" w:lineRule="auto"/>
              <w:jc w:val="both"/>
              <w:rPr>
                <w:color w:val="auto"/>
                <w:sz w:val="26"/>
                <w:szCs w:val="26"/>
              </w:rPr>
            </w:pPr>
            <w:r w:rsidRPr="008E3DD8">
              <w:rPr>
                <w:color w:val="auto"/>
                <w:sz w:val="26"/>
                <w:szCs w:val="26"/>
              </w:rPr>
              <w:t xml:space="preserve">Part 7 of the SSWBA14 requires Local Authority (LA) partners to report any concerns about a child at risk (Legislation.gov.uk, </w:t>
            </w:r>
            <w:r>
              <w:rPr>
                <w:color w:val="auto"/>
                <w:sz w:val="26"/>
                <w:szCs w:val="26"/>
              </w:rPr>
              <w:t>2014).   The Children’s Act 1989 (CA89) applies</w:t>
            </w:r>
            <w:r w:rsidRPr="00BE5A23">
              <w:rPr>
                <w:color w:val="auto"/>
                <w:sz w:val="26"/>
                <w:szCs w:val="26"/>
              </w:rPr>
              <w:t xml:space="preserve"> to both England and Wales, and informs all child protection enquiries. All child protection investigations are carried out under sectio</w:t>
            </w:r>
            <w:r>
              <w:rPr>
                <w:color w:val="auto"/>
                <w:sz w:val="26"/>
                <w:szCs w:val="26"/>
              </w:rPr>
              <w:t xml:space="preserve">n 47 of CA89 </w:t>
            </w:r>
            <w:r w:rsidRPr="008E3DD8">
              <w:rPr>
                <w:color w:val="auto"/>
                <w:sz w:val="26"/>
                <w:szCs w:val="26"/>
              </w:rPr>
              <w:t xml:space="preserve">(Legislation.gov.uk). </w:t>
            </w:r>
          </w:p>
          <w:p w14:paraId="0C08B916" w14:textId="77777777" w:rsidR="00A04012" w:rsidRDefault="00A04012" w:rsidP="00A04012">
            <w:pPr>
              <w:spacing w:line="480" w:lineRule="auto"/>
              <w:jc w:val="both"/>
              <w:rPr>
                <w:color w:val="auto"/>
                <w:sz w:val="26"/>
                <w:szCs w:val="26"/>
              </w:rPr>
            </w:pPr>
          </w:p>
          <w:p w14:paraId="4F379F37" w14:textId="77777777" w:rsidR="00A04012" w:rsidRDefault="00A04012" w:rsidP="00A04012">
            <w:pPr>
              <w:spacing w:line="480" w:lineRule="auto"/>
              <w:jc w:val="both"/>
              <w:rPr>
                <w:color w:val="auto"/>
                <w:sz w:val="26"/>
                <w:szCs w:val="26"/>
              </w:rPr>
            </w:pPr>
          </w:p>
          <w:p w14:paraId="1BDE41C4" w14:textId="59CFB406" w:rsidR="00A04012" w:rsidRPr="00D82EFE" w:rsidRDefault="00A04012" w:rsidP="00A04012">
            <w:pPr>
              <w:spacing w:line="480" w:lineRule="auto"/>
              <w:jc w:val="both"/>
              <w:rPr>
                <w:color w:val="auto"/>
                <w:sz w:val="26"/>
                <w:szCs w:val="26"/>
              </w:rPr>
            </w:pPr>
            <w:r w:rsidRPr="008E3DD8">
              <w:rPr>
                <w:color w:val="auto"/>
                <w:sz w:val="26"/>
                <w:szCs w:val="26"/>
              </w:rPr>
              <w:t xml:space="preserve">According to the WSP19, if initial investigations indicate that a </w:t>
            </w:r>
            <w:r w:rsidR="009B7AE3">
              <w:rPr>
                <w:color w:val="auto"/>
                <w:sz w:val="26"/>
                <w:szCs w:val="26"/>
              </w:rPr>
              <w:t>“</w:t>
            </w:r>
            <w:r w:rsidRPr="008E3DD8">
              <w:rPr>
                <w:color w:val="auto"/>
                <w:sz w:val="26"/>
                <w:szCs w:val="26"/>
              </w:rPr>
              <w:t>child is at risk of significant harm</w:t>
            </w:r>
            <w:r w:rsidR="009B7AE3">
              <w:rPr>
                <w:color w:val="auto"/>
                <w:sz w:val="26"/>
                <w:szCs w:val="26"/>
              </w:rPr>
              <w:t>”</w:t>
            </w:r>
            <w:r w:rsidRPr="008E3DD8">
              <w:rPr>
                <w:color w:val="auto"/>
                <w:sz w:val="26"/>
                <w:szCs w:val="26"/>
              </w:rPr>
              <w:t>, as de</w:t>
            </w:r>
            <w:r w:rsidR="00CE4A1B">
              <w:rPr>
                <w:color w:val="auto"/>
                <w:sz w:val="26"/>
                <w:szCs w:val="26"/>
              </w:rPr>
              <w:t>fined by the CA89, the LA are required to hold</w:t>
            </w:r>
            <w:r w:rsidRPr="008E3DD8">
              <w:rPr>
                <w:color w:val="auto"/>
                <w:sz w:val="26"/>
                <w:szCs w:val="26"/>
              </w:rPr>
              <w:t xml:space="preserve"> strategy di</w:t>
            </w:r>
            <w:r w:rsidR="00CE4A1B">
              <w:rPr>
                <w:color w:val="auto"/>
                <w:sz w:val="26"/>
                <w:szCs w:val="26"/>
              </w:rPr>
              <w:t>scussion to determine initiating</w:t>
            </w:r>
            <w:r w:rsidRPr="008E3DD8">
              <w:rPr>
                <w:color w:val="auto"/>
                <w:sz w:val="26"/>
                <w:szCs w:val="26"/>
              </w:rPr>
              <w:t xml:space="preserve"> Section 47 inquiries and decide on the next steps.</w:t>
            </w:r>
            <w:r>
              <w:rPr>
                <w:color w:val="auto"/>
                <w:sz w:val="26"/>
                <w:szCs w:val="26"/>
              </w:rPr>
              <w:t xml:space="preserve"> P</w:t>
            </w:r>
            <w:r w:rsidRPr="00D82EFE">
              <w:rPr>
                <w:color w:val="auto"/>
                <w:sz w:val="26"/>
                <w:szCs w:val="26"/>
              </w:rPr>
              <w:t>rofessiona</w:t>
            </w:r>
            <w:r>
              <w:rPr>
                <w:color w:val="auto"/>
                <w:sz w:val="26"/>
                <w:szCs w:val="26"/>
              </w:rPr>
              <w:t xml:space="preserve">ls, including LA, health services, and police, </w:t>
            </w:r>
            <w:r w:rsidRPr="00D82EFE">
              <w:rPr>
                <w:color w:val="auto"/>
                <w:sz w:val="26"/>
                <w:szCs w:val="26"/>
              </w:rPr>
              <w:t>must attend strategy m</w:t>
            </w:r>
            <w:r>
              <w:rPr>
                <w:color w:val="auto"/>
                <w:sz w:val="26"/>
                <w:szCs w:val="26"/>
              </w:rPr>
              <w:t>eetings to determine i</w:t>
            </w:r>
            <w:r w:rsidRPr="00D82EFE">
              <w:rPr>
                <w:color w:val="auto"/>
                <w:sz w:val="26"/>
                <w:szCs w:val="26"/>
              </w:rPr>
              <w:t>f immediate protection is needed.</w:t>
            </w:r>
            <w:r>
              <w:rPr>
                <w:color w:val="auto"/>
                <w:sz w:val="26"/>
                <w:szCs w:val="26"/>
              </w:rPr>
              <w:t xml:space="preserve">  Then the</w:t>
            </w:r>
            <w:r w:rsidRPr="00D82EFE">
              <w:rPr>
                <w:color w:val="auto"/>
                <w:sz w:val="26"/>
                <w:szCs w:val="26"/>
              </w:rPr>
              <w:t xml:space="preserve"> LA can request an Emergency Protection Order under Section 44 of the CA89, which lasts up to 72 hours. Alternatively, the decision may be to take no further action,</w:t>
            </w:r>
            <w:r>
              <w:rPr>
                <w:color w:val="auto"/>
                <w:sz w:val="26"/>
                <w:szCs w:val="26"/>
              </w:rPr>
              <w:t xml:space="preserve"> or the child requires</w:t>
            </w:r>
            <w:r w:rsidRPr="00D82EFE">
              <w:rPr>
                <w:color w:val="auto"/>
                <w:sz w:val="26"/>
                <w:szCs w:val="26"/>
              </w:rPr>
              <w:t xml:space="preserve"> a care needs assessment under Section 21 of the </w:t>
            </w:r>
            <w:r>
              <w:rPr>
                <w:color w:val="auto"/>
                <w:sz w:val="26"/>
                <w:szCs w:val="26"/>
              </w:rPr>
              <w:t>SSWBA (Welsh Government, 2019) and</w:t>
            </w:r>
            <w:r w:rsidRPr="00D82EFE">
              <w:rPr>
                <w:color w:val="auto"/>
                <w:sz w:val="26"/>
                <w:szCs w:val="26"/>
              </w:rPr>
              <w:t xml:space="preserve"> or arrange a child protection conference if </w:t>
            </w:r>
            <w:r>
              <w:rPr>
                <w:color w:val="auto"/>
                <w:sz w:val="26"/>
                <w:szCs w:val="26"/>
              </w:rPr>
              <w:t>there are still safety concerns</w:t>
            </w:r>
            <w:r w:rsidRPr="00D82EFE">
              <w:rPr>
                <w:color w:val="auto"/>
                <w:sz w:val="26"/>
                <w:szCs w:val="26"/>
              </w:rPr>
              <w:t xml:space="preserve"> (WSP19). </w:t>
            </w:r>
            <w:r>
              <w:rPr>
                <w:color w:val="auto"/>
                <w:sz w:val="26"/>
                <w:szCs w:val="26"/>
              </w:rPr>
              <w:t>In the UK, children under 16 are supported to make informed decisions without the need for parental consent in specific circumstances, thereby balancing respect for independence and decision-making (</w:t>
            </w:r>
            <w:proofErr w:type="spellStart"/>
            <w:r>
              <w:rPr>
                <w:color w:val="auto"/>
                <w:sz w:val="26"/>
                <w:szCs w:val="26"/>
              </w:rPr>
              <w:t>Gillick</w:t>
            </w:r>
            <w:proofErr w:type="spellEnd"/>
            <w:r>
              <w:rPr>
                <w:color w:val="auto"/>
                <w:sz w:val="26"/>
                <w:szCs w:val="26"/>
              </w:rPr>
              <w:t xml:space="preserve">, 1986). </w:t>
            </w:r>
          </w:p>
          <w:p w14:paraId="388DB590" w14:textId="77777777" w:rsidR="00A04012" w:rsidRDefault="00A04012" w:rsidP="00A04012">
            <w:pPr>
              <w:spacing w:line="480" w:lineRule="auto"/>
              <w:jc w:val="both"/>
              <w:rPr>
                <w:sz w:val="24"/>
                <w:szCs w:val="24"/>
              </w:rPr>
            </w:pPr>
          </w:p>
          <w:p w14:paraId="2F7B1DBB" w14:textId="77777777" w:rsidR="00A04012" w:rsidRDefault="00A04012" w:rsidP="00A04012"/>
          <w:p w14:paraId="41DEFAE7" w14:textId="1B8CA170" w:rsidR="00A05703" w:rsidRPr="00D82EFE" w:rsidRDefault="00A05703" w:rsidP="0035789C">
            <w:pPr>
              <w:spacing w:line="480" w:lineRule="auto"/>
              <w:jc w:val="both"/>
              <w:rPr>
                <w:color w:val="auto"/>
                <w:sz w:val="26"/>
                <w:szCs w:val="26"/>
              </w:rPr>
            </w:pPr>
          </w:p>
          <w:p w14:paraId="14883BA0" w14:textId="2B50403D" w:rsidR="00FC0334" w:rsidRDefault="00FC0334" w:rsidP="0035789C">
            <w:pPr>
              <w:spacing w:line="480" w:lineRule="auto"/>
              <w:jc w:val="both"/>
              <w:rPr>
                <w:sz w:val="24"/>
                <w:szCs w:val="24"/>
              </w:rPr>
            </w:pPr>
          </w:p>
          <w:p w14:paraId="49641ACD" w14:textId="77777777" w:rsidR="00FC0334" w:rsidRDefault="00FC0334" w:rsidP="0035789C">
            <w:pPr>
              <w:spacing w:line="480" w:lineRule="auto"/>
              <w:jc w:val="both"/>
              <w:rPr>
                <w:sz w:val="24"/>
                <w:szCs w:val="24"/>
              </w:rPr>
            </w:pPr>
          </w:p>
          <w:p w14:paraId="206514B9" w14:textId="5732F4F7" w:rsidR="00FC0334" w:rsidRPr="00D82EFE" w:rsidRDefault="00EB0D3B" w:rsidP="00FF7EBB">
            <w:pPr>
              <w:jc w:val="both"/>
              <w:rPr>
                <w:b/>
                <w:sz w:val="24"/>
                <w:szCs w:val="24"/>
              </w:rPr>
            </w:pPr>
            <w:r>
              <w:rPr>
                <w:b/>
                <w:sz w:val="24"/>
                <w:szCs w:val="24"/>
              </w:rPr>
              <w:t>(</w:t>
            </w:r>
            <w:r w:rsidR="001C7EF8">
              <w:rPr>
                <w:b/>
                <w:sz w:val="24"/>
                <w:szCs w:val="24"/>
              </w:rPr>
              <w:t xml:space="preserve">Word count </w:t>
            </w:r>
            <w:r w:rsidR="00A04012">
              <w:rPr>
                <w:b/>
                <w:sz w:val="24"/>
                <w:szCs w:val="24"/>
              </w:rPr>
              <w:t>53</w:t>
            </w:r>
            <w:r w:rsidR="00CE4A1B">
              <w:rPr>
                <w:b/>
                <w:sz w:val="24"/>
                <w:szCs w:val="24"/>
              </w:rPr>
              <w:t>4</w:t>
            </w:r>
            <w:bookmarkStart w:id="0" w:name="_GoBack"/>
            <w:bookmarkEnd w:id="0"/>
            <w:r>
              <w:rPr>
                <w:b/>
                <w:sz w:val="24"/>
                <w:szCs w:val="24"/>
              </w:rPr>
              <w:t>)</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6A23FEF4" w:rsidR="00AA666E" w:rsidRDefault="00AA666E" w:rsidP="00FF7EBB">
      <w:pPr>
        <w:jc w:val="both"/>
        <w:rPr>
          <w:sz w:val="24"/>
          <w:szCs w:val="24"/>
        </w:rPr>
      </w:pPr>
    </w:p>
    <w:p w14:paraId="01F8C730" w14:textId="3016EE89" w:rsidR="00652BF5" w:rsidRDefault="00652BF5" w:rsidP="00FF7EBB">
      <w:pPr>
        <w:jc w:val="both"/>
        <w:rPr>
          <w:sz w:val="24"/>
          <w:szCs w:val="24"/>
        </w:rPr>
      </w:pPr>
    </w:p>
    <w:p w14:paraId="7AC9CBB1" w14:textId="23375313" w:rsidR="00652BF5" w:rsidRDefault="00652BF5" w:rsidP="00FF7EBB">
      <w:pPr>
        <w:jc w:val="both"/>
        <w:rPr>
          <w:sz w:val="24"/>
          <w:szCs w:val="24"/>
        </w:rPr>
      </w:pPr>
    </w:p>
    <w:p w14:paraId="1C7ABBD9" w14:textId="2CCC1F89" w:rsidR="00652BF5" w:rsidRDefault="00652BF5" w:rsidP="00FF7EBB">
      <w:pPr>
        <w:jc w:val="both"/>
        <w:rPr>
          <w:sz w:val="24"/>
          <w:szCs w:val="24"/>
        </w:rPr>
      </w:pPr>
    </w:p>
    <w:p w14:paraId="2DE2A044" w14:textId="4B6D0146" w:rsidR="00652BF5" w:rsidRDefault="00652BF5"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1E35DFAC" w:rsidR="00FC0334"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6BE70A0" w14:textId="77777777" w:rsidR="00E45FB4" w:rsidRPr="00E45FB4" w:rsidRDefault="00E45FB4" w:rsidP="00E45FB4">
            <w:pPr>
              <w:jc w:val="both"/>
              <w:rPr>
                <w:b/>
                <w:sz w:val="24"/>
                <w:szCs w:val="24"/>
              </w:rPr>
            </w:pPr>
            <w:r w:rsidRPr="00E45FB4">
              <w:rPr>
                <w:b/>
                <w:sz w:val="24"/>
                <w:szCs w:val="24"/>
              </w:rPr>
              <w:t>Reflect on the difference between safeguarding in adults’ and children’s work</w:t>
            </w:r>
          </w:p>
          <w:p w14:paraId="13D27F96" w14:textId="77777777" w:rsidR="00E45FB4" w:rsidRDefault="00E45FB4" w:rsidP="00FC0334">
            <w:pPr>
              <w:jc w:val="both"/>
              <w:rPr>
                <w:b/>
                <w:sz w:val="24"/>
                <w:szCs w:val="24"/>
              </w:rPr>
            </w:pPr>
          </w:p>
          <w:p w14:paraId="6D2C489B" w14:textId="77777777" w:rsidR="00E45FB4" w:rsidRPr="00EB695F" w:rsidRDefault="00E45FB4" w:rsidP="00FC0334">
            <w:pPr>
              <w:jc w:val="both"/>
              <w:rPr>
                <w:b/>
                <w:sz w:val="24"/>
                <w:szCs w:val="24"/>
              </w:rPr>
            </w:pPr>
          </w:p>
          <w:p w14:paraId="434DD075" w14:textId="77777777" w:rsidR="00E45FB4" w:rsidRPr="00834C0D" w:rsidRDefault="00E45FB4" w:rsidP="00E45FB4">
            <w:pPr>
              <w:spacing w:line="480" w:lineRule="auto"/>
              <w:jc w:val="both"/>
              <w:rPr>
                <w:sz w:val="26"/>
                <w:szCs w:val="26"/>
              </w:rPr>
            </w:pPr>
            <w:r w:rsidRPr="00834C0D">
              <w:rPr>
                <w:sz w:val="26"/>
                <w:szCs w:val="26"/>
              </w:rPr>
              <w:t xml:space="preserve">In Wales, the Social Services and Wellbeing (Wales) Act 2014 (SSWBA) sets out </w:t>
            </w:r>
            <w:r>
              <w:rPr>
                <w:sz w:val="26"/>
                <w:szCs w:val="26"/>
              </w:rPr>
              <w:t xml:space="preserve">principles and </w:t>
            </w:r>
            <w:r w:rsidRPr="00834C0D">
              <w:rPr>
                <w:sz w:val="26"/>
                <w:szCs w:val="26"/>
              </w:rPr>
              <w:t>how to protect adults and children. This law led to the creation of the Wales Safeguarding Procedures in 2019 (WSP19), which explain the roles and responsibilities of those involved in safeguarding</w:t>
            </w:r>
            <w:r>
              <w:rPr>
                <w:sz w:val="26"/>
                <w:szCs w:val="26"/>
              </w:rPr>
              <w:t xml:space="preserve"> both children and adults</w:t>
            </w:r>
            <w:r w:rsidRPr="00834C0D">
              <w:rPr>
                <w:sz w:val="26"/>
                <w:szCs w:val="26"/>
              </w:rPr>
              <w:t>. In England, the Care Act 2014 focuses on adult safeguarding</w:t>
            </w:r>
            <w:r>
              <w:rPr>
                <w:sz w:val="26"/>
                <w:szCs w:val="26"/>
              </w:rPr>
              <w:t>,</w:t>
            </w:r>
            <w:r w:rsidRPr="00834C0D">
              <w:rPr>
                <w:sz w:val="26"/>
                <w:szCs w:val="26"/>
              </w:rPr>
              <w:t xml:space="preserve"> while the Children Act 1989 </w:t>
            </w:r>
            <w:r>
              <w:rPr>
                <w:sz w:val="26"/>
                <w:szCs w:val="26"/>
              </w:rPr>
              <w:t xml:space="preserve">(CA89) </w:t>
            </w:r>
            <w:r w:rsidRPr="00834C0D">
              <w:rPr>
                <w:sz w:val="26"/>
                <w:szCs w:val="26"/>
              </w:rPr>
              <w:t>is key</w:t>
            </w:r>
            <w:r>
              <w:rPr>
                <w:sz w:val="26"/>
                <w:szCs w:val="26"/>
              </w:rPr>
              <w:t xml:space="preserve"> legislation</w:t>
            </w:r>
            <w:r w:rsidRPr="00834C0D">
              <w:rPr>
                <w:sz w:val="26"/>
                <w:szCs w:val="26"/>
              </w:rPr>
              <w:t xml:space="preserve"> </w:t>
            </w:r>
            <w:r>
              <w:rPr>
                <w:sz w:val="26"/>
                <w:szCs w:val="26"/>
              </w:rPr>
              <w:t>for a</w:t>
            </w:r>
            <w:r w:rsidRPr="00417AA8">
              <w:rPr>
                <w:sz w:val="26"/>
                <w:szCs w:val="26"/>
              </w:rPr>
              <w:t>ll chil</w:t>
            </w:r>
            <w:r>
              <w:rPr>
                <w:sz w:val="26"/>
                <w:szCs w:val="26"/>
              </w:rPr>
              <w:t>d protection investigations</w:t>
            </w:r>
            <w:r w:rsidRPr="00417AA8">
              <w:rPr>
                <w:sz w:val="26"/>
                <w:szCs w:val="26"/>
              </w:rPr>
              <w:t xml:space="preserve"> under sectio</w:t>
            </w:r>
            <w:r>
              <w:rPr>
                <w:sz w:val="26"/>
                <w:szCs w:val="26"/>
              </w:rPr>
              <w:t>n 47 of the CA</w:t>
            </w:r>
            <w:r w:rsidRPr="00914A21">
              <w:rPr>
                <w:sz w:val="26"/>
                <w:szCs w:val="26"/>
              </w:rPr>
              <w:t>89</w:t>
            </w:r>
            <w:r>
              <w:rPr>
                <w:sz w:val="26"/>
                <w:szCs w:val="26"/>
              </w:rPr>
              <w:t>.  These child protection procedures under section 47 of CA89 are also applicable</w:t>
            </w:r>
            <w:r w:rsidRPr="00834C0D">
              <w:rPr>
                <w:sz w:val="26"/>
                <w:szCs w:val="26"/>
              </w:rPr>
              <w:t xml:space="preserve"> in Wales (Social Care Wales, 2024).</w:t>
            </w:r>
          </w:p>
          <w:p w14:paraId="1B42E0D0" w14:textId="77777777" w:rsidR="00E45FB4" w:rsidRPr="00093878" w:rsidRDefault="00E45FB4" w:rsidP="00E45FB4">
            <w:pPr>
              <w:spacing w:line="480" w:lineRule="auto"/>
              <w:jc w:val="both"/>
              <w:rPr>
                <w:sz w:val="26"/>
                <w:szCs w:val="26"/>
              </w:rPr>
            </w:pPr>
            <w:r w:rsidRPr="00834C0D">
              <w:rPr>
                <w:sz w:val="26"/>
                <w:szCs w:val="26"/>
              </w:rPr>
              <w:t>The World Health Organization (2020) reports that about one in four adults has experienced some form of childhood abuse. Child safeguarding measures are designed to protect children from neglect, abuse, and exploitation while promoting their well-being</w:t>
            </w:r>
            <w:r>
              <w:rPr>
                <w:sz w:val="26"/>
                <w:szCs w:val="26"/>
              </w:rPr>
              <w:t xml:space="preserve"> and safety</w:t>
            </w:r>
            <w:r w:rsidRPr="00834C0D">
              <w:rPr>
                <w:sz w:val="26"/>
                <w:szCs w:val="26"/>
              </w:rPr>
              <w:t>. Adult safeguarding aims to prevent</w:t>
            </w:r>
            <w:r>
              <w:rPr>
                <w:sz w:val="26"/>
                <w:szCs w:val="26"/>
              </w:rPr>
              <w:t xml:space="preserve"> </w:t>
            </w:r>
            <w:r w:rsidRPr="00834C0D">
              <w:rPr>
                <w:sz w:val="26"/>
                <w:szCs w:val="26"/>
              </w:rPr>
              <w:t xml:space="preserve">harm and abuse for those </w:t>
            </w:r>
            <w:r>
              <w:rPr>
                <w:sz w:val="26"/>
                <w:szCs w:val="26"/>
              </w:rPr>
              <w:t xml:space="preserve">adults </w:t>
            </w:r>
            <w:r w:rsidRPr="00834C0D">
              <w:rPr>
                <w:sz w:val="26"/>
                <w:szCs w:val="26"/>
              </w:rPr>
              <w:t>who may not be able to protect themselves (Hourglass, 2021). The "Working Together to Safeguard Children" framework encourages cooperation among different agencies (Department for Education, 2018), while Safeguarding B</w:t>
            </w:r>
            <w:r>
              <w:rPr>
                <w:sz w:val="26"/>
                <w:szCs w:val="26"/>
              </w:rPr>
              <w:t>oards, for example, ensure</w:t>
            </w:r>
            <w:r w:rsidRPr="00093878">
              <w:rPr>
                <w:sz w:val="26"/>
                <w:szCs w:val="26"/>
              </w:rPr>
              <w:t xml:space="preserve"> agencies have a clear and effective </w:t>
            </w:r>
            <w:r>
              <w:rPr>
                <w:sz w:val="26"/>
                <w:szCs w:val="26"/>
              </w:rPr>
              <w:t xml:space="preserve">safeguarding </w:t>
            </w:r>
            <w:r w:rsidRPr="00093878">
              <w:rPr>
                <w:sz w:val="26"/>
                <w:szCs w:val="26"/>
              </w:rPr>
              <w:t xml:space="preserve">strategy, monitoring and evaluating safeguarding efforts. </w:t>
            </w:r>
          </w:p>
          <w:p w14:paraId="659B018D" w14:textId="681C129B" w:rsidR="00E45FB4" w:rsidRPr="00147DF7" w:rsidRDefault="00E45FB4" w:rsidP="00E45FB4">
            <w:pPr>
              <w:spacing w:line="480" w:lineRule="auto"/>
              <w:jc w:val="both"/>
              <w:rPr>
                <w:sz w:val="26"/>
                <w:szCs w:val="26"/>
              </w:rPr>
            </w:pPr>
            <w:r w:rsidRPr="00834C0D">
              <w:rPr>
                <w:sz w:val="26"/>
                <w:szCs w:val="26"/>
              </w:rPr>
              <w:lastRenderedPageBreak/>
              <w:t>Adults have the right to make their own life decisions, so interventions usually require their consent unless they are deemed unable to make th</w:t>
            </w:r>
            <w:r>
              <w:rPr>
                <w:sz w:val="26"/>
                <w:szCs w:val="26"/>
              </w:rPr>
              <w:t xml:space="preserve">ose decisions (WSP19). This principle </w:t>
            </w:r>
            <w:r w:rsidRPr="00834C0D">
              <w:rPr>
                <w:sz w:val="26"/>
                <w:szCs w:val="26"/>
              </w:rPr>
              <w:t>aligns with the SSWBA, which values adult</w:t>
            </w:r>
            <w:r>
              <w:rPr>
                <w:sz w:val="26"/>
                <w:szCs w:val="26"/>
              </w:rPr>
              <w:t>s'</w:t>
            </w:r>
            <w:r w:rsidRPr="00834C0D">
              <w:rPr>
                <w:sz w:val="26"/>
                <w:szCs w:val="26"/>
              </w:rPr>
              <w:t xml:space="preserve"> independence. The Mental Capacity Act 2015 (MCA) does not apply to children under 16. Inst</w:t>
            </w:r>
            <w:r>
              <w:rPr>
                <w:sz w:val="26"/>
                <w:szCs w:val="26"/>
              </w:rPr>
              <w:t xml:space="preserve">ead, </w:t>
            </w:r>
            <w:proofErr w:type="spellStart"/>
            <w:r>
              <w:rPr>
                <w:sz w:val="26"/>
                <w:szCs w:val="26"/>
              </w:rPr>
              <w:t>Gillick's</w:t>
            </w:r>
            <w:proofErr w:type="spellEnd"/>
            <w:r>
              <w:rPr>
                <w:sz w:val="26"/>
                <w:szCs w:val="26"/>
              </w:rPr>
              <w:t xml:space="preserve"> competency enables</w:t>
            </w:r>
            <w:r w:rsidRPr="00834C0D">
              <w:rPr>
                <w:sz w:val="26"/>
                <w:szCs w:val="26"/>
              </w:rPr>
              <w:t xml:space="preserve"> children to demonstrate they can make informed choices when they understand the risks and consequences. Professionals should look into any past child protection issues and factors that might make a child more vulnerable to abuse (Munroe, 2019).</w:t>
            </w:r>
            <w:r>
              <w:rPr>
                <w:sz w:val="26"/>
                <w:szCs w:val="26"/>
              </w:rPr>
              <w:t xml:space="preserve"> </w:t>
            </w:r>
            <w:r w:rsidRPr="00834C0D">
              <w:rPr>
                <w:sz w:val="26"/>
                <w:szCs w:val="26"/>
              </w:rPr>
              <w:t xml:space="preserve">The MCA assumes that adults can make their own choices, including if those choices seem unwise, unless there is clear evidence suggesting otherwise. If an adult refuses to give consent, the investigation may stop unless there is proof of criminal activity (Rees et al., 2021). However, consent is not needed to act in cases of child abuse or neglect, as ensuring safety is the main priority (Children Act 1989). </w:t>
            </w:r>
            <w:r>
              <w:rPr>
                <w:sz w:val="26"/>
                <w:szCs w:val="26"/>
              </w:rPr>
              <w:t xml:space="preserve">Local authorities can seek Adult Protection Support Orders from the court if they believe an adult is at risk of harm or neglect and cannot protect themselves. This may include assessment or removal orders (WSP19). </w:t>
            </w:r>
            <w:r w:rsidR="00147DF7">
              <w:rPr>
                <w:sz w:val="26"/>
                <w:szCs w:val="26"/>
              </w:rPr>
              <w:t>Deprivation of Liberty Safeguards may be utilised for adults when it seems that the person is unable to make decisions regarding their care provisions and does not possess the capacity to comprehend their rights (SCIE, 2022).</w:t>
            </w:r>
          </w:p>
          <w:p w14:paraId="07872D30" w14:textId="2EC9C24F" w:rsidR="00955DA4" w:rsidRDefault="00955DA4" w:rsidP="00955DA4">
            <w:pPr>
              <w:spacing w:line="480" w:lineRule="auto"/>
              <w:jc w:val="both"/>
              <w:rPr>
                <w:sz w:val="26"/>
                <w:szCs w:val="26"/>
              </w:rPr>
            </w:pPr>
          </w:p>
          <w:p w14:paraId="0D301231" w14:textId="07515024" w:rsidR="00955DA4" w:rsidRPr="00955DA4" w:rsidRDefault="00955DA4" w:rsidP="00955DA4">
            <w:pPr>
              <w:spacing w:line="480" w:lineRule="auto"/>
              <w:jc w:val="both"/>
              <w:rPr>
                <w:b/>
                <w:sz w:val="26"/>
                <w:szCs w:val="26"/>
              </w:rPr>
            </w:pPr>
            <w:r w:rsidRPr="00955DA4">
              <w:rPr>
                <w:b/>
                <w:sz w:val="26"/>
                <w:szCs w:val="26"/>
              </w:rPr>
              <w:t>Word count</w:t>
            </w:r>
            <w:r>
              <w:rPr>
                <w:b/>
                <w:sz w:val="26"/>
                <w:szCs w:val="26"/>
              </w:rPr>
              <w:t>s</w:t>
            </w:r>
            <w:r w:rsidR="00147DF7">
              <w:rPr>
                <w:b/>
                <w:sz w:val="26"/>
                <w:szCs w:val="26"/>
              </w:rPr>
              <w:t xml:space="preserve"> 422</w:t>
            </w:r>
          </w:p>
          <w:p w14:paraId="4CABE426"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A6E787" w14:textId="77777777" w:rsidR="00482899" w:rsidRDefault="00482899">
      <w:r>
        <w:separator/>
      </w:r>
    </w:p>
  </w:endnote>
  <w:endnote w:type="continuationSeparator" w:id="0">
    <w:p w14:paraId="20E19F65" w14:textId="77777777" w:rsidR="00482899" w:rsidRDefault="00482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0646FA0" w:rsidR="00A5656A" w:rsidRDefault="00A5656A">
    <w:pPr>
      <w:pStyle w:val="Footer"/>
      <w:jc w:val="right"/>
    </w:pPr>
    <w:r>
      <w:fldChar w:fldCharType="begin"/>
    </w:r>
    <w:r>
      <w:instrText xml:space="preserve"> PAGE   \* MERGEFORMAT </w:instrText>
    </w:r>
    <w:r>
      <w:fldChar w:fldCharType="separate"/>
    </w:r>
    <w:r w:rsidR="00CE4A1B">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554B35" w14:textId="77777777" w:rsidR="00482899" w:rsidRDefault="00482899">
      <w:r>
        <w:separator/>
      </w:r>
    </w:p>
  </w:footnote>
  <w:footnote w:type="continuationSeparator" w:id="0">
    <w:p w14:paraId="7611CF2D" w14:textId="77777777" w:rsidR="00482899" w:rsidRDefault="004828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78"/>
    <w:rsid w:val="000938E6"/>
    <w:rsid w:val="00093B3C"/>
    <w:rsid w:val="0009488C"/>
    <w:rsid w:val="00095C1B"/>
    <w:rsid w:val="00096DEA"/>
    <w:rsid w:val="000A4240"/>
    <w:rsid w:val="000A469A"/>
    <w:rsid w:val="000A584A"/>
    <w:rsid w:val="000A6458"/>
    <w:rsid w:val="000B6298"/>
    <w:rsid w:val="000C378F"/>
    <w:rsid w:val="000C6892"/>
    <w:rsid w:val="000C6FFE"/>
    <w:rsid w:val="000D0BB6"/>
    <w:rsid w:val="000D2ED2"/>
    <w:rsid w:val="000D6653"/>
    <w:rsid w:val="000E0D51"/>
    <w:rsid w:val="000E26B0"/>
    <w:rsid w:val="000E37C2"/>
    <w:rsid w:val="000E38C3"/>
    <w:rsid w:val="000E76BA"/>
    <w:rsid w:val="000F1599"/>
    <w:rsid w:val="000F1769"/>
    <w:rsid w:val="000F1A97"/>
    <w:rsid w:val="000F42AE"/>
    <w:rsid w:val="000F6196"/>
    <w:rsid w:val="000F6BC3"/>
    <w:rsid w:val="000F7633"/>
    <w:rsid w:val="0010312C"/>
    <w:rsid w:val="00105026"/>
    <w:rsid w:val="0010662B"/>
    <w:rsid w:val="00106DC7"/>
    <w:rsid w:val="00112391"/>
    <w:rsid w:val="00114F52"/>
    <w:rsid w:val="00123898"/>
    <w:rsid w:val="00130119"/>
    <w:rsid w:val="00132812"/>
    <w:rsid w:val="001347F8"/>
    <w:rsid w:val="0013530D"/>
    <w:rsid w:val="001359EE"/>
    <w:rsid w:val="00137BB5"/>
    <w:rsid w:val="00137E05"/>
    <w:rsid w:val="001447F6"/>
    <w:rsid w:val="00147DE3"/>
    <w:rsid w:val="00147DF7"/>
    <w:rsid w:val="00150794"/>
    <w:rsid w:val="00151DA6"/>
    <w:rsid w:val="001576F1"/>
    <w:rsid w:val="001608C4"/>
    <w:rsid w:val="00164832"/>
    <w:rsid w:val="00171418"/>
    <w:rsid w:val="001772BF"/>
    <w:rsid w:val="001772DE"/>
    <w:rsid w:val="0019496C"/>
    <w:rsid w:val="001961CF"/>
    <w:rsid w:val="001A59BB"/>
    <w:rsid w:val="001A607E"/>
    <w:rsid w:val="001A6A51"/>
    <w:rsid w:val="001A79C4"/>
    <w:rsid w:val="001B331A"/>
    <w:rsid w:val="001B43E2"/>
    <w:rsid w:val="001C0237"/>
    <w:rsid w:val="001C0E74"/>
    <w:rsid w:val="001C4DB8"/>
    <w:rsid w:val="001C50B8"/>
    <w:rsid w:val="001C768E"/>
    <w:rsid w:val="001C7EF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FA9"/>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8AD"/>
    <w:rsid w:val="002A4E2E"/>
    <w:rsid w:val="002A5604"/>
    <w:rsid w:val="002B0C4F"/>
    <w:rsid w:val="002B1701"/>
    <w:rsid w:val="002B23C3"/>
    <w:rsid w:val="002B443A"/>
    <w:rsid w:val="002B5B35"/>
    <w:rsid w:val="002B7AEE"/>
    <w:rsid w:val="002C2536"/>
    <w:rsid w:val="002C256A"/>
    <w:rsid w:val="002C3031"/>
    <w:rsid w:val="002C4233"/>
    <w:rsid w:val="002C496D"/>
    <w:rsid w:val="002C554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08A1"/>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89C"/>
    <w:rsid w:val="00365DF9"/>
    <w:rsid w:val="0037066E"/>
    <w:rsid w:val="00372DB4"/>
    <w:rsid w:val="00373A36"/>
    <w:rsid w:val="0037419E"/>
    <w:rsid w:val="00375AF5"/>
    <w:rsid w:val="003761BD"/>
    <w:rsid w:val="00377448"/>
    <w:rsid w:val="00377884"/>
    <w:rsid w:val="003820AC"/>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928"/>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F35"/>
    <w:rsid w:val="00463B55"/>
    <w:rsid w:val="00465947"/>
    <w:rsid w:val="004667B1"/>
    <w:rsid w:val="00467F66"/>
    <w:rsid w:val="00470461"/>
    <w:rsid w:val="00470BB1"/>
    <w:rsid w:val="00473153"/>
    <w:rsid w:val="0047350F"/>
    <w:rsid w:val="004743AF"/>
    <w:rsid w:val="00482899"/>
    <w:rsid w:val="00482C17"/>
    <w:rsid w:val="00483253"/>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4E"/>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BF5"/>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B0A"/>
    <w:rsid w:val="00696F65"/>
    <w:rsid w:val="00697572"/>
    <w:rsid w:val="006A504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A4F"/>
    <w:rsid w:val="00723C04"/>
    <w:rsid w:val="0072678F"/>
    <w:rsid w:val="007276E5"/>
    <w:rsid w:val="00727C4C"/>
    <w:rsid w:val="00734809"/>
    <w:rsid w:val="0073714E"/>
    <w:rsid w:val="007374EF"/>
    <w:rsid w:val="007406E1"/>
    <w:rsid w:val="00740948"/>
    <w:rsid w:val="00743E40"/>
    <w:rsid w:val="00745016"/>
    <w:rsid w:val="0075031F"/>
    <w:rsid w:val="00751263"/>
    <w:rsid w:val="007544FC"/>
    <w:rsid w:val="00755427"/>
    <w:rsid w:val="00756548"/>
    <w:rsid w:val="0075673A"/>
    <w:rsid w:val="0075704F"/>
    <w:rsid w:val="00763B2D"/>
    <w:rsid w:val="00764C84"/>
    <w:rsid w:val="007651C6"/>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182"/>
    <w:rsid w:val="007F10BD"/>
    <w:rsid w:val="007F312E"/>
    <w:rsid w:val="007F3F7E"/>
    <w:rsid w:val="007F4BA4"/>
    <w:rsid w:val="00813CEC"/>
    <w:rsid w:val="00815173"/>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43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5CD1"/>
    <w:rsid w:val="008D634E"/>
    <w:rsid w:val="008D778A"/>
    <w:rsid w:val="008D78C9"/>
    <w:rsid w:val="008E1506"/>
    <w:rsid w:val="008E3195"/>
    <w:rsid w:val="008E3DD8"/>
    <w:rsid w:val="008E5A35"/>
    <w:rsid w:val="008F127E"/>
    <w:rsid w:val="008F32D9"/>
    <w:rsid w:val="00902A65"/>
    <w:rsid w:val="00903932"/>
    <w:rsid w:val="009079BD"/>
    <w:rsid w:val="00912BD9"/>
    <w:rsid w:val="00914176"/>
    <w:rsid w:val="00914A21"/>
    <w:rsid w:val="00916FB2"/>
    <w:rsid w:val="00920E5B"/>
    <w:rsid w:val="009237D5"/>
    <w:rsid w:val="00926436"/>
    <w:rsid w:val="00926C53"/>
    <w:rsid w:val="0093018C"/>
    <w:rsid w:val="0094495F"/>
    <w:rsid w:val="009544C0"/>
    <w:rsid w:val="00954FA4"/>
    <w:rsid w:val="00955D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AE3"/>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012"/>
    <w:rsid w:val="00A05703"/>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5FE4"/>
    <w:rsid w:val="00A5656A"/>
    <w:rsid w:val="00A60103"/>
    <w:rsid w:val="00A652F6"/>
    <w:rsid w:val="00A65861"/>
    <w:rsid w:val="00A732EA"/>
    <w:rsid w:val="00A7489E"/>
    <w:rsid w:val="00A8015F"/>
    <w:rsid w:val="00A810C1"/>
    <w:rsid w:val="00A85039"/>
    <w:rsid w:val="00A906AA"/>
    <w:rsid w:val="00A94C5E"/>
    <w:rsid w:val="00AA252C"/>
    <w:rsid w:val="00AA666E"/>
    <w:rsid w:val="00AA7960"/>
    <w:rsid w:val="00AB5518"/>
    <w:rsid w:val="00AB786E"/>
    <w:rsid w:val="00AC3A0E"/>
    <w:rsid w:val="00AC4A04"/>
    <w:rsid w:val="00AC5679"/>
    <w:rsid w:val="00AD2E69"/>
    <w:rsid w:val="00AD336F"/>
    <w:rsid w:val="00AE134C"/>
    <w:rsid w:val="00AE1868"/>
    <w:rsid w:val="00AE2564"/>
    <w:rsid w:val="00AE301F"/>
    <w:rsid w:val="00AE3302"/>
    <w:rsid w:val="00AE5BA6"/>
    <w:rsid w:val="00AE6231"/>
    <w:rsid w:val="00AE7077"/>
    <w:rsid w:val="00AF5F5D"/>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DD9"/>
    <w:rsid w:val="00B558EB"/>
    <w:rsid w:val="00B577D3"/>
    <w:rsid w:val="00B60466"/>
    <w:rsid w:val="00B6548F"/>
    <w:rsid w:val="00B67192"/>
    <w:rsid w:val="00B71A32"/>
    <w:rsid w:val="00B7502A"/>
    <w:rsid w:val="00B77305"/>
    <w:rsid w:val="00B774BD"/>
    <w:rsid w:val="00B77A80"/>
    <w:rsid w:val="00B82CC2"/>
    <w:rsid w:val="00B84A89"/>
    <w:rsid w:val="00B852AB"/>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96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D16"/>
    <w:rsid w:val="00CB61C6"/>
    <w:rsid w:val="00CC02F1"/>
    <w:rsid w:val="00CC1122"/>
    <w:rsid w:val="00CC11A6"/>
    <w:rsid w:val="00CC135E"/>
    <w:rsid w:val="00CC7226"/>
    <w:rsid w:val="00CD0735"/>
    <w:rsid w:val="00CD45E3"/>
    <w:rsid w:val="00CD4771"/>
    <w:rsid w:val="00CD5089"/>
    <w:rsid w:val="00CD5D3F"/>
    <w:rsid w:val="00CD7E1F"/>
    <w:rsid w:val="00CE4A1B"/>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EFE"/>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5FB4"/>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A47"/>
    <w:rsid w:val="00EB0D3B"/>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75A9"/>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3EAA"/>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akporll@yahoo.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4B4785-38D4-4BFB-A223-BD62315C5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7</Pages>
  <Words>1181</Words>
  <Characters>6497</Characters>
  <Application>Microsoft Office Word</Application>
  <DocSecurity>0</DocSecurity>
  <Lines>154</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Lizzy Lloyd</cp:lastModifiedBy>
  <cp:revision>7</cp:revision>
  <cp:lastPrinted>2020-02-11T19:20:00Z</cp:lastPrinted>
  <dcterms:created xsi:type="dcterms:W3CDTF">2025-05-21T10:08:00Z</dcterms:created>
  <dcterms:modified xsi:type="dcterms:W3CDTF">2025-07-20T07:17:00Z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e637f3dda7e63097a931b8265feecbcb876db91b562588acae175da5339f65d6</vt:lpwstr>
  </property>
</Properties>
</file>