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52"/>
      </w:tblGrid>
      <w:tr w:rsidR="00F927A1" w:rsidRPr="005D3F07" w14:paraId="68CAA39D" w14:textId="77777777" w:rsidTr="00DD23CB">
        <w:tc>
          <w:tcPr>
            <w:tcW w:w="11052" w:type="dxa"/>
            <w:shd w:val="clear" w:color="auto" w:fill="auto"/>
          </w:tcPr>
          <w:p w14:paraId="02F8EE88" w14:textId="208682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12DFA">
              <w:rPr>
                <w:rFonts w:ascii="Times New Roman" w:hAnsi="Times New Roman" w:cs="Times New Roman"/>
                <w:b/>
                <w:color w:val="auto"/>
                <w:sz w:val="48"/>
              </w:rPr>
              <w:t>Ceri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F673CE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D23CB">
              <w:rPr>
                <w:rFonts w:ascii="Times New Roman" w:hAnsi="Times New Roman" w:cs="Times New Roman"/>
                <w:b/>
                <w:color w:val="auto"/>
                <w:sz w:val="48"/>
              </w:rPr>
              <w:t xml:space="preserve"> 2330033@student.uwtsd@ac.uk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A47E12C"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D23CB">
              <w:rPr>
                <w:rFonts w:ascii="Times New Roman" w:hAnsi="Times New Roman" w:cs="Times New Roman"/>
                <w:b/>
                <w:color w:val="auto"/>
                <w:sz w:val="48"/>
              </w:rPr>
              <w:t xml:space="preserve"> 2330033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5683D178" w14:textId="77777777" w:rsidR="00E64D59" w:rsidRDefault="00E64D59" w:rsidP="00E64D59">
            <w:pPr>
              <w:jc w:val="both"/>
              <w:rPr>
                <w:iCs/>
                <w:sz w:val="24"/>
                <w:szCs w:val="24"/>
              </w:rPr>
            </w:pPr>
            <w:r w:rsidRPr="00E64D59">
              <w:rPr>
                <w:iCs/>
                <w:sz w:val="24"/>
                <w:szCs w:val="24"/>
              </w:rPr>
              <w:t xml:space="preserve">Gibbs’ (1988) reflective cycle will be used to critically reflect on my chosen case study. </w:t>
            </w:r>
          </w:p>
          <w:p w14:paraId="1DE5E667" w14:textId="77777777" w:rsidR="00DC436D" w:rsidRPr="00E64D59" w:rsidRDefault="00DC436D" w:rsidP="00E64D59">
            <w:pPr>
              <w:jc w:val="both"/>
              <w:rPr>
                <w:iCs/>
                <w:sz w:val="24"/>
                <w:szCs w:val="24"/>
              </w:rPr>
            </w:pPr>
          </w:p>
          <w:p w14:paraId="1A07CDB5" w14:textId="77777777" w:rsidR="00E64D59" w:rsidRDefault="00E64D59" w:rsidP="00E64D59">
            <w:pPr>
              <w:jc w:val="both"/>
              <w:rPr>
                <w:iCs/>
                <w:sz w:val="24"/>
                <w:szCs w:val="24"/>
              </w:rPr>
            </w:pPr>
            <w:r w:rsidRPr="00E64D59">
              <w:rPr>
                <w:iCs/>
                <w:sz w:val="24"/>
                <w:szCs w:val="24"/>
              </w:rPr>
              <w:t xml:space="preserve">The first stage of the cycle is to provide a description of the assessment. This study considers an assessment I undertook to establish whether the threshold was met to maintain the registration of a teenage boy, 4, and his younger sister, 5, on the child protection register. 4 and 5 live with their mother (6) and have infrequent contact with their father (7), who lives in the same area as them. The family live in an urban area in Wales and speak English at home, however the children understand Welsh as they attend Welsh-medium schools. The Office for National Statistics (2021) found that 64.1% of the population where the family live can speak Welsh, therefore it was important that the Active Offer of the Welsh language was provided to the family when I started working with them so that they could choose to receive services in Welsh if they wanted to. I am bilingual and was prepared to provide services in Welsh or English. 5, 6, and 7 declined the offer however 4 accepted as he wanted to improve his Welsh language skills. The </w:t>
            </w:r>
            <w:r w:rsidRPr="00B721BF">
              <w:rPr>
                <w:i/>
                <w:sz w:val="24"/>
                <w:szCs w:val="24"/>
              </w:rPr>
              <w:t>More than just words</w:t>
            </w:r>
            <w:r w:rsidRPr="00E64D59">
              <w:rPr>
                <w:iCs/>
                <w:sz w:val="24"/>
                <w:szCs w:val="24"/>
              </w:rPr>
              <w:t xml:space="preserve"> (Welsh Government, 2022) framework is in place to ensure that practitioners can apply person-centred services to individuals in the language of their choice to lessen the impact on their emotional well-being, which is important in consideration of the fact that abuse can impact a child’s development through having lasting consequences on their mental, physical, and emotional health (NSPCC, 2016). </w:t>
            </w:r>
          </w:p>
          <w:p w14:paraId="259B5FCB" w14:textId="77777777" w:rsidR="00E64D59" w:rsidRPr="00E64D59" w:rsidRDefault="00E64D59" w:rsidP="00E64D59">
            <w:pPr>
              <w:jc w:val="both"/>
              <w:rPr>
                <w:iCs/>
                <w:sz w:val="24"/>
                <w:szCs w:val="24"/>
              </w:rPr>
            </w:pPr>
          </w:p>
          <w:p w14:paraId="386B5C91" w14:textId="66A5E2B8" w:rsidR="00E64D59" w:rsidRDefault="00E64D59" w:rsidP="00E64D59">
            <w:pPr>
              <w:jc w:val="both"/>
              <w:rPr>
                <w:iCs/>
                <w:sz w:val="24"/>
                <w:szCs w:val="24"/>
              </w:rPr>
            </w:pPr>
            <w:r w:rsidRPr="00E64D59">
              <w:rPr>
                <w:iCs/>
                <w:sz w:val="24"/>
                <w:szCs w:val="24"/>
              </w:rPr>
              <w:t xml:space="preserve">The case was initially open to me on a care and support basis as the local authority’s intake and referral team identified care and support needs whilst undertaking their part 3 assessment in line with section 21 of the </w:t>
            </w:r>
            <w:r w:rsidRPr="00CC01D3">
              <w:rPr>
                <w:i/>
                <w:sz w:val="24"/>
                <w:szCs w:val="24"/>
              </w:rPr>
              <w:t>Social Services and Well-being (Wales) Act 2014</w:t>
            </w:r>
            <w:r w:rsidRPr="00E64D59">
              <w:rPr>
                <w:iCs/>
                <w:sz w:val="24"/>
                <w:szCs w:val="24"/>
              </w:rPr>
              <w:t xml:space="preserve"> (</w:t>
            </w:r>
            <w:r w:rsidRPr="00CB7208">
              <w:rPr>
                <w:i/>
                <w:sz w:val="24"/>
                <w:szCs w:val="24"/>
              </w:rPr>
              <w:t>SSWBA</w:t>
            </w:r>
            <w:r w:rsidRPr="00E64D59">
              <w:rPr>
                <w:iCs/>
                <w:sz w:val="24"/>
                <w:szCs w:val="24"/>
              </w:rPr>
              <w:t xml:space="preserve">), </w:t>
            </w:r>
            <w:r w:rsidRPr="00E64D59">
              <w:rPr>
                <w:iCs/>
                <w:sz w:val="24"/>
                <w:szCs w:val="24"/>
              </w:rPr>
              <w:lastRenderedPageBreak/>
              <w:t xml:space="preserve">which states that local authorities must assess whether a child has care and support needs and identify what those needs are if it appears that a child may need care and support. Concerns about the family were first shared by 4’s school who fulfilled their statutory duty to report in line with section 2 of the </w:t>
            </w:r>
            <w:r w:rsidRPr="00CC01D3">
              <w:rPr>
                <w:i/>
                <w:sz w:val="24"/>
                <w:szCs w:val="24"/>
              </w:rPr>
              <w:t>Wales Safeguarding Procedures</w:t>
            </w:r>
            <w:r w:rsidRPr="00E64D59">
              <w:rPr>
                <w:iCs/>
                <w:sz w:val="24"/>
                <w:szCs w:val="24"/>
              </w:rPr>
              <w:t xml:space="preserve"> (Social Care Wales, 2025</w:t>
            </w:r>
            <w:r w:rsidR="0020594C">
              <w:rPr>
                <w:iCs/>
                <w:sz w:val="24"/>
                <w:szCs w:val="24"/>
              </w:rPr>
              <w:t>d</w:t>
            </w:r>
            <w:r w:rsidRPr="00E64D59">
              <w:rPr>
                <w:iCs/>
                <w:sz w:val="24"/>
                <w:szCs w:val="24"/>
              </w:rPr>
              <w:t xml:space="preserve">), which states that practitioners must report any concerns that a child is experiencing or is at risk of abuse, neglect, or other kinds of harm to the local authority or the police. </w:t>
            </w:r>
          </w:p>
          <w:p w14:paraId="7E82AA7A" w14:textId="77777777" w:rsidR="00E64D59" w:rsidRPr="00E64D59" w:rsidRDefault="00E64D59" w:rsidP="00E64D59">
            <w:pPr>
              <w:jc w:val="both"/>
              <w:rPr>
                <w:iCs/>
                <w:sz w:val="24"/>
                <w:szCs w:val="24"/>
              </w:rPr>
            </w:pPr>
          </w:p>
          <w:p w14:paraId="09CAE8EB" w14:textId="709F23B1" w:rsidR="00E64D59" w:rsidRDefault="00E64D59" w:rsidP="00E64D59">
            <w:pPr>
              <w:jc w:val="both"/>
              <w:rPr>
                <w:iCs/>
                <w:sz w:val="24"/>
                <w:szCs w:val="24"/>
              </w:rPr>
            </w:pPr>
            <w:r w:rsidRPr="00E64D59">
              <w:rPr>
                <w:iCs/>
                <w:sz w:val="24"/>
                <w:szCs w:val="24"/>
              </w:rPr>
              <w:t xml:space="preserve">Care and support planning was ineffective. 6 consistently cancelled arranged visits to the home and refused to let me visit the children at school, which made it difficult to establish their wishes and feelings. I continued to receive concerning information from the school and received anonymous phone calls that suggested that 4 and 5 were being neglected, with 5 being described as unkempt and reports being made that 4 and 5 were being left at home unsupervised often late at night, with 4 taking on caring responsibilities for 5. Petersen, Joshep, and Feit (2013) state that neglect increases the risk for developmental, health, and mental health outcomes which could cause substance misuse, psychiatric disorders, and lower economic productivity in adulthood. Section 23 of the </w:t>
            </w:r>
            <w:r w:rsidRPr="00CC01D3">
              <w:rPr>
                <w:i/>
                <w:sz w:val="24"/>
                <w:szCs w:val="24"/>
              </w:rPr>
              <w:t>SSWBA</w:t>
            </w:r>
            <w:r w:rsidRPr="00E64D59">
              <w:rPr>
                <w:iCs/>
                <w:sz w:val="24"/>
                <w:szCs w:val="24"/>
              </w:rPr>
              <w:t xml:space="preserve"> (2014) states that where a person with parental responsibility for the child refuses a needs assessment the local authority’s duty to assess does not apply however due to the continued risk factors present the local authority’s duty to assess remained, with section 23 of the </w:t>
            </w:r>
            <w:r w:rsidRPr="00CC01D3">
              <w:rPr>
                <w:i/>
                <w:sz w:val="24"/>
                <w:szCs w:val="24"/>
              </w:rPr>
              <w:t>SSWBA</w:t>
            </w:r>
            <w:r w:rsidRPr="00E64D59">
              <w:rPr>
                <w:iCs/>
                <w:sz w:val="24"/>
                <w:szCs w:val="24"/>
              </w:rPr>
              <w:t xml:space="preserve"> (2014) further stating that a refusal of a needs assessment for a child under 16 does not discharge the local authority from its duty to assess if they suspect that the child is experiencing or at risk of abuse, neglect, or other kinds of harm. Child protection procedures were therefore instigated as care and support planning failed to improve outcomes for the children. A strategy discussion was convened in line with section 3 of the </w:t>
            </w:r>
            <w:r w:rsidRPr="0065429E">
              <w:rPr>
                <w:i/>
                <w:sz w:val="24"/>
                <w:szCs w:val="24"/>
              </w:rPr>
              <w:t>Wales Safeguarding Procedures</w:t>
            </w:r>
            <w:r w:rsidRPr="00E64D59">
              <w:rPr>
                <w:iCs/>
                <w:sz w:val="24"/>
                <w:szCs w:val="24"/>
              </w:rPr>
              <w:t xml:space="preserve"> (Social Care Wales, 2025</w:t>
            </w:r>
            <w:r w:rsidR="005A6439">
              <w:rPr>
                <w:iCs/>
                <w:sz w:val="24"/>
                <w:szCs w:val="24"/>
              </w:rPr>
              <w:t>e</w:t>
            </w:r>
            <w:r w:rsidRPr="00E64D59">
              <w:rPr>
                <w:iCs/>
                <w:sz w:val="24"/>
                <w:szCs w:val="24"/>
              </w:rPr>
              <w:t>), which requires at minimum a representative from the local authority and the police to decide whether section 47 (</w:t>
            </w:r>
            <w:r w:rsidRPr="00B05214">
              <w:rPr>
                <w:i/>
                <w:sz w:val="24"/>
                <w:szCs w:val="24"/>
              </w:rPr>
              <w:t>Children Act 1989</w:t>
            </w:r>
            <w:r w:rsidRPr="00E64D59">
              <w:rPr>
                <w:iCs/>
                <w:sz w:val="24"/>
                <w:szCs w:val="24"/>
              </w:rPr>
              <w:t>) enquiries should be initiated, to establish whether immediate action is required to safeguard the children, or to determine if legal action is required</w:t>
            </w:r>
            <w:r w:rsidR="00BF18FC">
              <w:rPr>
                <w:iCs/>
                <w:sz w:val="24"/>
                <w:szCs w:val="24"/>
              </w:rPr>
              <w:t>.</w:t>
            </w:r>
            <w:r w:rsidRPr="00E64D59">
              <w:rPr>
                <w:iCs/>
                <w:sz w:val="24"/>
                <w:szCs w:val="24"/>
              </w:rPr>
              <w:t xml:space="preserve"> </w:t>
            </w:r>
          </w:p>
          <w:p w14:paraId="3CE2C172" w14:textId="77777777" w:rsidR="00E64D59" w:rsidRPr="00E64D59" w:rsidRDefault="00E64D59" w:rsidP="00E64D59">
            <w:pPr>
              <w:jc w:val="both"/>
              <w:rPr>
                <w:iCs/>
                <w:sz w:val="24"/>
                <w:szCs w:val="24"/>
              </w:rPr>
            </w:pPr>
          </w:p>
          <w:p w14:paraId="4856225D" w14:textId="77777777" w:rsidR="00E64D59" w:rsidRDefault="00E64D59" w:rsidP="00E64D59">
            <w:pPr>
              <w:jc w:val="both"/>
              <w:rPr>
                <w:iCs/>
                <w:sz w:val="24"/>
                <w:szCs w:val="24"/>
              </w:rPr>
            </w:pPr>
            <w:r w:rsidRPr="00E64D59">
              <w:rPr>
                <w:iCs/>
                <w:sz w:val="24"/>
                <w:szCs w:val="24"/>
              </w:rPr>
              <w:t>It was decided that immediate action was required to safeguard the children by way of holding an initial child protection case conference, a multi-disciplinary conference where the concerns are analysed prior to making a decision about what actions are required to safeguard the children. The children were found by agencies to be experiencing neglect and emotional harm and their names were therefore placed on the child protection register. The focus of this reflection will be on the assessment period between the initial child protection case conference and a review case conference, for which I was required to write a report outlining the level of risk to determine if continued registration on the child protection register was necessary.</w:t>
            </w:r>
          </w:p>
          <w:p w14:paraId="185954EE" w14:textId="77777777" w:rsidR="00E64D59" w:rsidRPr="00E64D59" w:rsidRDefault="00E64D59" w:rsidP="00E64D59">
            <w:pPr>
              <w:jc w:val="both"/>
              <w:rPr>
                <w:iCs/>
                <w:sz w:val="24"/>
                <w:szCs w:val="24"/>
              </w:rPr>
            </w:pPr>
          </w:p>
          <w:p w14:paraId="2B711CF5" w14:textId="77777777" w:rsidR="00E64D59" w:rsidRDefault="00E64D59" w:rsidP="00E64D59">
            <w:pPr>
              <w:jc w:val="both"/>
              <w:rPr>
                <w:iCs/>
                <w:sz w:val="24"/>
                <w:szCs w:val="24"/>
              </w:rPr>
            </w:pPr>
            <w:r w:rsidRPr="00E64D59">
              <w:rPr>
                <w:iCs/>
                <w:sz w:val="24"/>
                <w:szCs w:val="24"/>
              </w:rPr>
              <w:t xml:space="preserve">The second stage of the cycle is to provide my feelings about the experience. Following the children being subject to the child protection register 6 seemed to recognise the severity of the situation and I was clear that failure to engage with the care and support protection plan could lead to care proceedings being instigated. Although this was a difficult conversation to have with 6 I needed to be open and honest with her from the outset to establish trust, which is one of the standards that social workers must adhere to as outlined in section 2 of the </w:t>
            </w:r>
            <w:r w:rsidRPr="00191D2E">
              <w:rPr>
                <w:i/>
                <w:sz w:val="24"/>
                <w:szCs w:val="24"/>
              </w:rPr>
              <w:t xml:space="preserve">Code of Professional Practice for Social Care </w:t>
            </w:r>
            <w:r w:rsidRPr="00E64D59">
              <w:rPr>
                <w:iCs/>
                <w:sz w:val="24"/>
                <w:szCs w:val="24"/>
              </w:rPr>
              <w:t xml:space="preserve">(Social Care Wales, 2017). As this was one of the first child protection cases I had worked on since qualifying, I had little experience of having </w:t>
            </w:r>
            <w:r w:rsidRPr="00E64D59">
              <w:rPr>
                <w:iCs/>
                <w:sz w:val="24"/>
                <w:szCs w:val="24"/>
              </w:rPr>
              <w:lastRenderedPageBreak/>
              <w:t xml:space="preserve">difficult conversations with individuals and initially was nervous, however I found that 6 started to open up about some of her challenges once she was aware of the consequences. She shared that she had health difficulties and was not sure of the prognosis as she had failed to attend a follow up appointment following the completion of treatment. She said the condition disrupted her life and made her feel stuck. I used a narrative approach to explore alternative methods of thinking that would allow her to make meaningful changes to her life as narrative practice can help individuals recognise that significant experiences do not define their entire life, supporting them to identify what they can do to improve their narrative moving forward (Abels and Abels, 2001). 6 recognised that she had health anxiety that would only be quelled by getting answers about her prognosis and she attended a follow-up appointment, where she learned that treatment was successful and that no further interventions were necessary. </w:t>
            </w:r>
          </w:p>
          <w:p w14:paraId="6A0A5F94" w14:textId="77777777" w:rsidR="00E64D59" w:rsidRPr="00E64D59" w:rsidRDefault="00E64D59" w:rsidP="00E64D59">
            <w:pPr>
              <w:jc w:val="both"/>
              <w:rPr>
                <w:iCs/>
                <w:sz w:val="24"/>
                <w:szCs w:val="24"/>
              </w:rPr>
            </w:pPr>
          </w:p>
          <w:p w14:paraId="2D70AE4F" w14:textId="39FAC35E" w:rsidR="00E64D59" w:rsidRDefault="00E64D59" w:rsidP="00E64D59">
            <w:pPr>
              <w:jc w:val="both"/>
              <w:rPr>
                <w:iCs/>
                <w:sz w:val="24"/>
                <w:szCs w:val="24"/>
              </w:rPr>
            </w:pPr>
            <w:r w:rsidRPr="00E64D59">
              <w:rPr>
                <w:iCs/>
                <w:sz w:val="24"/>
                <w:szCs w:val="24"/>
              </w:rPr>
              <w:t xml:space="preserve">6 and I identified that lack of consistent routines was a barrier to getting 5 to school on time. I asked the edge of care team to support 6 with this and we implemented a plan whereby they would complete work around establishing and maintaining routines alongside supporting 6 to take 5 to or pick her up from school initially through going with her before progressing to a stage where 6 was able to do this independently. This proved to be frustrating as 6 experienced bouts of engagement followed by significant disengagement, leading to the feeling that one step forward in terms of achieving outcomes would lead to two steps back. There were times where 6 would refuse to go with the edge of care workers and where the school would contact us informing us that 6 failed to collect 5. Additionally, 6 would inexplicably fail to attend meetings, and on unannounced visits I would find 4 and 5 home alone with 6 not responding to my attempts to contact her. Although there is no legal framework that establishes an age where children can be left home alone, the NSPCC (2025) recommends that children should not be left if they don’t feel ready, no matter how old they are.  The </w:t>
            </w:r>
            <w:r w:rsidRPr="00D94C8E">
              <w:rPr>
                <w:i/>
                <w:sz w:val="24"/>
                <w:szCs w:val="24"/>
              </w:rPr>
              <w:t>Children and Young Persons Act 1933</w:t>
            </w:r>
            <w:r w:rsidRPr="00E64D59">
              <w:rPr>
                <w:iCs/>
                <w:sz w:val="24"/>
                <w:szCs w:val="24"/>
              </w:rPr>
              <w:t xml:space="preserve"> in section makes it an offence for an adult with responsibility for a child to cause the child unnecessary suffering. I felt that 7 was being dishonest throughout the assessment which made me doubt the effectiveness of the care and support protection plan. I reflected on this in supervision with my manager and we agreed to implement spot checks at the home in the evenings to get a clearer picture of the duration and how often the children were being left alone unsupervised.</w:t>
            </w:r>
          </w:p>
          <w:p w14:paraId="1669DF71" w14:textId="77777777" w:rsidR="0051431C" w:rsidRPr="00E64D59" w:rsidRDefault="0051431C" w:rsidP="00E64D59">
            <w:pPr>
              <w:jc w:val="both"/>
              <w:rPr>
                <w:iCs/>
                <w:sz w:val="24"/>
                <w:szCs w:val="24"/>
              </w:rPr>
            </w:pPr>
          </w:p>
          <w:p w14:paraId="56DBD53B" w14:textId="6EC85E7F" w:rsidR="00E64D59" w:rsidRDefault="00E64D59" w:rsidP="00E64D59">
            <w:pPr>
              <w:jc w:val="both"/>
              <w:rPr>
                <w:iCs/>
                <w:sz w:val="24"/>
                <w:szCs w:val="24"/>
              </w:rPr>
            </w:pPr>
            <w:r w:rsidRPr="00E64D59">
              <w:rPr>
                <w:iCs/>
                <w:sz w:val="24"/>
                <w:szCs w:val="24"/>
              </w:rPr>
              <w:t xml:space="preserve">Children on the </w:t>
            </w:r>
            <w:r w:rsidR="00D94C8E">
              <w:rPr>
                <w:iCs/>
                <w:sz w:val="24"/>
                <w:szCs w:val="24"/>
              </w:rPr>
              <w:t>c</w:t>
            </w:r>
            <w:r w:rsidRPr="00E64D59">
              <w:rPr>
                <w:iCs/>
                <w:sz w:val="24"/>
                <w:szCs w:val="24"/>
              </w:rPr>
              <w:t>hild protection register must be seen by the social worker at least every 10 working days, with at least one meeting every 4 weeks taking place at the child’s home (Social Care Wales, 2025</w:t>
            </w:r>
            <w:r w:rsidR="002540C1">
              <w:rPr>
                <w:iCs/>
                <w:sz w:val="24"/>
                <w:szCs w:val="24"/>
              </w:rPr>
              <w:t>f</w:t>
            </w:r>
            <w:r w:rsidRPr="00E64D59">
              <w:rPr>
                <w:iCs/>
                <w:sz w:val="24"/>
                <w:szCs w:val="24"/>
              </w:rPr>
              <w:t xml:space="preserve">). High-profile child protection cases have highlighted the importance not only of seeing the child’s home but of seeing their bedroom, with the serious case review of Daniel Pelka (Fraser, 2013) highlighting the importance of establishing a child’s day-to-day lived experience in order to identify concerns. At times I felt overwhelmed as 6 displayed erratic behaviours, for example on one occasion she was not at the house when I dropped 4 off from school and turned up an hour later with a broken bike with no explanation despite my questioning, which led toward failures to achieve the desired outcomes of visits. Home visits were spent supporting 6 emotionally and there was a risk that the children’s needs could be overlooked, especially in consideration of the fact that 6 did not reach the threshold for support from adult services and did not engage with interventions put in place to support her, such as counselling. It is therefore crucial that assessments are child-centred to ensure that their experiences are fully understood, which involves ensuring that their voices are heard and are </w:t>
            </w:r>
            <w:r w:rsidRPr="00E64D59">
              <w:rPr>
                <w:iCs/>
                <w:sz w:val="24"/>
                <w:szCs w:val="24"/>
              </w:rPr>
              <w:lastRenderedPageBreak/>
              <w:t>reflected in care planning. To make this assessment child centred I undertook direct work with 4 and 5 mostly at school. As 5 is young I adapted the way I communicate to ensure that it was child-friendly – I made use of a worry monster toy, which is a plushie with a zip mouth whereby the child’s worries are written on a piece of paper and removed by the next time they are seen, making it appear that the toy has eaten their worries. It became apparent through use of the toy that 5 had an anxious attachment to 6.  Anxious attachment develops when children receive a pattern of inconsistent care from their caregivers and become unsure of their availability, especially in times of need (Campbell, 2011). 6 consistently wrote to the worry monster that she was worried that 5 would not be there when school ended; her behaviours at school reflected this as she appeared irritable. Work with 4 required taking an empathetic approach as he often spoke about how bad the situation was at home but would not make disclosures that would have allowed the local authority to instigate care proceedings. Similar to 5, 4 had an anxious attachment to 6, however as he was older, he was aware of the consequences that making disclosures would have on him and his family. Bandura’s (197</w:t>
            </w:r>
            <w:r w:rsidR="00273CDF">
              <w:rPr>
                <w:iCs/>
                <w:sz w:val="24"/>
                <w:szCs w:val="24"/>
              </w:rPr>
              <w:t>7</w:t>
            </w:r>
            <w:r w:rsidRPr="00E64D59">
              <w:rPr>
                <w:iCs/>
                <w:sz w:val="24"/>
                <w:szCs w:val="24"/>
              </w:rPr>
              <w:t>) social learning theory highlights that individuals learn from behaviours that are modelled by others, therefore as 6 had been hiding the truth and was reluctant to talk to local authority workers I suspect that this had been modelled at home, which had an impact on 4’s ability to share information.</w:t>
            </w:r>
          </w:p>
          <w:p w14:paraId="7F85D445" w14:textId="77777777" w:rsidR="0051431C" w:rsidRPr="00E64D59" w:rsidRDefault="0051431C" w:rsidP="00E64D59">
            <w:pPr>
              <w:jc w:val="both"/>
              <w:rPr>
                <w:iCs/>
                <w:sz w:val="24"/>
                <w:szCs w:val="24"/>
              </w:rPr>
            </w:pPr>
          </w:p>
          <w:p w14:paraId="4A900BAE" w14:textId="03B5CED5" w:rsidR="00E64D59" w:rsidRDefault="00E64D59" w:rsidP="00E64D59">
            <w:pPr>
              <w:jc w:val="both"/>
              <w:rPr>
                <w:iCs/>
                <w:sz w:val="24"/>
                <w:szCs w:val="24"/>
              </w:rPr>
            </w:pPr>
            <w:r w:rsidRPr="00E64D59">
              <w:rPr>
                <w:iCs/>
                <w:sz w:val="24"/>
                <w:szCs w:val="24"/>
              </w:rPr>
              <w:t xml:space="preserve">The third stage of the cycle is evaluation, where I can explore what worked well and what didn’t during the assessment. Collaboration with other agencies resulted in meaningful changes being made but also presented some challenges. Part 9 of the </w:t>
            </w:r>
            <w:r w:rsidRPr="00273CDF">
              <w:rPr>
                <w:i/>
                <w:sz w:val="24"/>
                <w:szCs w:val="24"/>
              </w:rPr>
              <w:t>SSWBA</w:t>
            </w:r>
            <w:r w:rsidRPr="00E64D59">
              <w:rPr>
                <w:iCs/>
                <w:sz w:val="24"/>
                <w:szCs w:val="24"/>
              </w:rPr>
              <w:t xml:space="preserve"> (2014) places a duty on local authorities to promote co-operation between partner agencies in order to effectively improve the well-being of children and to protect children who are at risk of harm, with partner agencies being defined as the local policing body, any other relevant local authority, the local probation board, the youth offending team, and the local health board and NHS trust. Working in partnership with agencies allows for information to be shared with the local authority that could alert them to risks that a local authority practitioner would not have been aware of, for example failing to take a child to a health appointment for a significant health issue, therefore allowing the local authority to deliver a robust care and support protection plan that is person-centred by way of being attentive to all of the child’s needs. Failures in communication between agencies have been highlighted in high-profile child protection cases such as the </w:t>
            </w:r>
            <w:r w:rsidRPr="00945F9A">
              <w:rPr>
                <w:i/>
                <w:sz w:val="24"/>
                <w:szCs w:val="24"/>
              </w:rPr>
              <w:t>Victoria Climbie Inquiry</w:t>
            </w:r>
            <w:r w:rsidRPr="00E64D59">
              <w:rPr>
                <w:iCs/>
                <w:sz w:val="24"/>
                <w:szCs w:val="24"/>
              </w:rPr>
              <w:t xml:space="preserve"> (Laming, 2003), which highlights that the protection of children cannot be achieved by a single agency. Further, the Victoria Climbie case brought about changes in the framework of child protection with the implementation of </w:t>
            </w:r>
            <w:r w:rsidRPr="00DC14CE">
              <w:rPr>
                <w:i/>
                <w:sz w:val="24"/>
                <w:szCs w:val="24"/>
              </w:rPr>
              <w:t>Every child matters</w:t>
            </w:r>
            <w:r w:rsidRPr="00E64D59">
              <w:rPr>
                <w:iCs/>
                <w:sz w:val="24"/>
                <w:szCs w:val="24"/>
              </w:rPr>
              <w:t xml:space="preserve"> (</w:t>
            </w:r>
            <w:r w:rsidR="007E4C88">
              <w:rPr>
                <w:iCs/>
                <w:sz w:val="24"/>
                <w:szCs w:val="24"/>
              </w:rPr>
              <w:t xml:space="preserve">Department for Education and Skills, </w:t>
            </w:r>
            <w:r w:rsidRPr="00E64D59">
              <w:rPr>
                <w:iCs/>
                <w:sz w:val="24"/>
                <w:szCs w:val="24"/>
              </w:rPr>
              <w:t xml:space="preserve">2003), which identified five outcomes (stay safe, be healthy, enjoy and achieve, make a positive contribution, and achieve economic well-being) that agencies should work together to achieve. The </w:t>
            </w:r>
            <w:r w:rsidRPr="00C86967">
              <w:rPr>
                <w:i/>
                <w:sz w:val="24"/>
                <w:szCs w:val="24"/>
              </w:rPr>
              <w:t>Children Act 2004</w:t>
            </w:r>
            <w:r w:rsidRPr="00E64D59">
              <w:rPr>
                <w:iCs/>
                <w:sz w:val="24"/>
                <w:szCs w:val="24"/>
              </w:rPr>
              <w:t xml:space="preserve"> was an amendment to the </w:t>
            </w:r>
            <w:r w:rsidRPr="0052650C">
              <w:rPr>
                <w:i/>
                <w:sz w:val="24"/>
                <w:szCs w:val="24"/>
              </w:rPr>
              <w:t>Children Act 1989</w:t>
            </w:r>
            <w:r w:rsidRPr="00E64D59">
              <w:rPr>
                <w:iCs/>
                <w:sz w:val="24"/>
                <w:szCs w:val="24"/>
              </w:rPr>
              <w:t xml:space="preserve"> to reflect these changes, with the </w:t>
            </w:r>
            <w:r w:rsidRPr="00C86967">
              <w:rPr>
                <w:i/>
                <w:sz w:val="24"/>
                <w:szCs w:val="24"/>
              </w:rPr>
              <w:t>SSWBA</w:t>
            </w:r>
            <w:r w:rsidRPr="00E64D59">
              <w:rPr>
                <w:iCs/>
                <w:sz w:val="24"/>
                <w:szCs w:val="24"/>
              </w:rPr>
              <w:t xml:space="preserve"> (2014) further amending it in section 132 to establish Safeguarding Boards with representatives from all partner agencies to ensure that collaborative working is achieved to improve well-being outcomes for children. </w:t>
            </w:r>
          </w:p>
          <w:p w14:paraId="03EDADFD" w14:textId="77777777" w:rsidR="0051431C" w:rsidRPr="00E64D59" w:rsidRDefault="0051431C" w:rsidP="00E64D59">
            <w:pPr>
              <w:jc w:val="both"/>
              <w:rPr>
                <w:iCs/>
                <w:sz w:val="24"/>
                <w:szCs w:val="24"/>
              </w:rPr>
            </w:pPr>
          </w:p>
          <w:p w14:paraId="131CE47C" w14:textId="40070F36" w:rsidR="00E64D59" w:rsidRDefault="00E64D59" w:rsidP="00E64D59">
            <w:pPr>
              <w:jc w:val="both"/>
              <w:rPr>
                <w:iCs/>
                <w:sz w:val="24"/>
                <w:szCs w:val="24"/>
              </w:rPr>
            </w:pPr>
            <w:r w:rsidRPr="00E64D59">
              <w:rPr>
                <w:iCs/>
                <w:sz w:val="24"/>
                <w:szCs w:val="24"/>
              </w:rPr>
              <w:t>When children are made subject to the child protection register, a core group meeting must be held within 10 working days of the initial child protection case conference, and thereafter at least once every 6 weeks (Social Care Wales, 2025</w:t>
            </w:r>
            <w:r w:rsidR="00DE3D8B">
              <w:rPr>
                <w:iCs/>
                <w:sz w:val="24"/>
                <w:szCs w:val="24"/>
              </w:rPr>
              <w:t>g</w:t>
            </w:r>
            <w:r w:rsidRPr="00E64D59">
              <w:rPr>
                <w:iCs/>
                <w:sz w:val="24"/>
                <w:szCs w:val="24"/>
              </w:rPr>
              <w:t xml:space="preserve">). The purpose of core groups is to </w:t>
            </w:r>
            <w:r w:rsidRPr="00E64D59">
              <w:rPr>
                <w:iCs/>
                <w:sz w:val="24"/>
                <w:szCs w:val="24"/>
              </w:rPr>
              <w:lastRenderedPageBreak/>
              <w:t>review the efficiency of the care and support protection plan, to review the impact of any actions taken against reducing the risk of harm, and to ensure that parents and children, where it is appropriate for them to attend, continue to understand and engage with the plan. The core group consisted of 6 and 7, representatives from 4 and 5’s schools, a representative from health, and me, the senior social worker, and the edge of care workers from the local authority. 7 did not attend core group meetings but was aware of the care and support protection plan and I ensured that I provided an update on any changes made to the plan following core groups. Despite this 7 consistently failed to exercise his parental responsibility and whilst he took temporary measures to safeguard the children at times, he always returned them to 6’s care, failing to implement long-term resolutions. 6’s attendance at the core groups varied however she had built a trusting relationship with the edge of care workers, who shared with the core group that 6 was nervous around members of staff from 4’s school as she felt they were judging her. Being non-judgemental with individuals is paramount to achieving desired outcomes as individuals need to feel like they are being treated fairly to maximise engagement. I discussed this with the core group and highlighted that consideration of the family’s strengths was integral during core groups, especially during core groups where 6 was present, so that 6 could be empowered to recognise things that she was doing well, empowering her to believe that she had “the strength, skills, resources and capability to effect positive change in [her] life if supported to do so” (Social Care Institute for Excellence, 2018). Moving forward 6 was more secure that the core group meetings were there to support her, not to punish her, and her attendance did improve.</w:t>
            </w:r>
          </w:p>
          <w:p w14:paraId="212B2540" w14:textId="77777777" w:rsidR="0051431C" w:rsidRPr="00E64D59" w:rsidRDefault="0051431C" w:rsidP="00E64D59">
            <w:pPr>
              <w:jc w:val="both"/>
              <w:rPr>
                <w:iCs/>
                <w:sz w:val="24"/>
                <w:szCs w:val="24"/>
              </w:rPr>
            </w:pPr>
          </w:p>
          <w:p w14:paraId="56762D75" w14:textId="77777777" w:rsidR="00E64D59" w:rsidRDefault="00E64D59" w:rsidP="00E64D59">
            <w:pPr>
              <w:jc w:val="both"/>
              <w:rPr>
                <w:iCs/>
                <w:sz w:val="24"/>
                <w:szCs w:val="24"/>
              </w:rPr>
            </w:pPr>
            <w:r w:rsidRPr="00E64D59">
              <w:rPr>
                <w:iCs/>
                <w:sz w:val="24"/>
                <w:szCs w:val="24"/>
              </w:rPr>
              <w:t xml:space="preserve">Despite this, representatives from 4’s school were clear that they thought the children should be removed from 6’s care. Research by Community Care (Stevenson, 2015) found that understanding of child protection thresholds in multi-agency partners was not consistent. This led to some tension within the core group and I consistently found myself having to defend the local authority’s position in regard to the case, which was that the threshold to instigate care proceedings had not been met. At times I felt a slight power imbalance given that I was a newly qualified social worker challenging an experienced worker who had been participating in core groups for years, however I was assertive and was able to explain and justify the local authority’s position through referring to the fact that we only had circumstantial evidence suggesting that the children were being left alone for significant periods of time and no evidence that 6 was using drugs. The school are bound by the </w:t>
            </w:r>
            <w:r w:rsidRPr="00C86967">
              <w:rPr>
                <w:i/>
                <w:sz w:val="24"/>
                <w:szCs w:val="24"/>
              </w:rPr>
              <w:t>Education Act 2002</w:t>
            </w:r>
            <w:r w:rsidRPr="00E64D59">
              <w:rPr>
                <w:iCs/>
                <w:sz w:val="24"/>
                <w:szCs w:val="24"/>
              </w:rPr>
              <w:t xml:space="preserve"> in section 175 to follow the local authority’s safeguarding arrangements to promote the welfare of children receiving education.</w:t>
            </w:r>
          </w:p>
          <w:p w14:paraId="4542D424" w14:textId="77777777" w:rsidR="0051431C" w:rsidRPr="00E64D59" w:rsidRDefault="0051431C" w:rsidP="00E64D59">
            <w:pPr>
              <w:jc w:val="both"/>
              <w:rPr>
                <w:iCs/>
                <w:sz w:val="24"/>
                <w:szCs w:val="24"/>
              </w:rPr>
            </w:pPr>
          </w:p>
          <w:p w14:paraId="0EBAB521" w14:textId="7F727EBA" w:rsidR="00E64D59" w:rsidRDefault="00E64D59" w:rsidP="00E64D59">
            <w:pPr>
              <w:jc w:val="both"/>
              <w:rPr>
                <w:iCs/>
                <w:sz w:val="24"/>
                <w:szCs w:val="24"/>
              </w:rPr>
            </w:pPr>
            <w:r w:rsidRPr="00E64D59">
              <w:rPr>
                <w:iCs/>
                <w:sz w:val="24"/>
                <w:szCs w:val="24"/>
              </w:rPr>
              <w:t xml:space="preserve">Child protection frameworks and policies worldwide are largely underpinned by the </w:t>
            </w:r>
            <w:r w:rsidRPr="00C86967">
              <w:rPr>
                <w:i/>
                <w:sz w:val="24"/>
                <w:szCs w:val="24"/>
              </w:rPr>
              <w:t xml:space="preserve">Convention on the Rights of the Child </w:t>
            </w:r>
            <w:r w:rsidRPr="00E64D59">
              <w:rPr>
                <w:iCs/>
                <w:sz w:val="24"/>
                <w:szCs w:val="24"/>
              </w:rPr>
              <w:t>(</w:t>
            </w:r>
            <w:r w:rsidR="00517659">
              <w:rPr>
                <w:iCs/>
                <w:sz w:val="24"/>
                <w:szCs w:val="24"/>
              </w:rPr>
              <w:t xml:space="preserve">United Nations, </w:t>
            </w:r>
            <w:r w:rsidRPr="00E64D59">
              <w:rPr>
                <w:iCs/>
                <w:sz w:val="24"/>
                <w:szCs w:val="24"/>
              </w:rPr>
              <w:t xml:space="preserve">1989), with article 19 requiring signatories to take “all appropriate legislative, administrative, social and educational measures to protect [children] from all forms of physical or mental violence, injury or abuse, neglect or negligent treatment, maltreatment or exploitation, including sexual abuse”. As health and social care is devolved in the United Kingdom, Wales, England, Scotland, and Northern Ireland have their own legislation in regard to safeguarding, with Wales following frameworks set out in the </w:t>
            </w:r>
            <w:r w:rsidRPr="00C16104">
              <w:rPr>
                <w:i/>
                <w:sz w:val="24"/>
                <w:szCs w:val="24"/>
              </w:rPr>
              <w:t>SSWBA</w:t>
            </w:r>
            <w:r w:rsidRPr="00E64D59">
              <w:rPr>
                <w:iCs/>
                <w:sz w:val="24"/>
                <w:szCs w:val="24"/>
              </w:rPr>
              <w:t xml:space="preserve"> (2014) and the </w:t>
            </w:r>
            <w:r w:rsidRPr="00C86967">
              <w:rPr>
                <w:i/>
                <w:sz w:val="24"/>
                <w:szCs w:val="24"/>
              </w:rPr>
              <w:t>Children Act 1989</w:t>
            </w:r>
            <w:r w:rsidRPr="00E64D59">
              <w:rPr>
                <w:iCs/>
                <w:sz w:val="24"/>
                <w:szCs w:val="24"/>
              </w:rPr>
              <w:t xml:space="preserve">, England following the </w:t>
            </w:r>
            <w:r w:rsidRPr="00C86967">
              <w:rPr>
                <w:i/>
                <w:sz w:val="24"/>
                <w:szCs w:val="24"/>
              </w:rPr>
              <w:t>Children Act 1989</w:t>
            </w:r>
            <w:r w:rsidRPr="00E64D59">
              <w:rPr>
                <w:iCs/>
                <w:sz w:val="24"/>
                <w:szCs w:val="24"/>
              </w:rPr>
              <w:t xml:space="preserve">, Scotland following the </w:t>
            </w:r>
            <w:r w:rsidRPr="00C86967">
              <w:rPr>
                <w:i/>
                <w:sz w:val="24"/>
                <w:szCs w:val="24"/>
              </w:rPr>
              <w:t>Children (Scotland) Act 1995</w:t>
            </w:r>
            <w:r w:rsidRPr="00E64D59">
              <w:rPr>
                <w:iCs/>
                <w:sz w:val="24"/>
                <w:szCs w:val="24"/>
              </w:rPr>
              <w:t xml:space="preserve">, and Northern Ireland following the </w:t>
            </w:r>
            <w:r w:rsidRPr="00C86967">
              <w:rPr>
                <w:i/>
                <w:sz w:val="24"/>
                <w:szCs w:val="24"/>
              </w:rPr>
              <w:t>Children (Northern Ireland) Order 1995</w:t>
            </w:r>
            <w:r w:rsidRPr="00E64D59">
              <w:rPr>
                <w:iCs/>
                <w:sz w:val="24"/>
                <w:szCs w:val="24"/>
              </w:rPr>
              <w:t xml:space="preserve">. Although the countries in the United Kingdom follow </w:t>
            </w:r>
            <w:r w:rsidRPr="00E64D59">
              <w:rPr>
                <w:iCs/>
                <w:sz w:val="24"/>
                <w:szCs w:val="24"/>
              </w:rPr>
              <w:lastRenderedPageBreak/>
              <w:t xml:space="preserve">different legislation in relation to child protection the approaches toward it are largely similar, highlighting the importance of multi-agency working to ensure that safeguarding duties are carried out. In 2001 Wales was the first country in the United Kingdom to appoint a Children’s Commissioner under section 72 of the </w:t>
            </w:r>
            <w:r w:rsidRPr="00C86967">
              <w:rPr>
                <w:i/>
                <w:sz w:val="24"/>
                <w:szCs w:val="24"/>
              </w:rPr>
              <w:t>Care Standards Act 2000</w:t>
            </w:r>
            <w:r w:rsidRPr="00E64D59">
              <w:rPr>
                <w:iCs/>
                <w:sz w:val="24"/>
                <w:szCs w:val="24"/>
              </w:rPr>
              <w:t xml:space="preserve">, with section 2 of </w:t>
            </w:r>
            <w:r w:rsidR="00C42FA1">
              <w:rPr>
                <w:iCs/>
                <w:sz w:val="24"/>
                <w:szCs w:val="24"/>
              </w:rPr>
              <w:t xml:space="preserve">the </w:t>
            </w:r>
            <w:r w:rsidRPr="00CF1FE3">
              <w:rPr>
                <w:i/>
                <w:sz w:val="24"/>
                <w:szCs w:val="24"/>
              </w:rPr>
              <w:t>Children’s</w:t>
            </w:r>
            <w:r w:rsidRPr="00E64D59">
              <w:rPr>
                <w:iCs/>
                <w:sz w:val="24"/>
                <w:szCs w:val="24"/>
              </w:rPr>
              <w:t xml:space="preserve"> </w:t>
            </w:r>
            <w:r w:rsidRPr="00C86967">
              <w:rPr>
                <w:i/>
                <w:sz w:val="24"/>
                <w:szCs w:val="24"/>
              </w:rPr>
              <w:t>Commissioner for Wales Act 2001</w:t>
            </w:r>
            <w:r w:rsidRPr="00E64D59">
              <w:rPr>
                <w:iCs/>
                <w:sz w:val="24"/>
                <w:szCs w:val="24"/>
              </w:rPr>
              <w:t xml:space="preserve"> amending it to state that the “principal aim of the Commissioner in exercising his functions is to safeguard and promote the rights and welfare of children”. Child protection procedures are different in other countries such as Canada, whereby they are not unified and are implemented on a provincial level. Whilst Welsh procedures place emphasis on integrated preventative and early intervention services, with </w:t>
            </w:r>
            <w:r w:rsidRPr="001B6264">
              <w:rPr>
                <w:i/>
                <w:sz w:val="24"/>
                <w:szCs w:val="24"/>
              </w:rPr>
              <w:t>Part 2 Code of Practice: General Functions</w:t>
            </w:r>
            <w:r w:rsidRPr="00E64D59">
              <w:rPr>
                <w:iCs/>
                <w:sz w:val="24"/>
                <w:szCs w:val="24"/>
              </w:rPr>
              <w:t xml:space="preserve"> (Social Care Wales, 2014) stating that it is vital that people do not wait until crisis point for care and support services to respond, Fallon et al. (2023) state that child welfare investigations in Canada are focused on chronic needs whereby changes made in policies are often the result of public backlash over high-profile child protection cases, leading to more reactive approaches toward child protection with investigations primarily responding to urgent child protection concerns. </w:t>
            </w:r>
          </w:p>
          <w:p w14:paraId="0C0F0B61" w14:textId="77777777" w:rsidR="0051431C" w:rsidRPr="00E64D59" w:rsidRDefault="0051431C" w:rsidP="00E64D59">
            <w:pPr>
              <w:jc w:val="both"/>
              <w:rPr>
                <w:iCs/>
                <w:sz w:val="24"/>
                <w:szCs w:val="24"/>
              </w:rPr>
            </w:pPr>
          </w:p>
          <w:p w14:paraId="2BC35B60" w14:textId="7E073362" w:rsidR="00E64D59" w:rsidRDefault="00E64D59" w:rsidP="00E64D59">
            <w:pPr>
              <w:jc w:val="both"/>
              <w:rPr>
                <w:iCs/>
                <w:sz w:val="24"/>
                <w:szCs w:val="24"/>
              </w:rPr>
            </w:pPr>
            <w:r w:rsidRPr="00E64D59">
              <w:rPr>
                <w:iCs/>
                <w:sz w:val="24"/>
                <w:szCs w:val="24"/>
              </w:rPr>
              <w:t>The fourth stage of the cycle is to analyse the situation to make sense of what happened. It was clear that 6’s actions had caused the children to experience significant harm and the impact on their well-being was evident throughout the assessment – 4 consistently appeared to be low in mood and 5 was consistently irritable. Additionally, home conditions were not great, and there were times where the local authority had to assist to pay for electricity or heating. Whilst 6 said that she wanted things to get better and wanted support, her actions said otherwise as there were patterns of her missing appointments with myself as well as with other agencies. Additionally, at times she would be uncontactable and would make contact hours later with no explanation as to where she had been. Whilst I genuinely believe that 6 loved her children and wanted to improve their situation, her evasiveness led me to believe that she was displaying disguised compliance, which is when parents appear to co-operate with professionals to stop interventions from taking place (Rede</w:t>
            </w:r>
            <w:r w:rsidR="004256D8">
              <w:rPr>
                <w:iCs/>
                <w:sz w:val="24"/>
                <w:szCs w:val="24"/>
              </w:rPr>
              <w:t>r</w:t>
            </w:r>
            <w:r w:rsidRPr="00E64D59">
              <w:rPr>
                <w:iCs/>
                <w:sz w:val="24"/>
                <w:szCs w:val="24"/>
              </w:rPr>
              <w:t xml:space="preserve"> et al. 1993). I had persistent thoughts that 6 was using drugs due to the erratic behaviours she displayed however she refused to consent to a drug and alcohol test, and I had seen no evidence of drug use. After further safeguarding measures had been implemented to safeguard the children, such as the spot checks, I was able to get a clearer view of 4 and 5’s daily lived experience. 6 was home with the children regularly and it appeared that she would go missing at times where she knew somebody would be with the children, for example their grandmother or the edge of care workers whilst they were assisting with school pick-ups/drop offs. Based on this I modified the plan to reduce the frequency that others were assisting 6 to take 4 to and from school and highlighted that failures to adhere to the plan could result in legal action being taken by the education welfare officer.</w:t>
            </w:r>
          </w:p>
          <w:p w14:paraId="48C9774C" w14:textId="77777777" w:rsidR="0051431C" w:rsidRPr="00E64D59" w:rsidRDefault="0051431C" w:rsidP="00E64D59">
            <w:pPr>
              <w:jc w:val="both"/>
              <w:rPr>
                <w:iCs/>
                <w:sz w:val="24"/>
                <w:szCs w:val="24"/>
              </w:rPr>
            </w:pPr>
          </w:p>
          <w:p w14:paraId="0095480C" w14:textId="77777777" w:rsidR="00E64D59" w:rsidRDefault="00E64D59" w:rsidP="00E64D59">
            <w:pPr>
              <w:jc w:val="both"/>
              <w:rPr>
                <w:iCs/>
                <w:sz w:val="24"/>
                <w:szCs w:val="24"/>
              </w:rPr>
            </w:pPr>
            <w:r w:rsidRPr="00E64D59">
              <w:rPr>
                <w:iCs/>
                <w:sz w:val="24"/>
                <w:szCs w:val="24"/>
              </w:rPr>
              <w:t xml:space="preserve">7’s engagement in the assessment was concerning as he took action when necessary to safeguard the children, such as taking them into his care when 6 was not there, however although he consistently expressed concern for the children, he failed to exercise his parental responsibility appropriately and did not offer any long-term solutions to safeguard the children. 7 continued to pay the mortgage on the family home despite being forced out of it by 6 after their separation. I suspect that 7 had cut emotional contact with his family to manage the difficult feelings that the reality of his family’s situation brought about in line with Bowen’s </w:t>
            </w:r>
            <w:r w:rsidRPr="00E64D59">
              <w:rPr>
                <w:iCs/>
                <w:sz w:val="24"/>
                <w:szCs w:val="24"/>
              </w:rPr>
              <w:lastRenderedPageBreak/>
              <w:t xml:space="preserve">systems theory (The Bowen Center for the Study of the Family, 2024). This caused the children to be more reliant on 6 to meet their needs, which I assess increased the severity of their anxious attachment to 6 as 7, whose presence in their lives had been constant, had left them. 4 and 5 had little security in either parental figure which impacted upon their emotional well-being. </w:t>
            </w:r>
          </w:p>
          <w:p w14:paraId="370F5071" w14:textId="77777777" w:rsidR="0051431C" w:rsidRPr="00E64D59" w:rsidRDefault="0051431C" w:rsidP="00E64D59">
            <w:pPr>
              <w:jc w:val="both"/>
              <w:rPr>
                <w:iCs/>
                <w:sz w:val="24"/>
                <w:szCs w:val="24"/>
              </w:rPr>
            </w:pPr>
          </w:p>
          <w:p w14:paraId="79F9A37C" w14:textId="0D009A6E" w:rsidR="00E64D59" w:rsidRDefault="00E64D59" w:rsidP="00E64D59">
            <w:pPr>
              <w:jc w:val="both"/>
              <w:rPr>
                <w:iCs/>
                <w:sz w:val="24"/>
                <w:szCs w:val="24"/>
              </w:rPr>
            </w:pPr>
            <w:r w:rsidRPr="00E64D59">
              <w:rPr>
                <w:iCs/>
                <w:sz w:val="24"/>
                <w:szCs w:val="24"/>
              </w:rPr>
              <w:t>The fifth stage of the cycle is the conclusion, which allows me to reflect on what can be concluded from the experience. I had not written many reports for child protection case conferences and in preparation I read examples that experienced social workers had written. I used the local authority’s child protection model to assess risks in different areas and considered the information I had collated from education and health practitioners whilst making my professional judgement. Additionally, I considered written records of past interactions I had with the family that I had uploaded onto 4 and 5’s files on the local authority’s database and measured them against the progress achieved by the family. This led me to the conclusion that 4 and 5 were at continued risk of neglect and emotional harm as no substantial changes had been made by 6 nor 7 to reduce the risks. This information was presented in my report for the child protection case conference, which needed to outline any contact with the family, a summary of the work completed and the outcomes achieved against what was expected, an account of the family’s engagement with the plan, and an analysis of the risk of harm (Social Care Wales, 2025</w:t>
            </w:r>
            <w:r w:rsidR="00061CDA">
              <w:rPr>
                <w:iCs/>
                <w:sz w:val="24"/>
                <w:szCs w:val="24"/>
              </w:rPr>
              <w:t>h</w:t>
            </w:r>
            <w:r w:rsidRPr="00E64D59">
              <w:rPr>
                <w:iCs/>
                <w:sz w:val="24"/>
                <w:szCs w:val="24"/>
              </w:rPr>
              <w:t>). I was required to share this with the family and present a verbal summary during the child protection case conference, where all other agencies recommended that 4 and 5’s names should remain on the child protection register. Their registration therefore continued. Continued work was needed to achieve the desired outcomes outlined in the care and support protection plan, and another child protection case conference was scheduled in 6 months in line with the Wales Safeguarding Procedures (Social Care Wales, 2025</w:t>
            </w:r>
            <w:r w:rsidR="0000226E">
              <w:rPr>
                <w:iCs/>
                <w:sz w:val="24"/>
                <w:szCs w:val="24"/>
              </w:rPr>
              <w:t>h</w:t>
            </w:r>
            <w:r w:rsidRPr="00E64D59">
              <w:rPr>
                <w:iCs/>
                <w:sz w:val="24"/>
                <w:szCs w:val="24"/>
              </w:rPr>
              <w:t>). Should the plan be successful in eliminating risks, the conference could be brought forward to consider de-registration (Social Care Wales, 2025</w:t>
            </w:r>
            <w:r w:rsidR="0000226E">
              <w:rPr>
                <w:iCs/>
                <w:sz w:val="24"/>
                <w:szCs w:val="24"/>
              </w:rPr>
              <w:t>h</w:t>
            </w:r>
            <w:r w:rsidRPr="00E64D59">
              <w:rPr>
                <w:iCs/>
                <w:sz w:val="24"/>
                <w:szCs w:val="24"/>
              </w:rPr>
              <w:t xml:space="preserve">). </w:t>
            </w:r>
          </w:p>
          <w:p w14:paraId="1A78AC7C" w14:textId="77777777" w:rsidR="0051431C" w:rsidRPr="00E64D59" w:rsidRDefault="0051431C" w:rsidP="00E64D59">
            <w:pPr>
              <w:jc w:val="both"/>
              <w:rPr>
                <w:iCs/>
                <w:sz w:val="24"/>
                <w:szCs w:val="24"/>
              </w:rPr>
            </w:pPr>
          </w:p>
          <w:p w14:paraId="7901D5EA" w14:textId="77777777" w:rsidR="00E64D59" w:rsidRDefault="00E64D59" w:rsidP="00E64D59">
            <w:pPr>
              <w:jc w:val="both"/>
              <w:rPr>
                <w:iCs/>
                <w:sz w:val="24"/>
                <w:szCs w:val="24"/>
              </w:rPr>
            </w:pPr>
            <w:r w:rsidRPr="00E64D59">
              <w:rPr>
                <w:iCs/>
                <w:sz w:val="24"/>
                <w:szCs w:val="24"/>
              </w:rPr>
              <w:t xml:space="preserve">The final stage of the cycle is an action plan, which allows for reflection on things I would do differently. Were a similar situation to happen again I would attempt to find more creative ways to engage individuals in the assessment when they are evasive. Although 6 gave the impression that she wanted support her engagement was primarily limited to house visits and she demonstrated disguised compliance, which limited upon the core group’s ability to effectively work with her to identify her desired outcomes and implement changes to achieve them.  I will attend Working with Difficult and Dangerous Families training to support me to work with evasive individuals and would ask other social workers to undertake joint visits more frequently, which will support me to find solutions through additional case discussions with experienced workers who can offer new perspectives. </w:t>
            </w:r>
          </w:p>
          <w:p w14:paraId="4FCC04A0" w14:textId="77777777" w:rsidR="0051431C" w:rsidRPr="00E64D59" w:rsidRDefault="0051431C" w:rsidP="00E64D59">
            <w:pPr>
              <w:jc w:val="both"/>
              <w:rPr>
                <w:iCs/>
                <w:sz w:val="24"/>
                <w:szCs w:val="24"/>
              </w:rPr>
            </w:pPr>
          </w:p>
          <w:p w14:paraId="56785FC7" w14:textId="77777777" w:rsidR="00E64D59" w:rsidRDefault="00E64D59" w:rsidP="00E64D59">
            <w:pPr>
              <w:jc w:val="both"/>
              <w:rPr>
                <w:iCs/>
                <w:sz w:val="24"/>
                <w:szCs w:val="24"/>
              </w:rPr>
            </w:pPr>
            <w:r w:rsidRPr="00E64D59">
              <w:rPr>
                <w:iCs/>
                <w:sz w:val="24"/>
                <w:szCs w:val="24"/>
              </w:rPr>
              <w:t xml:space="preserve">This assessment allowed me to continue working alongside a senior social worker on a child protection case. If the concerns continued the case would have progressed to the legal arena, and the children might have become subject to an interim care order in order to safeguard them. To support my professional development increased opportunities to assess risk with evasive families would be beneficial so that I can develop my assessment skills as well my communication skills, whereby I could identify creative ways of engaging individuals in assessments when they do not want to take part. Increased opportunities to partake in section </w:t>
            </w:r>
            <w:r w:rsidRPr="00E64D59">
              <w:rPr>
                <w:iCs/>
                <w:sz w:val="24"/>
                <w:szCs w:val="24"/>
              </w:rPr>
              <w:lastRenderedPageBreak/>
              <w:t>47 (</w:t>
            </w:r>
            <w:r w:rsidRPr="00FD333E">
              <w:rPr>
                <w:i/>
                <w:sz w:val="24"/>
                <w:szCs w:val="24"/>
              </w:rPr>
              <w:t>Children Act 1989</w:t>
            </w:r>
            <w:r w:rsidRPr="00E64D59">
              <w:rPr>
                <w:iCs/>
                <w:sz w:val="24"/>
                <w:szCs w:val="24"/>
              </w:rPr>
              <w:t xml:space="preserve">) investigations could support with this as they involve communicating with families under difficult circumstances where they might not want to be open about risks due to the potential consequences, such as care proceedings being instigated. Since qualifying, I have been able to modify my methods of communication with children to strengthen the assessment, for example through using play to establish their wishes and feelings. </w:t>
            </w:r>
          </w:p>
          <w:p w14:paraId="30B16449" w14:textId="77777777" w:rsidR="0051431C" w:rsidRPr="00E64D59" w:rsidRDefault="0051431C" w:rsidP="00E64D59">
            <w:pPr>
              <w:jc w:val="both"/>
              <w:rPr>
                <w:iCs/>
                <w:sz w:val="24"/>
                <w:szCs w:val="24"/>
              </w:rPr>
            </w:pPr>
          </w:p>
          <w:p w14:paraId="62FF332D" w14:textId="77777777" w:rsidR="00E64D59" w:rsidRPr="00E64D59" w:rsidRDefault="00E64D59" w:rsidP="00E64D59">
            <w:pPr>
              <w:jc w:val="both"/>
              <w:rPr>
                <w:iCs/>
                <w:sz w:val="24"/>
                <w:szCs w:val="24"/>
              </w:rPr>
            </w:pPr>
            <w:r w:rsidRPr="00E64D59">
              <w:rPr>
                <w:iCs/>
                <w:sz w:val="24"/>
                <w:szCs w:val="24"/>
              </w:rPr>
              <w:t>As concerns for the children grew, I found it difficult to disengage from work. Whilst I was on annual leave one of the schools tried to call me on my personal phone number, which had been saved on the school’s system as I had called them from that number when I did not have access my work phone. This impacted upon the quality of my leave from work as I was out of the country and could not fully disengage from being concerned about them. I discussed this with my line manager in supervision and was reassured that the care and support protection plan was effective, and that other members of the core group had equal responsibility to achieve its aims. I recognised the importance of maintaining an appropriate level of work/life balance so that I do not become emotionally fatigued and can fully commit to my role whilst I am at work. Additionally, I do not want individuals to become overly reliant on me as this may impact upon their independence.</w:t>
            </w:r>
          </w:p>
          <w:p w14:paraId="06CF9356" w14:textId="77777777" w:rsidR="007A628F" w:rsidRDefault="007A628F" w:rsidP="00FF7EBB">
            <w:pPr>
              <w:jc w:val="both"/>
              <w:rPr>
                <w:iCs/>
                <w:sz w:val="24"/>
                <w:szCs w:val="24"/>
              </w:rPr>
            </w:pPr>
          </w:p>
          <w:p w14:paraId="47F21B6A" w14:textId="1469F9B4" w:rsidR="0051431C" w:rsidRPr="0051431C" w:rsidRDefault="0051431C" w:rsidP="00FF7EBB">
            <w:pPr>
              <w:jc w:val="both"/>
              <w:rPr>
                <w:iCs/>
                <w:sz w:val="24"/>
                <w:szCs w:val="24"/>
              </w:rPr>
            </w:pPr>
            <w:r>
              <w:rPr>
                <w:iCs/>
                <w:sz w:val="24"/>
                <w:szCs w:val="24"/>
              </w:rPr>
              <w:t>(</w:t>
            </w:r>
            <w:r w:rsidR="00E4241C">
              <w:rPr>
                <w:iCs/>
                <w:sz w:val="24"/>
                <w:szCs w:val="24"/>
              </w:rPr>
              <w:t>439</w:t>
            </w:r>
            <w:r w:rsidR="001875A1">
              <w:rPr>
                <w:iCs/>
                <w:sz w:val="24"/>
                <w:szCs w:val="24"/>
              </w:rPr>
              <w:t>5</w:t>
            </w:r>
            <w:r w:rsidR="00E4241C">
              <w:rPr>
                <w:iCs/>
                <w:sz w:val="24"/>
                <w:szCs w:val="24"/>
              </w:rPr>
              <w:t xml:space="preserve"> words)</w:t>
            </w: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EBAA40" w14:textId="77777777" w:rsidR="00050ADF" w:rsidRDefault="00050ADF">
      <w:r>
        <w:separator/>
      </w:r>
    </w:p>
  </w:endnote>
  <w:endnote w:type="continuationSeparator" w:id="0">
    <w:p w14:paraId="5B4EA4A2" w14:textId="77777777" w:rsidR="00050ADF" w:rsidRDefault="00050A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108D6D" w14:textId="77777777" w:rsidR="00050ADF" w:rsidRDefault="00050ADF">
      <w:r>
        <w:separator/>
      </w:r>
    </w:p>
  </w:footnote>
  <w:footnote w:type="continuationSeparator" w:id="0">
    <w:p w14:paraId="4B089F84" w14:textId="77777777" w:rsidR="00050ADF" w:rsidRDefault="00050A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26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0ADF"/>
    <w:rsid w:val="00054A07"/>
    <w:rsid w:val="00055D43"/>
    <w:rsid w:val="00056FAC"/>
    <w:rsid w:val="00057751"/>
    <w:rsid w:val="00061CDA"/>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0AC"/>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75A1"/>
    <w:rsid w:val="00191D2E"/>
    <w:rsid w:val="0019496C"/>
    <w:rsid w:val="001961CF"/>
    <w:rsid w:val="001A59BB"/>
    <w:rsid w:val="001A607E"/>
    <w:rsid w:val="001A6A51"/>
    <w:rsid w:val="001A79C4"/>
    <w:rsid w:val="001B331A"/>
    <w:rsid w:val="001B6264"/>
    <w:rsid w:val="001C0237"/>
    <w:rsid w:val="001C0E74"/>
    <w:rsid w:val="001C4DB8"/>
    <w:rsid w:val="001C50B8"/>
    <w:rsid w:val="001D229F"/>
    <w:rsid w:val="001E2EB6"/>
    <w:rsid w:val="001F4552"/>
    <w:rsid w:val="002019EB"/>
    <w:rsid w:val="00204B58"/>
    <w:rsid w:val="00205051"/>
    <w:rsid w:val="0020594C"/>
    <w:rsid w:val="00211F65"/>
    <w:rsid w:val="00214047"/>
    <w:rsid w:val="00216563"/>
    <w:rsid w:val="0021792F"/>
    <w:rsid w:val="00220D06"/>
    <w:rsid w:val="002246A0"/>
    <w:rsid w:val="00224FB6"/>
    <w:rsid w:val="00230439"/>
    <w:rsid w:val="00232A09"/>
    <w:rsid w:val="00235176"/>
    <w:rsid w:val="00236061"/>
    <w:rsid w:val="0024100E"/>
    <w:rsid w:val="00241C1B"/>
    <w:rsid w:val="0024288B"/>
    <w:rsid w:val="00243DB0"/>
    <w:rsid w:val="00247265"/>
    <w:rsid w:val="002540C1"/>
    <w:rsid w:val="00260663"/>
    <w:rsid w:val="002657E9"/>
    <w:rsid w:val="0026665E"/>
    <w:rsid w:val="0027147E"/>
    <w:rsid w:val="00273CDF"/>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6D8"/>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512F"/>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431C"/>
    <w:rsid w:val="00517659"/>
    <w:rsid w:val="00521123"/>
    <w:rsid w:val="00521221"/>
    <w:rsid w:val="0052250B"/>
    <w:rsid w:val="0052650C"/>
    <w:rsid w:val="005305C6"/>
    <w:rsid w:val="00532B47"/>
    <w:rsid w:val="00540EEC"/>
    <w:rsid w:val="005414F4"/>
    <w:rsid w:val="00546187"/>
    <w:rsid w:val="00547B11"/>
    <w:rsid w:val="00556558"/>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A6439"/>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4E51"/>
    <w:rsid w:val="006326D1"/>
    <w:rsid w:val="00632E0A"/>
    <w:rsid w:val="00633165"/>
    <w:rsid w:val="006447DE"/>
    <w:rsid w:val="00644889"/>
    <w:rsid w:val="0065276E"/>
    <w:rsid w:val="0065429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4C88"/>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45F9A"/>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1C4"/>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2A62"/>
    <w:rsid w:val="00B037B0"/>
    <w:rsid w:val="00B05214"/>
    <w:rsid w:val="00B07E79"/>
    <w:rsid w:val="00B12295"/>
    <w:rsid w:val="00B12DFA"/>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3BFE"/>
    <w:rsid w:val="00B558EB"/>
    <w:rsid w:val="00B577D3"/>
    <w:rsid w:val="00B60466"/>
    <w:rsid w:val="00B6548F"/>
    <w:rsid w:val="00B71A32"/>
    <w:rsid w:val="00B721BF"/>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18FC"/>
    <w:rsid w:val="00C01D14"/>
    <w:rsid w:val="00C01D97"/>
    <w:rsid w:val="00C025B4"/>
    <w:rsid w:val="00C029EC"/>
    <w:rsid w:val="00C16104"/>
    <w:rsid w:val="00C161FD"/>
    <w:rsid w:val="00C17C9F"/>
    <w:rsid w:val="00C23F17"/>
    <w:rsid w:val="00C246F2"/>
    <w:rsid w:val="00C26D0D"/>
    <w:rsid w:val="00C27C95"/>
    <w:rsid w:val="00C300D2"/>
    <w:rsid w:val="00C3270F"/>
    <w:rsid w:val="00C3278B"/>
    <w:rsid w:val="00C33375"/>
    <w:rsid w:val="00C34C23"/>
    <w:rsid w:val="00C368FA"/>
    <w:rsid w:val="00C42005"/>
    <w:rsid w:val="00C42FA1"/>
    <w:rsid w:val="00C4664D"/>
    <w:rsid w:val="00C472AA"/>
    <w:rsid w:val="00C50A05"/>
    <w:rsid w:val="00C54AED"/>
    <w:rsid w:val="00C555FC"/>
    <w:rsid w:val="00C55E9B"/>
    <w:rsid w:val="00C56D09"/>
    <w:rsid w:val="00C57B66"/>
    <w:rsid w:val="00C57D24"/>
    <w:rsid w:val="00C604D6"/>
    <w:rsid w:val="00C63CAB"/>
    <w:rsid w:val="00C63D00"/>
    <w:rsid w:val="00C6441B"/>
    <w:rsid w:val="00C65921"/>
    <w:rsid w:val="00C7108B"/>
    <w:rsid w:val="00C75883"/>
    <w:rsid w:val="00C77FA5"/>
    <w:rsid w:val="00C8089F"/>
    <w:rsid w:val="00C835FE"/>
    <w:rsid w:val="00C836CC"/>
    <w:rsid w:val="00C852D6"/>
    <w:rsid w:val="00C86967"/>
    <w:rsid w:val="00C87A74"/>
    <w:rsid w:val="00C92C71"/>
    <w:rsid w:val="00C93F8F"/>
    <w:rsid w:val="00CA0894"/>
    <w:rsid w:val="00CA3593"/>
    <w:rsid w:val="00CA5726"/>
    <w:rsid w:val="00CA7E6A"/>
    <w:rsid w:val="00CB258E"/>
    <w:rsid w:val="00CB3C8F"/>
    <w:rsid w:val="00CB7208"/>
    <w:rsid w:val="00CC01D3"/>
    <w:rsid w:val="00CC02F1"/>
    <w:rsid w:val="00CC1122"/>
    <w:rsid w:val="00CC11A6"/>
    <w:rsid w:val="00CC135E"/>
    <w:rsid w:val="00CC7226"/>
    <w:rsid w:val="00CD0735"/>
    <w:rsid w:val="00CD45E3"/>
    <w:rsid w:val="00CD4771"/>
    <w:rsid w:val="00CD5089"/>
    <w:rsid w:val="00CD5D3F"/>
    <w:rsid w:val="00CD7E1F"/>
    <w:rsid w:val="00CE4BC4"/>
    <w:rsid w:val="00CE7DA2"/>
    <w:rsid w:val="00CF1FE3"/>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4C8E"/>
    <w:rsid w:val="00DA1025"/>
    <w:rsid w:val="00DA22EC"/>
    <w:rsid w:val="00DA4A50"/>
    <w:rsid w:val="00DA5682"/>
    <w:rsid w:val="00DA5860"/>
    <w:rsid w:val="00DA5C0C"/>
    <w:rsid w:val="00DB2767"/>
    <w:rsid w:val="00DC14CE"/>
    <w:rsid w:val="00DC1B10"/>
    <w:rsid w:val="00DC2924"/>
    <w:rsid w:val="00DC436D"/>
    <w:rsid w:val="00DC4729"/>
    <w:rsid w:val="00DD23CB"/>
    <w:rsid w:val="00DD31C5"/>
    <w:rsid w:val="00DD5020"/>
    <w:rsid w:val="00DD63BE"/>
    <w:rsid w:val="00DE3D8B"/>
    <w:rsid w:val="00DE4296"/>
    <w:rsid w:val="00DF2469"/>
    <w:rsid w:val="00DF7899"/>
    <w:rsid w:val="00E0524C"/>
    <w:rsid w:val="00E15751"/>
    <w:rsid w:val="00E17160"/>
    <w:rsid w:val="00E17D41"/>
    <w:rsid w:val="00E231D1"/>
    <w:rsid w:val="00E3288D"/>
    <w:rsid w:val="00E35112"/>
    <w:rsid w:val="00E35BEC"/>
    <w:rsid w:val="00E41A6A"/>
    <w:rsid w:val="00E4241C"/>
    <w:rsid w:val="00E4415E"/>
    <w:rsid w:val="00E50821"/>
    <w:rsid w:val="00E51F91"/>
    <w:rsid w:val="00E5498A"/>
    <w:rsid w:val="00E559CE"/>
    <w:rsid w:val="00E60F42"/>
    <w:rsid w:val="00E64D59"/>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33E"/>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163</TotalTime>
  <Pages>9</Pages>
  <Words>4208</Words>
  <Characters>23990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Ceri Williams (PLANT)</cp:lastModifiedBy>
  <cp:revision>42</cp:revision>
  <cp:lastPrinted>2020-02-11T19:20:00Z</cp:lastPrinted>
  <dcterms:created xsi:type="dcterms:W3CDTF">2024-10-08T14:17:00Z</dcterms:created>
  <dcterms:modified xsi:type="dcterms:W3CDTF">2025-02-18T23:35:00Z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