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83F38A" w14:textId="02F31495" w:rsidR="00FE10F8" w:rsidRDefault="00D6051B" w:rsidP="00FE10F8">
      <w:r>
        <w:t xml:space="preserve">Title: </w:t>
      </w:r>
      <w:r w:rsidR="00FE10F8">
        <w:t>Gibbs Reflective Essay</w:t>
      </w:r>
    </w:p>
    <w:p w14:paraId="4222DEEF" w14:textId="30EC63C0" w:rsidR="00FE10F8" w:rsidRDefault="00D6051B" w:rsidP="00FE10F8">
      <w:r>
        <w:t>Name: Ashlee Humphries</w:t>
      </w:r>
    </w:p>
    <w:p w14:paraId="06C67202" w14:textId="5B182E6C" w:rsidR="00D6051B" w:rsidRDefault="00D6051B" w:rsidP="00FE10F8">
      <w:r>
        <w:t>Student number: 2520285</w:t>
      </w:r>
    </w:p>
    <w:p w14:paraId="79D5002D" w14:textId="77777777" w:rsidR="00D6051B" w:rsidRDefault="00D6051B" w:rsidP="00FE10F8"/>
    <w:p w14:paraId="48785DD3" w14:textId="77777777" w:rsidR="00D6051B" w:rsidRPr="00D6051B" w:rsidRDefault="00D6051B" w:rsidP="00D6051B">
      <w:pPr>
        <w:spacing w:line="259" w:lineRule="auto"/>
        <w:rPr>
          <w:rFonts w:ascii="Arial" w:eastAsiaTheme="minorEastAsia" w:hAnsi="Arial" w:cs="Arial"/>
          <w:b/>
          <w:bCs/>
          <w:kern w:val="0"/>
          <w:sz w:val="22"/>
          <w:szCs w:val="22"/>
          <w14:ligatures w14:val="none"/>
        </w:rPr>
      </w:pPr>
      <w:r w:rsidRPr="00D6051B">
        <w:rPr>
          <w:rFonts w:ascii="Arial" w:eastAsiaTheme="minorEastAsia" w:hAnsi="Arial" w:cs="Arial"/>
          <w:b/>
          <w:bCs/>
          <w:kern w:val="0"/>
          <w:sz w:val="22"/>
          <w:szCs w:val="22"/>
          <w14:ligatures w14:val="none"/>
        </w:rPr>
        <w:t>AI Acknowledgement</w:t>
      </w:r>
    </w:p>
    <w:p w14:paraId="4CB45546" w14:textId="77777777" w:rsidR="00D6051B" w:rsidRPr="00D6051B" w:rsidRDefault="00D6051B" w:rsidP="00D6051B">
      <w:pPr>
        <w:spacing w:line="259" w:lineRule="auto"/>
        <w:rPr>
          <w:rFonts w:eastAsiaTheme="minorEastAsia"/>
          <w:kern w:val="0"/>
          <w:sz w:val="22"/>
          <w:szCs w:val="22"/>
          <w14:ligatures w14:val="none"/>
        </w:rPr>
      </w:pPr>
      <w:r w:rsidRPr="00D6051B">
        <w:rPr>
          <w:rFonts w:eastAsiaTheme="minorEastAsia"/>
          <w:kern w:val="0"/>
          <w:sz w:val="22"/>
          <w:szCs w:val="22"/>
          <w14:ligatures w14:val="none"/>
        </w:rPr>
        <w:t>(This section is compulsory for all students.)</w:t>
      </w:r>
    </w:p>
    <w:p w14:paraId="3D382E4E" w14:textId="77777777" w:rsidR="00D6051B" w:rsidRPr="00D6051B" w:rsidRDefault="00D6051B" w:rsidP="00D6051B">
      <w:pPr>
        <w:spacing w:line="259" w:lineRule="auto"/>
        <w:rPr>
          <w:rFonts w:eastAsiaTheme="minorEastAsia"/>
          <w:kern w:val="0"/>
          <w:sz w:val="22"/>
          <w:szCs w:val="22"/>
          <w14:ligatures w14:val="none"/>
        </w:rPr>
      </w:pPr>
      <w:r w:rsidRPr="00D6051B">
        <w:rPr>
          <w:rFonts w:eastAsiaTheme="minorEastAsia"/>
          <w:kern w:val="0"/>
          <w:sz w:val="22"/>
          <w:szCs w:val="22"/>
          <w14:ligatures w14:val="none"/>
        </w:rPr>
        <w:t xml:space="preserve">I acknowledge the use of </w:t>
      </w:r>
      <w:r w:rsidRPr="00D6051B">
        <w:rPr>
          <w:rFonts w:eastAsiaTheme="minorEastAsia"/>
          <w:bCs/>
          <w:kern w:val="0"/>
          <w:sz w:val="22"/>
          <w:szCs w:val="22"/>
          <w14:ligatures w14:val="none"/>
        </w:rPr>
        <w:t>[AI tool name]</w:t>
      </w:r>
      <w:r w:rsidRPr="00D6051B">
        <w:rPr>
          <w:rFonts w:eastAsiaTheme="minorEastAsia"/>
          <w:kern w:val="0"/>
          <w:sz w:val="22"/>
          <w:szCs w:val="22"/>
          <w14:ligatures w14:val="none"/>
        </w:rPr>
        <w:t xml:space="preserve"> (</w:t>
      </w:r>
      <w:r w:rsidRPr="00D6051B">
        <w:rPr>
          <w:rFonts w:eastAsiaTheme="minorEastAsia"/>
          <w:bCs/>
          <w:kern w:val="0"/>
          <w:sz w:val="22"/>
          <w:szCs w:val="22"/>
          <w14:ligatures w14:val="none"/>
        </w:rPr>
        <w:t>[AI tool URL]</w:t>
      </w:r>
      <w:r w:rsidRPr="00D6051B">
        <w:rPr>
          <w:rFonts w:eastAsiaTheme="minorEastAsia"/>
          <w:kern w:val="0"/>
          <w:sz w:val="22"/>
          <w:szCs w:val="22"/>
          <w14:ligatures w14:val="none"/>
        </w:rPr>
        <w:t xml:space="preserve">) on </w:t>
      </w:r>
      <w:r w:rsidRPr="00D6051B">
        <w:rPr>
          <w:rFonts w:eastAsiaTheme="minorEastAsia"/>
          <w:bCs/>
          <w:kern w:val="0"/>
          <w:sz w:val="22"/>
          <w:szCs w:val="22"/>
          <w14:ligatures w14:val="none"/>
        </w:rPr>
        <w:t>[date]</w:t>
      </w:r>
      <w:r w:rsidRPr="00D6051B">
        <w:rPr>
          <w:rFonts w:eastAsiaTheme="minorEastAsia"/>
          <w:kern w:val="0"/>
          <w:sz w:val="22"/>
          <w:szCs w:val="22"/>
          <w14:ligatures w14:val="none"/>
        </w:rPr>
        <w:t xml:space="preserve"> to support </w:t>
      </w:r>
      <w:r w:rsidRPr="00D6051B">
        <w:rPr>
          <w:rFonts w:eastAsiaTheme="minorEastAsia"/>
          <w:bCs/>
          <w:kern w:val="0"/>
          <w:sz w:val="22"/>
          <w:szCs w:val="22"/>
          <w14:ligatures w14:val="none"/>
        </w:rPr>
        <w:t>[state purpose – e.g. research/proofreading/none]</w:t>
      </w:r>
      <w:r w:rsidRPr="00D6051B">
        <w:rPr>
          <w:rFonts w:eastAsiaTheme="minorEastAsia"/>
          <w:kern w:val="0"/>
          <w:sz w:val="22"/>
          <w:szCs w:val="22"/>
          <w14:ligatures w14:val="none"/>
        </w:rPr>
        <w:t>.</w:t>
      </w:r>
    </w:p>
    <w:p w14:paraId="2F5531F1" w14:textId="77777777" w:rsidR="00D6051B" w:rsidRPr="00D6051B" w:rsidRDefault="00D6051B" w:rsidP="00D6051B">
      <w:pPr>
        <w:spacing w:line="259" w:lineRule="auto"/>
        <w:rPr>
          <w:rFonts w:eastAsiaTheme="minorEastAsia"/>
          <w:bCs/>
          <w:kern w:val="0"/>
          <w:sz w:val="22"/>
          <w:szCs w:val="22"/>
          <w14:ligatures w14:val="none"/>
        </w:rPr>
      </w:pPr>
      <w:r w:rsidRPr="00D6051B">
        <w:rPr>
          <w:rFonts w:eastAsiaTheme="minorEastAsia"/>
          <w:bCs/>
          <w:kern w:val="0"/>
          <w:sz w:val="22"/>
          <w:szCs w:val="22"/>
          <w14:ligatures w14:val="none"/>
        </w:rPr>
        <w:t>Prompt(s) used (if applicable):</w:t>
      </w:r>
    </w:p>
    <w:p w14:paraId="7269A897" w14:textId="77777777" w:rsidR="00D6051B" w:rsidRPr="00D6051B" w:rsidRDefault="00D6051B" w:rsidP="00D6051B">
      <w:pPr>
        <w:spacing w:line="259" w:lineRule="auto"/>
        <w:rPr>
          <w:rFonts w:eastAsiaTheme="minorEastAsia"/>
          <w:kern w:val="0"/>
          <w:sz w:val="22"/>
          <w:szCs w:val="22"/>
          <w14:ligatures w14:val="none"/>
        </w:rPr>
      </w:pPr>
    </w:p>
    <w:p w14:paraId="5A7591FB" w14:textId="77777777" w:rsidR="00D6051B" w:rsidRPr="00D6051B" w:rsidRDefault="00D6051B" w:rsidP="00D6051B">
      <w:pPr>
        <w:spacing w:line="259" w:lineRule="auto"/>
        <w:rPr>
          <w:rFonts w:eastAsiaTheme="minorEastAsia"/>
          <w:kern w:val="0"/>
          <w:sz w:val="22"/>
          <w:szCs w:val="22"/>
          <w14:ligatures w14:val="none"/>
        </w:rPr>
      </w:pPr>
      <w:r w:rsidRPr="00D6051B">
        <w:rPr>
          <w:rFonts w:eastAsiaTheme="minorEastAsia"/>
          <w:kern w:val="0"/>
          <w:sz w:val="22"/>
          <w:szCs w:val="22"/>
          <w14:ligatures w14:val="none"/>
        </w:rPr>
        <w:t>I confirm that I have not presented any AI-generated text as my own work. I confirm that I have retained copies of drafts, notes, and resources used before and after the use of AI tools.</w:t>
      </w:r>
    </w:p>
    <w:p w14:paraId="3FF3810C" w14:textId="77777777" w:rsidR="00D6051B" w:rsidRDefault="00D6051B" w:rsidP="00FE10F8"/>
    <w:p w14:paraId="7F53FE16" w14:textId="1979AFBB" w:rsidR="00FE10F8" w:rsidRDefault="00FE10F8" w:rsidP="00FE10F8">
      <w:r>
        <w:t>Introduction</w:t>
      </w:r>
    </w:p>
    <w:p w14:paraId="4AEAF877" w14:textId="45B05A01" w:rsidR="00FE10F8" w:rsidRDefault="00FE10F8" w:rsidP="00FE10F8">
      <w:r>
        <w:t>Reflection is an important part of learning because it allows individuals to think about their experiences and understand what they have learned from them. Moon (2013) describes reflection as a process that helps people develop a deeper understanding of their experiences in both educational and personal contexts. This essay uses Gibbs’ Reflective Cycle to explore my experience of entering higher education and the impact this has had on my confidence, skills, and personal development. Returning to education was a significant decision for me and one that involved both excitement and uncertainty. Since starting university, I have faced a range of challenges and opportunities that have helped me develop academically and personally. Using Gibbs’ model has provided a useful structure for examining these experiences and considering how they have influenced my growth as a learner.</w:t>
      </w:r>
    </w:p>
    <w:p w14:paraId="334AD95A" w14:textId="77777777" w:rsidR="00FE10F8" w:rsidRDefault="00FE10F8" w:rsidP="00FE10F8"/>
    <w:p w14:paraId="4C0E1154" w14:textId="7F3EE318" w:rsidR="00FE10F8" w:rsidRDefault="00FE10F8" w:rsidP="00FE10F8">
      <w:r>
        <w:t>Description</w:t>
      </w:r>
    </w:p>
    <w:p w14:paraId="257B3DD8" w14:textId="1FB64C8F" w:rsidR="00FE10F8" w:rsidRDefault="00FE10F8" w:rsidP="00FE10F8">
      <w:r>
        <w:t xml:space="preserve">My decision to begin university studies came after years of wanting to pursue a career that genuinely interests me. In early 2025, wanting something more for myself, I decided to begin a new journey of education and professional development. This marked the beginning of a new chapter in my life that I hoped would lead to personal growth and a fulfilling career. Now, as I approach my second term at university, I can see how much progress I have made. My academic writing has improved significantly, my Excel skills have developed, and I have become more confident when interacting with my peers. </w:t>
      </w:r>
      <w:r>
        <w:lastRenderedPageBreak/>
        <w:t xml:space="preserve">Most importantly, I have overcome much of the anxiety I previously felt before presentations, which has been a significant achievement for me, </w:t>
      </w:r>
    </w:p>
    <w:p w14:paraId="04003EB2" w14:textId="77777777" w:rsidR="00FE10F8" w:rsidRDefault="00FE10F8" w:rsidP="00FE10F8"/>
    <w:p w14:paraId="6748A5B6" w14:textId="2A9B1D8F" w:rsidR="00FE10F8" w:rsidRDefault="00FE10F8" w:rsidP="00FE10F8">
      <w:r>
        <w:t>Feelings</w:t>
      </w:r>
    </w:p>
    <w:p w14:paraId="563396A5" w14:textId="2F8776BD" w:rsidR="00FE10F8" w:rsidRDefault="00FE10F8" w:rsidP="00FE10F8">
      <w:r>
        <w:t>Starting the application process brought a mixture of emotions. I felt excited about the possibility of beginning something new, but I also experienced moments of doubt. I questioned whether university was the right path for me and whether I would be able to cope with the workload and expectations of higher education, particularly when working in groups. Despite these concerns, I remained focused on my goals and reminded myself why I had chosen this path. As my time at university has progressed, those early doubts have gradually been replaced by confidence and a greater sense of belief in my abilities. Looking back, I can see how much I have accomplished. I have grown in confidence, improved my academic writing, developed stronger digital and presentation skills, and become more comfortable working with others. I feel proud not only of my academic progress but also of the personal growth I have achieved through overcoming self-doubt and becoming more resilient.</w:t>
      </w:r>
    </w:p>
    <w:p w14:paraId="14272DE2" w14:textId="77777777" w:rsidR="00FE10F8" w:rsidRDefault="00FE10F8" w:rsidP="00FE10F8"/>
    <w:p w14:paraId="35FF47E8" w14:textId="02FBF588" w:rsidR="00FE10F8" w:rsidRDefault="00FE10F8" w:rsidP="00FE10F8">
      <w:r>
        <w:t>Evaluation</w:t>
      </w:r>
    </w:p>
    <w:p w14:paraId="6F97A8F9" w14:textId="1C5E175B" w:rsidR="00FE10F8" w:rsidRDefault="00FE10F8" w:rsidP="00FE10F8">
      <w:r>
        <w:t>Looking back on my experience so far, I can identify many positive developments. Taking part in class discussions has helped me become more confident in expressing my ideas and listening to different viewpoints. I have also learned how to balance academic responsibilities with my personal life, which has strengthened my organisational and time-management skills. One of the most significant areas of development has been my digital skills. At the beginning of the course, I sometimes struggled with online learning platforms, referencing tools, and digital research. Through practice and support, I have become much more confident using technology to complete assignments, participate in online discussions, and access academic resources. This has made me more independent and better prepared for the digital demands of modern education. Although I still find some academic texts challenging, particularly when analysing complex ideas, I can see that my reading and analytical skills have improved over time. Overall, my experience has been positive, and I take pride in the progress I have made each</w:t>
      </w:r>
      <w:r w:rsidR="00726D0E">
        <w:t xml:space="preserve"> </w:t>
      </w:r>
      <w:r>
        <w:t>time I successfully complete an essay, presentation, or assessment.</w:t>
      </w:r>
    </w:p>
    <w:p w14:paraId="283A5165" w14:textId="77777777" w:rsidR="00FE10F8" w:rsidRDefault="00FE10F8" w:rsidP="00FE10F8"/>
    <w:p w14:paraId="29878EEA" w14:textId="5CB38DCF" w:rsidR="00FE10F8" w:rsidRDefault="00FE10F8" w:rsidP="00FE10F8">
      <w:r>
        <w:t>Analysis</w:t>
      </w:r>
    </w:p>
    <w:p w14:paraId="724C9B86" w14:textId="0A3AF092" w:rsidR="00FE10F8" w:rsidRDefault="00FE10F8" w:rsidP="00FE10F8">
      <w:r>
        <w:t xml:space="preserve">Several theories help explain the changes I have experienced since starting university. Empowerment theory suggests that individuals become more confident and capable when they take active steps to improve their circumstances (Rappaport and Seidman, </w:t>
      </w:r>
      <w:r>
        <w:lastRenderedPageBreak/>
        <w:t xml:space="preserve">2000). My decision to pursue higher education reflects this idea, as I chose to challenge myself </w:t>
      </w:r>
      <w:proofErr w:type="gramStart"/>
      <w:r>
        <w:t>in order to</w:t>
      </w:r>
      <w:proofErr w:type="gramEnd"/>
      <w:r>
        <w:t xml:space="preserve"> create better opportunities for my future.</w:t>
      </w:r>
      <w:r w:rsidR="00D6051B">
        <w:t xml:space="preserve"> </w:t>
      </w:r>
      <w:r>
        <w:t xml:space="preserve">Bandura (1977) argues that self-efficacy influences how people approach challenges and their belief in their ability to succeed. At the beginning of my university journey, I often questioned whether I would be able to cope with the demands of higher education. However, completing assignments, contributing to discussions, and developing new skills has increased my confidence. Each achievement has reinforced my belief that I </w:t>
      </w:r>
      <w:proofErr w:type="gramStart"/>
      <w:r>
        <w:t>am capable of overcoming</w:t>
      </w:r>
      <w:proofErr w:type="gramEnd"/>
      <w:r>
        <w:t xml:space="preserve"> difficulties and continuing to progress. This reflects wider ideas about student empowerment and personal development in higher education (Li, 2025; </w:t>
      </w:r>
      <w:proofErr w:type="spellStart"/>
      <w:r>
        <w:t>Plysang</w:t>
      </w:r>
      <w:proofErr w:type="spellEnd"/>
      <w:r>
        <w:t xml:space="preserve">, 2025; </w:t>
      </w:r>
      <w:proofErr w:type="spellStart"/>
      <w:r>
        <w:t>Mouchrek</w:t>
      </w:r>
      <w:proofErr w:type="spellEnd"/>
      <w:r>
        <w:t xml:space="preserve"> and Benson, 2023; European University Association, 2025; Song, 2024). The Johari Window has also helped me understand how my self-awareness has developed. When I first started university, I was often reserved and reluctant to share my opinions. Through conversations with classmates, group activities, and feedback from tutors, I have become more comfortable expressing myself and have gained a better understanding of how others perceive me (Luft and Ingham, 1955; Oliver and Duncan, 2019; Lowes, 2020; Challoumis, 2026). Completing a SWOT analysis encouraged me to think honestly about the factors affecting my academic progress. My strengths include determination, improved time management, and a willingness to learn. My weaknesses include occasional self-doubt and difficulties when analysing complex academic material. Opportunities include access to university support services, learning resources, and opportunities to develop transferable skills. Threats include balancing academic commitments with personal responsibilities and managing periods of increased workload. Identifying these factors has helped me develop strategies to address challenges more effectively (Harvey et al., 2025; Mohamed et al., 2022; Colomer et al., 2020; Radović et al., 2023). Exploring Maya personality types also helped me understand my learning preferences. I have realised that I work best when tasks are clearly structured and objectives are well defined. This understanding has helped me organise my studies more effectively and approach group work with greater confidence. Overall, these theories provide useful ways of understanding the personal and academic development I have experienced since entering higher education.</w:t>
      </w:r>
    </w:p>
    <w:p w14:paraId="7FF7626B" w14:textId="77777777" w:rsidR="00FE10F8" w:rsidRDefault="00FE10F8" w:rsidP="00FE10F8"/>
    <w:p w14:paraId="7D123275" w14:textId="361AF377" w:rsidR="00FE10F8" w:rsidRDefault="00FE10F8" w:rsidP="00FE10F8">
      <w:r>
        <w:t>Conclusion</w:t>
      </w:r>
    </w:p>
    <w:p w14:paraId="4B2C0871" w14:textId="54860FDA" w:rsidR="00FE10F8" w:rsidRDefault="00FE10F8" w:rsidP="00FE10F8">
      <w:r>
        <w:t xml:space="preserve">Looking back on my experience so far, I can clearly see how much I have developed since starting university. Although I initially had concerns about returning to education and managing the demands of higher education, I have gradually become more confident in my abilities and more comfortable with academic study. Using Gibbs’ Reflective Cycle has helped me think critically about my experiences and recognise the progress I have made. I have improved my academic writing, digital skills, confidence in </w:t>
      </w:r>
      <w:r>
        <w:lastRenderedPageBreak/>
        <w:t>presentations, and ability to work with others. The experience has also increased my self-awareness and shown me the importance of reflecting on both successes and challenges.</w:t>
      </w:r>
    </w:p>
    <w:p w14:paraId="734CBF46" w14:textId="77777777" w:rsidR="00FE10F8" w:rsidRDefault="00FE10F8" w:rsidP="00FE10F8"/>
    <w:p w14:paraId="1E8F2F0D" w14:textId="74A1BA1A" w:rsidR="00FE10F8" w:rsidRDefault="00FE10F8" w:rsidP="00FE10F8">
      <w:r>
        <w:t>Action Plan</w:t>
      </w:r>
    </w:p>
    <w:p w14:paraId="0DFDA080" w14:textId="2C36DFF3" w:rsidR="00FE10F8" w:rsidRDefault="00FE10F8" w:rsidP="00FE10F8">
      <w:r>
        <w:t>My main goal is to continue building on the progress I have made so far and successfully complete my course. To achieve this, I will remain engaged in lectures, seminars, and independent study while continuing to improve my academic and digital skills. I plan to make greater use of feedback from tutors and peers to identify areas where I can improve. I will also continue developing my confidence in presentations and group work by taking an active role in class activities whenever possible. Regularly reviewing my SWOT analysis will help me monitor my development and identify any new challenges that may arise. I will also use what I have learned from the Johari Window and Maya personality types to improve my self-awareness and adapt my learning strategies where necessary.</w:t>
      </w:r>
      <w:r w:rsidR="00BD7916">
        <w:t xml:space="preserve"> </w:t>
      </w:r>
      <w:proofErr w:type="gramStart"/>
      <w:r w:rsidR="00726D0E">
        <w:t xml:space="preserve">Staying </w:t>
      </w:r>
      <w:r>
        <w:t xml:space="preserve"> committed</w:t>
      </w:r>
      <w:proofErr w:type="gramEnd"/>
      <w:r>
        <w:t xml:space="preserve"> to learning and personal </w:t>
      </w:r>
      <w:proofErr w:type="gramStart"/>
      <w:r>
        <w:t>development,</w:t>
      </w:r>
      <w:proofErr w:type="gramEnd"/>
      <w:r>
        <w:t xml:space="preserve"> I hope to continue growing both academically and personally throughout the remainder of my university journey.</w:t>
      </w:r>
    </w:p>
    <w:p w14:paraId="56031409" w14:textId="77777777" w:rsidR="00FE10F8" w:rsidRDefault="00FE10F8" w:rsidP="00FE10F8"/>
    <w:p w14:paraId="442F9800" w14:textId="424AF6AA" w:rsidR="00FE10F8" w:rsidRDefault="00FE10F8" w:rsidP="00FE10F8">
      <w:r>
        <w:t>References</w:t>
      </w:r>
    </w:p>
    <w:p w14:paraId="69A48DCC" w14:textId="1885062F" w:rsidR="00FE10F8" w:rsidRDefault="00FE10F8" w:rsidP="00FE10F8">
      <w:r>
        <w:t>Bandura, A. (1977). Self-efficacy: Toward a unifying theory of behavioural change. Psychological Review, 84(2), 191–215.</w:t>
      </w:r>
    </w:p>
    <w:p w14:paraId="0DC5C8B6" w14:textId="03BA2E0B" w:rsidR="00FE10F8" w:rsidRDefault="00FE10F8" w:rsidP="00FE10F8">
      <w:r>
        <w:t>Challoumis, D. (2026). The Johari Window model: Enhancing self-awareness and communication. Journal of Personal Development, 12(1), 45–60</w:t>
      </w:r>
    </w:p>
    <w:p w14:paraId="7468D7B3" w14:textId="5A6E062B" w:rsidR="00FE10F8" w:rsidRDefault="00FE10F8" w:rsidP="00FE10F8">
      <w:r>
        <w:t xml:space="preserve">Colomer, J., Serra, T., </w:t>
      </w:r>
      <w:proofErr w:type="spellStart"/>
      <w:r>
        <w:t>Cañabate</w:t>
      </w:r>
      <w:proofErr w:type="spellEnd"/>
      <w:r>
        <w:t xml:space="preserve">, D., &amp; </w:t>
      </w:r>
      <w:proofErr w:type="spellStart"/>
      <w:r>
        <w:t>Bubnys</w:t>
      </w:r>
      <w:proofErr w:type="spellEnd"/>
      <w:r>
        <w:t>, R. (2020). Reflective learning in higher education: Active methodologies for transformative practices. Sustainability, 12(9), 3827.</w:t>
      </w:r>
    </w:p>
    <w:p w14:paraId="14FFC0CF" w14:textId="2D741C4A" w:rsidR="00FE10F8" w:rsidRDefault="00FE10F8" w:rsidP="00FE10F8">
      <w:r>
        <w:t>European University Association. (2025). Learning and teaching to empower students. EUA Learning &amp; Teaching Paper #24.</w:t>
      </w:r>
    </w:p>
    <w:p w14:paraId="057BCFCC" w14:textId="11CE2BD4" w:rsidR="00FE10F8" w:rsidRDefault="00FE10F8" w:rsidP="00FE10F8">
      <w:r>
        <w:t xml:space="preserve">Harvey, M., </w:t>
      </w:r>
      <w:proofErr w:type="spellStart"/>
      <w:r>
        <w:t>Walkerden</w:t>
      </w:r>
      <w:proofErr w:type="spellEnd"/>
      <w:r>
        <w:t>, G., Semple, A., McLachlan, K., Lloyd, K., &amp; Bosanquet, A. (2025). Reflecting on reflective practice: Issues, possibilities and guidance principles. Higher Education Research &amp; Development, 44(7), 1849–1857.</w:t>
      </w:r>
    </w:p>
    <w:p w14:paraId="0F720987" w14:textId="6D73E2BC" w:rsidR="00FE10F8" w:rsidRDefault="00FE10F8" w:rsidP="00FE10F8">
      <w:r>
        <w:t>Li, H. (2025). Empowering students: Positive higher education strategies. Frontiers in Psychology, 16, 1561267.</w:t>
      </w:r>
    </w:p>
    <w:p w14:paraId="60CA504C" w14:textId="7FA4B9AB" w:rsidR="00FE10F8" w:rsidRDefault="00FE10F8" w:rsidP="00FE10F8">
      <w:r>
        <w:t>Lowes, R. (2020). Knowing you: Personal tutoring, learning analytics and the Johari window. Frontiers in Education, 5, 101.</w:t>
      </w:r>
    </w:p>
    <w:p w14:paraId="1C0A969A" w14:textId="39F824B3" w:rsidR="00FE10F8" w:rsidRDefault="00FE10F8" w:rsidP="00FE10F8">
      <w:r>
        <w:lastRenderedPageBreak/>
        <w:t>Luft, J., &amp; Ingham, H. (1955). The Johari window, a graphic model of interpersonal awareness. Proceedings of the Western Training Laboratory in Group Development, University of California, Los Angeles.</w:t>
      </w:r>
    </w:p>
    <w:p w14:paraId="071881E0" w14:textId="7C21DBBF" w:rsidR="00FE10F8" w:rsidRDefault="00FE10F8" w:rsidP="00FE10F8">
      <w:r>
        <w:t xml:space="preserve">Mohamed, M., Rashid, R. A., &amp; </w:t>
      </w:r>
      <w:proofErr w:type="spellStart"/>
      <w:r>
        <w:t>Alqaryouti</w:t>
      </w:r>
      <w:proofErr w:type="spellEnd"/>
      <w:r>
        <w:t>, M. H. M. (2022). Conceptualizing the complexity of reflective practice in education. Frontiers in Psychology, 13, 1008234.</w:t>
      </w:r>
    </w:p>
    <w:p w14:paraId="3FA5CFDA" w14:textId="1BC55385" w:rsidR="00FE10F8" w:rsidRDefault="00FE10F8" w:rsidP="00FE10F8">
      <w:r>
        <w:t>Moon, J. A. (2013). Reflection and employability: Reflection on learning and reflective practices. Routledge.</w:t>
      </w:r>
    </w:p>
    <w:p w14:paraId="11C7F264" w14:textId="32F27D80" w:rsidR="00FE10F8" w:rsidRDefault="00FE10F8" w:rsidP="00FE10F8">
      <w:proofErr w:type="spellStart"/>
      <w:r>
        <w:t>Mouchrek</w:t>
      </w:r>
      <w:proofErr w:type="spellEnd"/>
      <w:r>
        <w:t>, N., &amp; Benson, M. (2023). The theory of integrated empowerment in the transition to adulthood: Concepts and measures. Frontiers in Sociology, 8, 893898.</w:t>
      </w:r>
    </w:p>
    <w:p w14:paraId="3339F5BB" w14:textId="0D3E87F5" w:rsidR="00FE10F8" w:rsidRDefault="00FE10F8" w:rsidP="00FE10F8">
      <w:r>
        <w:t>Oliver, S., &amp; Duncan, S. (2019). Editorial: Looking through the Johari window. Research for All, 3(1), 1–6.</w:t>
      </w:r>
    </w:p>
    <w:p w14:paraId="56D3655C" w14:textId="46BAF464" w:rsidR="00FE10F8" w:rsidRDefault="00FE10F8" w:rsidP="00FE10F8">
      <w:proofErr w:type="spellStart"/>
      <w:r>
        <w:t>Plysang</w:t>
      </w:r>
      <w:proofErr w:type="spellEnd"/>
      <w:r>
        <w:t>, S. (2025). Empowering university students through holistic self-esteem development: A pathway to personal and academic success. Journal of Education and Learning, 14(3), 197–210.</w:t>
      </w:r>
    </w:p>
    <w:p w14:paraId="02FF834E" w14:textId="01D45184" w:rsidR="00FE10F8" w:rsidRDefault="00FE10F8" w:rsidP="00FE10F8">
      <w:r>
        <w:t xml:space="preserve">Radović, S., </w:t>
      </w:r>
      <w:proofErr w:type="spellStart"/>
      <w:r>
        <w:t>Firssova</w:t>
      </w:r>
      <w:proofErr w:type="spellEnd"/>
      <w:r>
        <w:t>, O., Hummel, H. G. K., &amp; Vermeulen, M. (2023). Improving academic performance: Strengthening the relation between theory and practice through prompted reflection. Active Learning in Higher Education, 24(2), 139–154.</w:t>
      </w:r>
    </w:p>
    <w:p w14:paraId="4DDDC5ED" w14:textId="0149A890" w:rsidR="00FE10F8" w:rsidRDefault="00FE10F8" w:rsidP="00FE10F8">
      <w:r>
        <w:t>Rappaport, J., &amp; Seidman, E. (2000). Empowerment theory: Psychological, organizational and community levels of analysis. In J. Rappaport &amp; E. Seidman (Eds.), Handbook of Community Psychology (pp. 43–63). Springer.</w:t>
      </w:r>
    </w:p>
    <w:p w14:paraId="26193ED4" w14:textId="4FFEE951" w:rsidR="00FE10F8" w:rsidRDefault="00FE10F8" w:rsidP="00FE10F8">
      <w:r>
        <w:t>Song, Z. (2024). Personal growth and well-being among university students: A comprehensive analysis. Journal of Education in Black Sea Region, 9(2), 39–47.</w:t>
      </w:r>
    </w:p>
    <w:sectPr w:rsidR="00FE10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0F8"/>
    <w:rsid w:val="00726D0E"/>
    <w:rsid w:val="0084281C"/>
    <w:rsid w:val="00995AA2"/>
    <w:rsid w:val="009F32CF"/>
    <w:rsid w:val="00BD7916"/>
    <w:rsid w:val="00CF004E"/>
    <w:rsid w:val="00D6051B"/>
    <w:rsid w:val="00FE1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78899"/>
  <w15:chartTrackingRefBased/>
  <w15:docId w15:val="{3F9D0980-BB7C-4CCF-8A2F-FC419B33E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10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10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10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10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10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10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10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10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10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10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10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10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10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10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10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10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10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10F8"/>
    <w:rPr>
      <w:rFonts w:eastAsiaTheme="majorEastAsia" w:cstheme="majorBidi"/>
      <w:color w:val="272727" w:themeColor="text1" w:themeTint="D8"/>
    </w:rPr>
  </w:style>
  <w:style w:type="paragraph" w:styleId="Title">
    <w:name w:val="Title"/>
    <w:basedOn w:val="Normal"/>
    <w:next w:val="Normal"/>
    <w:link w:val="TitleChar"/>
    <w:uiPriority w:val="10"/>
    <w:qFormat/>
    <w:rsid w:val="00FE10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10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10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10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10F8"/>
    <w:pPr>
      <w:spacing w:before="160"/>
      <w:jc w:val="center"/>
    </w:pPr>
    <w:rPr>
      <w:i/>
      <w:iCs/>
      <w:color w:val="404040" w:themeColor="text1" w:themeTint="BF"/>
    </w:rPr>
  </w:style>
  <w:style w:type="character" w:customStyle="1" w:styleId="QuoteChar">
    <w:name w:val="Quote Char"/>
    <w:basedOn w:val="DefaultParagraphFont"/>
    <w:link w:val="Quote"/>
    <w:uiPriority w:val="29"/>
    <w:rsid w:val="00FE10F8"/>
    <w:rPr>
      <w:i/>
      <w:iCs/>
      <w:color w:val="404040" w:themeColor="text1" w:themeTint="BF"/>
    </w:rPr>
  </w:style>
  <w:style w:type="paragraph" w:styleId="ListParagraph">
    <w:name w:val="List Paragraph"/>
    <w:basedOn w:val="Normal"/>
    <w:uiPriority w:val="34"/>
    <w:qFormat/>
    <w:rsid w:val="00FE10F8"/>
    <w:pPr>
      <w:ind w:left="720"/>
      <w:contextualSpacing/>
    </w:pPr>
  </w:style>
  <w:style w:type="character" w:styleId="IntenseEmphasis">
    <w:name w:val="Intense Emphasis"/>
    <w:basedOn w:val="DefaultParagraphFont"/>
    <w:uiPriority w:val="21"/>
    <w:qFormat/>
    <w:rsid w:val="00FE10F8"/>
    <w:rPr>
      <w:i/>
      <w:iCs/>
      <w:color w:val="0F4761" w:themeColor="accent1" w:themeShade="BF"/>
    </w:rPr>
  </w:style>
  <w:style w:type="paragraph" w:styleId="IntenseQuote">
    <w:name w:val="Intense Quote"/>
    <w:basedOn w:val="Normal"/>
    <w:next w:val="Normal"/>
    <w:link w:val="IntenseQuoteChar"/>
    <w:uiPriority w:val="30"/>
    <w:qFormat/>
    <w:rsid w:val="00FE10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10F8"/>
    <w:rPr>
      <w:i/>
      <w:iCs/>
      <w:color w:val="0F4761" w:themeColor="accent1" w:themeShade="BF"/>
    </w:rPr>
  </w:style>
  <w:style w:type="character" w:styleId="IntenseReference">
    <w:name w:val="Intense Reference"/>
    <w:basedOn w:val="DefaultParagraphFont"/>
    <w:uiPriority w:val="32"/>
    <w:qFormat/>
    <w:rsid w:val="00FE10F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128</TotalTime>
  <Pages>5</Pages>
  <Words>1865</Words>
  <Characters>9441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ashh 12</dc:creator>
  <cp:keywords/>
  <dc:description/>
  <cp:lastModifiedBy>ashh 12</cp:lastModifiedBy>
  <cp:revision>5</cp:revision>
  <dcterms:created xsi:type="dcterms:W3CDTF">2026-06-05T09:50:00Z</dcterms:created>
  <dcterms:modified xsi:type="dcterms:W3CDTF">2026-06-09T09:50:00Z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de018beb-a69e-419d-821e-8b19bdf42f31</vt:lpwstr>
  </property>
</Properties>
</file>