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C0A2BF" w14:textId="77777777" w:rsidR="006C6C24" w:rsidRPr="003F1A11" w:rsidRDefault="006C6C24" w:rsidP="006C6C24">
      <w:pPr>
        <w:spacing w:line="240" w:lineRule="auto"/>
        <w:jc w:val="center"/>
        <w:rPr>
          <w:rFonts w:cs="Times New Roman"/>
          <w:b/>
          <w:sz w:val="32"/>
          <w:szCs w:val="32"/>
        </w:rPr>
      </w:pPr>
      <w:r w:rsidRPr="003F1A11">
        <w:rPr>
          <w:rFonts w:cs="Times New Roman"/>
          <w:noProof/>
          <w:lang w:val="en-IN" w:eastAsia="en-IN" w:bidi="hi-IN"/>
        </w:rPr>
        <w:drawing>
          <wp:inline distT="0" distB="0" distL="0" distR="0" wp14:anchorId="3A988A34" wp14:editId="08FAC5D6">
            <wp:extent cx="4503420" cy="1492250"/>
            <wp:effectExtent l="133350" t="76200" r="87630" b="127000"/>
            <wp:docPr id="868110649" name="Picture 868110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03420" cy="149225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55303E65" w14:textId="77777777" w:rsidR="006C6C24" w:rsidRPr="003F1A11" w:rsidRDefault="006C6C24" w:rsidP="006C6C24">
      <w:pPr>
        <w:spacing w:line="240" w:lineRule="auto"/>
        <w:jc w:val="center"/>
        <w:rPr>
          <w:rFonts w:cs="Times New Roman"/>
          <w:b/>
          <w:sz w:val="32"/>
          <w:szCs w:val="32"/>
        </w:rPr>
      </w:pPr>
    </w:p>
    <w:sdt>
      <w:sdtPr>
        <w:rPr>
          <w:rFonts w:ascii="Times New Roman" w:eastAsia="Aptos" w:hAnsi="Times New Roman" w:cs="Times New Roman"/>
          <w:color w:val="4F81BD" w:themeColor="accent1"/>
          <w:kern w:val="2"/>
          <w:sz w:val="24"/>
          <w:szCs w:val="24"/>
          <w:lang w:val="en-GB" w:eastAsia="en-IN"/>
          <w14:ligatures w14:val="standardContextual"/>
        </w:rPr>
        <w:id w:val="-194394175"/>
        <w:docPartObj>
          <w:docPartGallery w:val="Cover Pages"/>
          <w:docPartUnique/>
        </w:docPartObj>
      </w:sdtPr>
      <w:sdtEndPr>
        <w:rPr>
          <w:rFonts w:ascii="Arial" w:eastAsia="Arial" w:hAnsi="Arial"/>
          <w:b/>
          <w:color w:val="auto"/>
          <w:kern w:val="0"/>
          <w:sz w:val="28"/>
          <w:szCs w:val="28"/>
          <w:lang w:eastAsia="en-US"/>
          <w14:ligatures w14:val="none"/>
        </w:rPr>
      </w:sdtEndPr>
      <w:sdtContent>
        <w:sdt>
          <w:sdtPr>
            <w:rPr>
              <w:rFonts w:ascii="Times New Roman" w:hAnsi="Times New Roman" w:cs="Times New Roman"/>
              <w:b/>
              <w:bCs/>
              <w:color w:val="92CDDC" w:themeColor="accent5" w:themeTint="99"/>
              <w:sz w:val="56"/>
              <w:szCs w:val="56"/>
              <w:lang w:val="en-IN"/>
            </w:rPr>
            <w:alias w:val="Title"/>
            <w:tag w:val=""/>
            <w:id w:val="1735040861"/>
            <w:placeholder>
              <w:docPart w:val="2525FC9305804CB7B8EFD6D0301ABA1C"/>
            </w:placeholder>
            <w:dataBinding w:prefixMappings="xmlns:ns0='http://purl.org/dc/elements/1.1/' xmlns:ns1='http://schemas.openxmlformats.org/package/2006/metadata/core-properties' " w:xpath="/ns1:coreProperties[1]/ns0:title[1]" w:storeItemID="{6C3C8BC8-F283-45AE-878A-BAB7291924A1}"/>
            <w:text/>
          </w:sdtPr>
          <w:sdtContent>
            <w:p w14:paraId="36D68DB2" w14:textId="60F2ACAF" w:rsidR="006C6C24" w:rsidRPr="003F1A11" w:rsidRDefault="006C6C24" w:rsidP="006C6C24">
              <w:pPr>
                <w:pStyle w:val="NoSpacing"/>
                <w:pBdr>
                  <w:top w:val="single" w:sz="6" w:space="6" w:color="4F81BD" w:themeColor="accent1"/>
                  <w:bottom w:val="single" w:sz="6" w:space="0" w:color="4F81BD" w:themeColor="accent1"/>
                </w:pBdr>
                <w:spacing w:after="240" w:line="600" w:lineRule="auto"/>
                <w:jc w:val="center"/>
                <w:rPr>
                  <w:rFonts w:ascii="Times New Roman" w:eastAsiaTheme="majorEastAsia" w:hAnsi="Times New Roman" w:cs="Times New Roman"/>
                  <w:caps/>
                  <w:color w:val="4F81BD" w:themeColor="accent1"/>
                  <w:sz w:val="80"/>
                  <w:szCs w:val="80"/>
                </w:rPr>
              </w:pPr>
              <w:r w:rsidRPr="006C6C24">
                <w:rPr>
                  <w:rFonts w:ascii="Times New Roman" w:hAnsi="Times New Roman" w:cs="Times New Roman"/>
                  <w:b/>
                  <w:bCs/>
                  <w:color w:val="92CDDC" w:themeColor="accent5" w:themeTint="99"/>
                  <w:sz w:val="56"/>
                  <w:szCs w:val="56"/>
                  <w:lang w:val="en-IN"/>
                </w:rPr>
                <w:t>FINANCIAL MANAGEMENT</w:t>
              </w:r>
            </w:p>
          </w:sdtContent>
        </w:sdt>
        <w:p w14:paraId="6006B9CF" w14:textId="77777777" w:rsidR="006C6C24" w:rsidRPr="003F1A11" w:rsidRDefault="006C6C24" w:rsidP="006C6C24">
          <w:pPr>
            <w:spacing w:line="600" w:lineRule="auto"/>
            <w:jc w:val="center"/>
            <w:rPr>
              <w:rFonts w:cs="Times New Roman"/>
              <w:b/>
              <w:bCs/>
              <w:i/>
              <w:iCs/>
              <w:noProof/>
              <w:sz w:val="12"/>
              <w:szCs w:val="12"/>
              <w:lang w:val="en-IN" w:eastAsia="en-IN" w:bidi="hi-IN"/>
            </w:rPr>
          </w:pPr>
        </w:p>
        <w:p w14:paraId="7D13135C" w14:textId="67A2CBB9" w:rsidR="006C6C24" w:rsidRPr="003F1A11" w:rsidRDefault="006C6C24" w:rsidP="006C6C24">
          <w:pPr>
            <w:spacing w:line="600" w:lineRule="auto"/>
            <w:jc w:val="center"/>
          </w:pPr>
          <w:r>
            <w:rPr>
              <w:noProof/>
              <w:lang w:val="en-IN" w:eastAsia="en-IN" w:bidi="hi-IN"/>
            </w:rPr>
            <w:drawing>
              <wp:inline distT="0" distB="0" distL="0" distR="0" wp14:anchorId="6B6E6C45" wp14:editId="442F01EE">
                <wp:extent cx="3794760" cy="2529700"/>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evepb-coins-1015125.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804305" cy="2536063"/>
                        </a:xfrm>
                        <a:prstGeom prst="rect">
                          <a:avLst/>
                        </a:prstGeom>
                      </pic:spPr>
                    </pic:pic>
                  </a:graphicData>
                </a:graphic>
              </wp:inline>
            </w:drawing>
          </w:r>
        </w:p>
        <w:p w14:paraId="6496F1C8" w14:textId="77777777" w:rsidR="006C6C24" w:rsidRPr="003F1A11" w:rsidRDefault="006C6C24" w:rsidP="006C6C24">
          <w:pPr>
            <w:spacing w:line="480" w:lineRule="auto"/>
            <w:jc w:val="center"/>
            <w:rPr>
              <w:rFonts w:cs="Times New Roman"/>
              <w:i/>
              <w:iCs/>
              <w:sz w:val="28"/>
              <w:szCs w:val="28"/>
            </w:rPr>
          </w:pPr>
          <w:r w:rsidRPr="003F1A11">
            <w:rPr>
              <w:rFonts w:cs="Times New Roman"/>
              <w:sz w:val="28"/>
              <w:szCs w:val="28"/>
            </w:rPr>
            <w:t>Student Name:</w:t>
          </w:r>
          <w:r w:rsidRPr="003F1A11">
            <w:rPr>
              <w:rFonts w:cs="Times New Roman"/>
              <w:b/>
              <w:bCs/>
              <w:i/>
              <w:iCs/>
              <w:sz w:val="28"/>
              <w:szCs w:val="28"/>
            </w:rPr>
            <w:t xml:space="preserve"> </w:t>
          </w:r>
          <w:proofErr w:type="spellStart"/>
          <w:r>
            <w:rPr>
              <w:rFonts w:cs="Times New Roman"/>
              <w:b/>
              <w:bCs/>
              <w:sz w:val="28"/>
              <w:szCs w:val="28"/>
            </w:rPr>
            <w:t>Fennyben</w:t>
          </w:r>
          <w:proofErr w:type="spellEnd"/>
          <w:r>
            <w:rPr>
              <w:rFonts w:cs="Times New Roman"/>
              <w:b/>
              <w:bCs/>
              <w:sz w:val="28"/>
              <w:szCs w:val="28"/>
            </w:rPr>
            <w:t xml:space="preserve"> </w:t>
          </w:r>
          <w:proofErr w:type="spellStart"/>
          <w:r>
            <w:rPr>
              <w:rFonts w:cs="Times New Roman"/>
              <w:b/>
              <w:bCs/>
              <w:sz w:val="28"/>
              <w:szCs w:val="28"/>
            </w:rPr>
            <w:t>Vijaykumar</w:t>
          </w:r>
          <w:proofErr w:type="spellEnd"/>
          <w:r>
            <w:rPr>
              <w:rFonts w:cs="Times New Roman"/>
              <w:b/>
              <w:bCs/>
              <w:sz w:val="28"/>
              <w:szCs w:val="28"/>
            </w:rPr>
            <w:t xml:space="preserve"> </w:t>
          </w:r>
          <w:proofErr w:type="spellStart"/>
          <w:r>
            <w:rPr>
              <w:rFonts w:cs="Times New Roman"/>
              <w:b/>
              <w:bCs/>
              <w:sz w:val="28"/>
              <w:szCs w:val="28"/>
            </w:rPr>
            <w:t>Surti</w:t>
          </w:r>
          <w:proofErr w:type="spellEnd"/>
        </w:p>
        <w:p w14:paraId="0DC67DD8" w14:textId="77777777" w:rsidR="006C6C24" w:rsidRPr="003F1A11" w:rsidRDefault="006C6C24" w:rsidP="006C6C24">
          <w:pPr>
            <w:spacing w:line="480" w:lineRule="auto"/>
            <w:jc w:val="center"/>
            <w:rPr>
              <w:rFonts w:cs="Times New Roman"/>
              <w:b/>
              <w:bCs/>
              <w:sz w:val="28"/>
              <w:szCs w:val="28"/>
            </w:rPr>
          </w:pPr>
          <w:r w:rsidRPr="003F1A11">
            <w:rPr>
              <w:rFonts w:cs="Times New Roman"/>
              <w:sz w:val="28"/>
              <w:szCs w:val="28"/>
            </w:rPr>
            <w:t>Student ID Number</w:t>
          </w:r>
          <w:r w:rsidRPr="003F1A11">
            <w:rPr>
              <w:rFonts w:cs="Times New Roman"/>
              <w:b/>
              <w:bCs/>
              <w:i/>
              <w:iCs/>
              <w:sz w:val="28"/>
              <w:szCs w:val="28"/>
            </w:rPr>
            <w:t xml:space="preserve">: </w:t>
          </w:r>
          <w:r>
            <w:rPr>
              <w:rFonts w:cs="Times New Roman"/>
              <w:b/>
              <w:bCs/>
              <w:sz w:val="28"/>
              <w:szCs w:val="28"/>
            </w:rPr>
            <w:t>2534403</w:t>
          </w:r>
        </w:p>
        <w:p w14:paraId="12D6886F" w14:textId="77777777" w:rsidR="006C6C24" w:rsidRPr="003F1A11" w:rsidRDefault="006C6C24" w:rsidP="006C6C24">
          <w:pPr>
            <w:spacing w:line="480" w:lineRule="auto"/>
            <w:jc w:val="center"/>
            <w:rPr>
              <w:rFonts w:cs="Times New Roman"/>
              <w:i/>
              <w:iCs/>
              <w:sz w:val="28"/>
              <w:szCs w:val="28"/>
            </w:rPr>
          </w:pPr>
          <w:r w:rsidRPr="003F1A11">
            <w:rPr>
              <w:rFonts w:cs="Times New Roman"/>
              <w:sz w:val="28"/>
              <w:szCs w:val="28"/>
            </w:rPr>
            <w:t>Course Name</w:t>
          </w:r>
          <w:r w:rsidRPr="003F1A11">
            <w:rPr>
              <w:rFonts w:cs="Times New Roman"/>
              <w:b/>
              <w:bCs/>
              <w:i/>
              <w:iCs/>
              <w:sz w:val="28"/>
              <w:szCs w:val="28"/>
            </w:rPr>
            <w:t>:</w:t>
          </w:r>
          <w:r w:rsidRPr="003F1A11">
            <w:rPr>
              <w:rFonts w:cs="Times New Roman"/>
              <w:i/>
              <w:iCs/>
              <w:sz w:val="28"/>
              <w:szCs w:val="28"/>
            </w:rPr>
            <w:t xml:space="preserve"> </w:t>
          </w:r>
          <w:r>
            <w:rPr>
              <w:rFonts w:cs="Times New Roman"/>
              <w:b/>
              <w:bCs/>
              <w:sz w:val="28"/>
              <w:szCs w:val="28"/>
            </w:rPr>
            <w:t>MBA International Business Management</w:t>
          </w:r>
        </w:p>
        <w:p w14:paraId="4B3CD04F" w14:textId="4E4EBEAE" w:rsidR="006C6C24" w:rsidRPr="003F1A11" w:rsidRDefault="006C6C24" w:rsidP="006C6C24">
          <w:pPr>
            <w:spacing w:line="480" w:lineRule="auto"/>
            <w:jc w:val="center"/>
            <w:rPr>
              <w:rFonts w:cs="Times New Roman"/>
              <w:i/>
              <w:iCs/>
              <w:sz w:val="28"/>
              <w:szCs w:val="28"/>
            </w:rPr>
          </w:pPr>
          <w:r w:rsidRPr="003F1A11">
            <w:rPr>
              <w:rFonts w:cs="Times New Roman"/>
              <w:sz w:val="28"/>
              <w:szCs w:val="28"/>
            </w:rPr>
            <w:t>Lecturer Name</w:t>
          </w:r>
          <w:r>
            <w:rPr>
              <w:rFonts w:cs="Times New Roman"/>
              <w:b/>
              <w:bCs/>
              <w:i/>
              <w:iCs/>
              <w:sz w:val="28"/>
              <w:szCs w:val="28"/>
            </w:rPr>
            <w:t xml:space="preserve">: </w:t>
          </w:r>
          <w:bookmarkStart w:id="0" w:name="_GoBack"/>
          <w:bookmarkEnd w:id="0"/>
          <w:r>
            <w:rPr>
              <w:rFonts w:cs="Times New Roman"/>
              <w:b/>
              <w:bCs/>
              <w:sz w:val="28"/>
              <w:szCs w:val="28"/>
            </w:rPr>
            <w:t xml:space="preserve">M.D. </w:t>
          </w:r>
          <w:proofErr w:type="spellStart"/>
          <w:r>
            <w:rPr>
              <w:rFonts w:cs="Times New Roman"/>
              <w:b/>
              <w:bCs/>
              <w:sz w:val="28"/>
              <w:szCs w:val="28"/>
            </w:rPr>
            <w:t>Kalam</w:t>
          </w:r>
          <w:proofErr w:type="spellEnd"/>
        </w:p>
        <w:p w14:paraId="77103333" w14:textId="77777777" w:rsidR="006C6C24" w:rsidRPr="003F1A11" w:rsidRDefault="006C6C24" w:rsidP="006C6C24">
          <w:pPr>
            <w:spacing w:line="480" w:lineRule="auto"/>
            <w:jc w:val="center"/>
            <w:rPr>
              <w:rFonts w:cs="Times New Roman"/>
              <w:sz w:val="28"/>
              <w:szCs w:val="28"/>
            </w:rPr>
          </w:pPr>
          <w:r w:rsidRPr="003F1A11">
            <w:rPr>
              <w:rFonts w:cs="Times New Roman"/>
              <w:sz w:val="28"/>
              <w:szCs w:val="28"/>
            </w:rPr>
            <w:t>Term</w:t>
          </w:r>
          <w:r w:rsidRPr="003F1A11">
            <w:rPr>
              <w:rFonts w:cs="Times New Roman"/>
              <w:i/>
              <w:iCs/>
              <w:sz w:val="28"/>
              <w:szCs w:val="28"/>
            </w:rPr>
            <w:t xml:space="preserve">: </w:t>
          </w:r>
          <w:r>
            <w:rPr>
              <w:rFonts w:cs="Times New Roman"/>
              <w:b/>
              <w:bCs/>
              <w:sz w:val="28"/>
              <w:szCs w:val="28"/>
            </w:rPr>
            <w:t>June 2026</w:t>
          </w:r>
        </w:p>
        <w:p w14:paraId="438916D3" w14:textId="5FCC409E" w:rsidR="006C6C24" w:rsidRPr="003F1A11" w:rsidRDefault="006C6C24" w:rsidP="006C6C24">
          <w:pPr>
            <w:spacing w:line="480" w:lineRule="auto"/>
            <w:jc w:val="center"/>
            <w:rPr>
              <w:rFonts w:cs="Times New Roman"/>
              <w:b/>
              <w:bCs/>
              <w:i/>
              <w:iCs/>
              <w:sz w:val="28"/>
              <w:szCs w:val="28"/>
              <w:lang w:bidi="gu-IN"/>
            </w:rPr>
          </w:pPr>
          <w:r w:rsidRPr="003F1A11">
            <w:rPr>
              <w:rFonts w:cs="Times New Roman"/>
              <w:sz w:val="28"/>
              <w:szCs w:val="28"/>
            </w:rPr>
            <w:t>Word count</w:t>
          </w:r>
          <w:r>
            <w:rPr>
              <w:rFonts w:cs="Times New Roman"/>
              <w:b/>
              <w:bCs/>
              <w:sz w:val="28"/>
              <w:szCs w:val="28"/>
            </w:rPr>
            <w:t>: 5226</w:t>
          </w:r>
        </w:p>
        <w:p w14:paraId="2C52EDD1" w14:textId="0B0FADCE" w:rsidR="00664A03" w:rsidRPr="006C6C24" w:rsidRDefault="006C6C24" w:rsidP="006C6C24">
          <w:pPr>
            <w:tabs>
              <w:tab w:val="left" w:pos="1650"/>
            </w:tabs>
            <w:spacing w:after="240" w:line="480" w:lineRule="auto"/>
            <w:jc w:val="center"/>
            <w:rPr>
              <w:rFonts w:cs="Times New Roman"/>
              <w:b/>
              <w:sz w:val="28"/>
              <w:szCs w:val="28"/>
            </w:rPr>
          </w:pPr>
          <w:r w:rsidRPr="003F1A11">
            <w:rPr>
              <w:rFonts w:cs="Times New Roman"/>
              <w:sz w:val="28"/>
              <w:szCs w:val="28"/>
            </w:rPr>
            <w:t>Submission deadline</w:t>
          </w:r>
          <w:r w:rsidRPr="003F1A11">
            <w:rPr>
              <w:rFonts w:cs="Times New Roman"/>
              <w:b/>
              <w:bCs/>
              <w:i/>
              <w:iCs/>
              <w:sz w:val="28"/>
              <w:szCs w:val="28"/>
            </w:rPr>
            <w:t xml:space="preserve">: </w:t>
          </w:r>
          <w:r>
            <w:rPr>
              <w:rFonts w:cs="Times New Roman"/>
              <w:b/>
              <w:bCs/>
              <w:sz w:val="28"/>
              <w:szCs w:val="28"/>
            </w:rPr>
            <w:t>13</w:t>
          </w:r>
          <w:r>
            <w:rPr>
              <w:rFonts w:cs="Times New Roman"/>
              <w:b/>
              <w:bCs/>
              <w:sz w:val="28"/>
              <w:szCs w:val="28"/>
              <w:vertAlign w:val="superscript"/>
            </w:rPr>
            <w:t>th</w:t>
          </w:r>
          <w:r>
            <w:rPr>
              <w:rFonts w:cs="Times New Roman"/>
              <w:b/>
              <w:bCs/>
              <w:sz w:val="28"/>
              <w:szCs w:val="28"/>
            </w:rPr>
            <w:t xml:space="preserve"> August</w:t>
          </w:r>
          <w:r>
            <w:rPr>
              <w:rFonts w:cs="Times New Roman"/>
              <w:b/>
              <w:bCs/>
              <w:sz w:val="28"/>
              <w:szCs w:val="28"/>
            </w:rPr>
            <w:t xml:space="preserve"> 2026</w:t>
          </w:r>
        </w:p>
      </w:sdtContent>
    </w:sdt>
    <w:sdt>
      <w:sdtPr>
        <w:rPr>
          <w:rFonts w:ascii="Arial" w:eastAsia="Arial" w:hAnsi="Arial" w:cs="Arial"/>
          <w:color w:val="auto"/>
          <w:sz w:val="22"/>
          <w:szCs w:val="22"/>
          <w:lang w:val="en-GB"/>
        </w:rPr>
        <w:id w:val="-1933117934"/>
        <w:docPartObj>
          <w:docPartGallery w:val="Table of Contents"/>
          <w:docPartUnique/>
        </w:docPartObj>
      </w:sdtPr>
      <w:sdtEndPr>
        <w:rPr>
          <w:b/>
          <w:bCs/>
          <w:noProof/>
          <w:sz w:val="24"/>
          <w:szCs w:val="24"/>
        </w:rPr>
      </w:sdtEndPr>
      <w:sdtContent>
        <w:p w14:paraId="758E62CF" w14:textId="3C488D5B" w:rsidR="00664A03" w:rsidRPr="00E805AD" w:rsidRDefault="00664A03" w:rsidP="00E805AD">
          <w:pPr>
            <w:pStyle w:val="TOCHeading"/>
            <w:spacing w:before="0" w:after="240" w:line="360" w:lineRule="auto"/>
            <w:jc w:val="center"/>
            <w:rPr>
              <w:rFonts w:ascii="Arial" w:hAnsi="Arial" w:cs="Arial"/>
              <w:b/>
              <w:bCs/>
              <w:color w:val="auto"/>
              <w:sz w:val="28"/>
              <w:szCs w:val="28"/>
            </w:rPr>
          </w:pPr>
          <w:r w:rsidRPr="00E805AD">
            <w:rPr>
              <w:rFonts w:ascii="Arial" w:hAnsi="Arial" w:cs="Arial"/>
              <w:b/>
              <w:bCs/>
              <w:color w:val="auto"/>
              <w:sz w:val="28"/>
              <w:szCs w:val="28"/>
            </w:rPr>
            <w:t>Table of Contents</w:t>
          </w:r>
        </w:p>
        <w:p w14:paraId="0FD54711" w14:textId="4AA2B8E6" w:rsidR="00E805AD" w:rsidRPr="00E805AD" w:rsidRDefault="00664A03">
          <w:pPr>
            <w:pStyle w:val="TOC1"/>
            <w:tabs>
              <w:tab w:val="right" w:leader="dot" w:pos="9019"/>
            </w:tabs>
            <w:rPr>
              <w:rFonts w:eastAsiaTheme="minorEastAsia"/>
              <w:noProof/>
              <w:sz w:val="24"/>
              <w:szCs w:val="24"/>
              <w:lang w:val="en-US"/>
            </w:rPr>
          </w:pPr>
          <w:r w:rsidRPr="00E805AD">
            <w:rPr>
              <w:sz w:val="24"/>
              <w:szCs w:val="24"/>
            </w:rPr>
            <w:fldChar w:fldCharType="begin"/>
          </w:r>
          <w:r w:rsidRPr="00E805AD">
            <w:rPr>
              <w:sz w:val="24"/>
              <w:szCs w:val="24"/>
            </w:rPr>
            <w:instrText xml:space="preserve"> TOC \o "1-3" \h \z \u </w:instrText>
          </w:r>
          <w:r w:rsidRPr="00E805AD">
            <w:rPr>
              <w:sz w:val="24"/>
              <w:szCs w:val="24"/>
            </w:rPr>
            <w:fldChar w:fldCharType="separate"/>
          </w:r>
          <w:hyperlink w:anchor="_Toc234863804" w:history="1">
            <w:r w:rsidR="00E805AD" w:rsidRPr="00E805AD">
              <w:rPr>
                <w:rStyle w:val="Hyperlink"/>
                <w:noProof/>
                <w:sz w:val="24"/>
                <w:szCs w:val="24"/>
              </w:rPr>
              <w:t>1. Introduction</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_Toc234863804 \h </w:instrText>
            </w:r>
            <w:r w:rsidR="00E805AD" w:rsidRPr="00E805AD">
              <w:rPr>
                <w:noProof/>
                <w:webHidden/>
                <w:sz w:val="24"/>
                <w:szCs w:val="24"/>
              </w:rPr>
            </w:r>
            <w:r w:rsidR="00E805AD" w:rsidRPr="00E805AD">
              <w:rPr>
                <w:noProof/>
                <w:webHidden/>
                <w:sz w:val="24"/>
                <w:szCs w:val="24"/>
              </w:rPr>
              <w:fldChar w:fldCharType="separate"/>
            </w:r>
            <w:r w:rsidR="006C6C24">
              <w:rPr>
                <w:noProof/>
                <w:webHidden/>
                <w:sz w:val="24"/>
                <w:szCs w:val="24"/>
              </w:rPr>
              <w:t>3</w:t>
            </w:r>
            <w:r w:rsidR="00E805AD" w:rsidRPr="00E805AD">
              <w:rPr>
                <w:noProof/>
                <w:webHidden/>
                <w:sz w:val="24"/>
                <w:szCs w:val="24"/>
              </w:rPr>
              <w:fldChar w:fldCharType="end"/>
            </w:r>
          </w:hyperlink>
        </w:p>
        <w:p w14:paraId="041405EF" w14:textId="0AC2CE59" w:rsidR="00E805AD" w:rsidRPr="00E805AD" w:rsidRDefault="007E7395">
          <w:pPr>
            <w:pStyle w:val="TOC1"/>
            <w:tabs>
              <w:tab w:val="right" w:leader="dot" w:pos="9019"/>
            </w:tabs>
            <w:rPr>
              <w:rFonts w:eastAsiaTheme="minorEastAsia"/>
              <w:noProof/>
              <w:sz w:val="24"/>
              <w:szCs w:val="24"/>
              <w:lang w:val="en-US"/>
            </w:rPr>
          </w:pPr>
          <w:hyperlink w:anchor="_Toc234863805" w:history="1">
            <w:r w:rsidR="00E805AD" w:rsidRPr="00E805AD">
              <w:rPr>
                <w:rStyle w:val="Hyperlink"/>
                <w:noProof/>
                <w:sz w:val="24"/>
                <w:szCs w:val="24"/>
              </w:rPr>
              <w:t>2. Financial Health Check</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_Toc234863805 \h </w:instrText>
            </w:r>
            <w:r w:rsidR="00E805AD" w:rsidRPr="00E805AD">
              <w:rPr>
                <w:noProof/>
                <w:webHidden/>
                <w:sz w:val="24"/>
                <w:szCs w:val="24"/>
              </w:rPr>
            </w:r>
            <w:r w:rsidR="00E805AD" w:rsidRPr="00E805AD">
              <w:rPr>
                <w:noProof/>
                <w:webHidden/>
                <w:sz w:val="24"/>
                <w:szCs w:val="24"/>
              </w:rPr>
              <w:fldChar w:fldCharType="separate"/>
            </w:r>
            <w:r w:rsidR="006C6C24">
              <w:rPr>
                <w:noProof/>
                <w:webHidden/>
                <w:sz w:val="24"/>
                <w:szCs w:val="24"/>
              </w:rPr>
              <w:t>3</w:t>
            </w:r>
            <w:r w:rsidR="00E805AD" w:rsidRPr="00E805AD">
              <w:rPr>
                <w:noProof/>
                <w:webHidden/>
                <w:sz w:val="24"/>
                <w:szCs w:val="24"/>
              </w:rPr>
              <w:fldChar w:fldCharType="end"/>
            </w:r>
          </w:hyperlink>
        </w:p>
        <w:p w14:paraId="0F34627E" w14:textId="10D1C0B4" w:rsidR="00E805AD" w:rsidRPr="00E805AD" w:rsidRDefault="007E7395">
          <w:pPr>
            <w:pStyle w:val="TOC2"/>
            <w:tabs>
              <w:tab w:val="right" w:leader="dot" w:pos="9019"/>
            </w:tabs>
            <w:rPr>
              <w:rFonts w:eastAsiaTheme="minorEastAsia"/>
              <w:noProof/>
              <w:sz w:val="24"/>
              <w:szCs w:val="24"/>
              <w:lang w:val="en-US"/>
            </w:rPr>
          </w:pPr>
          <w:hyperlink w:anchor="_Toc234863806" w:history="1">
            <w:r w:rsidR="00E805AD" w:rsidRPr="00E805AD">
              <w:rPr>
                <w:rStyle w:val="Hyperlink"/>
                <w:noProof/>
                <w:sz w:val="24"/>
                <w:szCs w:val="24"/>
              </w:rPr>
              <w:t>2.1 Analyse the firm’s financial statements over the past five years</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_Toc234863806 \h </w:instrText>
            </w:r>
            <w:r w:rsidR="00E805AD" w:rsidRPr="00E805AD">
              <w:rPr>
                <w:noProof/>
                <w:webHidden/>
                <w:sz w:val="24"/>
                <w:szCs w:val="24"/>
              </w:rPr>
            </w:r>
            <w:r w:rsidR="00E805AD" w:rsidRPr="00E805AD">
              <w:rPr>
                <w:noProof/>
                <w:webHidden/>
                <w:sz w:val="24"/>
                <w:szCs w:val="24"/>
              </w:rPr>
              <w:fldChar w:fldCharType="separate"/>
            </w:r>
            <w:r w:rsidR="006C6C24">
              <w:rPr>
                <w:noProof/>
                <w:webHidden/>
                <w:sz w:val="24"/>
                <w:szCs w:val="24"/>
              </w:rPr>
              <w:t>3</w:t>
            </w:r>
            <w:r w:rsidR="00E805AD" w:rsidRPr="00E805AD">
              <w:rPr>
                <w:noProof/>
                <w:webHidden/>
                <w:sz w:val="24"/>
                <w:szCs w:val="24"/>
              </w:rPr>
              <w:fldChar w:fldCharType="end"/>
            </w:r>
          </w:hyperlink>
        </w:p>
        <w:p w14:paraId="67B325E2" w14:textId="5B8CAFCB" w:rsidR="00E805AD" w:rsidRPr="00E805AD" w:rsidRDefault="007E7395">
          <w:pPr>
            <w:pStyle w:val="TOC2"/>
            <w:tabs>
              <w:tab w:val="right" w:leader="dot" w:pos="9019"/>
            </w:tabs>
            <w:rPr>
              <w:rFonts w:eastAsiaTheme="minorEastAsia"/>
              <w:noProof/>
              <w:sz w:val="24"/>
              <w:szCs w:val="24"/>
              <w:lang w:val="en-US"/>
            </w:rPr>
          </w:pPr>
          <w:hyperlink w:anchor="_Toc234863807" w:history="1">
            <w:r w:rsidR="00E805AD" w:rsidRPr="00E805AD">
              <w:rPr>
                <w:rStyle w:val="Hyperlink"/>
                <w:noProof/>
                <w:sz w:val="24"/>
                <w:szCs w:val="24"/>
              </w:rPr>
              <w:t>2.2 Ratio analysis</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_Toc234863807 \h </w:instrText>
            </w:r>
            <w:r w:rsidR="00E805AD" w:rsidRPr="00E805AD">
              <w:rPr>
                <w:noProof/>
                <w:webHidden/>
                <w:sz w:val="24"/>
                <w:szCs w:val="24"/>
              </w:rPr>
            </w:r>
            <w:r w:rsidR="00E805AD" w:rsidRPr="00E805AD">
              <w:rPr>
                <w:noProof/>
                <w:webHidden/>
                <w:sz w:val="24"/>
                <w:szCs w:val="24"/>
              </w:rPr>
              <w:fldChar w:fldCharType="separate"/>
            </w:r>
            <w:r w:rsidR="006C6C24">
              <w:rPr>
                <w:noProof/>
                <w:webHidden/>
                <w:sz w:val="24"/>
                <w:szCs w:val="24"/>
              </w:rPr>
              <w:t>4</w:t>
            </w:r>
            <w:r w:rsidR="00E805AD" w:rsidRPr="00E805AD">
              <w:rPr>
                <w:noProof/>
                <w:webHidden/>
                <w:sz w:val="24"/>
                <w:szCs w:val="24"/>
              </w:rPr>
              <w:fldChar w:fldCharType="end"/>
            </w:r>
          </w:hyperlink>
        </w:p>
        <w:p w14:paraId="5EC12C16" w14:textId="52BBED52" w:rsidR="00E805AD" w:rsidRPr="00E805AD" w:rsidRDefault="007E7395">
          <w:pPr>
            <w:pStyle w:val="TOC2"/>
            <w:tabs>
              <w:tab w:val="right" w:leader="dot" w:pos="9019"/>
            </w:tabs>
            <w:rPr>
              <w:rFonts w:eastAsiaTheme="minorEastAsia"/>
              <w:noProof/>
              <w:sz w:val="24"/>
              <w:szCs w:val="24"/>
              <w:lang w:val="en-US"/>
            </w:rPr>
          </w:pPr>
          <w:hyperlink w:anchor="_Toc234863808" w:history="1">
            <w:r w:rsidR="00E805AD" w:rsidRPr="00E805AD">
              <w:rPr>
                <w:rStyle w:val="Hyperlink"/>
                <w:noProof/>
                <w:sz w:val="24"/>
                <w:szCs w:val="24"/>
              </w:rPr>
              <w:t>2.3 Identification of different factor</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_Toc234863808 \h </w:instrText>
            </w:r>
            <w:r w:rsidR="00E805AD" w:rsidRPr="00E805AD">
              <w:rPr>
                <w:noProof/>
                <w:webHidden/>
                <w:sz w:val="24"/>
                <w:szCs w:val="24"/>
              </w:rPr>
            </w:r>
            <w:r w:rsidR="00E805AD" w:rsidRPr="00E805AD">
              <w:rPr>
                <w:noProof/>
                <w:webHidden/>
                <w:sz w:val="24"/>
                <w:szCs w:val="24"/>
              </w:rPr>
              <w:fldChar w:fldCharType="separate"/>
            </w:r>
            <w:r w:rsidR="006C6C24">
              <w:rPr>
                <w:noProof/>
                <w:webHidden/>
                <w:sz w:val="24"/>
                <w:szCs w:val="24"/>
              </w:rPr>
              <w:t>5</w:t>
            </w:r>
            <w:r w:rsidR="00E805AD" w:rsidRPr="00E805AD">
              <w:rPr>
                <w:noProof/>
                <w:webHidden/>
                <w:sz w:val="24"/>
                <w:szCs w:val="24"/>
              </w:rPr>
              <w:fldChar w:fldCharType="end"/>
            </w:r>
          </w:hyperlink>
        </w:p>
        <w:p w14:paraId="33C531CB" w14:textId="70776C81" w:rsidR="00E805AD" w:rsidRPr="00E805AD" w:rsidRDefault="007E7395">
          <w:pPr>
            <w:pStyle w:val="TOC2"/>
            <w:tabs>
              <w:tab w:val="right" w:leader="dot" w:pos="9019"/>
            </w:tabs>
            <w:rPr>
              <w:rFonts w:eastAsiaTheme="minorEastAsia"/>
              <w:noProof/>
              <w:sz w:val="24"/>
              <w:szCs w:val="24"/>
              <w:lang w:val="en-US"/>
            </w:rPr>
          </w:pPr>
          <w:hyperlink w:anchor="_Toc234863809" w:history="1">
            <w:r w:rsidR="00E805AD" w:rsidRPr="00E805AD">
              <w:rPr>
                <w:rStyle w:val="Hyperlink"/>
                <w:noProof/>
                <w:sz w:val="24"/>
                <w:szCs w:val="24"/>
              </w:rPr>
              <w:t>2.4 Comparison of liquidity ratios with industry benchmarks</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_Toc234863809 \h </w:instrText>
            </w:r>
            <w:r w:rsidR="00E805AD" w:rsidRPr="00E805AD">
              <w:rPr>
                <w:noProof/>
                <w:webHidden/>
                <w:sz w:val="24"/>
                <w:szCs w:val="24"/>
              </w:rPr>
            </w:r>
            <w:r w:rsidR="00E805AD" w:rsidRPr="00E805AD">
              <w:rPr>
                <w:noProof/>
                <w:webHidden/>
                <w:sz w:val="24"/>
                <w:szCs w:val="24"/>
              </w:rPr>
              <w:fldChar w:fldCharType="separate"/>
            </w:r>
            <w:r w:rsidR="006C6C24">
              <w:rPr>
                <w:noProof/>
                <w:webHidden/>
                <w:sz w:val="24"/>
                <w:szCs w:val="24"/>
              </w:rPr>
              <w:t>6</w:t>
            </w:r>
            <w:r w:rsidR="00E805AD" w:rsidRPr="00E805AD">
              <w:rPr>
                <w:noProof/>
                <w:webHidden/>
                <w:sz w:val="24"/>
                <w:szCs w:val="24"/>
              </w:rPr>
              <w:fldChar w:fldCharType="end"/>
            </w:r>
          </w:hyperlink>
        </w:p>
        <w:p w14:paraId="2F13FE81" w14:textId="206AA3F8" w:rsidR="00E805AD" w:rsidRPr="00E805AD" w:rsidRDefault="007E7395">
          <w:pPr>
            <w:pStyle w:val="TOC1"/>
            <w:tabs>
              <w:tab w:val="right" w:leader="dot" w:pos="9019"/>
            </w:tabs>
            <w:rPr>
              <w:rFonts w:eastAsiaTheme="minorEastAsia"/>
              <w:noProof/>
              <w:sz w:val="24"/>
              <w:szCs w:val="24"/>
              <w:lang w:val="en-US"/>
            </w:rPr>
          </w:pPr>
          <w:hyperlink w:anchor="_Toc234863810" w:history="1">
            <w:r w:rsidR="00E805AD" w:rsidRPr="00E805AD">
              <w:rPr>
                <w:rStyle w:val="Hyperlink"/>
                <w:noProof/>
                <w:sz w:val="24"/>
                <w:szCs w:val="24"/>
              </w:rPr>
              <w:t>3. Working Capital Management Analysis</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_Toc234863810 \h </w:instrText>
            </w:r>
            <w:r w:rsidR="00E805AD" w:rsidRPr="00E805AD">
              <w:rPr>
                <w:noProof/>
                <w:webHidden/>
                <w:sz w:val="24"/>
                <w:szCs w:val="24"/>
              </w:rPr>
            </w:r>
            <w:r w:rsidR="00E805AD" w:rsidRPr="00E805AD">
              <w:rPr>
                <w:noProof/>
                <w:webHidden/>
                <w:sz w:val="24"/>
                <w:szCs w:val="24"/>
              </w:rPr>
              <w:fldChar w:fldCharType="separate"/>
            </w:r>
            <w:r w:rsidR="006C6C24">
              <w:rPr>
                <w:noProof/>
                <w:webHidden/>
                <w:sz w:val="24"/>
                <w:szCs w:val="24"/>
              </w:rPr>
              <w:t>7</w:t>
            </w:r>
            <w:r w:rsidR="00E805AD" w:rsidRPr="00E805AD">
              <w:rPr>
                <w:noProof/>
                <w:webHidden/>
                <w:sz w:val="24"/>
                <w:szCs w:val="24"/>
              </w:rPr>
              <w:fldChar w:fldCharType="end"/>
            </w:r>
          </w:hyperlink>
        </w:p>
        <w:p w14:paraId="2D1778D3" w14:textId="5D8592AC" w:rsidR="00E805AD" w:rsidRPr="00E805AD" w:rsidRDefault="007E7395">
          <w:pPr>
            <w:pStyle w:val="TOC2"/>
            <w:tabs>
              <w:tab w:val="right" w:leader="dot" w:pos="9019"/>
            </w:tabs>
            <w:rPr>
              <w:rFonts w:eastAsiaTheme="minorEastAsia"/>
              <w:noProof/>
              <w:sz w:val="24"/>
              <w:szCs w:val="24"/>
              <w:lang w:val="en-US"/>
            </w:rPr>
          </w:pPr>
          <w:hyperlink w:anchor="_Toc234863811" w:history="1">
            <w:r w:rsidR="00E805AD" w:rsidRPr="00E805AD">
              <w:rPr>
                <w:rStyle w:val="Hyperlink"/>
                <w:noProof/>
                <w:sz w:val="24"/>
                <w:szCs w:val="24"/>
              </w:rPr>
              <w:t>3.1 Cash Operating Cycle</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_Toc234863811 \h </w:instrText>
            </w:r>
            <w:r w:rsidR="00E805AD" w:rsidRPr="00E805AD">
              <w:rPr>
                <w:noProof/>
                <w:webHidden/>
                <w:sz w:val="24"/>
                <w:szCs w:val="24"/>
              </w:rPr>
            </w:r>
            <w:r w:rsidR="00E805AD" w:rsidRPr="00E805AD">
              <w:rPr>
                <w:noProof/>
                <w:webHidden/>
                <w:sz w:val="24"/>
                <w:szCs w:val="24"/>
              </w:rPr>
              <w:fldChar w:fldCharType="separate"/>
            </w:r>
            <w:r w:rsidR="006C6C24">
              <w:rPr>
                <w:noProof/>
                <w:webHidden/>
                <w:sz w:val="24"/>
                <w:szCs w:val="24"/>
              </w:rPr>
              <w:t>7</w:t>
            </w:r>
            <w:r w:rsidR="00E805AD" w:rsidRPr="00E805AD">
              <w:rPr>
                <w:noProof/>
                <w:webHidden/>
                <w:sz w:val="24"/>
                <w:szCs w:val="24"/>
              </w:rPr>
              <w:fldChar w:fldCharType="end"/>
            </w:r>
          </w:hyperlink>
        </w:p>
        <w:p w14:paraId="788307F2" w14:textId="0BBE69DA" w:rsidR="00E805AD" w:rsidRPr="00E805AD" w:rsidRDefault="007E7395">
          <w:pPr>
            <w:pStyle w:val="TOC2"/>
            <w:tabs>
              <w:tab w:val="right" w:leader="dot" w:pos="9019"/>
            </w:tabs>
            <w:rPr>
              <w:rFonts w:eastAsiaTheme="minorEastAsia"/>
              <w:noProof/>
              <w:sz w:val="24"/>
              <w:szCs w:val="24"/>
              <w:lang w:val="en-US"/>
            </w:rPr>
          </w:pPr>
          <w:hyperlink w:anchor="_Toc234863812" w:history="1">
            <w:r w:rsidR="00E805AD" w:rsidRPr="00E805AD">
              <w:rPr>
                <w:rStyle w:val="Hyperlink"/>
                <w:noProof/>
                <w:sz w:val="24"/>
                <w:szCs w:val="24"/>
              </w:rPr>
              <w:t>3.2 Recommend Strategies to Improve Liquidity through Working Capital Reform</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_Toc234863812 \h </w:instrText>
            </w:r>
            <w:r w:rsidR="00E805AD" w:rsidRPr="00E805AD">
              <w:rPr>
                <w:noProof/>
                <w:webHidden/>
                <w:sz w:val="24"/>
                <w:szCs w:val="24"/>
              </w:rPr>
            </w:r>
            <w:r w:rsidR="00E805AD" w:rsidRPr="00E805AD">
              <w:rPr>
                <w:noProof/>
                <w:webHidden/>
                <w:sz w:val="24"/>
                <w:szCs w:val="24"/>
              </w:rPr>
              <w:fldChar w:fldCharType="separate"/>
            </w:r>
            <w:r w:rsidR="006C6C24">
              <w:rPr>
                <w:noProof/>
                <w:webHidden/>
                <w:sz w:val="24"/>
                <w:szCs w:val="24"/>
              </w:rPr>
              <w:t>9</w:t>
            </w:r>
            <w:r w:rsidR="00E805AD" w:rsidRPr="00E805AD">
              <w:rPr>
                <w:noProof/>
                <w:webHidden/>
                <w:sz w:val="24"/>
                <w:szCs w:val="24"/>
              </w:rPr>
              <w:fldChar w:fldCharType="end"/>
            </w:r>
          </w:hyperlink>
        </w:p>
        <w:p w14:paraId="55D4D230" w14:textId="6F0C2BBC" w:rsidR="00E805AD" w:rsidRPr="00E805AD" w:rsidRDefault="007E7395">
          <w:pPr>
            <w:pStyle w:val="TOC2"/>
            <w:tabs>
              <w:tab w:val="right" w:leader="dot" w:pos="9019"/>
            </w:tabs>
            <w:rPr>
              <w:rFonts w:eastAsiaTheme="minorEastAsia"/>
              <w:noProof/>
              <w:sz w:val="24"/>
              <w:szCs w:val="24"/>
              <w:lang w:val="en-US"/>
            </w:rPr>
          </w:pPr>
          <w:hyperlink w:anchor="_Toc234863813" w:history="1">
            <w:r w:rsidR="00E805AD" w:rsidRPr="00E805AD">
              <w:rPr>
                <w:rStyle w:val="Hyperlink"/>
                <w:noProof/>
                <w:sz w:val="24"/>
                <w:szCs w:val="24"/>
              </w:rPr>
              <w:t>3.3 Comparison of Short-Term Vs Long-Term Financing Options</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_Toc234863813 \h </w:instrText>
            </w:r>
            <w:r w:rsidR="00E805AD" w:rsidRPr="00E805AD">
              <w:rPr>
                <w:noProof/>
                <w:webHidden/>
                <w:sz w:val="24"/>
                <w:szCs w:val="24"/>
              </w:rPr>
            </w:r>
            <w:r w:rsidR="00E805AD" w:rsidRPr="00E805AD">
              <w:rPr>
                <w:noProof/>
                <w:webHidden/>
                <w:sz w:val="24"/>
                <w:szCs w:val="24"/>
              </w:rPr>
              <w:fldChar w:fldCharType="separate"/>
            </w:r>
            <w:r w:rsidR="006C6C24">
              <w:rPr>
                <w:noProof/>
                <w:webHidden/>
                <w:sz w:val="24"/>
                <w:szCs w:val="24"/>
              </w:rPr>
              <w:t>10</w:t>
            </w:r>
            <w:r w:rsidR="00E805AD" w:rsidRPr="00E805AD">
              <w:rPr>
                <w:noProof/>
                <w:webHidden/>
                <w:sz w:val="24"/>
                <w:szCs w:val="24"/>
              </w:rPr>
              <w:fldChar w:fldCharType="end"/>
            </w:r>
          </w:hyperlink>
        </w:p>
        <w:p w14:paraId="60905E44" w14:textId="61B33A01" w:rsidR="00E805AD" w:rsidRPr="00E805AD" w:rsidRDefault="007E7395">
          <w:pPr>
            <w:pStyle w:val="TOC1"/>
            <w:tabs>
              <w:tab w:val="right" w:leader="dot" w:pos="9019"/>
            </w:tabs>
            <w:rPr>
              <w:rFonts w:eastAsiaTheme="minorEastAsia"/>
              <w:noProof/>
              <w:sz w:val="24"/>
              <w:szCs w:val="24"/>
              <w:lang w:val="en-US"/>
            </w:rPr>
          </w:pPr>
          <w:hyperlink w:anchor="_Toc234863814" w:history="1">
            <w:r w:rsidR="00E805AD" w:rsidRPr="00E805AD">
              <w:rPr>
                <w:rStyle w:val="Hyperlink"/>
                <w:noProof/>
                <w:sz w:val="24"/>
                <w:szCs w:val="24"/>
              </w:rPr>
              <w:t>4. Strategic Financial Restructuring Plan</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_Toc234863814 \h </w:instrText>
            </w:r>
            <w:r w:rsidR="00E805AD" w:rsidRPr="00E805AD">
              <w:rPr>
                <w:noProof/>
                <w:webHidden/>
                <w:sz w:val="24"/>
                <w:szCs w:val="24"/>
              </w:rPr>
            </w:r>
            <w:r w:rsidR="00E805AD" w:rsidRPr="00E805AD">
              <w:rPr>
                <w:noProof/>
                <w:webHidden/>
                <w:sz w:val="24"/>
                <w:szCs w:val="24"/>
              </w:rPr>
              <w:fldChar w:fldCharType="separate"/>
            </w:r>
            <w:r w:rsidR="006C6C24">
              <w:rPr>
                <w:noProof/>
                <w:webHidden/>
                <w:sz w:val="24"/>
                <w:szCs w:val="24"/>
              </w:rPr>
              <w:t>10</w:t>
            </w:r>
            <w:r w:rsidR="00E805AD" w:rsidRPr="00E805AD">
              <w:rPr>
                <w:noProof/>
                <w:webHidden/>
                <w:sz w:val="24"/>
                <w:szCs w:val="24"/>
              </w:rPr>
              <w:fldChar w:fldCharType="end"/>
            </w:r>
          </w:hyperlink>
        </w:p>
        <w:p w14:paraId="1D7D46F3" w14:textId="61C96869" w:rsidR="00E805AD" w:rsidRPr="00E805AD" w:rsidRDefault="007E7395">
          <w:pPr>
            <w:pStyle w:val="TOC2"/>
            <w:tabs>
              <w:tab w:val="right" w:leader="dot" w:pos="9019"/>
            </w:tabs>
            <w:rPr>
              <w:rFonts w:eastAsiaTheme="minorEastAsia"/>
              <w:noProof/>
              <w:sz w:val="24"/>
              <w:szCs w:val="24"/>
              <w:lang w:val="en-US"/>
            </w:rPr>
          </w:pPr>
          <w:hyperlink w:anchor="_Toc234863815" w:history="1">
            <w:r w:rsidR="00E805AD" w:rsidRPr="00E805AD">
              <w:rPr>
                <w:rStyle w:val="Hyperlink"/>
                <w:noProof/>
                <w:sz w:val="24"/>
                <w:szCs w:val="24"/>
              </w:rPr>
              <w:t>4.1 Financial Restructuring Options</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_Toc234863815 \h </w:instrText>
            </w:r>
            <w:r w:rsidR="00E805AD" w:rsidRPr="00E805AD">
              <w:rPr>
                <w:noProof/>
                <w:webHidden/>
                <w:sz w:val="24"/>
                <w:szCs w:val="24"/>
              </w:rPr>
            </w:r>
            <w:r w:rsidR="00E805AD" w:rsidRPr="00E805AD">
              <w:rPr>
                <w:noProof/>
                <w:webHidden/>
                <w:sz w:val="24"/>
                <w:szCs w:val="24"/>
              </w:rPr>
              <w:fldChar w:fldCharType="separate"/>
            </w:r>
            <w:r w:rsidR="006C6C24">
              <w:rPr>
                <w:noProof/>
                <w:webHidden/>
                <w:sz w:val="24"/>
                <w:szCs w:val="24"/>
              </w:rPr>
              <w:t>10</w:t>
            </w:r>
            <w:r w:rsidR="00E805AD" w:rsidRPr="00E805AD">
              <w:rPr>
                <w:noProof/>
                <w:webHidden/>
                <w:sz w:val="24"/>
                <w:szCs w:val="24"/>
              </w:rPr>
              <w:fldChar w:fldCharType="end"/>
            </w:r>
          </w:hyperlink>
        </w:p>
        <w:p w14:paraId="6A178F7F" w14:textId="33AB7F1E" w:rsidR="00E805AD" w:rsidRPr="00E805AD" w:rsidRDefault="007E7395">
          <w:pPr>
            <w:pStyle w:val="TOC2"/>
            <w:tabs>
              <w:tab w:val="right" w:leader="dot" w:pos="9019"/>
            </w:tabs>
            <w:rPr>
              <w:rFonts w:eastAsiaTheme="minorEastAsia"/>
              <w:noProof/>
              <w:sz w:val="24"/>
              <w:szCs w:val="24"/>
              <w:lang w:val="en-US"/>
            </w:rPr>
          </w:pPr>
          <w:hyperlink w:anchor="_Toc234863816" w:history="1">
            <w:r w:rsidR="00E805AD" w:rsidRPr="00E805AD">
              <w:rPr>
                <w:rStyle w:val="Hyperlink"/>
                <w:noProof/>
                <w:sz w:val="24"/>
                <w:szCs w:val="24"/>
              </w:rPr>
              <w:t>4.2 Evaluation</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_Toc234863816 \h </w:instrText>
            </w:r>
            <w:r w:rsidR="00E805AD" w:rsidRPr="00E805AD">
              <w:rPr>
                <w:noProof/>
                <w:webHidden/>
                <w:sz w:val="24"/>
                <w:szCs w:val="24"/>
              </w:rPr>
            </w:r>
            <w:r w:rsidR="00E805AD" w:rsidRPr="00E805AD">
              <w:rPr>
                <w:noProof/>
                <w:webHidden/>
                <w:sz w:val="24"/>
                <w:szCs w:val="24"/>
              </w:rPr>
              <w:fldChar w:fldCharType="separate"/>
            </w:r>
            <w:r w:rsidR="006C6C24">
              <w:rPr>
                <w:noProof/>
                <w:webHidden/>
                <w:sz w:val="24"/>
                <w:szCs w:val="24"/>
              </w:rPr>
              <w:t>11</w:t>
            </w:r>
            <w:r w:rsidR="00E805AD" w:rsidRPr="00E805AD">
              <w:rPr>
                <w:noProof/>
                <w:webHidden/>
                <w:sz w:val="24"/>
                <w:szCs w:val="24"/>
              </w:rPr>
              <w:fldChar w:fldCharType="end"/>
            </w:r>
          </w:hyperlink>
        </w:p>
        <w:p w14:paraId="24E8F652" w14:textId="18AE421F" w:rsidR="00E805AD" w:rsidRPr="00E805AD" w:rsidRDefault="007E7395">
          <w:pPr>
            <w:pStyle w:val="TOC2"/>
            <w:tabs>
              <w:tab w:val="right" w:leader="dot" w:pos="9019"/>
            </w:tabs>
            <w:rPr>
              <w:rFonts w:eastAsiaTheme="minorEastAsia"/>
              <w:noProof/>
              <w:sz w:val="24"/>
              <w:szCs w:val="24"/>
              <w:lang w:val="en-US"/>
            </w:rPr>
          </w:pPr>
          <w:hyperlink w:anchor="_Toc234863817" w:history="1">
            <w:r w:rsidR="00E805AD" w:rsidRPr="00E805AD">
              <w:rPr>
                <w:rStyle w:val="Hyperlink"/>
                <w:noProof/>
                <w:sz w:val="24"/>
                <w:szCs w:val="24"/>
              </w:rPr>
              <w:t>4.3 International and Ethical Considerations</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_Toc234863817 \h </w:instrText>
            </w:r>
            <w:r w:rsidR="00E805AD" w:rsidRPr="00E805AD">
              <w:rPr>
                <w:noProof/>
                <w:webHidden/>
                <w:sz w:val="24"/>
                <w:szCs w:val="24"/>
              </w:rPr>
            </w:r>
            <w:r w:rsidR="00E805AD" w:rsidRPr="00E805AD">
              <w:rPr>
                <w:noProof/>
                <w:webHidden/>
                <w:sz w:val="24"/>
                <w:szCs w:val="24"/>
              </w:rPr>
              <w:fldChar w:fldCharType="separate"/>
            </w:r>
            <w:r w:rsidR="006C6C24">
              <w:rPr>
                <w:noProof/>
                <w:webHidden/>
                <w:sz w:val="24"/>
                <w:szCs w:val="24"/>
              </w:rPr>
              <w:t>12</w:t>
            </w:r>
            <w:r w:rsidR="00E805AD" w:rsidRPr="00E805AD">
              <w:rPr>
                <w:noProof/>
                <w:webHidden/>
                <w:sz w:val="24"/>
                <w:szCs w:val="24"/>
              </w:rPr>
              <w:fldChar w:fldCharType="end"/>
            </w:r>
          </w:hyperlink>
        </w:p>
        <w:p w14:paraId="183E72F2" w14:textId="3D156929" w:rsidR="00E805AD" w:rsidRPr="00E805AD" w:rsidRDefault="007E7395">
          <w:pPr>
            <w:pStyle w:val="TOC1"/>
            <w:tabs>
              <w:tab w:val="right" w:leader="dot" w:pos="9019"/>
            </w:tabs>
            <w:rPr>
              <w:rFonts w:eastAsiaTheme="minorEastAsia"/>
              <w:noProof/>
              <w:sz w:val="24"/>
              <w:szCs w:val="24"/>
              <w:lang w:val="en-US"/>
            </w:rPr>
          </w:pPr>
          <w:hyperlink w:anchor="_Toc234863818" w:history="1">
            <w:r w:rsidR="00E805AD" w:rsidRPr="00E805AD">
              <w:rPr>
                <w:rStyle w:val="Hyperlink"/>
                <w:noProof/>
                <w:sz w:val="24"/>
                <w:szCs w:val="24"/>
              </w:rPr>
              <w:t>5. Investment Appraisal and Capital Budgeting</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_Toc234863818 \h </w:instrText>
            </w:r>
            <w:r w:rsidR="00E805AD" w:rsidRPr="00E805AD">
              <w:rPr>
                <w:noProof/>
                <w:webHidden/>
                <w:sz w:val="24"/>
                <w:szCs w:val="24"/>
              </w:rPr>
            </w:r>
            <w:r w:rsidR="00E805AD" w:rsidRPr="00E805AD">
              <w:rPr>
                <w:noProof/>
                <w:webHidden/>
                <w:sz w:val="24"/>
                <w:szCs w:val="24"/>
              </w:rPr>
              <w:fldChar w:fldCharType="separate"/>
            </w:r>
            <w:r w:rsidR="006C6C24">
              <w:rPr>
                <w:noProof/>
                <w:webHidden/>
                <w:sz w:val="24"/>
                <w:szCs w:val="24"/>
              </w:rPr>
              <w:t>13</w:t>
            </w:r>
            <w:r w:rsidR="00E805AD" w:rsidRPr="00E805AD">
              <w:rPr>
                <w:noProof/>
                <w:webHidden/>
                <w:sz w:val="24"/>
                <w:szCs w:val="24"/>
              </w:rPr>
              <w:fldChar w:fldCharType="end"/>
            </w:r>
          </w:hyperlink>
        </w:p>
        <w:p w14:paraId="2ECC6882" w14:textId="605D795D" w:rsidR="00E805AD" w:rsidRPr="00E805AD" w:rsidRDefault="007E7395">
          <w:pPr>
            <w:pStyle w:val="TOC2"/>
            <w:tabs>
              <w:tab w:val="right" w:leader="dot" w:pos="9019"/>
            </w:tabs>
            <w:rPr>
              <w:rFonts w:eastAsiaTheme="minorEastAsia"/>
              <w:noProof/>
              <w:sz w:val="24"/>
              <w:szCs w:val="24"/>
              <w:lang w:val="en-US"/>
            </w:rPr>
          </w:pPr>
          <w:hyperlink w:anchor="_Toc234863819" w:history="1">
            <w:r w:rsidR="00E805AD" w:rsidRPr="00E805AD">
              <w:rPr>
                <w:rStyle w:val="Hyperlink"/>
                <w:noProof/>
                <w:sz w:val="24"/>
                <w:szCs w:val="24"/>
              </w:rPr>
              <w:t>5.1 Investment Projects</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_Toc234863819 \h </w:instrText>
            </w:r>
            <w:r w:rsidR="00E805AD" w:rsidRPr="00E805AD">
              <w:rPr>
                <w:noProof/>
                <w:webHidden/>
                <w:sz w:val="24"/>
                <w:szCs w:val="24"/>
              </w:rPr>
            </w:r>
            <w:r w:rsidR="00E805AD" w:rsidRPr="00E805AD">
              <w:rPr>
                <w:noProof/>
                <w:webHidden/>
                <w:sz w:val="24"/>
                <w:szCs w:val="24"/>
              </w:rPr>
              <w:fldChar w:fldCharType="separate"/>
            </w:r>
            <w:r w:rsidR="006C6C24">
              <w:rPr>
                <w:noProof/>
                <w:webHidden/>
                <w:sz w:val="24"/>
                <w:szCs w:val="24"/>
              </w:rPr>
              <w:t>13</w:t>
            </w:r>
            <w:r w:rsidR="00E805AD" w:rsidRPr="00E805AD">
              <w:rPr>
                <w:noProof/>
                <w:webHidden/>
                <w:sz w:val="24"/>
                <w:szCs w:val="24"/>
              </w:rPr>
              <w:fldChar w:fldCharType="end"/>
            </w:r>
          </w:hyperlink>
        </w:p>
        <w:p w14:paraId="72D21EB6" w14:textId="72D9845E" w:rsidR="00E805AD" w:rsidRPr="00E805AD" w:rsidRDefault="007E7395">
          <w:pPr>
            <w:pStyle w:val="TOC2"/>
            <w:tabs>
              <w:tab w:val="right" w:leader="dot" w:pos="9019"/>
            </w:tabs>
            <w:rPr>
              <w:rFonts w:eastAsiaTheme="minorEastAsia"/>
              <w:noProof/>
              <w:sz w:val="24"/>
              <w:szCs w:val="24"/>
              <w:lang w:val="en-US"/>
            </w:rPr>
          </w:pPr>
          <w:hyperlink w:anchor="_Toc234863820" w:history="1">
            <w:r w:rsidR="00E805AD" w:rsidRPr="00E805AD">
              <w:rPr>
                <w:rStyle w:val="Hyperlink"/>
                <w:noProof/>
                <w:sz w:val="24"/>
                <w:szCs w:val="24"/>
              </w:rPr>
              <w:t>5.2 Recommendation</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_Toc234863820 \h </w:instrText>
            </w:r>
            <w:r w:rsidR="00E805AD" w:rsidRPr="00E805AD">
              <w:rPr>
                <w:noProof/>
                <w:webHidden/>
                <w:sz w:val="24"/>
                <w:szCs w:val="24"/>
              </w:rPr>
            </w:r>
            <w:r w:rsidR="00E805AD" w:rsidRPr="00E805AD">
              <w:rPr>
                <w:noProof/>
                <w:webHidden/>
                <w:sz w:val="24"/>
                <w:szCs w:val="24"/>
              </w:rPr>
              <w:fldChar w:fldCharType="separate"/>
            </w:r>
            <w:r w:rsidR="006C6C24">
              <w:rPr>
                <w:noProof/>
                <w:webHidden/>
                <w:sz w:val="24"/>
                <w:szCs w:val="24"/>
              </w:rPr>
              <w:t>15</w:t>
            </w:r>
            <w:r w:rsidR="00E805AD" w:rsidRPr="00E805AD">
              <w:rPr>
                <w:noProof/>
                <w:webHidden/>
                <w:sz w:val="24"/>
                <w:szCs w:val="24"/>
              </w:rPr>
              <w:fldChar w:fldCharType="end"/>
            </w:r>
          </w:hyperlink>
        </w:p>
        <w:p w14:paraId="01F12402" w14:textId="0A58B7C2" w:rsidR="00E805AD" w:rsidRPr="00E805AD" w:rsidRDefault="007E7395">
          <w:pPr>
            <w:pStyle w:val="TOC2"/>
            <w:tabs>
              <w:tab w:val="right" w:leader="dot" w:pos="9019"/>
            </w:tabs>
            <w:rPr>
              <w:rFonts w:eastAsiaTheme="minorEastAsia"/>
              <w:noProof/>
              <w:sz w:val="24"/>
              <w:szCs w:val="24"/>
              <w:lang w:val="en-US"/>
            </w:rPr>
          </w:pPr>
          <w:hyperlink w:anchor="_Toc234863821" w:history="1">
            <w:r w:rsidR="00E805AD" w:rsidRPr="00E805AD">
              <w:rPr>
                <w:rStyle w:val="Hyperlink"/>
                <w:noProof/>
                <w:sz w:val="24"/>
                <w:szCs w:val="24"/>
              </w:rPr>
              <w:t>5.3 Justification</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_Toc234863821 \h </w:instrText>
            </w:r>
            <w:r w:rsidR="00E805AD" w:rsidRPr="00E805AD">
              <w:rPr>
                <w:noProof/>
                <w:webHidden/>
                <w:sz w:val="24"/>
                <w:szCs w:val="24"/>
              </w:rPr>
            </w:r>
            <w:r w:rsidR="00E805AD" w:rsidRPr="00E805AD">
              <w:rPr>
                <w:noProof/>
                <w:webHidden/>
                <w:sz w:val="24"/>
                <w:szCs w:val="24"/>
              </w:rPr>
              <w:fldChar w:fldCharType="separate"/>
            </w:r>
            <w:r w:rsidR="006C6C24">
              <w:rPr>
                <w:noProof/>
                <w:webHidden/>
                <w:sz w:val="24"/>
                <w:szCs w:val="24"/>
              </w:rPr>
              <w:t>16</w:t>
            </w:r>
            <w:r w:rsidR="00E805AD" w:rsidRPr="00E805AD">
              <w:rPr>
                <w:noProof/>
                <w:webHidden/>
                <w:sz w:val="24"/>
                <w:szCs w:val="24"/>
              </w:rPr>
              <w:fldChar w:fldCharType="end"/>
            </w:r>
          </w:hyperlink>
        </w:p>
        <w:p w14:paraId="1AFF05D2" w14:textId="2371401B" w:rsidR="00E805AD" w:rsidRPr="00E805AD" w:rsidRDefault="007E7395">
          <w:pPr>
            <w:pStyle w:val="TOC2"/>
            <w:tabs>
              <w:tab w:val="right" w:leader="dot" w:pos="9019"/>
            </w:tabs>
            <w:rPr>
              <w:rFonts w:eastAsiaTheme="minorEastAsia"/>
              <w:noProof/>
              <w:sz w:val="24"/>
              <w:szCs w:val="24"/>
              <w:lang w:val="en-US"/>
            </w:rPr>
          </w:pPr>
          <w:hyperlink w:anchor="_Toc234863822" w:history="1">
            <w:r w:rsidR="00E805AD" w:rsidRPr="00E805AD">
              <w:rPr>
                <w:rStyle w:val="Hyperlink"/>
                <w:noProof/>
                <w:sz w:val="24"/>
                <w:szCs w:val="24"/>
              </w:rPr>
              <w:t>5.4 Example Assumption</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_Toc234863822 \h </w:instrText>
            </w:r>
            <w:r w:rsidR="00E805AD" w:rsidRPr="00E805AD">
              <w:rPr>
                <w:noProof/>
                <w:webHidden/>
                <w:sz w:val="24"/>
                <w:szCs w:val="24"/>
              </w:rPr>
            </w:r>
            <w:r w:rsidR="00E805AD" w:rsidRPr="00E805AD">
              <w:rPr>
                <w:noProof/>
                <w:webHidden/>
                <w:sz w:val="24"/>
                <w:szCs w:val="24"/>
              </w:rPr>
              <w:fldChar w:fldCharType="separate"/>
            </w:r>
            <w:r w:rsidR="006C6C24">
              <w:rPr>
                <w:noProof/>
                <w:webHidden/>
                <w:sz w:val="24"/>
                <w:szCs w:val="24"/>
              </w:rPr>
              <w:t>16</w:t>
            </w:r>
            <w:r w:rsidR="00E805AD" w:rsidRPr="00E805AD">
              <w:rPr>
                <w:noProof/>
                <w:webHidden/>
                <w:sz w:val="24"/>
                <w:szCs w:val="24"/>
              </w:rPr>
              <w:fldChar w:fldCharType="end"/>
            </w:r>
          </w:hyperlink>
        </w:p>
        <w:p w14:paraId="448EF965" w14:textId="23E92CBD" w:rsidR="00E805AD" w:rsidRPr="00E805AD" w:rsidRDefault="007E7395">
          <w:pPr>
            <w:pStyle w:val="TOC1"/>
            <w:tabs>
              <w:tab w:val="right" w:leader="dot" w:pos="9019"/>
            </w:tabs>
            <w:rPr>
              <w:rFonts w:eastAsiaTheme="minorEastAsia"/>
              <w:noProof/>
              <w:sz w:val="24"/>
              <w:szCs w:val="24"/>
              <w:lang w:val="en-US"/>
            </w:rPr>
          </w:pPr>
          <w:hyperlink w:anchor="_Toc234863823" w:history="1">
            <w:r w:rsidR="00E805AD" w:rsidRPr="00E805AD">
              <w:rPr>
                <w:rStyle w:val="Hyperlink"/>
                <w:noProof/>
                <w:sz w:val="24"/>
                <w:szCs w:val="24"/>
              </w:rPr>
              <w:t>6. Critical Reflection on AI Usage</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_Toc234863823 \h </w:instrText>
            </w:r>
            <w:r w:rsidR="00E805AD" w:rsidRPr="00E805AD">
              <w:rPr>
                <w:noProof/>
                <w:webHidden/>
                <w:sz w:val="24"/>
                <w:szCs w:val="24"/>
              </w:rPr>
            </w:r>
            <w:r w:rsidR="00E805AD" w:rsidRPr="00E805AD">
              <w:rPr>
                <w:noProof/>
                <w:webHidden/>
                <w:sz w:val="24"/>
                <w:szCs w:val="24"/>
              </w:rPr>
              <w:fldChar w:fldCharType="separate"/>
            </w:r>
            <w:r w:rsidR="006C6C24">
              <w:rPr>
                <w:noProof/>
                <w:webHidden/>
                <w:sz w:val="24"/>
                <w:szCs w:val="24"/>
              </w:rPr>
              <w:t>17</w:t>
            </w:r>
            <w:r w:rsidR="00E805AD" w:rsidRPr="00E805AD">
              <w:rPr>
                <w:noProof/>
                <w:webHidden/>
                <w:sz w:val="24"/>
                <w:szCs w:val="24"/>
              </w:rPr>
              <w:fldChar w:fldCharType="end"/>
            </w:r>
          </w:hyperlink>
        </w:p>
        <w:p w14:paraId="3C0279B3" w14:textId="34D4C4CC" w:rsidR="00E805AD" w:rsidRPr="00E805AD" w:rsidRDefault="007E7395">
          <w:pPr>
            <w:pStyle w:val="TOC2"/>
            <w:tabs>
              <w:tab w:val="right" w:leader="dot" w:pos="9019"/>
            </w:tabs>
            <w:rPr>
              <w:rFonts w:eastAsiaTheme="minorEastAsia"/>
              <w:noProof/>
              <w:sz w:val="24"/>
              <w:szCs w:val="24"/>
              <w:lang w:val="en-US"/>
            </w:rPr>
          </w:pPr>
          <w:hyperlink w:anchor="_Toc234863824" w:history="1">
            <w:r w:rsidR="00E805AD" w:rsidRPr="00E805AD">
              <w:rPr>
                <w:rStyle w:val="Hyperlink"/>
                <w:noProof/>
                <w:sz w:val="24"/>
                <w:szCs w:val="24"/>
              </w:rPr>
              <w:t>6.1 Tool Disclosure</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_Toc234863824 \h </w:instrText>
            </w:r>
            <w:r w:rsidR="00E805AD" w:rsidRPr="00E805AD">
              <w:rPr>
                <w:noProof/>
                <w:webHidden/>
                <w:sz w:val="24"/>
                <w:szCs w:val="24"/>
              </w:rPr>
            </w:r>
            <w:r w:rsidR="00E805AD" w:rsidRPr="00E805AD">
              <w:rPr>
                <w:noProof/>
                <w:webHidden/>
                <w:sz w:val="24"/>
                <w:szCs w:val="24"/>
              </w:rPr>
              <w:fldChar w:fldCharType="separate"/>
            </w:r>
            <w:r w:rsidR="006C6C24">
              <w:rPr>
                <w:noProof/>
                <w:webHidden/>
                <w:sz w:val="24"/>
                <w:szCs w:val="24"/>
              </w:rPr>
              <w:t>17</w:t>
            </w:r>
            <w:r w:rsidR="00E805AD" w:rsidRPr="00E805AD">
              <w:rPr>
                <w:noProof/>
                <w:webHidden/>
                <w:sz w:val="24"/>
                <w:szCs w:val="24"/>
              </w:rPr>
              <w:fldChar w:fldCharType="end"/>
            </w:r>
          </w:hyperlink>
        </w:p>
        <w:p w14:paraId="460391FB" w14:textId="1583F5DE" w:rsidR="00E805AD" w:rsidRPr="00E805AD" w:rsidRDefault="007E7395">
          <w:pPr>
            <w:pStyle w:val="TOC2"/>
            <w:tabs>
              <w:tab w:val="right" w:leader="dot" w:pos="9019"/>
            </w:tabs>
            <w:rPr>
              <w:rFonts w:eastAsiaTheme="minorEastAsia"/>
              <w:noProof/>
              <w:sz w:val="24"/>
              <w:szCs w:val="24"/>
              <w:lang w:val="en-US"/>
            </w:rPr>
          </w:pPr>
          <w:hyperlink w:anchor="_Toc234863825" w:history="1">
            <w:r w:rsidR="00E805AD" w:rsidRPr="00E805AD">
              <w:rPr>
                <w:rStyle w:val="Hyperlink"/>
                <w:noProof/>
                <w:sz w:val="24"/>
                <w:szCs w:val="24"/>
              </w:rPr>
              <w:t>6.2 Critical Evaluation of AI Output</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_Toc234863825 \h </w:instrText>
            </w:r>
            <w:r w:rsidR="00E805AD" w:rsidRPr="00E805AD">
              <w:rPr>
                <w:noProof/>
                <w:webHidden/>
                <w:sz w:val="24"/>
                <w:szCs w:val="24"/>
              </w:rPr>
            </w:r>
            <w:r w:rsidR="00E805AD" w:rsidRPr="00E805AD">
              <w:rPr>
                <w:noProof/>
                <w:webHidden/>
                <w:sz w:val="24"/>
                <w:szCs w:val="24"/>
              </w:rPr>
              <w:fldChar w:fldCharType="separate"/>
            </w:r>
            <w:r w:rsidR="006C6C24">
              <w:rPr>
                <w:noProof/>
                <w:webHidden/>
                <w:sz w:val="24"/>
                <w:szCs w:val="24"/>
              </w:rPr>
              <w:t>17</w:t>
            </w:r>
            <w:r w:rsidR="00E805AD" w:rsidRPr="00E805AD">
              <w:rPr>
                <w:noProof/>
                <w:webHidden/>
                <w:sz w:val="24"/>
                <w:szCs w:val="24"/>
              </w:rPr>
              <w:fldChar w:fldCharType="end"/>
            </w:r>
          </w:hyperlink>
        </w:p>
        <w:p w14:paraId="12042EBE" w14:textId="3C89CD8B" w:rsidR="00E805AD" w:rsidRPr="00E805AD" w:rsidRDefault="007E7395">
          <w:pPr>
            <w:pStyle w:val="TOC2"/>
            <w:tabs>
              <w:tab w:val="right" w:leader="dot" w:pos="9019"/>
            </w:tabs>
            <w:rPr>
              <w:rFonts w:eastAsiaTheme="minorEastAsia"/>
              <w:noProof/>
              <w:sz w:val="24"/>
              <w:szCs w:val="24"/>
              <w:lang w:val="en-US"/>
            </w:rPr>
          </w:pPr>
          <w:hyperlink w:anchor="_Toc234863826" w:history="1">
            <w:r w:rsidR="00E805AD" w:rsidRPr="00E805AD">
              <w:rPr>
                <w:rStyle w:val="Hyperlink"/>
                <w:noProof/>
                <w:sz w:val="24"/>
                <w:szCs w:val="24"/>
              </w:rPr>
              <w:t>6.3 Contribution Analysis</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_Toc234863826 \h </w:instrText>
            </w:r>
            <w:r w:rsidR="00E805AD" w:rsidRPr="00E805AD">
              <w:rPr>
                <w:noProof/>
                <w:webHidden/>
                <w:sz w:val="24"/>
                <w:szCs w:val="24"/>
              </w:rPr>
            </w:r>
            <w:r w:rsidR="00E805AD" w:rsidRPr="00E805AD">
              <w:rPr>
                <w:noProof/>
                <w:webHidden/>
                <w:sz w:val="24"/>
                <w:szCs w:val="24"/>
              </w:rPr>
              <w:fldChar w:fldCharType="separate"/>
            </w:r>
            <w:r w:rsidR="006C6C24">
              <w:rPr>
                <w:noProof/>
                <w:webHidden/>
                <w:sz w:val="24"/>
                <w:szCs w:val="24"/>
              </w:rPr>
              <w:t>18</w:t>
            </w:r>
            <w:r w:rsidR="00E805AD" w:rsidRPr="00E805AD">
              <w:rPr>
                <w:noProof/>
                <w:webHidden/>
                <w:sz w:val="24"/>
                <w:szCs w:val="24"/>
              </w:rPr>
              <w:fldChar w:fldCharType="end"/>
            </w:r>
          </w:hyperlink>
        </w:p>
        <w:p w14:paraId="4581D95C" w14:textId="3941165C" w:rsidR="00E805AD" w:rsidRPr="00E805AD" w:rsidRDefault="007E7395">
          <w:pPr>
            <w:pStyle w:val="TOC2"/>
            <w:tabs>
              <w:tab w:val="right" w:leader="dot" w:pos="9019"/>
            </w:tabs>
            <w:rPr>
              <w:rFonts w:eastAsiaTheme="minorEastAsia"/>
              <w:noProof/>
              <w:sz w:val="24"/>
              <w:szCs w:val="24"/>
              <w:lang w:val="en-US"/>
            </w:rPr>
          </w:pPr>
          <w:hyperlink w:anchor="_Toc234863827" w:history="1">
            <w:r w:rsidR="00E805AD" w:rsidRPr="00E805AD">
              <w:rPr>
                <w:rStyle w:val="Hyperlink"/>
                <w:noProof/>
                <w:sz w:val="24"/>
                <w:szCs w:val="24"/>
              </w:rPr>
              <w:t>6.4   Ethical and Professional Reflection</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_Toc234863827 \h </w:instrText>
            </w:r>
            <w:r w:rsidR="00E805AD" w:rsidRPr="00E805AD">
              <w:rPr>
                <w:noProof/>
                <w:webHidden/>
                <w:sz w:val="24"/>
                <w:szCs w:val="24"/>
              </w:rPr>
            </w:r>
            <w:r w:rsidR="00E805AD" w:rsidRPr="00E805AD">
              <w:rPr>
                <w:noProof/>
                <w:webHidden/>
                <w:sz w:val="24"/>
                <w:szCs w:val="24"/>
              </w:rPr>
              <w:fldChar w:fldCharType="separate"/>
            </w:r>
            <w:r w:rsidR="006C6C24">
              <w:rPr>
                <w:noProof/>
                <w:webHidden/>
                <w:sz w:val="24"/>
                <w:szCs w:val="24"/>
              </w:rPr>
              <w:t>18</w:t>
            </w:r>
            <w:r w:rsidR="00E805AD" w:rsidRPr="00E805AD">
              <w:rPr>
                <w:noProof/>
                <w:webHidden/>
                <w:sz w:val="24"/>
                <w:szCs w:val="24"/>
              </w:rPr>
              <w:fldChar w:fldCharType="end"/>
            </w:r>
          </w:hyperlink>
        </w:p>
        <w:p w14:paraId="217C69F4" w14:textId="2C4F8971" w:rsidR="00E805AD" w:rsidRPr="00E805AD" w:rsidRDefault="007E7395">
          <w:pPr>
            <w:pStyle w:val="TOC1"/>
            <w:tabs>
              <w:tab w:val="right" w:leader="dot" w:pos="9019"/>
            </w:tabs>
            <w:rPr>
              <w:rFonts w:eastAsiaTheme="minorEastAsia"/>
              <w:noProof/>
              <w:sz w:val="24"/>
              <w:szCs w:val="24"/>
              <w:lang w:val="en-US"/>
            </w:rPr>
          </w:pPr>
          <w:hyperlink w:anchor="_Toc234863828" w:history="1">
            <w:r w:rsidR="00E805AD" w:rsidRPr="00E805AD">
              <w:rPr>
                <w:rStyle w:val="Hyperlink"/>
                <w:noProof/>
                <w:sz w:val="24"/>
                <w:szCs w:val="24"/>
              </w:rPr>
              <w:t>7. Conclusion</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_Toc234863828 \h </w:instrText>
            </w:r>
            <w:r w:rsidR="00E805AD" w:rsidRPr="00E805AD">
              <w:rPr>
                <w:noProof/>
                <w:webHidden/>
                <w:sz w:val="24"/>
                <w:szCs w:val="24"/>
              </w:rPr>
            </w:r>
            <w:r w:rsidR="00E805AD" w:rsidRPr="00E805AD">
              <w:rPr>
                <w:noProof/>
                <w:webHidden/>
                <w:sz w:val="24"/>
                <w:szCs w:val="24"/>
              </w:rPr>
              <w:fldChar w:fldCharType="separate"/>
            </w:r>
            <w:r w:rsidR="006C6C24">
              <w:rPr>
                <w:noProof/>
                <w:webHidden/>
                <w:sz w:val="24"/>
                <w:szCs w:val="24"/>
              </w:rPr>
              <w:t>19</w:t>
            </w:r>
            <w:r w:rsidR="00E805AD" w:rsidRPr="00E805AD">
              <w:rPr>
                <w:noProof/>
                <w:webHidden/>
                <w:sz w:val="24"/>
                <w:szCs w:val="24"/>
              </w:rPr>
              <w:fldChar w:fldCharType="end"/>
            </w:r>
          </w:hyperlink>
        </w:p>
        <w:p w14:paraId="3CF96CB7" w14:textId="66E9A9EA" w:rsidR="00E805AD" w:rsidRPr="00E805AD" w:rsidRDefault="007E7395">
          <w:pPr>
            <w:pStyle w:val="TOC1"/>
            <w:tabs>
              <w:tab w:val="right" w:leader="dot" w:pos="9019"/>
            </w:tabs>
            <w:rPr>
              <w:rFonts w:eastAsiaTheme="minorEastAsia"/>
              <w:noProof/>
              <w:sz w:val="24"/>
              <w:szCs w:val="24"/>
              <w:lang w:val="en-US"/>
            </w:rPr>
          </w:pPr>
          <w:hyperlink w:anchor="_Toc234863829" w:history="1">
            <w:r w:rsidR="00E805AD" w:rsidRPr="00E805AD">
              <w:rPr>
                <w:rStyle w:val="Hyperlink"/>
                <w:noProof/>
                <w:sz w:val="24"/>
                <w:szCs w:val="24"/>
              </w:rPr>
              <w:t>8. References</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_Toc234863829 \h </w:instrText>
            </w:r>
            <w:r w:rsidR="00E805AD" w:rsidRPr="00E805AD">
              <w:rPr>
                <w:noProof/>
                <w:webHidden/>
                <w:sz w:val="24"/>
                <w:szCs w:val="24"/>
              </w:rPr>
            </w:r>
            <w:r w:rsidR="00E805AD" w:rsidRPr="00E805AD">
              <w:rPr>
                <w:noProof/>
                <w:webHidden/>
                <w:sz w:val="24"/>
                <w:szCs w:val="24"/>
              </w:rPr>
              <w:fldChar w:fldCharType="separate"/>
            </w:r>
            <w:r w:rsidR="006C6C24">
              <w:rPr>
                <w:noProof/>
                <w:webHidden/>
                <w:sz w:val="24"/>
                <w:szCs w:val="24"/>
              </w:rPr>
              <w:t>20</w:t>
            </w:r>
            <w:r w:rsidR="00E805AD" w:rsidRPr="00E805AD">
              <w:rPr>
                <w:noProof/>
                <w:webHidden/>
                <w:sz w:val="24"/>
                <w:szCs w:val="24"/>
              </w:rPr>
              <w:fldChar w:fldCharType="end"/>
            </w:r>
          </w:hyperlink>
        </w:p>
        <w:p w14:paraId="47CC6F5D" w14:textId="0F05FEC6" w:rsidR="00E805AD" w:rsidRPr="00E805AD" w:rsidRDefault="007E7395">
          <w:pPr>
            <w:pStyle w:val="TOC2"/>
            <w:tabs>
              <w:tab w:val="right" w:leader="dot" w:pos="9019"/>
            </w:tabs>
            <w:rPr>
              <w:rFonts w:eastAsiaTheme="minorEastAsia"/>
              <w:noProof/>
              <w:sz w:val="24"/>
              <w:szCs w:val="24"/>
              <w:lang w:val="en-US"/>
            </w:rPr>
          </w:pPr>
          <w:hyperlink w:anchor="_Toc234863830" w:history="1">
            <w:r w:rsidR="00E805AD" w:rsidRPr="00E805AD">
              <w:rPr>
                <w:rStyle w:val="Hyperlink"/>
                <w:noProof/>
                <w:sz w:val="24"/>
                <w:szCs w:val="24"/>
              </w:rPr>
              <w:t>Appendix B: Investment appraisal calculations</w:t>
            </w:r>
            <w:r w:rsidR="00E805AD" w:rsidRPr="00E805AD">
              <w:rPr>
                <w:noProof/>
                <w:webHidden/>
                <w:sz w:val="24"/>
                <w:szCs w:val="24"/>
              </w:rPr>
              <w:tab/>
            </w:r>
            <w:r w:rsidR="00E805AD" w:rsidRPr="00E805AD">
              <w:rPr>
                <w:noProof/>
                <w:webHidden/>
                <w:sz w:val="24"/>
                <w:szCs w:val="24"/>
              </w:rPr>
              <w:fldChar w:fldCharType="begin"/>
            </w:r>
            <w:r w:rsidR="00E805AD" w:rsidRPr="00E805AD">
              <w:rPr>
                <w:noProof/>
                <w:webHidden/>
                <w:sz w:val="24"/>
                <w:szCs w:val="24"/>
              </w:rPr>
              <w:instrText xml:space="preserve"> PAGEREF _Toc234863830 \h </w:instrText>
            </w:r>
            <w:r w:rsidR="00E805AD" w:rsidRPr="00E805AD">
              <w:rPr>
                <w:noProof/>
                <w:webHidden/>
                <w:sz w:val="24"/>
                <w:szCs w:val="24"/>
              </w:rPr>
            </w:r>
            <w:r w:rsidR="00E805AD" w:rsidRPr="00E805AD">
              <w:rPr>
                <w:noProof/>
                <w:webHidden/>
                <w:sz w:val="24"/>
                <w:szCs w:val="24"/>
              </w:rPr>
              <w:fldChar w:fldCharType="separate"/>
            </w:r>
            <w:r w:rsidR="006C6C24">
              <w:rPr>
                <w:noProof/>
                <w:webHidden/>
                <w:sz w:val="24"/>
                <w:szCs w:val="24"/>
              </w:rPr>
              <w:t>34</w:t>
            </w:r>
            <w:r w:rsidR="00E805AD" w:rsidRPr="00E805AD">
              <w:rPr>
                <w:noProof/>
                <w:webHidden/>
                <w:sz w:val="24"/>
                <w:szCs w:val="24"/>
              </w:rPr>
              <w:fldChar w:fldCharType="end"/>
            </w:r>
          </w:hyperlink>
        </w:p>
        <w:p w14:paraId="7271A338" w14:textId="15BD077F" w:rsidR="00664A03" w:rsidRPr="00E805AD" w:rsidRDefault="00664A03" w:rsidP="00E805AD">
          <w:pPr>
            <w:spacing w:line="360" w:lineRule="auto"/>
            <w:jc w:val="both"/>
            <w:rPr>
              <w:sz w:val="24"/>
              <w:szCs w:val="24"/>
            </w:rPr>
          </w:pPr>
          <w:r w:rsidRPr="00E805AD">
            <w:rPr>
              <w:b/>
              <w:bCs/>
              <w:noProof/>
              <w:sz w:val="24"/>
              <w:szCs w:val="24"/>
            </w:rPr>
            <w:fldChar w:fldCharType="end"/>
          </w:r>
        </w:p>
      </w:sdtContent>
    </w:sdt>
    <w:p w14:paraId="5F068365" w14:textId="77777777" w:rsidR="00664A03" w:rsidRPr="00E805AD" w:rsidRDefault="00664A03" w:rsidP="00E805AD">
      <w:pPr>
        <w:spacing w:line="360" w:lineRule="auto"/>
        <w:jc w:val="both"/>
        <w:rPr>
          <w:rFonts w:eastAsia="Times New Roman"/>
          <w:sz w:val="24"/>
          <w:szCs w:val="24"/>
        </w:rPr>
      </w:pPr>
      <w:r w:rsidRPr="00E805AD">
        <w:rPr>
          <w:rFonts w:eastAsia="Times New Roman"/>
          <w:sz w:val="24"/>
          <w:szCs w:val="24"/>
        </w:rPr>
        <w:br w:type="page"/>
      </w:r>
    </w:p>
    <w:p w14:paraId="00000001" w14:textId="047A3316" w:rsidR="003E62FA" w:rsidRPr="00E805AD" w:rsidRDefault="00123D4C" w:rsidP="00E805AD">
      <w:pPr>
        <w:pStyle w:val="Heading1"/>
      </w:pPr>
      <w:bookmarkStart w:id="1" w:name="_Toc234863804"/>
      <w:r w:rsidRPr="00E805AD">
        <w:lastRenderedPageBreak/>
        <w:t>1. Introduction</w:t>
      </w:r>
      <w:bookmarkEnd w:id="1"/>
      <w:r w:rsidRPr="00E805AD">
        <w:t xml:space="preserve"> </w:t>
      </w:r>
    </w:p>
    <w:p w14:paraId="00000002" w14:textId="6803B8DB" w:rsidR="003E62FA" w:rsidRPr="00E805AD" w:rsidRDefault="00650885" w:rsidP="00E805AD">
      <w:pPr>
        <w:spacing w:after="200" w:line="360" w:lineRule="auto"/>
        <w:jc w:val="both"/>
        <w:rPr>
          <w:rFonts w:eastAsia="Times New Roman"/>
          <w:sz w:val="24"/>
          <w:szCs w:val="24"/>
        </w:rPr>
      </w:pPr>
      <w:r w:rsidRPr="00E805AD">
        <w:rPr>
          <w:rFonts w:eastAsia="Times New Roman"/>
          <w:sz w:val="24"/>
          <w:szCs w:val="24"/>
        </w:rPr>
        <w:t xml:space="preserve">Marriott International is a globally recognised multinational hospitality firm that offers the most powerful portfolio to its consumers. This firm has maintained its strong brand position in more than 146 countries and territories (Marriott, 2026). Under an asset-light business model, this firm generates revenue through licensing agreements, franchising and hotel management. Besides that, it also maintains a strong brand presence on a global basis. The purpose of this report is to critically examine the financial performance of Marriott over the period of 2021-2025. Working capital, financial restructuring strategies and three investment projects with the use of capital budgeting techniques have also been assessed here. For sustainable growth and long-term competitive position evidence based recommendation for Marriott are also given here.             </w:t>
      </w:r>
    </w:p>
    <w:p w14:paraId="00000003" w14:textId="77777777" w:rsidR="003E62FA" w:rsidRPr="00E805AD" w:rsidRDefault="00123D4C" w:rsidP="00E805AD">
      <w:pPr>
        <w:pStyle w:val="Heading1"/>
      </w:pPr>
      <w:bookmarkStart w:id="2" w:name="_Toc234863805"/>
      <w:r w:rsidRPr="00E805AD">
        <w:t>2. Financial Health Check</w:t>
      </w:r>
      <w:bookmarkEnd w:id="2"/>
    </w:p>
    <w:p w14:paraId="00000004" w14:textId="77777777" w:rsidR="003E62FA" w:rsidRPr="00E805AD" w:rsidRDefault="00123D4C" w:rsidP="00E805AD">
      <w:pPr>
        <w:pStyle w:val="Heading2"/>
      </w:pPr>
      <w:bookmarkStart w:id="3" w:name="_Toc234863806"/>
      <w:r w:rsidRPr="00E805AD">
        <w:t>2.1 Analyse the firm’s financial statements over the past five years</w:t>
      </w:r>
      <w:bookmarkEnd w:id="3"/>
    </w:p>
    <w:p w14:paraId="00000005"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 xml:space="preserve">Marriott International exhibited impressive financial growth from 2021 to 2025. The company’s revenue grew significantly from US$13.86 billion in 2021 to US$26.19 billion in 2025, a growth of 89% approximately (Finance Yahoo, 2026). Showing a post-pandemic recovery highlights the net profit from US$1.10 billion to US$2.60 billion (Marriott, 2026).  </w:t>
      </w:r>
    </w:p>
    <w:p w14:paraId="00000006" w14:textId="262078FE"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 xml:space="preserve">Implying reliance on short-term financing highlights the current liabilities continued to maintain current assets across efficient management of working capital (Marriott, 2025). In 2025, insufficiently supported share </w:t>
      </w:r>
      <w:r w:rsidR="00465EF1" w:rsidRPr="00E805AD">
        <w:rPr>
          <w:rFonts w:eastAsia="Times New Roman"/>
          <w:sz w:val="24"/>
          <w:szCs w:val="24"/>
        </w:rPr>
        <w:t>repurchases</w:t>
      </w:r>
      <w:r w:rsidRPr="00E805AD">
        <w:rPr>
          <w:rFonts w:eastAsia="Times New Roman"/>
          <w:sz w:val="24"/>
          <w:szCs w:val="24"/>
        </w:rPr>
        <w:t xml:space="preserve"> and capital return policies grew financial leverage and risk, and a further negative impact on shareholders’ equity resulted in a deficit of US$3.77 billion.</w:t>
      </w:r>
    </w:p>
    <w:p w14:paraId="00000007"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 xml:space="preserve">Although there were balance-sheet pressures, investor confidence was very strong. On July 10, 2026, Marriott’s share price was US$376.11, near its peak of US$402.54, while its market cap rose to US$99.18 billion (Marriott, 2026). Considering Marriott’s strong stock performance, investors seem to attach more importance to its earnings growth and brand strength, cash-generating ability and long-term growth prospects than to its negative book equity. </w:t>
      </w:r>
    </w:p>
    <w:p w14:paraId="00000008" w14:textId="77777777" w:rsidR="003E62FA" w:rsidRPr="00E805AD" w:rsidRDefault="00123D4C" w:rsidP="00E805AD">
      <w:pPr>
        <w:pStyle w:val="Heading2"/>
      </w:pPr>
      <w:bookmarkStart w:id="4" w:name="_Toc234863807"/>
      <w:r w:rsidRPr="00E805AD">
        <w:lastRenderedPageBreak/>
        <w:t>2.2 Ratio analysis</w:t>
      </w:r>
      <w:bookmarkEnd w:id="4"/>
    </w:p>
    <w:p w14:paraId="00000009"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A. Profitability Ratios</w:t>
      </w:r>
    </w:p>
    <w:p w14:paraId="0000000A" w14:textId="6FE8B836"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Marriott’s profitability ratios indicate a solid recovery and improving earnings performance over the five-year period. With effective cost management amid inflation in the hospitality sector, gross profit margins remained stable at around 20-22%. The operating margins improved from 13 per cent in 2021 to 16 per cent in 2025, whereas the EBITDA margins improved from 15 per cent to 18 per cent. Hilton Worldwide was subject to similar trends, as the recovery in travel demand boosted business</w:t>
      </w:r>
      <w:r w:rsidR="00E829E9" w:rsidRPr="00E805AD">
        <w:rPr>
          <w:rFonts w:eastAsia="Times New Roman"/>
          <w:sz w:val="24"/>
          <w:szCs w:val="24"/>
        </w:rPr>
        <w:t xml:space="preserve"> </w:t>
      </w:r>
      <w:r w:rsidR="00E829E9" w:rsidRPr="00E805AD">
        <w:rPr>
          <w:rFonts w:eastAsia="Times New Roman"/>
          <w:b/>
          <w:bCs/>
          <w:i/>
          <w:iCs/>
          <w:sz w:val="24"/>
          <w:szCs w:val="24"/>
        </w:rPr>
        <w:t>[Refers to Appendix A]</w:t>
      </w:r>
      <w:r w:rsidRPr="00E805AD">
        <w:rPr>
          <w:rFonts w:eastAsia="Times New Roman"/>
          <w:sz w:val="24"/>
          <w:szCs w:val="24"/>
        </w:rPr>
        <w:t>.</w:t>
      </w:r>
    </w:p>
    <w:p w14:paraId="0000000B"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B. Liquidity Ratios</w:t>
      </w:r>
    </w:p>
    <w:p w14:paraId="0000000C" w14:textId="457D5326"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Throughout the period, the liquidity position of Marriott was relatively weak.  The current ratio slightly improved from 0.010 to 0.012 but still remained low as the standard benchmark is 1.0. This means current liabilities exceeded current assets.  The ratio of cash had ranged between 0.046 and 0.123 which meant minimum cash resource is available to fulfil short term obligations</w:t>
      </w:r>
      <w:r w:rsidR="00E829E9" w:rsidRPr="00E805AD">
        <w:rPr>
          <w:rFonts w:eastAsia="Times New Roman"/>
          <w:sz w:val="24"/>
          <w:szCs w:val="24"/>
        </w:rPr>
        <w:t xml:space="preserve"> </w:t>
      </w:r>
      <w:r w:rsidR="00E829E9" w:rsidRPr="00E805AD">
        <w:rPr>
          <w:rFonts w:eastAsia="Times New Roman"/>
          <w:b/>
          <w:bCs/>
          <w:i/>
          <w:iCs/>
          <w:sz w:val="24"/>
          <w:szCs w:val="24"/>
        </w:rPr>
        <w:t>[Refers to Appendix A]</w:t>
      </w:r>
      <w:r w:rsidRPr="00E805AD">
        <w:rPr>
          <w:rFonts w:eastAsia="Times New Roman"/>
          <w:sz w:val="24"/>
          <w:szCs w:val="24"/>
        </w:rPr>
        <w:t>. The working capital ratio is negative and its value in the range of -0.990 to -0.988 confirms a working capital deficit. Nevertheless, such a situation is quite common among the asset-light hotel companies (Aslam et al., 2025). For example, because of their strong and predictable operating cash inflows, McDonald’s and Hilton also have low liquidity ratios.</w:t>
      </w:r>
    </w:p>
    <w:p w14:paraId="0000000D"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C. Efficiency Ratios</w:t>
      </w:r>
    </w:p>
    <w:p w14:paraId="0000000E" w14:textId="32C9E5C8"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The total asset turnover ratio increased from 0.63 in 2021 to around 1.09 in 2025, which shows effective utilization of assets</w:t>
      </w:r>
      <w:r w:rsidR="00E829E9" w:rsidRPr="00E805AD">
        <w:rPr>
          <w:rFonts w:eastAsia="Times New Roman"/>
          <w:sz w:val="24"/>
          <w:szCs w:val="24"/>
        </w:rPr>
        <w:t xml:space="preserve"> </w:t>
      </w:r>
      <w:r w:rsidR="00E829E9" w:rsidRPr="00E805AD">
        <w:rPr>
          <w:rFonts w:eastAsia="Times New Roman"/>
          <w:b/>
          <w:bCs/>
          <w:i/>
          <w:iCs/>
          <w:sz w:val="24"/>
          <w:szCs w:val="24"/>
        </w:rPr>
        <w:t>[Refers to Appendix A]</w:t>
      </w:r>
      <w:r w:rsidRPr="00E805AD">
        <w:rPr>
          <w:rFonts w:eastAsia="Times New Roman"/>
          <w:sz w:val="24"/>
          <w:szCs w:val="24"/>
        </w:rPr>
        <w:t>. The receivable turnover ratio improved significantly as receivable days reduced from 36.69 days to mere 4.99 days demonstrating faster collection of money from customers and better credit management (</w:t>
      </w:r>
      <w:proofErr w:type="spellStart"/>
      <w:r w:rsidRPr="00E805AD">
        <w:rPr>
          <w:rFonts w:eastAsia="Times New Roman"/>
          <w:sz w:val="24"/>
          <w:szCs w:val="24"/>
        </w:rPr>
        <w:t>Abdulnafea</w:t>
      </w:r>
      <w:proofErr w:type="spellEnd"/>
      <w:r w:rsidRPr="00E805AD">
        <w:rPr>
          <w:rFonts w:eastAsia="Times New Roman"/>
          <w:sz w:val="24"/>
          <w:szCs w:val="24"/>
        </w:rPr>
        <w:t xml:space="preserve"> et al., 2022). The hotel </w:t>
      </w:r>
      <w:r w:rsidR="00465EF1" w:rsidRPr="00E805AD">
        <w:rPr>
          <w:rFonts w:eastAsia="Times New Roman"/>
          <w:sz w:val="24"/>
          <w:szCs w:val="24"/>
        </w:rPr>
        <w:t>was</w:t>
      </w:r>
      <w:r w:rsidRPr="00E805AD">
        <w:rPr>
          <w:rFonts w:eastAsia="Times New Roman"/>
          <w:sz w:val="24"/>
          <w:szCs w:val="24"/>
        </w:rPr>
        <w:t xml:space="preserve"> able to utilize their properties and infrastructure better in the year under report. At Hilton Worldwide, a similar improvement in return on capital employed took place, with revenue being generated on a lower asset base due to an asset-light business model and franchise.</w:t>
      </w:r>
    </w:p>
    <w:p w14:paraId="0000000F"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D. Gearing Ratios</w:t>
      </w:r>
    </w:p>
    <w:p w14:paraId="00000010" w14:textId="1B17575A"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lastRenderedPageBreak/>
        <w:t xml:space="preserve">Marriott’s gearing position represents a more leveraged capital structure. The equity ratio fluctuated between 29% and 38%. This means that a modest proportion of assets were financed through shareholders’ </w:t>
      </w:r>
      <w:r w:rsidR="00465EF1" w:rsidRPr="00E805AD">
        <w:rPr>
          <w:rFonts w:eastAsia="Times New Roman"/>
          <w:sz w:val="24"/>
          <w:szCs w:val="24"/>
        </w:rPr>
        <w:t>funds</w:t>
      </w:r>
      <w:r w:rsidR="00E829E9" w:rsidRPr="00E805AD">
        <w:rPr>
          <w:rFonts w:eastAsia="Times New Roman"/>
          <w:sz w:val="24"/>
          <w:szCs w:val="24"/>
        </w:rPr>
        <w:t xml:space="preserve"> </w:t>
      </w:r>
      <w:r w:rsidR="00E829E9" w:rsidRPr="00E805AD">
        <w:rPr>
          <w:rFonts w:eastAsia="Times New Roman"/>
          <w:b/>
          <w:bCs/>
          <w:i/>
          <w:iCs/>
          <w:sz w:val="24"/>
          <w:szCs w:val="24"/>
        </w:rPr>
        <w:t>[Refers to Appendix A]</w:t>
      </w:r>
      <w:r w:rsidR="00465EF1" w:rsidRPr="00E805AD">
        <w:rPr>
          <w:rFonts w:eastAsia="Times New Roman"/>
          <w:sz w:val="24"/>
          <w:szCs w:val="24"/>
        </w:rPr>
        <w:t>.</w:t>
      </w:r>
    </w:p>
    <w:p w14:paraId="00000011"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E. Investment Ratios</w:t>
      </w:r>
    </w:p>
    <w:p w14:paraId="00000012" w14:textId="404528A8"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Investment indicators of Marriott are mixed. Earnings per share (EPS) increased from 0.78 in the year 2021 to 4.15 in the year 2022 as global travel demand recovered</w:t>
      </w:r>
      <w:r w:rsidR="00E829E9" w:rsidRPr="00E805AD">
        <w:rPr>
          <w:rFonts w:eastAsia="Times New Roman"/>
          <w:sz w:val="24"/>
          <w:szCs w:val="24"/>
        </w:rPr>
        <w:t xml:space="preserve"> </w:t>
      </w:r>
      <w:r w:rsidR="00E829E9" w:rsidRPr="00E805AD">
        <w:rPr>
          <w:rFonts w:eastAsia="Times New Roman"/>
          <w:b/>
          <w:bCs/>
          <w:i/>
          <w:iCs/>
          <w:sz w:val="24"/>
          <w:szCs w:val="24"/>
        </w:rPr>
        <w:t>[Refers to Appendix A]</w:t>
      </w:r>
      <w:r w:rsidRPr="00E805AD">
        <w:rPr>
          <w:rFonts w:eastAsia="Times New Roman"/>
          <w:sz w:val="24"/>
          <w:szCs w:val="24"/>
        </w:rPr>
        <w:t>. Despite the fact that subsequent years’ EPS (earnings per share) became negative according to the ratios above, investors rated it highly, favourably due to its brand portfolio, franchise revenues and long-term growth (Siebert, 2024). In July 2026, the company’s shares traded at US$376.11, which is near its all-time high of US$402.54. The market capitalisation rose to about US$99.18 billion. This shows continued investor confidence in the company despite temporary swings in accounting returns.</w:t>
      </w:r>
    </w:p>
    <w:p w14:paraId="00000013"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F. Cash Flow Ratios</w:t>
      </w:r>
    </w:p>
    <w:p w14:paraId="00000014" w14:textId="79A59375"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 xml:space="preserve">The cash flow highlights the operating cash system which led to the margins growing from 8% in 2021 to 12% in 2025 to convert revenue into cash (Stavropoulos, and </w:t>
      </w:r>
      <w:proofErr w:type="spellStart"/>
      <w:r w:rsidRPr="00E805AD">
        <w:rPr>
          <w:rFonts w:eastAsia="Times New Roman"/>
          <w:sz w:val="24"/>
          <w:szCs w:val="24"/>
        </w:rPr>
        <w:t>Zounta</w:t>
      </w:r>
      <w:proofErr w:type="spellEnd"/>
      <w:r w:rsidRPr="00E805AD">
        <w:rPr>
          <w:rFonts w:eastAsia="Times New Roman"/>
          <w:sz w:val="24"/>
          <w:szCs w:val="24"/>
        </w:rPr>
        <w:t>, 2025; Farooq et al., 2025). Marriott's operating cash flows were strong and similar to Hilton Worldwide and Hyatt Hotels Corporation.</w:t>
      </w:r>
    </w:p>
    <w:p w14:paraId="00000015" w14:textId="77777777" w:rsidR="003E62FA" w:rsidRPr="00E805AD" w:rsidRDefault="00123D4C" w:rsidP="00E805AD">
      <w:pPr>
        <w:pStyle w:val="Heading2"/>
      </w:pPr>
      <w:bookmarkStart w:id="5" w:name="_Toc234863808"/>
      <w:r w:rsidRPr="00E805AD">
        <w:t>2.3 Identification of different factor</w:t>
      </w:r>
      <w:bookmarkEnd w:id="5"/>
    </w:p>
    <w:p w14:paraId="00000016"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2.3.1 Trends</w:t>
      </w:r>
    </w:p>
    <w:p w14:paraId="00000017"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Over a period of 5 years, Marriott was recovering rapidly due to the pandemic and less operational goods. Revenue nearly doubled from US$13.86b in 2021 to US$26.19b in 2025 while net income increased from US$1.10b to US$2.60b to rise in travel demand as well as footprint of hotels´ occupation. The operating margins look to strengthen to 16% from 13% and EBITDA margins to improve from 15% to 18% (</w:t>
      </w:r>
      <w:proofErr w:type="spellStart"/>
      <w:r w:rsidRPr="00E805AD">
        <w:rPr>
          <w:rFonts w:eastAsia="Times New Roman"/>
          <w:sz w:val="24"/>
          <w:szCs w:val="24"/>
        </w:rPr>
        <w:t>Majka</w:t>
      </w:r>
      <w:proofErr w:type="spellEnd"/>
      <w:r w:rsidRPr="00E805AD">
        <w:rPr>
          <w:rFonts w:eastAsia="Times New Roman"/>
          <w:sz w:val="24"/>
          <w:szCs w:val="24"/>
        </w:rPr>
        <w:t xml:space="preserve"> et al., 2025). There was a big improvement in efficiency as total asset turnover went up from 0.63 to 1.09, while the receivable days were reduced from 36.69 to 4.99 days. Despite decreased cash balances and negative working capital, operating cash flow margins rose by 8% to 12%. The US$99.18 billion market capitalization assigned to Marriott in July 2026 and the share price near its record US$402.54 indicate that investor </w:t>
      </w:r>
      <w:r w:rsidRPr="00E805AD">
        <w:rPr>
          <w:rFonts w:eastAsia="Times New Roman"/>
          <w:sz w:val="24"/>
          <w:szCs w:val="24"/>
        </w:rPr>
        <w:lastRenderedPageBreak/>
        <w:t>confidence remains exceptionally strong as the market expects a solid earnings growth (Wang, 2023).</w:t>
      </w:r>
    </w:p>
    <w:p w14:paraId="00000018"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2.3.2 Strengths</w:t>
      </w:r>
    </w:p>
    <w:p w14:paraId="00000019" w14:textId="0DE6314D"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 xml:space="preserve">It possesses a number of major financial strengths which help it to compete in global hospitality. The organization experienced both revenue and earnings spikes. The revenue surged by nearly 89% between 2021-2025 and the net income more than doubled during this period (Chen et al., 2024). Similarly, Hilton Worldwide, Marriott have an asset light business model. An asset light business model has numerous benefits as it is scalable, requires less capital and generates a stable income stream that is fee based (De Keyser, and </w:t>
      </w:r>
      <w:proofErr w:type="spellStart"/>
      <w:r w:rsidRPr="00E805AD">
        <w:rPr>
          <w:rFonts w:eastAsia="Times New Roman"/>
          <w:sz w:val="24"/>
          <w:szCs w:val="24"/>
        </w:rPr>
        <w:t>Mathijs</w:t>
      </w:r>
      <w:proofErr w:type="spellEnd"/>
      <w:r w:rsidRPr="00E805AD">
        <w:rPr>
          <w:rFonts w:eastAsia="Times New Roman"/>
          <w:sz w:val="24"/>
          <w:szCs w:val="24"/>
        </w:rPr>
        <w:t xml:space="preserve">, 2023). These characteristics contribute to better </w:t>
      </w:r>
      <w:r w:rsidR="00465EF1" w:rsidRPr="00E805AD">
        <w:rPr>
          <w:rFonts w:eastAsia="Times New Roman"/>
          <w:sz w:val="24"/>
          <w:szCs w:val="24"/>
        </w:rPr>
        <w:t>long-term</w:t>
      </w:r>
      <w:r w:rsidRPr="00E805AD">
        <w:rPr>
          <w:rFonts w:eastAsia="Times New Roman"/>
          <w:sz w:val="24"/>
          <w:szCs w:val="24"/>
        </w:rPr>
        <w:t xml:space="preserve"> profitability and enhancement of stakeholder value contribution.</w:t>
      </w:r>
    </w:p>
    <w:p w14:paraId="0000001A"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2.3.3 Potential Threats</w:t>
      </w:r>
    </w:p>
    <w:p w14:paraId="0000001B"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 xml:space="preserve">The company’s liquidity position is weak as the current ratio and cash ratio are significantly lower than conventional requirements and the working capital deficit continues to remain negative. The aforementioned conditions could place Marriott under short-term funding and refinancing pressures in difficult times. Additionally, the negative equity of shareholders has considerably increased on the back of significant share buyback programmes, amid increasing financial leverage and diminishing flexibility (Hossain et al., 2022). It will put pressure on profitability which highlights the interest rates rise further, so will borrowing costs (Hossain et al., 2025). </w:t>
      </w:r>
    </w:p>
    <w:p w14:paraId="0000001C" w14:textId="77777777" w:rsidR="003E62FA" w:rsidRPr="00E805AD" w:rsidRDefault="00123D4C" w:rsidP="00E805AD">
      <w:pPr>
        <w:pStyle w:val="Heading2"/>
      </w:pPr>
      <w:bookmarkStart w:id="6" w:name="_Toc234863809"/>
      <w:r w:rsidRPr="00E805AD">
        <w:t>2.4 Comparison of liquidity ratios with industry benchmarks</w:t>
      </w:r>
      <w:bookmarkEnd w:id="6"/>
    </w:p>
    <w:p w14:paraId="0000001D" w14:textId="78D4F913"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 xml:space="preserve">In 2026, Marriott had US$99.18 billion in total market cap and its share price was close to record levels. Similarly, Hilton Worldwide, Marriott have an asset light business model. An asset light business model has numerous benefits as it is scalable, requires less capital and generates a stable income stream that is fee based (Clement, 2025). These characteristics contribute to better </w:t>
      </w:r>
      <w:r w:rsidR="00465EF1" w:rsidRPr="00E805AD">
        <w:rPr>
          <w:rFonts w:eastAsia="Times New Roman"/>
          <w:sz w:val="24"/>
          <w:szCs w:val="24"/>
        </w:rPr>
        <w:t>long-term</w:t>
      </w:r>
      <w:r w:rsidRPr="00E805AD">
        <w:rPr>
          <w:rFonts w:eastAsia="Times New Roman"/>
          <w:sz w:val="24"/>
          <w:szCs w:val="24"/>
        </w:rPr>
        <w:t xml:space="preserve"> profitability and enhancement of stakeholder value contribution.</w:t>
      </w:r>
    </w:p>
    <w:p w14:paraId="0000001E"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 xml:space="preserve">The company’s liquidity position is weak as the current ratio and cash ratio are significantly lower than conventional requirements and the working capital deficit continues to remain negative. </w:t>
      </w:r>
    </w:p>
    <w:p w14:paraId="0000001F" w14:textId="6A518EA6"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lastRenderedPageBreak/>
        <w:t>The global occupancy rates of Marriott fell dramatically in 2020, which is an example of an event that impacted the hotel and resort industry. As interest rates rise further, so will borrowing costs which will put pre</w:t>
      </w:r>
      <w:r w:rsidR="00712A08">
        <w:rPr>
          <w:rFonts w:eastAsia="Times New Roman"/>
          <w:sz w:val="24"/>
          <w:szCs w:val="24"/>
        </w:rPr>
        <w:t>ssure on profitability (</w:t>
      </w:r>
      <w:proofErr w:type="spellStart"/>
      <w:r w:rsidR="00712A08">
        <w:rPr>
          <w:rFonts w:eastAsia="Times New Roman"/>
          <w:sz w:val="24"/>
          <w:szCs w:val="24"/>
        </w:rPr>
        <w:t>Behera</w:t>
      </w:r>
      <w:proofErr w:type="spellEnd"/>
      <w:r w:rsidR="00712A08">
        <w:rPr>
          <w:rFonts w:eastAsia="Times New Roman"/>
          <w:sz w:val="24"/>
          <w:szCs w:val="24"/>
        </w:rPr>
        <w:t xml:space="preserve">, </w:t>
      </w:r>
      <w:r w:rsidRPr="00E805AD">
        <w:rPr>
          <w:rFonts w:eastAsia="Times New Roman"/>
          <w:sz w:val="24"/>
          <w:szCs w:val="24"/>
        </w:rPr>
        <w:t xml:space="preserve">and </w:t>
      </w:r>
      <w:proofErr w:type="spellStart"/>
      <w:r w:rsidRPr="00E805AD">
        <w:rPr>
          <w:rFonts w:eastAsia="Times New Roman"/>
          <w:sz w:val="24"/>
          <w:szCs w:val="24"/>
        </w:rPr>
        <w:t>Sethi</w:t>
      </w:r>
      <w:proofErr w:type="spellEnd"/>
      <w:r w:rsidRPr="00E805AD">
        <w:rPr>
          <w:rFonts w:eastAsia="Times New Roman"/>
          <w:sz w:val="24"/>
          <w:szCs w:val="24"/>
        </w:rPr>
        <w:t xml:space="preserve">, 2024). Moreover, Airbnb could limit future revenue growth on pricing, market share, and long-term profitability that </w:t>
      </w:r>
      <w:r w:rsidR="00465EF1" w:rsidRPr="00E805AD">
        <w:rPr>
          <w:rFonts w:eastAsia="Times New Roman"/>
          <w:sz w:val="24"/>
          <w:szCs w:val="24"/>
        </w:rPr>
        <w:t>led</w:t>
      </w:r>
      <w:r w:rsidRPr="00E805AD">
        <w:rPr>
          <w:rFonts w:eastAsia="Times New Roman"/>
          <w:sz w:val="24"/>
          <w:szCs w:val="24"/>
        </w:rPr>
        <w:t xml:space="preserve"> to high competition from hotel chains like Hilton and Hyatt. </w:t>
      </w:r>
    </w:p>
    <w:p w14:paraId="00000020" w14:textId="77777777" w:rsidR="003E62FA" w:rsidRPr="00E805AD" w:rsidRDefault="00123D4C" w:rsidP="00E805AD">
      <w:pPr>
        <w:pStyle w:val="Heading1"/>
      </w:pPr>
      <w:bookmarkStart w:id="7" w:name="_Toc234863810"/>
      <w:r w:rsidRPr="00E805AD">
        <w:t>3. Working Capital Management Analysis</w:t>
      </w:r>
      <w:bookmarkEnd w:id="7"/>
      <w:r w:rsidRPr="00E805AD">
        <w:t xml:space="preserve"> </w:t>
      </w:r>
    </w:p>
    <w:p w14:paraId="00000021" w14:textId="77777777" w:rsidR="003E62FA" w:rsidRPr="00E805AD" w:rsidRDefault="00123D4C" w:rsidP="00E805AD">
      <w:pPr>
        <w:pStyle w:val="Heading2"/>
      </w:pPr>
      <w:bookmarkStart w:id="8" w:name="_Toc234863811"/>
      <w:r w:rsidRPr="00E805AD">
        <w:t>3.1 Cash Operating Cycle</w:t>
      </w:r>
      <w:bookmarkEnd w:id="8"/>
      <w:r w:rsidRPr="00E805AD">
        <w:t xml:space="preserve"> </w:t>
      </w:r>
    </w:p>
    <w:tbl>
      <w:tblPr>
        <w:tblStyle w:val="TableGrid"/>
        <w:tblW w:w="5000" w:type="pct"/>
        <w:tblLook w:val="04A0" w:firstRow="1" w:lastRow="0" w:firstColumn="1" w:lastColumn="0" w:noHBand="0" w:noVBand="1"/>
      </w:tblPr>
      <w:tblGrid>
        <w:gridCol w:w="2649"/>
        <w:gridCol w:w="2820"/>
        <w:gridCol w:w="710"/>
        <w:gridCol w:w="710"/>
        <w:gridCol w:w="710"/>
        <w:gridCol w:w="710"/>
        <w:gridCol w:w="710"/>
      </w:tblGrid>
      <w:tr w:rsidR="00E829E9" w:rsidRPr="00E805AD" w14:paraId="34BC1B3C" w14:textId="77777777" w:rsidTr="00E829E9">
        <w:trPr>
          <w:trHeight w:val="300"/>
        </w:trPr>
        <w:tc>
          <w:tcPr>
            <w:tcW w:w="1349" w:type="pct"/>
            <w:noWrap/>
            <w:hideMark/>
          </w:tcPr>
          <w:p w14:paraId="6DE033BA" w14:textId="77777777" w:rsidR="00E829E9" w:rsidRPr="00E805AD" w:rsidRDefault="00E829E9" w:rsidP="00E805AD">
            <w:pPr>
              <w:spacing w:after="240" w:line="360" w:lineRule="auto"/>
              <w:rPr>
                <w:rFonts w:eastAsia="Times New Roman"/>
                <w:b/>
                <w:color w:val="000000"/>
                <w:sz w:val="24"/>
                <w:szCs w:val="24"/>
                <w:lang w:val="en-US"/>
              </w:rPr>
            </w:pPr>
            <w:r w:rsidRPr="00E805AD">
              <w:rPr>
                <w:rFonts w:eastAsia="Times New Roman"/>
                <w:b/>
                <w:color w:val="000000"/>
                <w:sz w:val="24"/>
                <w:szCs w:val="24"/>
                <w:lang w:val="en-US"/>
              </w:rPr>
              <w:t>Item</w:t>
            </w:r>
          </w:p>
        </w:tc>
        <w:tc>
          <w:tcPr>
            <w:tcW w:w="1431" w:type="pct"/>
            <w:noWrap/>
            <w:hideMark/>
          </w:tcPr>
          <w:p w14:paraId="4D2D5A7C" w14:textId="77777777" w:rsidR="00E829E9" w:rsidRPr="00E805AD" w:rsidRDefault="00E829E9" w:rsidP="00E805AD">
            <w:pPr>
              <w:spacing w:after="240" w:line="360" w:lineRule="auto"/>
              <w:rPr>
                <w:rFonts w:eastAsia="Times New Roman"/>
                <w:b/>
                <w:color w:val="000000"/>
                <w:sz w:val="24"/>
                <w:szCs w:val="24"/>
                <w:lang w:val="en-US"/>
              </w:rPr>
            </w:pPr>
            <w:r w:rsidRPr="00E805AD">
              <w:rPr>
                <w:rFonts w:eastAsia="Times New Roman"/>
                <w:b/>
                <w:color w:val="000000"/>
                <w:sz w:val="24"/>
                <w:szCs w:val="24"/>
                <w:lang w:val="en-US"/>
              </w:rPr>
              <w:t>Formula</w:t>
            </w:r>
          </w:p>
        </w:tc>
        <w:tc>
          <w:tcPr>
            <w:tcW w:w="444" w:type="pct"/>
            <w:noWrap/>
            <w:hideMark/>
          </w:tcPr>
          <w:p w14:paraId="5FF520E2" w14:textId="77777777" w:rsidR="00E829E9" w:rsidRPr="00E805AD" w:rsidRDefault="00E829E9"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2021</w:t>
            </w:r>
          </w:p>
        </w:tc>
        <w:tc>
          <w:tcPr>
            <w:tcW w:w="444" w:type="pct"/>
            <w:noWrap/>
            <w:hideMark/>
          </w:tcPr>
          <w:p w14:paraId="59FB7623" w14:textId="77777777" w:rsidR="00E829E9" w:rsidRPr="00E805AD" w:rsidRDefault="00E829E9"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2022</w:t>
            </w:r>
          </w:p>
        </w:tc>
        <w:tc>
          <w:tcPr>
            <w:tcW w:w="444" w:type="pct"/>
            <w:noWrap/>
            <w:hideMark/>
          </w:tcPr>
          <w:p w14:paraId="1EEFF61B" w14:textId="77777777" w:rsidR="00E829E9" w:rsidRPr="00E805AD" w:rsidRDefault="00E829E9"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2023</w:t>
            </w:r>
          </w:p>
        </w:tc>
        <w:tc>
          <w:tcPr>
            <w:tcW w:w="444" w:type="pct"/>
            <w:noWrap/>
            <w:hideMark/>
          </w:tcPr>
          <w:p w14:paraId="76C13808" w14:textId="77777777" w:rsidR="00E829E9" w:rsidRPr="00E805AD" w:rsidRDefault="00E829E9"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2024</w:t>
            </w:r>
          </w:p>
        </w:tc>
        <w:tc>
          <w:tcPr>
            <w:tcW w:w="444" w:type="pct"/>
            <w:noWrap/>
            <w:hideMark/>
          </w:tcPr>
          <w:p w14:paraId="6D8F7D05" w14:textId="77777777" w:rsidR="00E829E9" w:rsidRPr="00E805AD" w:rsidRDefault="00E829E9"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2025</w:t>
            </w:r>
          </w:p>
        </w:tc>
      </w:tr>
      <w:tr w:rsidR="00E829E9" w:rsidRPr="00E805AD" w14:paraId="01045629" w14:textId="77777777" w:rsidTr="00E829E9">
        <w:trPr>
          <w:trHeight w:val="300"/>
        </w:trPr>
        <w:tc>
          <w:tcPr>
            <w:tcW w:w="1349" w:type="pct"/>
            <w:noWrap/>
            <w:hideMark/>
          </w:tcPr>
          <w:p w14:paraId="2F6D8E5C" w14:textId="77777777" w:rsidR="00E829E9" w:rsidRPr="00E805AD" w:rsidRDefault="00E829E9"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Revenue</w:t>
            </w:r>
          </w:p>
        </w:tc>
        <w:tc>
          <w:tcPr>
            <w:tcW w:w="1431" w:type="pct"/>
            <w:noWrap/>
            <w:hideMark/>
          </w:tcPr>
          <w:p w14:paraId="18FB36CA" w14:textId="77777777" w:rsidR="00E829E9" w:rsidRPr="00E805AD" w:rsidRDefault="00E829E9"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Input</w:t>
            </w:r>
          </w:p>
        </w:tc>
        <w:tc>
          <w:tcPr>
            <w:tcW w:w="444" w:type="pct"/>
            <w:noWrap/>
            <w:hideMark/>
          </w:tcPr>
          <w:p w14:paraId="7871B547"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13,857</w:t>
            </w:r>
          </w:p>
        </w:tc>
        <w:tc>
          <w:tcPr>
            <w:tcW w:w="444" w:type="pct"/>
            <w:noWrap/>
            <w:hideMark/>
          </w:tcPr>
          <w:p w14:paraId="3D445317"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20,773</w:t>
            </w:r>
          </w:p>
        </w:tc>
        <w:tc>
          <w:tcPr>
            <w:tcW w:w="444" w:type="pct"/>
            <w:noWrap/>
            <w:hideMark/>
          </w:tcPr>
          <w:p w14:paraId="01345B39"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23,713</w:t>
            </w:r>
          </w:p>
        </w:tc>
        <w:tc>
          <w:tcPr>
            <w:tcW w:w="444" w:type="pct"/>
            <w:noWrap/>
            <w:hideMark/>
          </w:tcPr>
          <w:p w14:paraId="509C4038"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25,100</w:t>
            </w:r>
          </w:p>
        </w:tc>
        <w:tc>
          <w:tcPr>
            <w:tcW w:w="444" w:type="pct"/>
            <w:noWrap/>
            <w:hideMark/>
          </w:tcPr>
          <w:p w14:paraId="15588C20"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26,186</w:t>
            </w:r>
          </w:p>
        </w:tc>
      </w:tr>
      <w:tr w:rsidR="00E829E9" w:rsidRPr="00E805AD" w14:paraId="2EC33351" w14:textId="77777777" w:rsidTr="00E829E9">
        <w:trPr>
          <w:trHeight w:val="300"/>
        </w:trPr>
        <w:tc>
          <w:tcPr>
            <w:tcW w:w="1349" w:type="pct"/>
            <w:noWrap/>
            <w:hideMark/>
          </w:tcPr>
          <w:p w14:paraId="1E6A0EA8" w14:textId="77777777" w:rsidR="00E829E9" w:rsidRPr="00E805AD" w:rsidRDefault="00E829E9"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Inventory</w:t>
            </w:r>
          </w:p>
        </w:tc>
        <w:tc>
          <w:tcPr>
            <w:tcW w:w="1431" w:type="pct"/>
            <w:noWrap/>
            <w:hideMark/>
          </w:tcPr>
          <w:p w14:paraId="65C0F981" w14:textId="77777777" w:rsidR="00E829E9" w:rsidRPr="00E805AD" w:rsidRDefault="00E829E9"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Input (Assumed)</w:t>
            </w:r>
          </w:p>
        </w:tc>
        <w:tc>
          <w:tcPr>
            <w:tcW w:w="444" w:type="pct"/>
            <w:noWrap/>
            <w:hideMark/>
          </w:tcPr>
          <w:p w14:paraId="3730B13A"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52</w:t>
            </w:r>
          </w:p>
        </w:tc>
        <w:tc>
          <w:tcPr>
            <w:tcW w:w="444" w:type="pct"/>
            <w:noWrap/>
            <w:hideMark/>
          </w:tcPr>
          <w:p w14:paraId="620BDAAE"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58</w:t>
            </w:r>
          </w:p>
        </w:tc>
        <w:tc>
          <w:tcPr>
            <w:tcW w:w="444" w:type="pct"/>
            <w:noWrap/>
            <w:hideMark/>
          </w:tcPr>
          <w:p w14:paraId="7BD13287"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62</w:t>
            </w:r>
          </w:p>
        </w:tc>
        <w:tc>
          <w:tcPr>
            <w:tcW w:w="444" w:type="pct"/>
            <w:noWrap/>
            <w:hideMark/>
          </w:tcPr>
          <w:p w14:paraId="238C65C6"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66</w:t>
            </w:r>
          </w:p>
        </w:tc>
        <w:tc>
          <w:tcPr>
            <w:tcW w:w="444" w:type="pct"/>
            <w:noWrap/>
            <w:hideMark/>
          </w:tcPr>
          <w:p w14:paraId="5C2912CD"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70</w:t>
            </w:r>
          </w:p>
        </w:tc>
      </w:tr>
      <w:tr w:rsidR="00E829E9" w:rsidRPr="00E805AD" w14:paraId="24211090" w14:textId="77777777" w:rsidTr="00E829E9">
        <w:trPr>
          <w:trHeight w:val="300"/>
        </w:trPr>
        <w:tc>
          <w:tcPr>
            <w:tcW w:w="1349" w:type="pct"/>
            <w:noWrap/>
            <w:hideMark/>
          </w:tcPr>
          <w:p w14:paraId="11947309" w14:textId="77777777" w:rsidR="00E829E9" w:rsidRPr="00E805AD" w:rsidRDefault="00E829E9"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Accounts Receivable</w:t>
            </w:r>
          </w:p>
        </w:tc>
        <w:tc>
          <w:tcPr>
            <w:tcW w:w="1431" w:type="pct"/>
            <w:noWrap/>
            <w:hideMark/>
          </w:tcPr>
          <w:p w14:paraId="070DD420" w14:textId="77777777" w:rsidR="00E829E9" w:rsidRPr="00E805AD" w:rsidRDefault="00E829E9"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Input</w:t>
            </w:r>
          </w:p>
        </w:tc>
        <w:tc>
          <w:tcPr>
            <w:tcW w:w="444" w:type="pct"/>
            <w:noWrap/>
            <w:hideMark/>
          </w:tcPr>
          <w:p w14:paraId="388F776A"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1,393</w:t>
            </w:r>
          </w:p>
        </w:tc>
        <w:tc>
          <w:tcPr>
            <w:tcW w:w="444" w:type="pct"/>
            <w:noWrap/>
            <w:hideMark/>
          </w:tcPr>
          <w:p w14:paraId="72E4E24A"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507</w:t>
            </w:r>
          </w:p>
        </w:tc>
        <w:tc>
          <w:tcPr>
            <w:tcW w:w="444" w:type="pct"/>
            <w:noWrap/>
            <w:hideMark/>
          </w:tcPr>
          <w:p w14:paraId="51CA2758"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338</w:t>
            </w:r>
          </w:p>
        </w:tc>
        <w:tc>
          <w:tcPr>
            <w:tcW w:w="444" w:type="pct"/>
            <w:noWrap/>
            <w:hideMark/>
          </w:tcPr>
          <w:p w14:paraId="53543B8D"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396</w:t>
            </w:r>
          </w:p>
        </w:tc>
        <w:tc>
          <w:tcPr>
            <w:tcW w:w="444" w:type="pct"/>
            <w:noWrap/>
            <w:hideMark/>
          </w:tcPr>
          <w:p w14:paraId="617D6F3B"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358</w:t>
            </w:r>
          </w:p>
        </w:tc>
      </w:tr>
      <w:tr w:rsidR="00E829E9" w:rsidRPr="00E805AD" w14:paraId="1442BB4B" w14:textId="77777777" w:rsidTr="00E829E9">
        <w:trPr>
          <w:trHeight w:val="300"/>
        </w:trPr>
        <w:tc>
          <w:tcPr>
            <w:tcW w:w="1349" w:type="pct"/>
            <w:noWrap/>
            <w:hideMark/>
          </w:tcPr>
          <w:p w14:paraId="23852DE5" w14:textId="77777777" w:rsidR="00E829E9" w:rsidRPr="00E805AD" w:rsidRDefault="00E829E9"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Accounts Payable</w:t>
            </w:r>
          </w:p>
        </w:tc>
        <w:tc>
          <w:tcPr>
            <w:tcW w:w="1431" w:type="pct"/>
            <w:noWrap/>
            <w:hideMark/>
          </w:tcPr>
          <w:p w14:paraId="473E6BE7" w14:textId="77777777" w:rsidR="00E829E9" w:rsidRPr="00E805AD" w:rsidRDefault="00E829E9"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Input (Assumed)</w:t>
            </w:r>
          </w:p>
        </w:tc>
        <w:tc>
          <w:tcPr>
            <w:tcW w:w="444" w:type="pct"/>
            <w:noWrap/>
            <w:hideMark/>
          </w:tcPr>
          <w:p w14:paraId="40BE6239"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1,120</w:t>
            </w:r>
          </w:p>
        </w:tc>
        <w:tc>
          <w:tcPr>
            <w:tcW w:w="444" w:type="pct"/>
            <w:noWrap/>
            <w:hideMark/>
          </w:tcPr>
          <w:p w14:paraId="62CAEE5C"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1,290</w:t>
            </w:r>
          </w:p>
        </w:tc>
        <w:tc>
          <w:tcPr>
            <w:tcW w:w="444" w:type="pct"/>
            <w:noWrap/>
            <w:hideMark/>
          </w:tcPr>
          <w:p w14:paraId="1E272E78"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1,410</w:t>
            </w:r>
          </w:p>
        </w:tc>
        <w:tc>
          <w:tcPr>
            <w:tcW w:w="444" w:type="pct"/>
            <w:noWrap/>
            <w:hideMark/>
          </w:tcPr>
          <w:p w14:paraId="602E6C69"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1,520</w:t>
            </w:r>
          </w:p>
        </w:tc>
        <w:tc>
          <w:tcPr>
            <w:tcW w:w="444" w:type="pct"/>
            <w:noWrap/>
            <w:hideMark/>
          </w:tcPr>
          <w:p w14:paraId="7001E889"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1,635</w:t>
            </w:r>
          </w:p>
        </w:tc>
      </w:tr>
      <w:tr w:rsidR="00E829E9" w:rsidRPr="00E805AD" w14:paraId="070294D3" w14:textId="77777777" w:rsidTr="00E829E9">
        <w:trPr>
          <w:trHeight w:val="300"/>
        </w:trPr>
        <w:tc>
          <w:tcPr>
            <w:tcW w:w="1349" w:type="pct"/>
            <w:noWrap/>
            <w:hideMark/>
          </w:tcPr>
          <w:p w14:paraId="5F17F8E5" w14:textId="77777777" w:rsidR="00E829E9" w:rsidRPr="00E805AD" w:rsidRDefault="00E829E9"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Days Inventory Outstanding (DIO)</w:t>
            </w:r>
          </w:p>
        </w:tc>
        <w:tc>
          <w:tcPr>
            <w:tcW w:w="1431" w:type="pct"/>
            <w:noWrap/>
            <w:hideMark/>
          </w:tcPr>
          <w:p w14:paraId="35B4626D" w14:textId="77777777" w:rsidR="00E829E9" w:rsidRPr="00E805AD" w:rsidRDefault="00E829E9"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(Inventory / Revenue) * 365</w:t>
            </w:r>
          </w:p>
        </w:tc>
        <w:tc>
          <w:tcPr>
            <w:tcW w:w="444" w:type="pct"/>
            <w:noWrap/>
            <w:hideMark/>
          </w:tcPr>
          <w:p w14:paraId="6430C563"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1.37</w:t>
            </w:r>
          </w:p>
        </w:tc>
        <w:tc>
          <w:tcPr>
            <w:tcW w:w="444" w:type="pct"/>
            <w:noWrap/>
            <w:hideMark/>
          </w:tcPr>
          <w:p w14:paraId="3E116658"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1.02</w:t>
            </w:r>
          </w:p>
        </w:tc>
        <w:tc>
          <w:tcPr>
            <w:tcW w:w="444" w:type="pct"/>
            <w:noWrap/>
            <w:hideMark/>
          </w:tcPr>
          <w:p w14:paraId="3C900FB7"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0.95</w:t>
            </w:r>
          </w:p>
        </w:tc>
        <w:tc>
          <w:tcPr>
            <w:tcW w:w="444" w:type="pct"/>
            <w:noWrap/>
            <w:hideMark/>
          </w:tcPr>
          <w:p w14:paraId="7DB7BFD6"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0.96</w:t>
            </w:r>
          </w:p>
        </w:tc>
        <w:tc>
          <w:tcPr>
            <w:tcW w:w="444" w:type="pct"/>
            <w:noWrap/>
            <w:hideMark/>
          </w:tcPr>
          <w:p w14:paraId="0D476537"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0.98</w:t>
            </w:r>
          </w:p>
        </w:tc>
      </w:tr>
      <w:tr w:rsidR="00E829E9" w:rsidRPr="00E805AD" w14:paraId="636A28AC" w14:textId="77777777" w:rsidTr="00E829E9">
        <w:trPr>
          <w:trHeight w:val="300"/>
        </w:trPr>
        <w:tc>
          <w:tcPr>
            <w:tcW w:w="1349" w:type="pct"/>
            <w:noWrap/>
            <w:hideMark/>
          </w:tcPr>
          <w:p w14:paraId="09140BB7" w14:textId="77777777" w:rsidR="00E829E9" w:rsidRPr="00E805AD" w:rsidRDefault="00E829E9"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Days Sales Outstanding (DSO)</w:t>
            </w:r>
          </w:p>
        </w:tc>
        <w:tc>
          <w:tcPr>
            <w:tcW w:w="1431" w:type="pct"/>
            <w:noWrap/>
            <w:hideMark/>
          </w:tcPr>
          <w:p w14:paraId="611233A2" w14:textId="77777777" w:rsidR="00E829E9" w:rsidRPr="00E805AD" w:rsidRDefault="00E829E9"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(Receivables / Revenue) * 365</w:t>
            </w:r>
          </w:p>
        </w:tc>
        <w:tc>
          <w:tcPr>
            <w:tcW w:w="444" w:type="pct"/>
            <w:noWrap/>
            <w:hideMark/>
          </w:tcPr>
          <w:p w14:paraId="1253CAFC"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36.69</w:t>
            </w:r>
          </w:p>
        </w:tc>
        <w:tc>
          <w:tcPr>
            <w:tcW w:w="444" w:type="pct"/>
            <w:noWrap/>
            <w:hideMark/>
          </w:tcPr>
          <w:p w14:paraId="339EE610"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8.91</w:t>
            </w:r>
          </w:p>
        </w:tc>
        <w:tc>
          <w:tcPr>
            <w:tcW w:w="444" w:type="pct"/>
            <w:noWrap/>
            <w:hideMark/>
          </w:tcPr>
          <w:p w14:paraId="71ECB659"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5.20</w:t>
            </w:r>
          </w:p>
        </w:tc>
        <w:tc>
          <w:tcPr>
            <w:tcW w:w="444" w:type="pct"/>
            <w:noWrap/>
            <w:hideMark/>
          </w:tcPr>
          <w:p w14:paraId="211C5990"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5.76</w:t>
            </w:r>
          </w:p>
        </w:tc>
        <w:tc>
          <w:tcPr>
            <w:tcW w:w="444" w:type="pct"/>
            <w:noWrap/>
            <w:hideMark/>
          </w:tcPr>
          <w:p w14:paraId="57A4AC13"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4.99</w:t>
            </w:r>
          </w:p>
        </w:tc>
      </w:tr>
      <w:tr w:rsidR="00E829E9" w:rsidRPr="00E805AD" w14:paraId="7B1C4F4F" w14:textId="77777777" w:rsidTr="00E829E9">
        <w:trPr>
          <w:trHeight w:val="300"/>
        </w:trPr>
        <w:tc>
          <w:tcPr>
            <w:tcW w:w="1349" w:type="pct"/>
            <w:noWrap/>
            <w:hideMark/>
          </w:tcPr>
          <w:p w14:paraId="7AA72B2B" w14:textId="77777777" w:rsidR="00E829E9" w:rsidRPr="00E805AD" w:rsidRDefault="00E829E9"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Days Payable Outstanding (DPO)</w:t>
            </w:r>
          </w:p>
        </w:tc>
        <w:tc>
          <w:tcPr>
            <w:tcW w:w="1431" w:type="pct"/>
            <w:noWrap/>
            <w:hideMark/>
          </w:tcPr>
          <w:p w14:paraId="7A3004E8" w14:textId="77777777" w:rsidR="00E829E9" w:rsidRPr="00E805AD" w:rsidRDefault="00E829E9"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(Accounts Payable / Revenue) * 365</w:t>
            </w:r>
          </w:p>
        </w:tc>
        <w:tc>
          <w:tcPr>
            <w:tcW w:w="444" w:type="pct"/>
            <w:noWrap/>
            <w:hideMark/>
          </w:tcPr>
          <w:p w14:paraId="1F3934E4"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29.50</w:t>
            </w:r>
          </w:p>
        </w:tc>
        <w:tc>
          <w:tcPr>
            <w:tcW w:w="444" w:type="pct"/>
            <w:noWrap/>
            <w:hideMark/>
          </w:tcPr>
          <w:p w14:paraId="70AEC500"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22.67</w:t>
            </w:r>
          </w:p>
        </w:tc>
        <w:tc>
          <w:tcPr>
            <w:tcW w:w="444" w:type="pct"/>
            <w:noWrap/>
            <w:hideMark/>
          </w:tcPr>
          <w:p w14:paraId="7BC87759"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21.70</w:t>
            </w:r>
          </w:p>
        </w:tc>
        <w:tc>
          <w:tcPr>
            <w:tcW w:w="444" w:type="pct"/>
            <w:noWrap/>
            <w:hideMark/>
          </w:tcPr>
          <w:p w14:paraId="54979654"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22.10</w:t>
            </w:r>
          </w:p>
        </w:tc>
        <w:tc>
          <w:tcPr>
            <w:tcW w:w="444" w:type="pct"/>
            <w:noWrap/>
            <w:hideMark/>
          </w:tcPr>
          <w:p w14:paraId="566EFE3D"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22.79</w:t>
            </w:r>
          </w:p>
        </w:tc>
      </w:tr>
      <w:tr w:rsidR="00E829E9" w:rsidRPr="00E805AD" w14:paraId="3211D40D" w14:textId="77777777" w:rsidTr="00E829E9">
        <w:trPr>
          <w:trHeight w:val="315"/>
        </w:trPr>
        <w:tc>
          <w:tcPr>
            <w:tcW w:w="1349" w:type="pct"/>
            <w:noWrap/>
            <w:hideMark/>
          </w:tcPr>
          <w:p w14:paraId="081B9226" w14:textId="77777777" w:rsidR="00E829E9" w:rsidRPr="00E805AD" w:rsidRDefault="00E829E9"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Cash Conversion Cycle (CCC)</w:t>
            </w:r>
          </w:p>
        </w:tc>
        <w:tc>
          <w:tcPr>
            <w:tcW w:w="1431" w:type="pct"/>
            <w:noWrap/>
            <w:hideMark/>
          </w:tcPr>
          <w:p w14:paraId="24C26671" w14:textId="77777777" w:rsidR="00E829E9" w:rsidRPr="00E805AD" w:rsidRDefault="00E829E9"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(DIO + DSO - DPO)</w:t>
            </w:r>
          </w:p>
        </w:tc>
        <w:tc>
          <w:tcPr>
            <w:tcW w:w="444" w:type="pct"/>
            <w:noWrap/>
            <w:hideMark/>
          </w:tcPr>
          <w:p w14:paraId="50E0BE16"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8.56</w:t>
            </w:r>
          </w:p>
        </w:tc>
        <w:tc>
          <w:tcPr>
            <w:tcW w:w="444" w:type="pct"/>
            <w:noWrap/>
            <w:hideMark/>
          </w:tcPr>
          <w:p w14:paraId="58E9454E"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-12.74</w:t>
            </w:r>
          </w:p>
        </w:tc>
        <w:tc>
          <w:tcPr>
            <w:tcW w:w="444" w:type="pct"/>
            <w:noWrap/>
            <w:hideMark/>
          </w:tcPr>
          <w:p w14:paraId="0814B015"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-15.55</w:t>
            </w:r>
          </w:p>
        </w:tc>
        <w:tc>
          <w:tcPr>
            <w:tcW w:w="444" w:type="pct"/>
            <w:noWrap/>
            <w:hideMark/>
          </w:tcPr>
          <w:p w14:paraId="1CB3DAF1"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-15.39</w:t>
            </w:r>
          </w:p>
        </w:tc>
        <w:tc>
          <w:tcPr>
            <w:tcW w:w="444" w:type="pct"/>
            <w:noWrap/>
            <w:hideMark/>
          </w:tcPr>
          <w:p w14:paraId="3AE303B4" w14:textId="77777777" w:rsidR="00E829E9" w:rsidRPr="00E805AD" w:rsidRDefault="00E829E9"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-16.82</w:t>
            </w:r>
          </w:p>
        </w:tc>
      </w:tr>
    </w:tbl>
    <w:p w14:paraId="2502B87E" w14:textId="0BF9BF0A" w:rsidR="00E829E9" w:rsidRPr="00E805AD" w:rsidRDefault="00E829E9" w:rsidP="00E805AD">
      <w:pPr>
        <w:spacing w:after="200" w:line="360" w:lineRule="auto"/>
        <w:jc w:val="center"/>
        <w:rPr>
          <w:rFonts w:eastAsia="Times New Roman"/>
          <w:b/>
          <w:bCs/>
          <w:sz w:val="24"/>
          <w:szCs w:val="24"/>
        </w:rPr>
      </w:pPr>
      <w:r w:rsidRPr="00E805AD">
        <w:rPr>
          <w:rFonts w:eastAsia="Times New Roman"/>
          <w:b/>
          <w:bCs/>
          <w:sz w:val="24"/>
          <w:szCs w:val="24"/>
        </w:rPr>
        <w:t>Table 1: Cash Operating Cycle Calculation</w:t>
      </w:r>
    </w:p>
    <w:p w14:paraId="2BBC2742" w14:textId="10EA8B91" w:rsidR="00E829E9" w:rsidRPr="00E805AD" w:rsidRDefault="00E829E9" w:rsidP="00E805AD">
      <w:pPr>
        <w:spacing w:after="200" w:line="360" w:lineRule="auto"/>
        <w:jc w:val="center"/>
        <w:rPr>
          <w:rFonts w:eastAsia="Times New Roman"/>
          <w:sz w:val="24"/>
          <w:szCs w:val="24"/>
        </w:rPr>
      </w:pPr>
      <w:r w:rsidRPr="00E805AD">
        <w:rPr>
          <w:rFonts w:eastAsia="Times New Roman"/>
          <w:sz w:val="24"/>
          <w:szCs w:val="24"/>
        </w:rPr>
        <w:lastRenderedPageBreak/>
        <w:t>(Source: Self-developed)</w:t>
      </w:r>
    </w:p>
    <w:p w14:paraId="00000022" w14:textId="0E927E44"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DIO</w:t>
      </w:r>
    </w:p>
    <w:p w14:paraId="00000023"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Marriott’s Days Inventory Outstanding (DIO) was very low at between 0.95 days and 1.37 days. The relation dropped from 1.37 days in 2021 to 0.98 days in 2025 making it very efficient. This outcome is not surprising as Marriott has an asset-light hospitality business model whereby its inventory consists mainly of food, beverage, and operating supply rather than merchandise for resale (Aslam et al., 2025). Keeping inventory holding periods as low as possible minimizes storage costs, reduces waste and lowers working capital requirement (Burton-Howat, 2025). Hilton Worldwide and Hyatt Hotels Corporation display similar patterns as they also reveal extremely low levels of inventories thanks to their management and franchising businesses.</w:t>
      </w:r>
    </w:p>
    <w:p w14:paraId="00000024"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DSO</w:t>
      </w:r>
    </w:p>
    <w:p w14:paraId="00000025"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Marriott has successfully improved its Days Sales Outstanding (DSO) from 36.69 days in 2021 to only 4.99 days in 2025. This signifies better and faster payments collection from customers and other business partners by the company. The collection of receivables is improved which enhances liquidity and reduces credit risk and accelerates cash inflows for the benefit of operations and investment (Abdallah et al., 2025). The decline is due to global travel revival and increased reliance on digital payment and direct online booking systems (</w:t>
      </w:r>
      <w:proofErr w:type="spellStart"/>
      <w:r w:rsidRPr="00E805AD">
        <w:rPr>
          <w:rFonts w:eastAsia="Times New Roman"/>
          <w:sz w:val="24"/>
          <w:szCs w:val="24"/>
        </w:rPr>
        <w:t>Stivala</w:t>
      </w:r>
      <w:proofErr w:type="spellEnd"/>
      <w:r w:rsidRPr="00E805AD">
        <w:rPr>
          <w:rFonts w:eastAsia="Times New Roman"/>
          <w:sz w:val="24"/>
          <w:szCs w:val="24"/>
        </w:rPr>
        <w:t>, 2022).  A similar trend has been noticed at Hilton Worldwide where tech-based reservation systems and collections of franchise fees help in hastening cash conversion and the receivable cycle.</w:t>
      </w:r>
    </w:p>
    <w:p w14:paraId="00000026"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DPO</w:t>
      </w:r>
    </w:p>
    <w:p w14:paraId="00000027" w14:textId="0F2F2FAA"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The DPO of Marriott dropped from 29.50 days in 2021 to 22.79 days in 2025, which reveals that the company will meet its obligations in around three weeks. A lower DPO indicates that Marriott has sufficient cash-generating ability to make timely investor payments therefore maintaining good relations and stability in the supply chain (</w:t>
      </w:r>
      <w:proofErr w:type="spellStart"/>
      <w:r w:rsidRPr="00E805AD">
        <w:rPr>
          <w:rFonts w:eastAsia="Times New Roman"/>
          <w:sz w:val="24"/>
          <w:szCs w:val="24"/>
        </w:rPr>
        <w:t>Tamplin</w:t>
      </w:r>
      <w:proofErr w:type="spellEnd"/>
      <w:r w:rsidRPr="00E805AD">
        <w:rPr>
          <w:rFonts w:eastAsia="Times New Roman"/>
          <w:sz w:val="24"/>
          <w:szCs w:val="24"/>
        </w:rPr>
        <w:t xml:space="preserve">, 2022). It can preserve liquidity to extend the incumbent payment period but overly high DPO can hurt supplier confidence and bargaining power (Joshua et al., 2024). Marriott’s payments practices seem proportional and consistent with </w:t>
      </w:r>
      <w:r w:rsidR="00465EF1" w:rsidRPr="00E805AD">
        <w:rPr>
          <w:rFonts w:eastAsia="Times New Roman"/>
          <w:sz w:val="24"/>
          <w:szCs w:val="24"/>
        </w:rPr>
        <w:t>service less</w:t>
      </w:r>
      <w:r w:rsidRPr="00E805AD">
        <w:rPr>
          <w:rFonts w:eastAsia="Times New Roman"/>
          <w:sz w:val="24"/>
          <w:szCs w:val="24"/>
        </w:rPr>
        <w:t xml:space="preserve"> hospitality businesses. For instance, Hyatt Hotels Corporation optimizes supplier payments to prevent any disruption in the hotel’s operations and the quality of services.</w:t>
      </w:r>
    </w:p>
    <w:p w14:paraId="00000028"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lastRenderedPageBreak/>
        <w:t>CCC</w:t>
      </w:r>
    </w:p>
    <w:p w14:paraId="00000029" w14:textId="392A8F61"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 xml:space="preserve">Marriott's cash conversion cycle (CCC) has improved significantly, dropping from 8.56 days in 2021 to -16.82 days in 2025. This negatively growing cash conversion cycle indicates that Marriott is receiving cash from customers and franchise partners much earlier than cash outflow to suppliers. As working capital management improves working capital requirement, reliance on borrowing for </w:t>
      </w:r>
      <w:r w:rsidR="00465EF1" w:rsidRPr="00E805AD">
        <w:rPr>
          <w:rFonts w:eastAsia="Times New Roman"/>
          <w:sz w:val="24"/>
          <w:szCs w:val="24"/>
        </w:rPr>
        <w:t>day-to-day</w:t>
      </w:r>
      <w:r w:rsidRPr="00E805AD">
        <w:rPr>
          <w:rFonts w:eastAsia="Times New Roman"/>
          <w:sz w:val="24"/>
          <w:szCs w:val="24"/>
        </w:rPr>
        <w:t xml:space="preserve"> operation reduces (</w:t>
      </w:r>
      <w:proofErr w:type="spellStart"/>
      <w:r w:rsidRPr="00E805AD">
        <w:rPr>
          <w:rFonts w:eastAsia="Times New Roman"/>
          <w:sz w:val="24"/>
          <w:szCs w:val="24"/>
        </w:rPr>
        <w:t>Reyad</w:t>
      </w:r>
      <w:proofErr w:type="spellEnd"/>
      <w:r w:rsidRPr="00E805AD">
        <w:rPr>
          <w:rFonts w:eastAsia="Times New Roman"/>
          <w:sz w:val="24"/>
          <w:szCs w:val="24"/>
        </w:rPr>
        <w:t xml:space="preserve"> et al., 2022). It boosts liquidity and allows internally generated cash to support growth and shareholder returns. Hilton Worldwide and McDonald’s reflect similarly negative CCC patterns, giving strong brands with reliable cash inflows the ability to operate with a low level of working capital.</w:t>
      </w:r>
    </w:p>
    <w:p w14:paraId="3A48534C" w14:textId="77777777" w:rsidR="00650885" w:rsidRPr="00E805AD" w:rsidRDefault="00650885" w:rsidP="00E805AD">
      <w:pPr>
        <w:pStyle w:val="Heading2"/>
      </w:pPr>
      <w:bookmarkStart w:id="9" w:name="_Toc234863812"/>
      <w:r w:rsidRPr="00E805AD">
        <w:t>3.2 Recommend Strategies to Improve Liquidity through Working Capital Reform</w:t>
      </w:r>
      <w:bookmarkEnd w:id="9"/>
    </w:p>
    <w:p w14:paraId="03B05FBB" w14:textId="77777777" w:rsidR="00650885" w:rsidRPr="00E805AD" w:rsidRDefault="00650885" w:rsidP="00E805AD">
      <w:pPr>
        <w:spacing w:after="200" w:line="360" w:lineRule="auto"/>
        <w:jc w:val="both"/>
        <w:rPr>
          <w:rFonts w:eastAsia="Times New Roman"/>
          <w:sz w:val="24"/>
          <w:szCs w:val="24"/>
        </w:rPr>
      </w:pPr>
      <w:r w:rsidRPr="00E805AD">
        <w:rPr>
          <w:rFonts w:eastAsia="Times New Roman"/>
          <w:sz w:val="24"/>
          <w:szCs w:val="24"/>
        </w:rPr>
        <w:t xml:space="preserve">Working capital management improvement is strategic for Marriott’s operation for the improvement in its liquidity level. An asset-light business model in its operation can be effectively maintained with the use of this strategic approach. </w:t>
      </w:r>
      <w:r w:rsidRPr="00E805AD">
        <w:rPr>
          <w:rFonts w:eastAsia="Times New Roman"/>
          <w:b/>
          <w:bCs/>
          <w:i/>
          <w:iCs/>
          <w:sz w:val="24"/>
          <w:szCs w:val="24"/>
        </w:rPr>
        <w:t>Acceleration in receivable collection</w:t>
      </w:r>
      <w:r w:rsidRPr="00E805AD">
        <w:rPr>
          <w:rFonts w:eastAsia="Times New Roman"/>
          <w:sz w:val="24"/>
          <w:szCs w:val="24"/>
        </w:rPr>
        <w:t>: This can be done by the firm with the expansion in direct online booking platforms, automated invoicing and expansion in digital payment systems (</w:t>
      </w:r>
      <w:proofErr w:type="spellStart"/>
      <w:r w:rsidRPr="00E805AD">
        <w:rPr>
          <w:rFonts w:eastAsia="Times New Roman"/>
          <w:sz w:val="24"/>
          <w:szCs w:val="24"/>
        </w:rPr>
        <w:t>Sethupathy</w:t>
      </w:r>
      <w:proofErr w:type="spellEnd"/>
      <w:r w:rsidRPr="00E805AD">
        <w:rPr>
          <w:rFonts w:eastAsia="Times New Roman"/>
          <w:sz w:val="24"/>
          <w:szCs w:val="24"/>
        </w:rPr>
        <w:t xml:space="preserve">, 2025). When franchise fees and consumers’ payments are collected faster, it enables improvement in cash flow, minimisation of credit risk and strengthening the liquidity level.  </w:t>
      </w:r>
    </w:p>
    <w:p w14:paraId="20554999" w14:textId="77777777" w:rsidR="00650885" w:rsidRPr="00E805AD" w:rsidRDefault="00650885" w:rsidP="00E805AD">
      <w:pPr>
        <w:spacing w:after="200" w:line="360" w:lineRule="auto"/>
        <w:jc w:val="both"/>
        <w:rPr>
          <w:rFonts w:eastAsia="Times New Roman"/>
          <w:sz w:val="24"/>
          <w:szCs w:val="24"/>
        </w:rPr>
      </w:pPr>
      <w:r w:rsidRPr="00E805AD">
        <w:rPr>
          <w:rFonts w:eastAsia="Times New Roman"/>
          <w:b/>
          <w:bCs/>
          <w:i/>
          <w:iCs/>
          <w:sz w:val="24"/>
          <w:szCs w:val="24"/>
        </w:rPr>
        <w:t>Negotiation of longer payment terms</w:t>
      </w:r>
      <w:r w:rsidRPr="00E805AD">
        <w:rPr>
          <w:rFonts w:eastAsia="Times New Roman"/>
          <w:sz w:val="24"/>
          <w:szCs w:val="24"/>
        </w:rPr>
        <w:t xml:space="preserve">: Marriott may seek longer time for payment from its suppliers, maintaining long-term positive relationships. Short-term financial requirements can be fulfilled by the firm when it retains cash longer with a moderate extension of payment periods. </w:t>
      </w:r>
    </w:p>
    <w:p w14:paraId="02F5430F" w14:textId="77777777" w:rsidR="00650885" w:rsidRPr="00E805AD" w:rsidRDefault="00650885" w:rsidP="00E805AD">
      <w:pPr>
        <w:spacing w:after="200" w:line="360" w:lineRule="auto"/>
        <w:jc w:val="both"/>
        <w:rPr>
          <w:rFonts w:eastAsia="Times New Roman"/>
          <w:sz w:val="24"/>
          <w:szCs w:val="24"/>
        </w:rPr>
      </w:pPr>
      <w:r w:rsidRPr="00E805AD">
        <w:rPr>
          <w:rFonts w:eastAsia="Times New Roman"/>
          <w:b/>
          <w:bCs/>
          <w:i/>
          <w:iCs/>
          <w:sz w:val="24"/>
          <w:szCs w:val="24"/>
        </w:rPr>
        <w:t>Demand forecasting and improvement in inventory management system</w:t>
      </w:r>
      <w:r w:rsidRPr="00E805AD">
        <w:rPr>
          <w:rFonts w:eastAsia="Times New Roman"/>
          <w:sz w:val="24"/>
          <w:szCs w:val="24"/>
        </w:rPr>
        <w:t>: A low inventory level is maintained at Marriott’s operation. However, it is recommended that there is a need to give priority to the improvement of demand forecasting and inventory management (</w:t>
      </w:r>
      <w:proofErr w:type="spellStart"/>
      <w:r w:rsidRPr="00E805AD">
        <w:rPr>
          <w:rFonts w:eastAsia="Times New Roman"/>
          <w:sz w:val="24"/>
          <w:szCs w:val="24"/>
        </w:rPr>
        <w:t>Akour</w:t>
      </w:r>
      <w:proofErr w:type="spellEnd"/>
      <w:r w:rsidRPr="00E805AD">
        <w:rPr>
          <w:rFonts w:eastAsia="Times New Roman"/>
          <w:sz w:val="24"/>
          <w:szCs w:val="24"/>
        </w:rPr>
        <w:t xml:space="preserve"> et al., 2022). These approaches are significant in reducing waste levels and costs associated with inventory holdings.</w:t>
      </w:r>
    </w:p>
    <w:p w14:paraId="161A4D13" w14:textId="77777777" w:rsidR="00650885" w:rsidRPr="00E805AD" w:rsidRDefault="00650885" w:rsidP="00E805AD">
      <w:pPr>
        <w:spacing w:after="200" w:line="360" w:lineRule="auto"/>
        <w:jc w:val="both"/>
        <w:rPr>
          <w:rFonts w:eastAsia="Times New Roman"/>
          <w:sz w:val="24"/>
          <w:szCs w:val="24"/>
        </w:rPr>
      </w:pPr>
      <w:r w:rsidRPr="00E805AD">
        <w:rPr>
          <w:rFonts w:eastAsia="Times New Roman"/>
          <w:b/>
          <w:bCs/>
          <w:i/>
          <w:iCs/>
          <w:sz w:val="24"/>
          <w:szCs w:val="24"/>
        </w:rPr>
        <w:t>Maintenance of adequate cash reserve</w:t>
      </w:r>
      <w:r w:rsidRPr="00E805AD">
        <w:rPr>
          <w:rFonts w:eastAsia="Times New Roman"/>
          <w:sz w:val="24"/>
          <w:szCs w:val="24"/>
        </w:rPr>
        <w:t xml:space="preserve">: In an uncertain economic situation or a decrease in demand in the travel situation finance resilience can be maintained giving </w:t>
      </w:r>
      <w:r w:rsidRPr="00E805AD">
        <w:rPr>
          <w:rFonts w:eastAsia="Times New Roman"/>
          <w:sz w:val="24"/>
          <w:szCs w:val="24"/>
        </w:rPr>
        <w:lastRenderedPageBreak/>
        <w:t>a focus on an adequate level of cash reserve. In addition, there is also a requirement of ongoing monitoring of working capital policies.</w:t>
      </w:r>
    </w:p>
    <w:p w14:paraId="0A0B9558" w14:textId="77777777" w:rsidR="00650885" w:rsidRPr="00E805AD" w:rsidRDefault="00650885" w:rsidP="00E805AD">
      <w:pPr>
        <w:spacing w:after="200" w:line="360" w:lineRule="auto"/>
        <w:jc w:val="both"/>
        <w:rPr>
          <w:rFonts w:eastAsia="Times New Roman"/>
          <w:sz w:val="24"/>
          <w:szCs w:val="24"/>
        </w:rPr>
      </w:pPr>
      <w:r w:rsidRPr="00E805AD">
        <w:rPr>
          <w:rFonts w:eastAsia="Times New Roman"/>
          <w:sz w:val="24"/>
          <w:szCs w:val="24"/>
        </w:rPr>
        <w:t xml:space="preserve">Overall, all these approaches are strategic for the improvement in cash flow level at the operation that maintains seamless operational flow without giving a higher level of dependence on external borrowing. It supports it in ensuring sustainable growth across all levels of its operation.        </w:t>
      </w:r>
    </w:p>
    <w:p w14:paraId="796D075D" w14:textId="77777777" w:rsidR="00650885" w:rsidRPr="00E805AD" w:rsidRDefault="00650885" w:rsidP="00E805AD">
      <w:pPr>
        <w:pStyle w:val="Heading2"/>
      </w:pPr>
      <w:bookmarkStart w:id="10" w:name="_Toc234863813"/>
      <w:r w:rsidRPr="00E805AD">
        <w:t>3.3 Comparison of Short-Term Vs Long-Term Financing Options</w:t>
      </w:r>
      <w:bookmarkEnd w:id="10"/>
    </w:p>
    <w:p w14:paraId="66C0760A" w14:textId="058D6794" w:rsidR="00650885" w:rsidRPr="00E805AD" w:rsidRDefault="00650885" w:rsidP="00E805AD">
      <w:pPr>
        <w:spacing w:after="200" w:line="360" w:lineRule="auto"/>
        <w:jc w:val="both"/>
        <w:rPr>
          <w:rFonts w:eastAsia="Times New Roman"/>
          <w:sz w:val="24"/>
          <w:szCs w:val="24"/>
        </w:rPr>
      </w:pPr>
      <w:r w:rsidRPr="00E805AD">
        <w:rPr>
          <w:rFonts w:eastAsia="Times New Roman"/>
          <w:sz w:val="24"/>
          <w:szCs w:val="24"/>
        </w:rPr>
        <w:t xml:space="preserve">Both short-term and long-term financing approaches can fulfil the working capital requirements at Marriott’s operation. Commercial paper, trade credit, revolving credit facilities and bank overdrafts make up short-term finance at Marriott’s operation. In seasonal fluctuations, quick access of fund supports effective management. At the initial stage, these are less expensive and help in maintaining greater flexibility across all levels of operation. However, interest </w:t>
      </w:r>
      <w:r w:rsidR="00712A08" w:rsidRPr="00E805AD">
        <w:rPr>
          <w:rFonts w:eastAsia="Times New Roman"/>
          <w:sz w:val="24"/>
          <w:szCs w:val="24"/>
        </w:rPr>
        <w:t>rate</w:t>
      </w:r>
      <w:r w:rsidRPr="00E805AD">
        <w:rPr>
          <w:rFonts w:eastAsia="Times New Roman"/>
          <w:sz w:val="24"/>
          <w:szCs w:val="24"/>
        </w:rPr>
        <w:t xml:space="preserve"> fluctuations and refinancing risk have to be faced by Marriott with this financing approach (</w:t>
      </w:r>
      <w:proofErr w:type="spellStart"/>
      <w:r w:rsidRPr="00E805AD">
        <w:rPr>
          <w:rFonts w:eastAsia="Times New Roman"/>
          <w:sz w:val="24"/>
          <w:szCs w:val="24"/>
        </w:rPr>
        <w:t>Adão</w:t>
      </w:r>
      <w:proofErr w:type="spellEnd"/>
      <w:r w:rsidRPr="00E805AD">
        <w:rPr>
          <w:rFonts w:eastAsia="Times New Roman"/>
          <w:sz w:val="24"/>
          <w:szCs w:val="24"/>
        </w:rPr>
        <w:t xml:space="preserve">, 2025). The reason behind it is that frequent renewals are required for short-term borrowing. Moreover, in weak travel demand, there is also the possibility of an enhancement in liquidity pressure when there is excessive reliance on short-term debt. </w:t>
      </w:r>
    </w:p>
    <w:p w14:paraId="30CB5EFF" w14:textId="007D5632" w:rsidR="00650885" w:rsidRPr="00E805AD" w:rsidRDefault="00650885" w:rsidP="00E805AD">
      <w:pPr>
        <w:spacing w:after="200" w:line="360" w:lineRule="auto"/>
        <w:jc w:val="both"/>
        <w:rPr>
          <w:rFonts w:eastAsia="Times New Roman"/>
          <w:sz w:val="24"/>
          <w:szCs w:val="24"/>
        </w:rPr>
      </w:pPr>
      <w:r w:rsidRPr="00E805AD">
        <w:rPr>
          <w:rFonts w:eastAsia="Times New Roman"/>
          <w:sz w:val="24"/>
          <w:szCs w:val="24"/>
        </w:rPr>
        <w:t xml:space="preserve">At Marriott’s operations, long-term financing options include equity financing, long-term bank loans and corporate bonds. In the expansion of hotels, investment in sustainability initiatives and digital transformation, stable financing is received by the firm. Extension of repayment period in long-term financing approach is effective in the minimisation of refinancing risk and achieving greater financial stability. Overall, a balanced financial strategy is effective for the improvement in liquidity and strengthening shareholders' value.  </w:t>
      </w:r>
    </w:p>
    <w:p w14:paraId="0000002A" w14:textId="77777777" w:rsidR="003E62FA" w:rsidRPr="00E805AD" w:rsidRDefault="00123D4C" w:rsidP="00E805AD">
      <w:pPr>
        <w:pStyle w:val="Heading1"/>
      </w:pPr>
      <w:bookmarkStart w:id="11" w:name="_Toc234863814"/>
      <w:r w:rsidRPr="00E805AD">
        <w:t>4. Strategic Financial Restructuring Plan</w:t>
      </w:r>
      <w:bookmarkEnd w:id="11"/>
    </w:p>
    <w:p w14:paraId="0000002B" w14:textId="77777777" w:rsidR="003E62FA" w:rsidRPr="00E805AD" w:rsidRDefault="00123D4C" w:rsidP="00E805AD">
      <w:pPr>
        <w:pStyle w:val="Heading2"/>
      </w:pPr>
      <w:bookmarkStart w:id="12" w:name="_Toc234863815"/>
      <w:r w:rsidRPr="00E805AD">
        <w:t>4.1 Financial Restructuring Options</w:t>
      </w:r>
      <w:bookmarkEnd w:id="12"/>
    </w:p>
    <w:p w14:paraId="0000002C"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 xml:space="preserve">Divestiture </w:t>
      </w:r>
    </w:p>
    <w:p w14:paraId="0000002D"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 xml:space="preserve">Marriott must consider divesting away its non-core assets and owned properties which are not performing up to the expectations. The firm already has an asset-light strategy and focuses largely on management and franchise operations instead of owning </w:t>
      </w:r>
      <w:r w:rsidRPr="00E805AD">
        <w:rPr>
          <w:rFonts w:eastAsia="Times New Roman"/>
          <w:sz w:val="24"/>
          <w:szCs w:val="24"/>
        </w:rPr>
        <w:lastRenderedPageBreak/>
        <w:t xml:space="preserve">hotels. This strategy has proven effective in the real world. Marriott sold St. Regis New York for around US$310 million as of 2013; however, the management is being conducted due to a long-term contract (Huebner, and </w:t>
      </w:r>
      <w:proofErr w:type="spellStart"/>
      <w:r w:rsidRPr="00E805AD">
        <w:rPr>
          <w:rFonts w:eastAsia="Times New Roman"/>
          <w:sz w:val="24"/>
          <w:szCs w:val="24"/>
        </w:rPr>
        <w:t>Flessa</w:t>
      </w:r>
      <w:proofErr w:type="spellEnd"/>
      <w:r w:rsidRPr="00E805AD">
        <w:rPr>
          <w:rFonts w:eastAsia="Times New Roman"/>
          <w:sz w:val="24"/>
          <w:szCs w:val="24"/>
        </w:rPr>
        <w:t>, 2022). The company benefits from transactions in cash inflow, capital intensity, maintenance cost, and financial flexibility while forever retaining narrow management and franchise fee income.</w:t>
      </w:r>
    </w:p>
    <w:p w14:paraId="0000002E"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 xml:space="preserve">Merger </w:t>
      </w:r>
    </w:p>
    <w:p w14:paraId="0000002F"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Mergers and acquisitions should be considered by Marriott to enhance its market position. A notable real-world example was Marriott’s purchase of Starwood Hotels &amp; Resorts for almost US$13 billion in 2016, which created the largest hotel company globally, with more than 30 brands and an expanded presence. This transaction boosted economies of scale, improved customer loyalty through a bigger rewards programme and increased bargaining power with suppliers and online travel agencies (</w:t>
      </w:r>
      <w:proofErr w:type="spellStart"/>
      <w:r w:rsidRPr="00E805AD">
        <w:rPr>
          <w:rFonts w:eastAsia="Times New Roman"/>
          <w:sz w:val="24"/>
          <w:szCs w:val="24"/>
        </w:rPr>
        <w:t>Zeqiri</w:t>
      </w:r>
      <w:proofErr w:type="spellEnd"/>
      <w:r w:rsidRPr="00E805AD">
        <w:rPr>
          <w:rFonts w:eastAsia="Times New Roman"/>
          <w:sz w:val="24"/>
          <w:szCs w:val="24"/>
        </w:rPr>
        <w:t xml:space="preserve"> et al., 2025). In the future, Marriott can make targeted acquisitions of boutique or lifestyle hotel brands and tech platforms that attract younger travellers and help Marriott compete with Hilton and Airbnb.</w:t>
      </w:r>
    </w:p>
    <w:p w14:paraId="00000030"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Equity Injection</w:t>
      </w:r>
    </w:p>
    <w:p w14:paraId="00000031"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 xml:space="preserve">Marriott should make a moderate equity injection to enhance its capital structure and reduce financial risk caused by the increasing negativity of its shareholders’ equity. Additional equity financing can potentially enhance liquidity, facilitate future investment opportunities, and minimize reliance on debt financing in future downtrends (OK, 2025; Islam et al., 2022). </w:t>
      </w:r>
    </w:p>
    <w:p w14:paraId="00000032" w14:textId="77777777" w:rsidR="003E62FA" w:rsidRPr="00E805AD" w:rsidRDefault="00123D4C" w:rsidP="00E805AD">
      <w:pPr>
        <w:pStyle w:val="Heading2"/>
      </w:pPr>
      <w:bookmarkStart w:id="13" w:name="_Toc234863816"/>
      <w:r w:rsidRPr="00E805AD">
        <w:t>4.2 Evaluation</w:t>
      </w:r>
      <w:bookmarkEnd w:id="13"/>
      <w:r w:rsidRPr="00E805AD">
        <w:t xml:space="preserve"> </w:t>
      </w:r>
    </w:p>
    <w:p w14:paraId="00000033"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Shareholder Value</w:t>
      </w:r>
    </w:p>
    <w:p w14:paraId="00000034"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The suggested restructuring options are expected to enhance shareholder value through profitability improvement, liquidity strengthening, and long-term growth support (</w:t>
      </w:r>
      <w:proofErr w:type="spellStart"/>
      <w:r w:rsidRPr="00E805AD">
        <w:rPr>
          <w:rFonts w:eastAsia="Times New Roman"/>
          <w:sz w:val="24"/>
          <w:szCs w:val="24"/>
        </w:rPr>
        <w:t>Tamplin</w:t>
      </w:r>
      <w:proofErr w:type="spellEnd"/>
      <w:r w:rsidRPr="00E805AD">
        <w:rPr>
          <w:rFonts w:eastAsia="Times New Roman"/>
          <w:sz w:val="24"/>
          <w:szCs w:val="24"/>
        </w:rPr>
        <w:t xml:space="preserve">, 2022). Marriott’s strategy makes it asset light and makes a number of past sales useful to make higher returns. Marriot’s acquisition of Starwood in 2016 was similar in that it notably enlarged the company’s global market share and loyalty programme and hence earnings and confidence (Joshua et al., 2024). This confidence </w:t>
      </w:r>
      <w:r w:rsidRPr="00E805AD">
        <w:rPr>
          <w:rFonts w:eastAsia="Times New Roman"/>
          <w:sz w:val="24"/>
          <w:szCs w:val="24"/>
        </w:rPr>
        <w:lastRenderedPageBreak/>
        <w:t xml:space="preserve">is illustrated by Marriott’s market capitalization in July 2026 of approximately US$99.18 billion and share price of US$376.11. </w:t>
      </w:r>
    </w:p>
    <w:p w14:paraId="00000035"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Debt Structure</w:t>
      </w:r>
    </w:p>
    <w:p w14:paraId="00000036" w14:textId="724F688C"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 xml:space="preserve">Marriott’s growing negative shareholders’ equity as a result of numerous </w:t>
      </w:r>
      <w:r w:rsidR="00465EF1" w:rsidRPr="00E805AD">
        <w:rPr>
          <w:rFonts w:eastAsia="Times New Roman"/>
          <w:sz w:val="24"/>
          <w:szCs w:val="24"/>
        </w:rPr>
        <w:t>shares</w:t>
      </w:r>
      <w:r w:rsidRPr="00E805AD">
        <w:rPr>
          <w:rFonts w:eastAsia="Times New Roman"/>
          <w:sz w:val="24"/>
          <w:szCs w:val="24"/>
        </w:rPr>
        <w:t xml:space="preserve"> repurchases, increasing reliance on liabilities and exposing the company to growing refinancing risks (Abdallah et al., 2025). If Marriott reduces debt reliance and enhances capital reserves, it can strengthen its credit profile (Aslam et al., 2026). Many international hotel groups resorted to similar deleveraging strategies during and after COVID-19 to strengthen balance-sheet and save financial strength.</w:t>
      </w:r>
    </w:p>
    <w:p w14:paraId="00000037"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Operational Flexibility</w:t>
      </w:r>
    </w:p>
    <w:p w14:paraId="00000038"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Selling out owned assets and keeping management contracts can free home capital which can be used for digital transformation, brand building, and entering emerging markets. Strategic acquisitions allow access to a new customer segment, technology, geographic area, etc., improving adaptability to changing consumer preference (Holloway, 2025). Financing through equity also ensures liquidity and provides a cushion during downturns (Edo-</w:t>
      </w:r>
      <w:proofErr w:type="spellStart"/>
      <w:r w:rsidRPr="00E805AD">
        <w:rPr>
          <w:rFonts w:eastAsia="Times New Roman"/>
          <w:sz w:val="24"/>
          <w:szCs w:val="24"/>
        </w:rPr>
        <w:t>Osagie</w:t>
      </w:r>
      <w:proofErr w:type="spellEnd"/>
      <w:r w:rsidRPr="00E805AD">
        <w:rPr>
          <w:rFonts w:eastAsia="Times New Roman"/>
          <w:sz w:val="24"/>
          <w:szCs w:val="24"/>
        </w:rPr>
        <w:t xml:space="preserve">, 2025). </w:t>
      </w:r>
    </w:p>
    <w:p w14:paraId="00000039" w14:textId="77777777" w:rsidR="003E62FA" w:rsidRPr="00E805AD" w:rsidRDefault="00123D4C" w:rsidP="00E805AD">
      <w:pPr>
        <w:pStyle w:val="Heading2"/>
      </w:pPr>
      <w:bookmarkStart w:id="14" w:name="_Toc234863817"/>
      <w:r w:rsidRPr="00E805AD">
        <w:t>4.3 International and Ethical Considerations</w:t>
      </w:r>
      <w:bookmarkEnd w:id="14"/>
    </w:p>
    <w:p w14:paraId="0000003A"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 xml:space="preserve">Taxation </w:t>
      </w:r>
    </w:p>
    <w:p w14:paraId="0000003B" w14:textId="1180952B"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Hotel operating costs and pricing strategies can depend on changes in tourism taxes and local levies (</w:t>
      </w:r>
      <w:proofErr w:type="spellStart"/>
      <w:r w:rsidRPr="00E805AD">
        <w:rPr>
          <w:rFonts w:eastAsia="Times New Roman"/>
          <w:sz w:val="24"/>
          <w:szCs w:val="24"/>
        </w:rPr>
        <w:t>Rosselló</w:t>
      </w:r>
      <w:proofErr w:type="spellEnd"/>
      <w:r w:rsidRPr="00E805AD">
        <w:rPr>
          <w:rFonts w:eastAsia="Times New Roman"/>
          <w:sz w:val="24"/>
          <w:szCs w:val="24"/>
        </w:rPr>
        <w:t xml:space="preserve">-Nadal, and </w:t>
      </w:r>
      <w:proofErr w:type="spellStart"/>
      <w:r w:rsidRPr="00E805AD">
        <w:rPr>
          <w:rFonts w:eastAsia="Times New Roman"/>
          <w:sz w:val="24"/>
          <w:szCs w:val="24"/>
        </w:rPr>
        <w:t>Sard</w:t>
      </w:r>
      <w:proofErr w:type="spellEnd"/>
      <w:r w:rsidRPr="00E805AD">
        <w:rPr>
          <w:rFonts w:eastAsia="Times New Roman"/>
          <w:sz w:val="24"/>
          <w:szCs w:val="24"/>
        </w:rPr>
        <w:t>, 2026). For example, the case of Marriott requires the business to maintain an effective tax planning and compliance system to avoid risks.</w:t>
      </w:r>
    </w:p>
    <w:p w14:paraId="0000003C"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Currency Risk</w:t>
      </w:r>
    </w:p>
    <w:p w14:paraId="0000003D"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 xml:space="preserve">Marriott earns large revenues that are derived from outside North America and, as such, has a large foreign exchange risk. For example, the Euro, the British Pound or the Chinese Yuan, reported earnings from operations abroad will be less when the US dollar appreciates in value relative (RBA, 2026). Hilton Worldwide and Hyatt Hotels Corporation experienced similar difficulties that have affected their earnings because </w:t>
      </w:r>
      <w:r w:rsidRPr="00E805AD">
        <w:rPr>
          <w:rFonts w:eastAsia="Times New Roman"/>
          <w:sz w:val="24"/>
          <w:szCs w:val="24"/>
        </w:rPr>
        <w:lastRenderedPageBreak/>
        <w:t>of exchange-rate fluctuations. To lessen the geographical, financing, and currency risks, Marriott utilizes local financing, geographic diversification, and financial hedges.</w:t>
      </w:r>
    </w:p>
    <w:p w14:paraId="0000003E"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 xml:space="preserve">Inflation </w:t>
      </w:r>
    </w:p>
    <w:p w14:paraId="0000003F"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The constant rise in prices for labour, energy, food and maintenance due to inflation is a major constraint for Marriott globally. Due to the COVID-19 pandemic, many economies experienced high inflation rates, which increased operating costs significantly in the hospitality sector. For instance, inflation in the United States went over 8% in 2022, which pressured hotels’ cost structure (</w:t>
      </w:r>
      <w:proofErr w:type="spellStart"/>
      <w:r w:rsidRPr="00E805AD">
        <w:rPr>
          <w:rFonts w:eastAsia="Times New Roman"/>
          <w:sz w:val="24"/>
          <w:szCs w:val="24"/>
        </w:rPr>
        <w:t>Poutakidou</w:t>
      </w:r>
      <w:proofErr w:type="spellEnd"/>
      <w:r w:rsidRPr="00E805AD">
        <w:rPr>
          <w:rFonts w:eastAsia="Times New Roman"/>
          <w:sz w:val="24"/>
          <w:szCs w:val="24"/>
        </w:rPr>
        <w:t xml:space="preserve">, and </w:t>
      </w:r>
      <w:proofErr w:type="spellStart"/>
      <w:r w:rsidRPr="00E805AD">
        <w:rPr>
          <w:rFonts w:eastAsia="Times New Roman"/>
          <w:sz w:val="24"/>
          <w:szCs w:val="24"/>
        </w:rPr>
        <w:t>Menegaki</w:t>
      </w:r>
      <w:proofErr w:type="spellEnd"/>
      <w:r w:rsidRPr="00E805AD">
        <w:rPr>
          <w:rFonts w:eastAsia="Times New Roman"/>
          <w:sz w:val="24"/>
          <w:szCs w:val="24"/>
        </w:rPr>
        <w:t>, 2023). Despite being able to offset some of these pressures through higher room rates and strong travel demand, persistent inflation could ultimately dampen consumer demand and business travel.  The same cost pressures have worked against Hilton and Hyatt, proving to be a challenge throughout the industry.</w:t>
      </w:r>
    </w:p>
    <w:p w14:paraId="00000040"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ESG</w:t>
      </w:r>
    </w:p>
    <w:p w14:paraId="00000041" w14:textId="7620F8B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 xml:space="preserve">Marriott increasingly appreciates the significance of ESG considerations to its stakeholders and their long-term strategy. Within Serve 360: Doing Good in Every Direction </w:t>
      </w:r>
      <w:r w:rsidR="00465EF1" w:rsidRPr="00E805AD">
        <w:rPr>
          <w:rFonts w:eastAsia="Times New Roman"/>
          <w:sz w:val="24"/>
          <w:szCs w:val="24"/>
        </w:rPr>
        <w:t>initiative</w:t>
      </w:r>
      <w:r w:rsidRPr="00E805AD">
        <w:rPr>
          <w:rFonts w:eastAsia="Times New Roman"/>
          <w:sz w:val="24"/>
          <w:szCs w:val="24"/>
        </w:rPr>
        <w:t>, Marriott sustains its sustainability efforts. The initiatives focus on environmental stewardship, engaging communities, upholding human rights, and increasing diversity in the workforce. The organization will lessen carbon footprints, be more energy efficient as well as adopt responsible sourcing practices for their hotels (Islam et al., 2022). In addition, periodic sustainability and ESG reports are published by Marriott. It can improve the brand’s reputation when a company performs impressively in ESG (Francisca, 2025). It also helps in attracting socially responsible investors. In addition, it strengthens customer loyalty. All of these will support sustainable growth. Such growth also helps the creation of long-term shareholder value.</w:t>
      </w:r>
    </w:p>
    <w:p w14:paraId="00000042" w14:textId="77777777" w:rsidR="003E62FA" w:rsidRPr="00E805AD" w:rsidRDefault="00123D4C" w:rsidP="00E805AD">
      <w:pPr>
        <w:pStyle w:val="Heading1"/>
      </w:pPr>
      <w:bookmarkStart w:id="15" w:name="_Toc234863818"/>
      <w:r w:rsidRPr="00E805AD">
        <w:t>5. Investment Appraisal and Capital Budgeting</w:t>
      </w:r>
      <w:bookmarkEnd w:id="15"/>
    </w:p>
    <w:p w14:paraId="00000043" w14:textId="77777777" w:rsidR="003E62FA" w:rsidRPr="00E805AD" w:rsidRDefault="00123D4C" w:rsidP="00E805AD">
      <w:pPr>
        <w:pStyle w:val="Heading2"/>
      </w:pPr>
      <w:bookmarkStart w:id="16" w:name="_Toc234863819"/>
      <w:r w:rsidRPr="00E805AD">
        <w:t>5.1 Investment Projects</w:t>
      </w:r>
      <w:bookmarkEnd w:id="16"/>
    </w:p>
    <w:p w14:paraId="00000044"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Project A</w:t>
      </w:r>
    </w:p>
    <w:p w14:paraId="00000045" w14:textId="324FD5E8"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Project A has an initial investment of £50m and produces total undiscounted cash inflows of £54m over 5 years</w:t>
      </w:r>
      <w:r w:rsidR="00E829E9" w:rsidRPr="00E805AD">
        <w:rPr>
          <w:rFonts w:eastAsia="Times New Roman"/>
          <w:sz w:val="24"/>
          <w:szCs w:val="24"/>
        </w:rPr>
        <w:t xml:space="preserve"> </w:t>
      </w:r>
      <w:r w:rsidR="00E829E9" w:rsidRPr="00E805AD">
        <w:rPr>
          <w:rFonts w:eastAsia="Times New Roman"/>
          <w:b/>
          <w:bCs/>
          <w:i/>
          <w:iCs/>
          <w:sz w:val="24"/>
          <w:szCs w:val="24"/>
        </w:rPr>
        <w:t>[Refers to Appendix B]</w:t>
      </w:r>
      <w:r w:rsidRPr="00E805AD">
        <w:rPr>
          <w:rFonts w:eastAsia="Times New Roman"/>
          <w:sz w:val="24"/>
          <w:szCs w:val="24"/>
        </w:rPr>
        <w:t xml:space="preserve">. The Payback Period (PBP) of </w:t>
      </w:r>
      <w:r w:rsidRPr="00E805AD">
        <w:rPr>
          <w:rFonts w:eastAsia="Times New Roman"/>
          <w:sz w:val="24"/>
          <w:szCs w:val="24"/>
        </w:rPr>
        <w:lastRenderedPageBreak/>
        <w:t>the project works out to be 4.8 years implying that the investment gets back almost at the end of the life of the project. The project’s accounting rate of return (ARR) is 21.6% which suggests its profitability and exceeding many firms’ minimum accounting returns would be acceptable.</w:t>
      </w:r>
    </w:p>
    <w:p w14:paraId="00000046"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discounted cash flow methods present a contrary picture. The project has a negative NPV of about (£6.54 million), suggesting the present value of incoming cash in future is not sufficient to recover the project’s initial outlay as well as required return. Also, the Profitability Index (PI) of 0.87, which is less than 1.0, indicates that the project earns £0.87 in present value for every £1 invested. Moreover, we notice that the IRR of around 3% is much less than the cost of capital of 8%.</w:t>
      </w:r>
    </w:p>
    <w:p w14:paraId="00000047"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In conclusion, while Project A may seem a reasonable choice when assessed using the payback and accounting profitability measures, the negative NPV, low PI, and IRR below the discount rate indicate that the project will reduce shareholder value and thus should be rejected on principle.</w:t>
      </w:r>
    </w:p>
    <w:p w14:paraId="00000048"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Project B</w:t>
      </w:r>
    </w:p>
    <w:p w14:paraId="00000049" w14:textId="6963B12A"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Project B will require an initial investment of £50 million which will deliver equal annual cash inflows of £11 million for five years and total cash inflows (undiscounted) of £55 million</w:t>
      </w:r>
      <w:r w:rsidR="00E829E9" w:rsidRPr="00E805AD">
        <w:rPr>
          <w:rFonts w:eastAsia="Times New Roman"/>
          <w:sz w:val="24"/>
          <w:szCs w:val="24"/>
        </w:rPr>
        <w:t xml:space="preserve"> </w:t>
      </w:r>
      <w:r w:rsidR="00E829E9" w:rsidRPr="00E805AD">
        <w:rPr>
          <w:rFonts w:eastAsia="Times New Roman"/>
          <w:b/>
          <w:bCs/>
          <w:i/>
          <w:iCs/>
          <w:sz w:val="24"/>
          <w:szCs w:val="24"/>
        </w:rPr>
        <w:t>[Refers to Appendix B]</w:t>
      </w:r>
      <w:r w:rsidRPr="00E805AD">
        <w:rPr>
          <w:rFonts w:eastAsia="Times New Roman"/>
          <w:sz w:val="24"/>
          <w:szCs w:val="24"/>
        </w:rPr>
        <w:t>. The project has a Payback Period (PBP) of 5 years, meaning the investment is recovered only at the end of the project. This means that if cash inflows are less than expected or delayed, there is no margin of safety. The indicator of accounting profitability is the ARR, whose accounting rate of return is 22% which can be termed as reasonable. ARR is marginally higher than Project A (20%) in accounting profitability terms.</w:t>
      </w:r>
    </w:p>
    <w:p w14:paraId="0000004A"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The project is expected to generate negative net present value (NPV) amounting to £6.08 million. This indicates that the future cash inflows will not create sufficient value to offset the initial investment plus a return of 8%. Likewise, the Profitability Index (PI) of 0.88 is less than the benchmark of 1.0. The negative NPV indicates that it generates only 88 pence in present value for every £1 invested. The IRR of about 3% is also significantly less than the company’s cost of capital.</w:t>
      </w:r>
    </w:p>
    <w:p w14:paraId="0000004B" w14:textId="18F2B2A6"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lastRenderedPageBreak/>
        <w:t xml:space="preserve">According to the metrics of NPV, PI, and IRR, the project should be rejected as it fails to </w:t>
      </w:r>
      <w:r w:rsidR="00465EF1" w:rsidRPr="00E805AD">
        <w:rPr>
          <w:rFonts w:eastAsia="Times New Roman"/>
          <w:sz w:val="24"/>
          <w:szCs w:val="24"/>
        </w:rPr>
        <w:t>fulfil</w:t>
      </w:r>
      <w:r w:rsidRPr="00E805AD">
        <w:rPr>
          <w:rFonts w:eastAsia="Times New Roman"/>
          <w:sz w:val="24"/>
          <w:szCs w:val="24"/>
        </w:rPr>
        <w:t xml:space="preserve"> the required rate of return of the firm and results in a wealth loss of the shareholders.</w:t>
      </w:r>
    </w:p>
    <w:p w14:paraId="0000004C" w14:textId="77777777" w:rsidR="003E62FA" w:rsidRPr="00E805AD" w:rsidRDefault="00123D4C" w:rsidP="00E805AD">
      <w:pPr>
        <w:spacing w:after="200" w:line="360" w:lineRule="auto"/>
        <w:jc w:val="both"/>
        <w:rPr>
          <w:rFonts w:eastAsia="Times New Roman"/>
          <w:b/>
          <w:bCs/>
          <w:i/>
          <w:iCs/>
          <w:sz w:val="24"/>
          <w:szCs w:val="24"/>
        </w:rPr>
      </w:pPr>
      <w:r w:rsidRPr="00E805AD">
        <w:rPr>
          <w:rFonts w:eastAsia="Times New Roman"/>
          <w:b/>
          <w:bCs/>
          <w:i/>
          <w:iCs/>
          <w:sz w:val="24"/>
          <w:szCs w:val="24"/>
        </w:rPr>
        <w:t>Project C</w:t>
      </w:r>
    </w:p>
    <w:p w14:paraId="0000004D" w14:textId="357DC0D1"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Project C involves first investing £50 million. Thereafter, it generates uneven cash inflows over a time span of five years. Furthermore, cash inflows are significantly higher in Years 3 and 4. It will generate total undiscounted cash inflows: £65 million. In addition, this is the highest cash inflow among the three projects</w:t>
      </w:r>
      <w:r w:rsidR="00E829E9" w:rsidRPr="00E805AD">
        <w:rPr>
          <w:rFonts w:eastAsia="Times New Roman"/>
          <w:sz w:val="24"/>
          <w:szCs w:val="24"/>
        </w:rPr>
        <w:t xml:space="preserve"> </w:t>
      </w:r>
      <w:r w:rsidR="00E829E9" w:rsidRPr="00E805AD">
        <w:rPr>
          <w:rFonts w:eastAsia="Times New Roman"/>
          <w:b/>
          <w:bCs/>
          <w:i/>
          <w:iCs/>
          <w:sz w:val="24"/>
          <w:szCs w:val="24"/>
        </w:rPr>
        <w:t>[Refers to Appendix B]</w:t>
      </w:r>
      <w:r w:rsidRPr="00E805AD">
        <w:rPr>
          <w:rFonts w:eastAsia="Times New Roman"/>
          <w:sz w:val="24"/>
          <w:szCs w:val="24"/>
        </w:rPr>
        <w:t>. A PBP of 4.2 years means that the investor would recover his initial investment fairly quickly and before the end of the project’s life, thus lowering investment risk and improving investment liquidity (</w:t>
      </w:r>
      <w:proofErr w:type="spellStart"/>
      <w:r w:rsidRPr="00E805AD">
        <w:rPr>
          <w:rFonts w:eastAsia="Times New Roman"/>
          <w:sz w:val="24"/>
          <w:szCs w:val="24"/>
        </w:rPr>
        <w:t>Stivala</w:t>
      </w:r>
      <w:proofErr w:type="spellEnd"/>
      <w:r w:rsidRPr="00E805AD">
        <w:rPr>
          <w:rFonts w:eastAsia="Times New Roman"/>
          <w:sz w:val="24"/>
          <w:szCs w:val="24"/>
        </w:rPr>
        <w:t>, 2022). In addition, the ARR of 26% being the highest of the projects reflects strong accounting profit.</w:t>
      </w:r>
    </w:p>
    <w:p w14:paraId="0000004E"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The project yields an NPV of roughly £0.86 million which means the present value of the cash inflow is higher than the investment and required return. Likewise, the PI of 1.02 exceeds the acceptance benchmark of 1.0, meaning that for every £1 invested, a value of approximately £1.02 is created. In addition, since the Internal Rate of Return (IRR) of 9% exceeds the cost of capital for the company of 8%, the project generates more than required.</w:t>
      </w:r>
    </w:p>
    <w:p w14:paraId="0000004F"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Given the positive NPV, PI greater than 1 and IRR greater than discount rate, Project C is recommended to be accepted as it is the most attractive profit opportunity of the three projects.</w:t>
      </w:r>
    </w:p>
    <w:p w14:paraId="00000050" w14:textId="77777777" w:rsidR="003E62FA" w:rsidRPr="00E805AD" w:rsidRDefault="00123D4C" w:rsidP="00E805AD">
      <w:pPr>
        <w:pStyle w:val="Heading2"/>
      </w:pPr>
      <w:bookmarkStart w:id="17" w:name="_Toc234863820"/>
      <w:r w:rsidRPr="00E805AD">
        <w:t>5.2 Recommendation</w:t>
      </w:r>
      <w:bookmarkEnd w:id="17"/>
      <w:r w:rsidRPr="00E805AD">
        <w:t xml:space="preserve"> </w:t>
      </w:r>
    </w:p>
    <w:p w14:paraId="00000051"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Project C is the most financially attractive and should be recommended of the three investment options. Although the accounting returns of Projects A and B appear acceptable, neither generates positive economic value. Project A has an NPV of (£6.54 million) while Project B has an NPV of (£6.08 million). Both projects have IRRs of 3%, which are inferior to the company’s required return of 8%. The 0.87 and 0.88 profitability indices indicate value destruction.</w:t>
      </w:r>
    </w:p>
    <w:p w14:paraId="00000052"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 xml:space="preserve">In contrast, Project C is superior to all other projects on key investment criteria. The payback period of 4.2 years is shorter than that of all other proposals. With an </w:t>
      </w:r>
      <w:r w:rsidRPr="00E805AD">
        <w:rPr>
          <w:rFonts w:eastAsia="Times New Roman"/>
          <w:sz w:val="24"/>
          <w:szCs w:val="24"/>
        </w:rPr>
        <w:lastRenderedPageBreak/>
        <w:t>accounting rate of return of 26% and a positive NPV of £0.86 million, it has a profitability index of 1.02 (B) and IRR of 9% (C). By net present value rule and shareholder wealth maximisation theory, project C should be accepted as it has returns higher than the required return and value to shareholders.</w:t>
      </w:r>
    </w:p>
    <w:p w14:paraId="00000053" w14:textId="77777777" w:rsidR="003E62FA" w:rsidRPr="00E805AD" w:rsidRDefault="00123D4C" w:rsidP="00E805AD">
      <w:pPr>
        <w:pStyle w:val="Heading2"/>
      </w:pPr>
      <w:bookmarkStart w:id="18" w:name="_Toc234863821"/>
      <w:r w:rsidRPr="00E805AD">
        <w:t>5.3 Justification</w:t>
      </w:r>
      <w:bookmarkEnd w:id="18"/>
      <w:r w:rsidRPr="00E805AD">
        <w:t xml:space="preserve"> </w:t>
      </w:r>
    </w:p>
    <w:p w14:paraId="00000054" w14:textId="1E4A58EE"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Project C should be selected as it best matches Marriott International’s present financial position and long-term strategic goals. During the period from 2021 to 2025, revenue of Marriott increased from US$13.86 billion in 2021 to US$26.19 billion in 2025. Moreover, net income increased from US$1.10 billion to US$2.60 billion</w:t>
      </w:r>
      <w:r w:rsidR="00E829E9" w:rsidRPr="00E805AD">
        <w:rPr>
          <w:rFonts w:eastAsia="Times New Roman"/>
          <w:sz w:val="24"/>
          <w:szCs w:val="24"/>
        </w:rPr>
        <w:t xml:space="preserve"> </w:t>
      </w:r>
      <w:r w:rsidR="00E829E9" w:rsidRPr="00E805AD">
        <w:rPr>
          <w:rFonts w:eastAsia="Times New Roman"/>
          <w:b/>
          <w:bCs/>
          <w:i/>
          <w:iCs/>
          <w:sz w:val="24"/>
          <w:szCs w:val="24"/>
        </w:rPr>
        <w:t>[Refers to Appendix B]</w:t>
      </w:r>
      <w:r w:rsidRPr="00E805AD">
        <w:rPr>
          <w:rFonts w:eastAsia="Times New Roman"/>
          <w:sz w:val="24"/>
          <w:szCs w:val="24"/>
        </w:rPr>
        <w:t>. The profitability indicators (operating margin, EBITDA margin) were also on an improving track thereby indicating its capability to generate earnings and support investment opportunities with good return.</w:t>
      </w:r>
    </w:p>
    <w:p w14:paraId="00000055"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It has a weak liquidity position marked by a low current ratio, cash ratio, and continued negative working capital. As a result, the company will invest in projects that return cash quickly and generate economic value (</w:t>
      </w:r>
      <w:proofErr w:type="spellStart"/>
      <w:r w:rsidRPr="00E805AD">
        <w:rPr>
          <w:rFonts w:eastAsia="Times New Roman"/>
          <w:sz w:val="24"/>
          <w:szCs w:val="24"/>
        </w:rPr>
        <w:t>Zeqiri</w:t>
      </w:r>
      <w:proofErr w:type="spellEnd"/>
      <w:r w:rsidRPr="00E805AD">
        <w:rPr>
          <w:rFonts w:eastAsia="Times New Roman"/>
          <w:sz w:val="24"/>
          <w:szCs w:val="24"/>
        </w:rPr>
        <w:t xml:space="preserve"> et al., 2025). Project C meets the criteria as it has the lowest payback period (4.2 years), the highest ARR 26%, a positive NPV (£0.86 million), and IRR (9%) which is greater than the cost of capital 8%.</w:t>
      </w:r>
    </w:p>
    <w:p w14:paraId="00000056"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 xml:space="preserve">In addition, customer loyalty is of growing importance in the hotel industry. The stronger returns on Project C give Marriott more financial flexibility to invest in digital services, loyalty programmes such as Marriott </w:t>
      </w:r>
      <w:proofErr w:type="spellStart"/>
      <w:r w:rsidRPr="00E805AD">
        <w:rPr>
          <w:rFonts w:eastAsia="Times New Roman"/>
          <w:sz w:val="24"/>
          <w:szCs w:val="24"/>
        </w:rPr>
        <w:t>Bonvoy</w:t>
      </w:r>
      <w:proofErr w:type="spellEnd"/>
      <w:r w:rsidRPr="00E805AD">
        <w:rPr>
          <w:rFonts w:eastAsia="Times New Roman"/>
          <w:sz w:val="24"/>
          <w:szCs w:val="24"/>
        </w:rPr>
        <w:t xml:space="preserve"> and expansion initiatives in markets to enhance competitive advantage and support sustainable long growth.</w:t>
      </w:r>
    </w:p>
    <w:p w14:paraId="00000057" w14:textId="77777777" w:rsidR="003E62FA" w:rsidRPr="00E805AD" w:rsidRDefault="00123D4C" w:rsidP="00E805AD">
      <w:pPr>
        <w:pStyle w:val="Heading2"/>
      </w:pPr>
      <w:bookmarkStart w:id="19" w:name="_Toc234863822"/>
      <w:r w:rsidRPr="00E805AD">
        <w:t>5.4 Example Assumption</w:t>
      </w:r>
      <w:bookmarkEnd w:id="19"/>
      <w:r w:rsidRPr="00E805AD">
        <w:t xml:space="preserve"> </w:t>
      </w:r>
    </w:p>
    <w:p w14:paraId="00000058"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Marriott can invest a maximum of £100 million, allowing it to undertake two of the three projects as each project needs £50 million as an initial investment. The goal is to choose the combination that maximises shareholder value and maintains financial flexibility.</w:t>
      </w:r>
    </w:p>
    <w:p w14:paraId="00000059" w14:textId="77777777" w:rsidR="003E62FA" w:rsidRPr="00E805AD" w:rsidRDefault="00123D4C" w:rsidP="00E805AD">
      <w:pPr>
        <w:numPr>
          <w:ilvl w:val="0"/>
          <w:numId w:val="1"/>
        </w:numPr>
        <w:spacing w:line="360" w:lineRule="auto"/>
        <w:jc w:val="both"/>
        <w:rPr>
          <w:rFonts w:eastAsia="Times New Roman"/>
          <w:sz w:val="24"/>
          <w:szCs w:val="24"/>
        </w:rPr>
      </w:pPr>
      <w:r w:rsidRPr="00E805AD">
        <w:rPr>
          <w:rFonts w:eastAsia="Times New Roman"/>
          <w:sz w:val="24"/>
          <w:szCs w:val="24"/>
        </w:rPr>
        <w:t>Project A + Project B: Total NPV = (-£6.54m) + (-£6.08m) = -£12.62m</w:t>
      </w:r>
    </w:p>
    <w:p w14:paraId="0000005A" w14:textId="77777777" w:rsidR="003E62FA" w:rsidRPr="00E805AD" w:rsidRDefault="00123D4C" w:rsidP="00E805AD">
      <w:pPr>
        <w:numPr>
          <w:ilvl w:val="0"/>
          <w:numId w:val="1"/>
        </w:numPr>
        <w:spacing w:line="360" w:lineRule="auto"/>
        <w:jc w:val="both"/>
        <w:rPr>
          <w:rFonts w:eastAsia="Times New Roman"/>
          <w:sz w:val="24"/>
          <w:szCs w:val="24"/>
        </w:rPr>
      </w:pPr>
      <w:r w:rsidRPr="00E805AD">
        <w:rPr>
          <w:rFonts w:eastAsia="Times New Roman"/>
          <w:sz w:val="24"/>
          <w:szCs w:val="24"/>
        </w:rPr>
        <w:t>Project A + Project C: Total NPV = (-£6.54m) + (£0.86m) = -£5.68m</w:t>
      </w:r>
    </w:p>
    <w:p w14:paraId="0000005B" w14:textId="77777777" w:rsidR="003E62FA" w:rsidRPr="00E805AD" w:rsidRDefault="00123D4C" w:rsidP="00E805AD">
      <w:pPr>
        <w:numPr>
          <w:ilvl w:val="0"/>
          <w:numId w:val="1"/>
        </w:numPr>
        <w:spacing w:after="200" w:line="360" w:lineRule="auto"/>
        <w:jc w:val="both"/>
        <w:rPr>
          <w:rFonts w:eastAsia="Times New Roman"/>
          <w:sz w:val="24"/>
          <w:szCs w:val="24"/>
        </w:rPr>
      </w:pPr>
      <w:r w:rsidRPr="00E805AD">
        <w:rPr>
          <w:rFonts w:eastAsia="Times New Roman"/>
          <w:sz w:val="24"/>
          <w:szCs w:val="24"/>
        </w:rPr>
        <w:t>Project B + Project C: Total NPV = (-£6.08m) + (£0.86m) = -£5.22m</w:t>
      </w:r>
    </w:p>
    <w:p w14:paraId="0000005C" w14:textId="77777777"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lastRenderedPageBreak/>
        <w:t>The available combinations Projects B and C generate the highest NPV combined (-£5.22 million) and are consequently the least value-destructive option under the capex constraint. From a narrow viewpoint of shareholder wealth maximisation only project C gives value as the only project which gives a positive NPV, and whose IRR (9%) exceeds its cost of capital (8%).</w:t>
      </w:r>
    </w:p>
    <w:p w14:paraId="0000005D" w14:textId="7FD3083B"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t xml:space="preserve">Companies in the </w:t>
      </w:r>
      <w:r w:rsidR="00465EF1" w:rsidRPr="00E805AD">
        <w:rPr>
          <w:rFonts w:eastAsia="Times New Roman"/>
          <w:sz w:val="24"/>
          <w:szCs w:val="24"/>
        </w:rPr>
        <w:t>real-world</w:t>
      </w:r>
      <w:r w:rsidRPr="00E805AD">
        <w:rPr>
          <w:rFonts w:eastAsia="Times New Roman"/>
          <w:sz w:val="24"/>
          <w:szCs w:val="24"/>
        </w:rPr>
        <w:t xml:space="preserve"> face similar capital rationing decisions. Keen to maintain liquidity, hotel groups put off investments with a lower expected value. For instance, executives at Marriott and Hilton say the pandemic caused them to delay many projects with shareholders' funds (Joshua et al., 2024). Similarly, it should pursue Project C first, and should the complete budget of £100 million be needed, it should select Project B as the next project as this gives rise to a lesser value loss than Project A</w:t>
      </w:r>
      <w:r w:rsidR="00E829E9" w:rsidRPr="00E805AD">
        <w:rPr>
          <w:rFonts w:eastAsia="Times New Roman"/>
          <w:sz w:val="24"/>
          <w:szCs w:val="24"/>
        </w:rPr>
        <w:t xml:space="preserve"> </w:t>
      </w:r>
      <w:r w:rsidR="00E829E9" w:rsidRPr="00E805AD">
        <w:rPr>
          <w:rFonts w:eastAsia="Times New Roman"/>
          <w:b/>
          <w:bCs/>
          <w:i/>
          <w:iCs/>
          <w:sz w:val="24"/>
          <w:szCs w:val="24"/>
        </w:rPr>
        <w:t>[Refers to Appendix B]</w:t>
      </w:r>
      <w:r w:rsidRPr="00E805AD">
        <w:rPr>
          <w:rFonts w:eastAsia="Times New Roman"/>
          <w:sz w:val="24"/>
          <w:szCs w:val="24"/>
        </w:rPr>
        <w:t xml:space="preserve">. This balanced capital constraint, risk and </w:t>
      </w:r>
      <w:r w:rsidR="00465EF1" w:rsidRPr="00E805AD">
        <w:rPr>
          <w:rFonts w:eastAsia="Times New Roman"/>
          <w:sz w:val="24"/>
          <w:szCs w:val="24"/>
        </w:rPr>
        <w:t>long-term</w:t>
      </w:r>
      <w:r w:rsidRPr="00E805AD">
        <w:rPr>
          <w:rFonts w:eastAsia="Times New Roman"/>
          <w:sz w:val="24"/>
          <w:szCs w:val="24"/>
        </w:rPr>
        <w:t xml:space="preserve"> strategic growth objective. </w:t>
      </w:r>
    </w:p>
    <w:p w14:paraId="0000005E" w14:textId="412BBB7E" w:rsidR="003E62FA" w:rsidRPr="00E805AD" w:rsidRDefault="00123D4C" w:rsidP="00E805AD">
      <w:pPr>
        <w:pStyle w:val="Heading1"/>
      </w:pPr>
      <w:bookmarkStart w:id="20" w:name="_Toc234863823"/>
      <w:r w:rsidRPr="00E805AD">
        <w:t>6. Critical Reflection on AI Usage</w:t>
      </w:r>
      <w:bookmarkEnd w:id="20"/>
    </w:p>
    <w:p w14:paraId="2D1E1DC7" w14:textId="77777777" w:rsidR="00650885" w:rsidRPr="00E805AD" w:rsidRDefault="00650885" w:rsidP="00E805AD">
      <w:pPr>
        <w:pStyle w:val="Heading2"/>
      </w:pPr>
      <w:bookmarkStart w:id="21" w:name="_Toc234863824"/>
      <w:r w:rsidRPr="00E805AD">
        <w:t>6.1 Tool Disclosure</w:t>
      </w:r>
      <w:bookmarkEnd w:id="21"/>
    </w:p>
    <w:p w14:paraId="77692C23" w14:textId="77777777" w:rsidR="00650885" w:rsidRPr="00E805AD" w:rsidRDefault="00650885" w:rsidP="00E805AD">
      <w:pPr>
        <w:spacing w:after="200" w:line="360" w:lineRule="auto"/>
        <w:jc w:val="both"/>
        <w:rPr>
          <w:rFonts w:eastAsia="Times New Roman"/>
          <w:sz w:val="24"/>
          <w:szCs w:val="24"/>
        </w:rPr>
      </w:pPr>
      <w:r w:rsidRPr="00E805AD">
        <w:rPr>
          <w:rFonts w:eastAsia="Times New Roman"/>
          <w:sz w:val="24"/>
          <w:szCs w:val="24"/>
        </w:rPr>
        <w:t xml:space="preserve">Artificial Intelligence (AI) tool </w:t>
      </w:r>
      <w:proofErr w:type="spellStart"/>
      <w:r w:rsidRPr="00E805AD">
        <w:rPr>
          <w:rFonts w:eastAsia="Times New Roman"/>
          <w:sz w:val="24"/>
          <w:szCs w:val="24"/>
        </w:rPr>
        <w:t>ChatGPT</w:t>
      </w:r>
      <w:proofErr w:type="spellEnd"/>
      <w:r w:rsidRPr="00E805AD">
        <w:rPr>
          <w:rFonts w:eastAsia="Times New Roman"/>
          <w:sz w:val="24"/>
          <w:szCs w:val="24"/>
        </w:rPr>
        <w:t xml:space="preserve"> guided the preparation of the report. The specific use of this tool is in gaining basic financial concepts, refining the structure for improvement in the logical flow of writing that fulfils a higher level of academic standards. This tool also assists in the identification of relevant financial ratios, working capital concepts and investment appraisal techniques. However, the writing has been conducted independently conducting critical evaluation of multiple academic literature and journals. Financial calculation also been done independently using Microsoft Excel and data obtained from Marriott International's published annual reports. The university’s guidelines for AI use have been properly followed here.       </w:t>
      </w:r>
    </w:p>
    <w:p w14:paraId="18CF3A8C" w14:textId="77777777" w:rsidR="00650885" w:rsidRPr="00E805AD" w:rsidRDefault="00650885" w:rsidP="00E805AD">
      <w:pPr>
        <w:pStyle w:val="Heading2"/>
      </w:pPr>
      <w:bookmarkStart w:id="22" w:name="_Toc234863825"/>
      <w:r w:rsidRPr="00E805AD">
        <w:t>6.2 Critical Evaluation of AI Output</w:t>
      </w:r>
      <w:bookmarkEnd w:id="22"/>
    </w:p>
    <w:p w14:paraId="6105BBD6" w14:textId="77777777" w:rsidR="00650885" w:rsidRPr="00E805AD" w:rsidRDefault="00650885" w:rsidP="00E805AD">
      <w:pPr>
        <w:spacing w:after="200" w:line="360" w:lineRule="auto"/>
        <w:jc w:val="both"/>
        <w:rPr>
          <w:rFonts w:eastAsia="Times New Roman"/>
          <w:sz w:val="24"/>
          <w:szCs w:val="24"/>
        </w:rPr>
      </w:pPr>
      <w:r w:rsidRPr="00E805AD">
        <w:rPr>
          <w:rFonts w:eastAsia="Times New Roman"/>
          <w:sz w:val="24"/>
          <w:szCs w:val="24"/>
        </w:rPr>
        <w:t xml:space="preserve">The use of this strategic tool, AI, has enabled maintaining a robust structure in the report as well as gaining useful suggestions. However, as AI presents the risk of biased outcomes, critical and careful evaluation of those suggestions has been done before inclusion in the report. Marriott International's annual reports checking, a critical synthesis of literature and independent Excel calculations were made here. While comparing data from AI with relevant resources, I have found that there is some </w:t>
      </w:r>
      <w:r w:rsidRPr="00E805AD">
        <w:rPr>
          <w:rFonts w:eastAsia="Times New Roman"/>
          <w:sz w:val="24"/>
          <w:szCs w:val="24"/>
        </w:rPr>
        <w:lastRenderedPageBreak/>
        <w:t xml:space="preserve">incorrect information provided by AI (Denny et al., 2023). AI-generated content also presented inconsistencies at times. Rigour level verification ensured that the report contains reliable evidence. Thus, in this report AI is only considered as a supporting tool rather than a replacement for critical synthesis of information and overall writing.     </w:t>
      </w:r>
    </w:p>
    <w:p w14:paraId="3403FCAD" w14:textId="77777777" w:rsidR="00650885" w:rsidRPr="00E805AD" w:rsidRDefault="00650885" w:rsidP="00E805AD">
      <w:pPr>
        <w:pStyle w:val="Heading2"/>
      </w:pPr>
      <w:bookmarkStart w:id="23" w:name="_Toc234863826"/>
      <w:r w:rsidRPr="00E805AD">
        <w:t>6.3 Contribution Analysis</w:t>
      </w:r>
      <w:bookmarkEnd w:id="23"/>
    </w:p>
    <w:p w14:paraId="18013CF6" w14:textId="77777777" w:rsidR="00650885" w:rsidRPr="00E805AD" w:rsidRDefault="00650885" w:rsidP="00E805AD">
      <w:pPr>
        <w:spacing w:after="200" w:line="360" w:lineRule="auto"/>
        <w:jc w:val="both"/>
        <w:rPr>
          <w:rFonts w:eastAsia="Times New Roman"/>
          <w:sz w:val="24"/>
          <w:szCs w:val="24"/>
        </w:rPr>
      </w:pPr>
      <w:r w:rsidRPr="00E805AD">
        <w:rPr>
          <w:rFonts w:eastAsia="Times New Roman"/>
          <w:sz w:val="24"/>
          <w:szCs w:val="24"/>
        </w:rPr>
        <w:t xml:space="preserve">In the Marriott International project, there is the use of AI only for the structuring and presentation and basic guidance in the report. An advanced AI algorithm has supported the improvement in financial concepts, correct usage of words and refinement in grammar. However, financial ratio calculation and overall writing have been done by me, gaining reliable and credible data from multiple sources. From the published financial statements of Marriott International, there has been calculation of financial ratios. In addition, independent calculations of Net Present Value, Accounting Rate of Return, Payback Period, Internal Rate of Return and Profitability Index have also been made. Evidence-based final recommendations based on the findings are effective for the firm in making informed decisions and achieving better operational outcomes. Overall independent judgement is maintained where only efficiency and time saving are strengthened throughout the preparation of this report.    </w:t>
      </w:r>
    </w:p>
    <w:p w14:paraId="028C611E" w14:textId="77777777" w:rsidR="00650885" w:rsidRPr="00E805AD" w:rsidRDefault="00650885" w:rsidP="00E805AD">
      <w:pPr>
        <w:pStyle w:val="Heading2"/>
      </w:pPr>
      <w:bookmarkStart w:id="24" w:name="_Toc234863827"/>
      <w:r w:rsidRPr="00E805AD">
        <w:t>6.4   Ethical and Professional Reflection</w:t>
      </w:r>
      <w:bookmarkEnd w:id="24"/>
    </w:p>
    <w:p w14:paraId="0000005F" w14:textId="31A071EE" w:rsidR="003E62FA" w:rsidRPr="00E805AD" w:rsidRDefault="00650885" w:rsidP="00E805AD">
      <w:pPr>
        <w:spacing w:line="360" w:lineRule="auto"/>
        <w:jc w:val="both"/>
      </w:pPr>
      <w:r w:rsidRPr="00E805AD">
        <w:rPr>
          <w:rFonts w:eastAsia="Times New Roman"/>
          <w:sz w:val="24"/>
          <w:szCs w:val="24"/>
        </w:rPr>
        <w:t>AI use within this report provided significant benefits in terms of efficiency, strengthening the research process by providing basic structure and contextual insights. In data analysis, it su</w:t>
      </w:r>
      <w:r w:rsidR="0051157A">
        <w:rPr>
          <w:rFonts w:eastAsia="Times New Roman"/>
          <w:sz w:val="24"/>
          <w:szCs w:val="24"/>
        </w:rPr>
        <w:t>pported and also helped in maintain</w:t>
      </w:r>
      <w:r w:rsidRPr="00E805AD">
        <w:rPr>
          <w:rFonts w:eastAsia="Times New Roman"/>
          <w:sz w:val="24"/>
          <w:szCs w:val="24"/>
        </w:rPr>
        <w:t>ing proper logical flow in writing for the improvement in overall outcomes in the report. I became able to accurately forecast finances, budget, and cash flow and properly start planning, gaining proper assistance from AI. Despite strategic benefits, it also raises concerns around ethical and professional considerations. In academic writing, when there is the use of AI, the importance of transparency becomes strategic (Tang et al., 2024). Academic integrity and accountability are maintained when there is disclosure of the use of AI. In the final output, considering this importance, I have highlighted the use of AI tool for my report. While using AI, it is also equally important of maintaining data privacy by not disclosing confidential financial information. Excessive dependence on AI increases the risk of inaccurate financial interpretation, fabricated references or biased recommendations (</w:t>
      </w:r>
      <w:proofErr w:type="spellStart"/>
      <w:r w:rsidRPr="00E805AD">
        <w:rPr>
          <w:rFonts w:eastAsia="Times New Roman"/>
          <w:sz w:val="24"/>
          <w:szCs w:val="24"/>
        </w:rPr>
        <w:t>Harati</w:t>
      </w:r>
      <w:proofErr w:type="spellEnd"/>
      <w:r w:rsidRPr="00E805AD">
        <w:rPr>
          <w:rFonts w:eastAsia="Times New Roman"/>
          <w:sz w:val="24"/>
          <w:szCs w:val="24"/>
        </w:rPr>
        <w:t xml:space="preserve">, 2024). In the context of executive-level financial </w:t>
      </w:r>
      <w:r w:rsidRPr="00E805AD">
        <w:rPr>
          <w:rFonts w:eastAsia="Times New Roman"/>
          <w:sz w:val="24"/>
          <w:szCs w:val="24"/>
        </w:rPr>
        <w:lastRenderedPageBreak/>
        <w:t>decisions or the evaluation of organisational performance, there is a negative impact due to such errors. Therefore, I have only used AI as a supporting tool. I have ensured my report on Marriott is based on a critical assessment of multiple resources and professional judgement.</w:t>
      </w:r>
    </w:p>
    <w:p w14:paraId="00000060" w14:textId="64BCD329" w:rsidR="003E62FA" w:rsidRPr="00E805AD" w:rsidRDefault="00123D4C" w:rsidP="00E805AD">
      <w:pPr>
        <w:pStyle w:val="Heading1"/>
      </w:pPr>
      <w:bookmarkStart w:id="25" w:name="_Toc234863828"/>
      <w:r w:rsidRPr="00E805AD">
        <w:t>7. Conclusion</w:t>
      </w:r>
      <w:bookmarkEnd w:id="25"/>
      <w:r w:rsidRPr="00E805AD">
        <w:t xml:space="preserve"> </w:t>
      </w:r>
    </w:p>
    <w:p w14:paraId="3AFDB47F" w14:textId="33D55BDC" w:rsidR="00650885" w:rsidRPr="00E805AD" w:rsidRDefault="00650885" w:rsidP="00E805AD">
      <w:pPr>
        <w:spacing w:after="240" w:line="360" w:lineRule="auto"/>
        <w:jc w:val="both"/>
      </w:pPr>
      <w:r w:rsidRPr="00E805AD">
        <w:rPr>
          <w:rFonts w:eastAsia="Times New Roman"/>
          <w:sz w:val="24"/>
          <w:szCs w:val="24"/>
        </w:rPr>
        <w:t xml:space="preserve">Critical synthesis of financial performance and financial management practices of Marriott International highlights better financial performance of the firm. Within a competitive hospitality sector, the firm effectively manage working capital, maintain healthy cash conversion cycle and stronger profitability level. Liquidity strengthening and financial flexibility can be maintained at Marriott with working capital reforms and inclusion of a balanced financial strategy. Based on the capital budgeting technique, it has been seen that for the firm, the most financially viable technique is investment appraisal. Overall, Marriott is able in effectively managing financial risk and sustaining competitive position.    </w:t>
      </w:r>
    </w:p>
    <w:p w14:paraId="00000061" w14:textId="77777777" w:rsidR="003E62FA" w:rsidRPr="00E805AD" w:rsidRDefault="003E62FA" w:rsidP="00E805AD">
      <w:pPr>
        <w:spacing w:after="240" w:line="360" w:lineRule="auto"/>
        <w:jc w:val="both"/>
        <w:rPr>
          <w:rFonts w:eastAsia="Times New Roman"/>
          <w:sz w:val="24"/>
          <w:szCs w:val="24"/>
        </w:rPr>
      </w:pPr>
    </w:p>
    <w:p w14:paraId="775C0360" w14:textId="77777777" w:rsidR="00465EF1" w:rsidRPr="00E805AD" w:rsidRDefault="00465EF1" w:rsidP="00E805AD">
      <w:pPr>
        <w:spacing w:line="360" w:lineRule="auto"/>
        <w:rPr>
          <w:rFonts w:eastAsia="Times New Roman"/>
          <w:sz w:val="24"/>
          <w:szCs w:val="24"/>
        </w:rPr>
      </w:pPr>
      <w:r w:rsidRPr="00E805AD">
        <w:rPr>
          <w:rFonts w:eastAsia="Times New Roman"/>
          <w:sz w:val="24"/>
          <w:szCs w:val="24"/>
        </w:rPr>
        <w:br w:type="page"/>
      </w:r>
    </w:p>
    <w:p w14:paraId="00000062" w14:textId="5992FF61" w:rsidR="003E62FA" w:rsidRPr="00E805AD" w:rsidRDefault="00123D4C" w:rsidP="00E805AD">
      <w:pPr>
        <w:pStyle w:val="Heading1"/>
      </w:pPr>
      <w:bookmarkStart w:id="26" w:name="_Toc234863829"/>
      <w:r w:rsidRPr="00E805AD">
        <w:lastRenderedPageBreak/>
        <w:t>8. References</w:t>
      </w:r>
      <w:bookmarkEnd w:id="26"/>
      <w:r w:rsidRPr="00E805AD">
        <w:t xml:space="preserve"> </w:t>
      </w:r>
    </w:p>
    <w:p w14:paraId="5292D728" w14:textId="77777777" w:rsidR="00650885" w:rsidRPr="00E805AD" w:rsidRDefault="00650885" w:rsidP="00E805AD">
      <w:pPr>
        <w:spacing w:after="160" w:line="360" w:lineRule="auto"/>
        <w:jc w:val="both"/>
        <w:rPr>
          <w:rFonts w:eastAsia="Times New Roman"/>
          <w:color w:val="1155CC"/>
          <w:sz w:val="24"/>
          <w:szCs w:val="24"/>
          <w:u w:val="single"/>
        </w:rPr>
      </w:pPr>
      <w:r w:rsidRPr="00E805AD">
        <w:rPr>
          <w:rFonts w:eastAsia="Times New Roman"/>
          <w:sz w:val="24"/>
          <w:szCs w:val="24"/>
        </w:rPr>
        <w:t xml:space="preserve">Abdallah, A.A., </w:t>
      </w:r>
      <w:proofErr w:type="spellStart"/>
      <w:r w:rsidRPr="00E805AD">
        <w:rPr>
          <w:rFonts w:eastAsia="Times New Roman"/>
          <w:sz w:val="24"/>
          <w:szCs w:val="24"/>
        </w:rPr>
        <w:t>Alshehadeh</w:t>
      </w:r>
      <w:proofErr w:type="spellEnd"/>
      <w:r w:rsidRPr="00E805AD">
        <w:rPr>
          <w:rFonts w:eastAsia="Times New Roman"/>
          <w:sz w:val="24"/>
          <w:szCs w:val="24"/>
        </w:rPr>
        <w:t xml:space="preserve">, A.R. and El </w:t>
      </w:r>
      <w:proofErr w:type="spellStart"/>
      <w:r w:rsidRPr="00E805AD">
        <w:rPr>
          <w:rFonts w:eastAsia="Times New Roman"/>
          <w:sz w:val="24"/>
          <w:szCs w:val="24"/>
        </w:rPr>
        <w:t>Qirem</w:t>
      </w:r>
      <w:proofErr w:type="spellEnd"/>
      <w:r w:rsidRPr="00E805AD">
        <w:rPr>
          <w:rFonts w:eastAsia="Times New Roman"/>
          <w:sz w:val="24"/>
          <w:szCs w:val="24"/>
        </w:rPr>
        <w:t xml:space="preserve">, I.A., 2025. The impact of operating cash flows on IT investment and profitability in commercial banks. </w:t>
      </w:r>
      <w:proofErr w:type="spellStart"/>
      <w:r w:rsidRPr="00E805AD">
        <w:rPr>
          <w:rFonts w:eastAsia="Times New Roman"/>
          <w:i/>
          <w:iCs/>
          <w:sz w:val="24"/>
          <w:szCs w:val="24"/>
        </w:rPr>
        <w:t>Qual</w:t>
      </w:r>
      <w:proofErr w:type="spellEnd"/>
      <w:r w:rsidRPr="00E805AD">
        <w:rPr>
          <w:rFonts w:eastAsia="Times New Roman"/>
          <w:i/>
          <w:iCs/>
          <w:sz w:val="24"/>
          <w:szCs w:val="24"/>
        </w:rPr>
        <w:t xml:space="preserve"> Access Success</w:t>
      </w:r>
      <w:r w:rsidRPr="00E805AD">
        <w:rPr>
          <w:rFonts w:eastAsia="Times New Roman"/>
          <w:sz w:val="24"/>
          <w:szCs w:val="24"/>
        </w:rPr>
        <w:t xml:space="preserve">, </w:t>
      </w:r>
      <w:r w:rsidRPr="00E805AD">
        <w:rPr>
          <w:rFonts w:eastAsia="Times New Roman"/>
          <w:i/>
          <w:iCs/>
          <w:sz w:val="24"/>
          <w:szCs w:val="24"/>
        </w:rPr>
        <w:t>26</w:t>
      </w:r>
      <w:r w:rsidRPr="00E805AD">
        <w:rPr>
          <w:rFonts w:eastAsia="Times New Roman"/>
          <w:sz w:val="24"/>
          <w:szCs w:val="24"/>
        </w:rPr>
        <w:t>, pp.345-354.</w:t>
      </w:r>
      <w:hyperlink r:id="rId10">
        <w:r w:rsidRPr="00E805AD">
          <w:rPr>
            <w:rFonts w:eastAsia="Times New Roman"/>
            <w:sz w:val="24"/>
            <w:szCs w:val="24"/>
          </w:rPr>
          <w:t xml:space="preserve"> </w:t>
        </w:r>
      </w:hyperlink>
      <w:hyperlink r:id="rId11">
        <w:r w:rsidRPr="00E805AD">
          <w:rPr>
            <w:rFonts w:eastAsia="Times New Roman"/>
            <w:color w:val="1155CC"/>
            <w:sz w:val="24"/>
            <w:szCs w:val="24"/>
            <w:u w:val="single"/>
          </w:rPr>
          <w:t>https://www.researchgate.net/profile/Abdul-Razzak-Alshehadeh/publication/390407034_The_Impact_of_Operating_Cash_Flows_on_IT_Investment_and_Profitability_in_Commercial_Banks/links/67eccc11e8041142a15de006/The-Impact-of-Operating-Cash-Flows-on-IT-Investment-and-Profitability-in-Commercial-Banks.pdf</w:t>
        </w:r>
      </w:hyperlink>
    </w:p>
    <w:p w14:paraId="66550640" w14:textId="77777777" w:rsidR="00650885" w:rsidRPr="00E805AD" w:rsidRDefault="00650885" w:rsidP="00E805AD">
      <w:pPr>
        <w:spacing w:after="160" w:line="360" w:lineRule="auto"/>
        <w:jc w:val="both"/>
        <w:rPr>
          <w:rFonts w:eastAsia="Times New Roman"/>
          <w:color w:val="1155CC"/>
          <w:sz w:val="24"/>
          <w:szCs w:val="24"/>
          <w:u w:val="single"/>
        </w:rPr>
      </w:pPr>
      <w:proofErr w:type="spellStart"/>
      <w:r w:rsidRPr="00E805AD">
        <w:rPr>
          <w:rFonts w:eastAsia="Times New Roman"/>
          <w:sz w:val="24"/>
          <w:szCs w:val="24"/>
        </w:rPr>
        <w:t>Abdulnafea</w:t>
      </w:r>
      <w:proofErr w:type="spellEnd"/>
      <w:r w:rsidRPr="00E805AD">
        <w:rPr>
          <w:rFonts w:eastAsia="Times New Roman"/>
          <w:sz w:val="24"/>
          <w:szCs w:val="24"/>
        </w:rPr>
        <w:t xml:space="preserve">, A.L., </w:t>
      </w:r>
      <w:proofErr w:type="spellStart"/>
      <w:r w:rsidRPr="00E805AD">
        <w:rPr>
          <w:rFonts w:eastAsia="Times New Roman"/>
          <w:sz w:val="24"/>
          <w:szCs w:val="24"/>
        </w:rPr>
        <w:t>Almasria</w:t>
      </w:r>
      <w:proofErr w:type="spellEnd"/>
      <w:r w:rsidRPr="00E805AD">
        <w:rPr>
          <w:rFonts w:eastAsia="Times New Roman"/>
          <w:sz w:val="24"/>
          <w:szCs w:val="24"/>
        </w:rPr>
        <w:t xml:space="preserve">, N.A. and </w:t>
      </w:r>
      <w:proofErr w:type="spellStart"/>
      <w:r w:rsidRPr="00E805AD">
        <w:rPr>
          <w:rFonts w:eastAsia="Times New Roman"/>
          <w:sz w:val="24"/>
          <w:szCs w:val="24"/>
        </w:rPr>
        <w:t>Alawaqleh</w:t>
      </w:r>
      <w:proofErr w:type="spellEnd"/>
      <w:r w:rsidRPr="00E805AD">
        <w:rPr>
          <w:rFonts w:eastAsia="Times New Roman"/>
          <w:sz w:val="24"/>
          <w:szCs w:val="24"/>
        </w:rPr>
        <w:t xml:space="preserve">, Q., 2022. The effect of working capital management and credit management policy on </w:t>
      </w:r>
      <w:proofErr w:type="spellStart"/>
      <w:r w:rsidRPr="00E805AD">
        <w:rPr>
          <w:rFonts w:eastAsia="Times New Roman"/>
          <w:sz w:val="24"/>
          <w:szCs w:val="24"/>
        </w:rPr>
        <w:t>jordanian</w:t>
      </w:r>
      <w:proofErr w:type="spellEnd"/>
      <w:r w:rsidRPr="00E805AD">
        <w:rPr>
          <w:rFonts w:eastAsia="Times New Roman"/>
          <w:sz w:val="24"/>
          <w:szCs w:val="24"/>
        </w:rPr>
        <w:t xml:space="preserve"> banks’ financial performance. </w:t>
      </w:r>
      <w:r w:rsidRPr="00E805AD">
        <w:rPr>
          <w:rFonts w:eastAsia="Times New Roman"/>
          <w:i/>
          <w:iCs/>
          <w:sz w:val="24"/>
          <w:szCs w:val="24"/>
        </w:rPr>
        <w:t>Banks and Bank Systems</w:t>
      </w:r>
      <w:r w:rsidRPr="00E805AD">
        <w:rPr>
          <w:rFonts w:eastAsia="Times New Roman"/>
          <w:sz w:val="24"/>
          <w:szCs w:val="24"/>
        </w:rPr>
        <w:t xml:space="preserve">, </w:t>
      </w:r>
      <w:r w:rsidRPr="00E805AD">
        <w:rPr>
          <w:rFonts w:eastAsia="Times New Roman"/>
          <w:i/>
          <w:iCs/>
          <w:sz w:val="24"/>
          <w:szCs w:val="24"/>
        </w:rPr>
        <w:t>16</w:t>
      </w:r>
      <w:r w:rsidRPr="00E805AD">
        <w:rPr>
          <w:rFonts w:eastAsia="Times New Roman"/>
          <w:sz w:val="24"/>
          <w:szCs w:val="24"/>
        </w:rPr>
        <w:t>(4), pp.229-239.</w:t>
      </w:r>
      <w:hyperlink r:id="rId12">
        <w:r w:rsidRPr="00E805AD">
          <w:rPr>
            <w:rFonts w:eastAsia="Times New Roman"/>
            <w:sz w:val="24"/>
            <w:szCs w:val="24"/>
          </w:rPr>
          <w:t xml:space="preserve"> </w:t>
        </w:r>
      </w:hyperlink>
      <w:hyperlink r:id="rId13">
        <w:r w:rsidRPr="00E805AD">
          <w:rPr>
            <w:rFonts w:eastAsia="Times New Roman"/>
            <w:color w:val="1155CC"/>
            <w:sz w:val="24"/>
            <w:szCs w:val="24"/>
            <w:u w:val="single"/>
          </w:rPr>
          <w:t>https://www.academia.edu/download/118148342/BBS_2021_04_AL-Zararee.pdf</w:t>
        </w:r>
      </w:hyperlink>
    </w:p>
    <w:p w14:paraId="66DDB497" w14:textId="77777777" w:rsidR="00650885" w:rsidRPr="00E805AD" w:rsidRDefault="00650885" w:rsidP="00E805AD">
      <w:pPr>
        <w:pStyle w:val="NormalWeb"/>
        <w:spacing w:before="0" w:beforeAutospacing="0" w:after="240" w:afterAutospacing="0" w:line="360" w:lineRule="auto"/>
        <w:jc w:val="both"/>
        <w:rPr>
          <w:rFonts w:ascii="Arial" w:hAnsi="Arial" w:cs="Arial"/>
        </w:rPr>
      </w:pPr>
      <w:proofErr w:type="spellStart"/>
      <w:r w:rsidRPr="00E805AD">
        <w:rPr>
          <w:rFonts w:ascii="Arial" w:hAnsi="Arial" w:cs="Arial"/>
          <w:color w:val="222222"/>
          <w:shd w:val="clear" w:color="auto" w:fill="FFFFFF"/>
        </w:rPr>
        <w:t>Adão</w:t>
      </w:r>
      <w:proofErr w:type="spellEnd"/>
      <w:r w:rsidRPr="00E805AD">
        <w:rPr>
          <w:rFonts w:ascii="Arial" w:hAnsi="Arial" w:cs="Arial"/>
          <w:color w:val="222222"/>
          <w:shd w:val="clear" w:color="auto" w:fill="FFFFFF"/>
        </w:rPr>
        <w:t>, R.A.G.D.S., 2025. Marriott International, Inc.–a home run to excellence.</w:t>
      </w:r>
      <w:r w:rsidRPr="00E805AD">
        <w:rPr>
          <w:rFonts w:ascii="Arial" w:hAnsi="Arial" w:cs="Arial"/>
          <w:color w:val="000000"/>
        </w:rPr>
        <w:t xml:space="preserve"> </w:t>
      </w:r>
      <w:hyperlink r:id="rId14" w:history="1">
        <w:r w:rsidRPr="00E805AD">
          <w:rPr>
            <w:rStyle w:val="Hyperlink"/>
            <w:rFonts w:ascii="Arial" w:hAnsi="Arial" w:cs="Arial"/>
            <w:color w:val="1155CC"/>
          </w:rPr>
          <w:t>https://run.unl.pt/bitstreams/4d54356a-5ab2-43be-9886-4a86a01b204e/download</w:t>
        </w:r>
      </w:hyperlink>
    </w:p>
    <w:p w14:paraId="626601E9" w14:textId="77777777" w:rsidR="00650885" w:rsidRPr="00E805AD" w:rsidRDefault="00650885" w:rsidP="00E805AD">
      <w:pPr>
        <w:pStyle w:val="NormalWeb"/>
        <w:spacing w:before="0" w:beforeAutospacing="0" w:after="240" w:afterAutospacing="0" w:line="360" w:lineRule="auto"/>
        <w:jc w:val="both"/>
        <w:rPr>
          <w:rFonts w:ascii="Arial" w:hAnsi="Arial" w:cs="Arial"/>
        </w:rPr>
      </w:pPr>
      <w:proofErr w:type="spellStart"/>
      <w:r w:rsidRPr="00E805AD">
        <w:rPr>
          <w:rFonts w:ascii="Arial" w:hAnsi="Arial" w:cs="Arial"/>
          <w:color w:val="222222"/>
          <w:shd w:val="clear" w:color="auto" w:fill="FFFFFF"/>
        </w:rPr>
        <w:t>Akour</w:t>
      </w:r>
      <w:proofErr w:type="spellEnd"/>
      <w:r w:rsidRPr="00E805AD">
        <w:rPr>
          <w:rFonts w:ascii="Arial" w:hAnsi="Arial" w:cs="Arial"/>
          <w:color w:val="222222"/>
          <w:shd w:val="clear" w:color="auto" w:fill="FFFFFF"/>
        </w:rPr>
        <w:t xml:space="preserve">, I., Al </w:t>
      </w:r>
      <w:proofErr w:type="spellStart"/>
      <w:r w:rsidRPr="00E805AD">
        <w:rPr>
          <w:rFonts w:ascii="Arial" w:hAnsi="Arial" w:cs="Arial"/>
          <w:color w:val="222222"/>
          <w:shd w:val="clear" w:color="auto" w:fill="FFFFFF"/>
        </w:rPr>
        <w:t>Kurdi</w:t>
      </w:r>
      <w:proofErr w:type="spellEnd"/>
      <w:r w:rsidRPr="00E805AD">
        <w:rPr>
          <w:rFonts w:ascii="Arial" w:hAnsi="Arial" w:cs="Arial"/>
          <w:color w:val="222222"/>
          <w:shd w:val="clear" w:color="auto" w:fill="FFFFFF"/>
        </w:rPr>
        <w:t xml:space="preserve">, B., </w:t>
      </w:r>
      <w:proofErr w:type="spellStart"/>
      <w:r w:rsidRPr="00E805AD">
        <w:rPr>
          <w:rFonts w:ascii="Arial" w:hAnsi="Arial" w:cs="Arial"/>
          <w:color w:val="222222"/>
          <w:shd w:val="clear" w:color="auto" w:fill="FFFFFF"/>
        </w:rPr>
        <w:t>Alshurideh</w:t>
      </w:r>
      <w:proofErr w:type="spellEnd"/>
      <w:r w:rsidRPr="00E805AD">
        <w:rPr>
          <w:rFonts w:ascii="Arial" w:hAnsi="Arial" w:cs="Arial"/>
          <w:color w:val="222222"/>
          <w:shd w:val="clear" w:color="auto" w:fill="FFFFFF"/>
        </w:rPr>
        <w:t xml:space="preserve">, M. and </w:t>
      </w:r>
      <w:proofErr w:type="spellStart"/>
      <w:r w:rsidRPr="00E805AD">
        <w:rPr>
          <w:rFonts w:ascii="Arial" w:hAnsi="Arial" w:cs="Arial"/>
          <w:color w:val="222222"/>
          <w:shd w:val="clear" w:color="auto" w:fill="FFFFFF"/>
        </w:rPr>
        <w:t>AlHamad</w:t>
      </w:r>
      <w:proofErr w:type="spellEnd"/>
      <w:r w:rsidRPr="00E805AD">
        <w:rPr>
          <w:rFonts w:ascii="Arial" w:hAnsi="Arial" w:cs="Arial"/>
          <w:color w:val="222222"/>
          <w:shd w:val="clear" w:color="auto" w:fill="FFFFFF"/>
        </w:rPr>
        <w:t xml:space="preserve">, A., 2022. Impact of information technology capabilities and effective inventory management on enhanced service delivery in hospitality sector. </w:t>
      </w:r>
      <w:r w:rsidRPr="00E805AD">
        <w:rPr>
          <w:rFonts w:ascii="Arial" w:hAnsi="Arial" w:cs="Arial"/>
          <w:i/>
          <w:iCs/>
          <w:color w:val="222222"/>
          <w:shd w:val="clear" w:color="auto" w:fill="FFFFFF"/>
        </w:rPr>
        <w:t>International Journal of Theory of Organization and Practice (IJTOP)</w:t>
      </w:r>
      <w:r w:rsidRPr="00E805AD">
        <w:rPr>
          <w:rFonts w:ascii="Arial" w:hAnsi="Arial" w:cs="Arial"/>
          <w:color w:val="222222"/>
          <w:shd w:val="clear" w:color="auto" w:fill="FFFFFF"/>
        </w:rPr>
        <w:t xml:space="preserve">, </w:t>
      </w:r>
      <w:r w:rsidRPr="00E805AD">
        <w:rPr>
          <w:rFonts w:ascii="Arial" w:hAnsi="Arial" w:cs="Arial"/>
          <w:i/>
          <w:iCs/>
          <w:color w:val="222222"/>
          <w:shd w:val="clear" w:color="auto" w:fill="FFFFFF"/>
        </w:rPr>
        <w:t>1</w:t>
      </w:r>
      <w:r w:rsidRPr="00E805AD">
        <w:rPr>
          <w:rFonts w:ascii="Arial" w:hAnsi="Arial" w:cs="Arial"/>
          <w:color w:val="222222"/>
          <w:shd w:val="clear" w:color="auto" w:fill="FFFFFF"/>
        </w:rPr>
        <w:t>(1), pp.79-99.</w:t>
      </w:r>
      <w:r w:rsidRPr="00E805AD">
        <w:rPr>
          <w:rFonts w:ascii="Arial" w:hAnsi="Arial" w:cs="Arial"/>
          <w:color w:val="000000"/>
        </w:rPr>
        <w:t xml:space="preserve"> </w:t>
      </w:r>
      <w:hyperlink r:id="rId15" w:history="1">
        <w:r w:rsidRPr="00E805AD">
          <w:rPr>
            <w:rStyle w:val="Hyperlink"/>
            <w:rFonts w:ascii="Arial" w:hAnsi="Arial" w:cs="Arial"/>
            <w:color w:val="1155CC"/>
          </w:rPr>
          <w:t>https://www.journals.gaftim.com/index.php/ijtop/article/download/147/65</w:t>
        </w:r>
      </w:hyperlink>
    </w:p>
    <w:p w14:paraId="7E64278D" w14:textId="77777777" w:rsidR="00650885" w:rsidRPr="00E805AD" w:rsidRDefault="00650885" w:rsidP="00E805AD">
      <w:pPr>
        <w:spacing w:after="160" w:line="360" w:lineRule="auto"/>
        <w:jc w:val="both"/>
        <w:rPr>
          <w:rFonts w:eastAsia="Times New Roman"/>
          <w:color w:val="1155CC"/>
          <w:sz w:val="24"/>
          <w:szCs w:val="24"/>
          <w:u w:val="single"/>
        </w:rPr>
      </w:pPr>
      <w:r w:rsidRPr="00E805AD">
        <w:rPr>
          <w:rFonts w:eastAsia="Times New Roman"/>
          <w:sz w:val="24"/>
          <w:szCs w:val="24"/>
        </w:rPr>
        <w:t xml:space="preserve">Aslam, R., Nasir, A. and </w:t>
      </w:r>
      <w:proofErr w:type="spellStart"/>
      <w:r w:rsidRPr="00E805AD">
        <w:rPr>
          <w:rFonts w:eastAsia="Times New Roman"/>
          <w:sz w:val="24"/>
          <w:szCs w:val="24"/>
        </w:rPr>
        <w:t>Rehman</w:t>
      </w:r>
      <w:proofErr w:type="spellEnd"/>
      <w:r w:rsidRPr="00E805AD">
        <w:rPr>
          <w:rFonts w:eastAsia="Times New Roman"/>
          <w:sz w:val="24"/>
          <w:szCs w:val="24"/>
        </w:rPr>
        <w:t>, S., A Bibliometric Analysis of Asset-Light Fee-Oriented (ALFO) Strategy: Potential Future Implications for Hospitality Industry.</w:t>
      </w:r>
      <w:hyperlink r:id="rId16">
        <w:r w:rsidRPr="00E805AD">
          <w:rPr>
            <w:rFonts w:eastAsia="Times New Roman"/>
            <w:sz w:val="24"/>
            <w:szCs w:val="24"/>
          </w:rPr>
          <w:t xml:space="preserve"> </w:t>
        </w:r>
      </w:hyperlink>
      <w:hyperlink r:id="rId17">
        <w:r w:rsidRPr="00E805AD">
          <w:rPr>
            <w:rFonts w:eastAsia="Times New Roman"/>
            <w:color w:val="1155CC"/>
            <w:sz w:val="24"/>
            <w:szCs w:val="24"/>
            <w:u w:val="single"/>
          </w:rPr>
          <w:t>https://www.researchgate.net/profile/Saqib-Rehman-3/publication/368576638_A_Bibliometric_Analysis_of_Asset-Light_Fee-Oriented_ALFO_Strategy_Potential_Future_Implications_for_Hospitality_Industry/links/63ef6d0951d7af0540325e37/A-Bibliometric-Analysis-of-Asset-Light-Fee-Oriented-ALFO-Strategy-Potential-Future-Implications-for-Hospitality-Industry.pdf</w:t>
        </w:r>
      </w:hyperlink>
    </w:p>
    <w:p w14:paraId="634E393E" w14:textId="77777777" w:rsidR="00650885" w:rsidRPr="00E805AD" w:rsidRDefault="00650885" w:rsidP="00E805AD">
      <w:pPr>
        <w:spacing w:after="160" w:line="360" w:lineRule="auto"/>
        <w:jc w:val="both"/>
        <w:rPr>
          <w:rFonts w:eastAsia="Times New Roman"/>
          <w:color w:val="1155CC"/>
          <w:sz w:val="24"/>
          <w:szCs w:val="24"/>
          <w:u w:val="single"/>
        </w:rPr>
      </w:pPr>
      <w:r w:rsidRPr="00E805AD">
        <w:rPr>
          <w:rFonts w:eastAsia="Times New Roman"/>
          <w:sz w:val="24"/>
          <w:szCs w:val="24"/>
        </w:rPr>
        <w:t xml:space="preserve">Aslam, R., Nasir, A., Asif, R., </w:t>
      </w:r>
      <w:proofErr w:type="spellStart"/>
      <w:r w:rsidRPr="00E805AD">
        <w:rPr>
          <w:rFonts w:eastAsia="Times New Roman"/>
          <w:sz w:val="24"/>
          <w:szCs w:val="24"/>
        </w:rPr>
        <w:t>Abid</w:t>
      </w:r>
      <w:proofErr w:type="spellEnd"/>
      <w:r w:rsidRPr="00E805AD">
        <w:rPr>
          <w:rFonts w:eastAsia="Times New Roman"/>
          <w:sz w:val="24"/>
          <w:szCs w:val="24"/>
        </w:rPr>
        <w:t xml:space="preserve">, H. and Ali, A., 2025. How Macroeconomic Factors Affect the Leverage </w:t>
      </w:r>
      <w:proofErr w:type="spellStart"/>
      <w:r w:rsidRPr="00E805AD">
        <w:rPr>
          <w:rFonts w:eastAsia="Times New Roman"/>
          <w:sz w:val="24"/>
          <w:szCs w:val="24"/>
        </w:rPr>
        <w:t>Behavior</w:t>
      </w:r>
      <w:proofErr w:type="spellEnd"/>
      <w:r w:rsidRPr="00E805AD">
        <w:rPr>
          <w:rFonts w:eastAsia="Times New Roman"/>
          <w:sz w:val="24"/>
          <w:szCs w:val="24"/>
        </w:rPr>
        <w:t xml:space="preserve">? A Model of Asset Light and Fee-Oriented Strategy in the Hospitality Industry. </w:t>
      </w:r>
      <w:r w:rsidRPr="00E805AD">
        <w:rPr>
          <w:rFonts w:eastAsia="Times New Roman"/>
          <w:i/>
          <w:iCs/>
          <w:sz w:val="24"/>
          <w:szCs w:val="24"/>
        </w:rPr>
        <w:t>The Critical Review of Social Sciences Studies</w:t>
      </w:r>
      <w:r w:rsidRPr="00E805AD">
        <w:rPr>
          <w:rFonts w:eastAsia="Times New Roman"/>
          <w:sz w:val="24"/>
          <w:szCs w:val="24"/>
        </w:rPr>
        <w:t xml:space="preserve">, </w:t>
      </w:r>
      <w:r w:rsidRPr="00E805AD">
        <w:rPr>
          <w:rFonts w:eastAsia="Times New Roman"/>
          <w:i/>
          <w:iCs/>
          <w:sz w:val="24"/>
          <w:szCs w:val="24"/>
        </w:rPr>
        <w:t>3</w:t>
      </w:r>
      <w:r w:rsidRPr="00E805AD">
        <w:rPr>
          <w:rFonts w:eastAsia="Times New Roman"/>
          <w:sz w:val="24"/>
          <w:szCs w:val="24"/>
        </w:rPr>
        <w:t>(1), pp.985-1003.</w:t>
      </w:r>
      <w:hyperlink r:id="rId18">
        <w:r w:rsidRPr="00E805AD">
          <w:rPr>
            <w:rFonts w:eastAsia="Times New Roman"/>
            <w:sz w:val="24"/>
            <w:szCs w:val="24"/>
          </w:rPr>
          <w:t xml:space="preserve"> </w:t>
        </w:r>
      </w:hyperlink>
      <w:hyperlink r:id="rId19">
        <w:r w:rsidRPr="00E805AD">
          <w:rPr>
            <w:rFonts w:eastAsia="Times New Roman"/>
            <w:color w:val="1155CC"/>
            <w:sz w:val="24"/>
            <w:szCs w:val="24"/>
            <w:u w:val="single"/>
          </w:rPr>
          <w:t>https://thecrsss.com/index.php/Journal/article/download/204/225</w:t>
        </w:r>
      </w:hyperlink>
    </w:p>
    <w:p w14:paraId="4AF6E474" w14:textId="77777777" w:rsidR="00650885" w:rsidRPr="00E805AD" w:rsidRDefault="00650885" w:rsidP="00E805AD">
      <w:pPr>
        <w:spacing w:after="160" w:line="360" w:lineRule="auto"/>
        <w:jc w:val="both"/>
        <w:rPr>
          <w:rFonts w:eastAsia="Times New Roman"/>
          <w:color w:val="1155CC"/>
          <w:sz w:val="24"/>
          <w:szCs w:val="24"/>
          <w:u w:val="single"/>
        </w:rPr>
      </w:pPr>
      <w:proofErr w:type="spellStart"/>
      <w:r w:rsidRPr="00E805AD">
        <w:rPr>
          <w:rFonts w:eastAsia="Times New Roman"/>
          <w:sz w:val="24"/>
          <w:szCs w:val="24"/>
        </w:rPr>
        <w:lastRenderedPageBreak/>
        <w:t>Behera</w:t>
      </w:r>
      <w:proofErr w:type="spellEnd"/>
      <w:r w:rsidRPr="00E805AD">
        <w:rPr>
          <w:rFonts w:eastAsia="Times New Roman"/>
          <w:sz w:val="24"/>
          <w:szCs w:val="24"/>
        </w:rPr>
        <w:t xml:space="preserve">, S.N. and </w:t>
      </w:r>
      <w:proofErr w:type="spellStart"/>
      <w:r w:rsidRPr="00E805AD">
        <w:rPr>
          <w:rFonts w:eastAsia="Times New Roman"/>
          <w:sz w:val="24"/>
          <w:szCs w:val="24"/>
        </w:rPr>
        <w:t>Sethi</w:t>
      </w:r>
      <w:proofErr w:type="spellEnd"/>
      <w:r w:rsidRPr="00E805AD">
        <w:rPr>
          <w:rFonts w:eastAsia="Times New Roman"/>
          <w:sz w:val="24"/>
          <w:szCs w:val="24"/>
        </w:rPr>
        <w:t xml:space="preserve">, M., 2024. Corporate Borrowings: A Conceptual Perspective. </w:t>
      </w:r>
      <w:r w:rsidRPr="00E805AD">
        <w:rPr>
          <w:rFonts w:eastAsia="Times New Roman"/>
          <w:i/>
          <w:iCs/>
          <w:sz w:val="24"/>
          <w:szCs w:val="24"/>
        </w:rPr>
        <w:t>European Economic Letters (EEL)</w:t>
      </w:r>
      <w:r w:rsidRPr="00E805AD">
        <w:rPr>
          <w:rFonts w:eastAsia="Times New Roman"/>
          <w:sz w:val="24"/>
          <w:szCs w:val="24"/>
        </w:rPr>
        <w:t xml:space="preserve">, </w:t>
      </w:r>
      <w:r w:rsidRPr="00E805AD">
        <w:rPr>
          <w:rFonts w:eastAsia="Times New Roman"/>
          <w:i/>
          <w:iCs/>
          <w:sz w:val="24"/>
          <w:szCs w:val="24"/>
        </w:rPr>
        <w:t>14</w:t>
      </w:r>
      <w:r w:rsidRPr="00E805AD">
        <w:rPr>
          <w:rFonts w:eastAsia="Times New Roman"/>
          <w:sz w:val="24"/>
          <w:szCs w:val="24"/>
        </w:rPr>
        <w:t>(1), pp.396-404.</w:t>
      </w:r>
      <w:hyperlink r:id="rId20">
        <w:r w:rsidRPr="00E805AD">
          <w:rPr>
            <w:rFonts w:eastAsia="Times New Roman"/>
            <w:sz w:val="24"/>
            <w:szCs w:val="24"/>
          </w:rPr>
          <w:t xml:space="preserve"> </w:t>
        </w:r>
      </w:hyperlink>
      <w:hyperlink r:id="rId21">
        <w:r w:rsidRPr="00E805AD">
          <w:rPr>
            <w:rFonts w:eastAsia="Times New Roman"/>
            <w:color w:val="1155CC"/>
            <w:sz w:val="24"/>
            <w:szCs w:val="24"/>
            <w:u w:val="single"/>
          </w:rPr>
          <w:t>https://www.researchgate.net/profile/Maheswar-Sethi/publication/395479418_Corporate_Borrowings/links/68c835e94eef4b024b8b89ca/Corporate-Borrowings.pdf</w:t>
        </w:r>
      </w:hyperlink>
    </w:p>
    <w:p w14:paraId="7CA70350" w14:textId="77777777" w:rsidR="00650885" w:rsidRPr="00E805AD" w:rsidRDefault="00650885" w:rsidP="00E805AD">
      <w:pPr>
        <w:spacing w:after="160" w:line="360" w:lineRule="auto"/>
        <w:jc w:val="both"/>
        <w:rPr>
          <w:rFonts w:eastAsia="Times New Roman"/>
          <w:color w:val="1155CC"/>
          <w:sz w:val="24"/>
          <w:szCs w:val="24"/>
          <w:u w:val="single"/>
        </w:rPr>
      </w:pPr>
      <w:r w:rsidRPr="00E805AD">
        <w:rPr>
          <w:rFonts w:eastAsia="Times New Roman"/>
          <w:sz w:val="24"/>
          <w:szCs w:val="24"/>
        </w:rPr>
        <w:t xml:space="preserve">Bui, T.N., Nguyen, X.H. and Pham, K.T., 2023. The effect of capital structure on firm value: A study of companies listed on the Vietnamese stock market. </w:t>
      </w:r>
      <w:r w:rsidRPr="00E805AD">
        <w:rPr>
          <w:rFonts w:eastAsia="Times New Roman"/>
          <w:i/>
          <w:iCs/>
          <w:sz w:val="24"/>
          <w:szCs w:val="24"/>
        </w:rPr>
        <w:t>International Journal of Financial Studies</w:t>
      </w:r>
      <w:r w:rsidRPr="00E805AD">
        <w:rPr>
          <w:rFonts w:eastAsia="Times New Roman"/>
          <w:sz w:val="24"/>
          <w:szCs w:val="24"/>
        </w:rPr>
        <w:t xml:space="preserve">, </w:t>
      </w:r>
      <w:r w:rsidRPr="00E805AD">
        <w:rPr>
          <w:rFonts w:eastAsia="Times New Roman"/>
          <w:i/>
          <w:iCs/>
          <w:sz w:val="24"/>
          <w:szCs w:val="24"/>
        </w:rPr>
        <w:t>11</w:t>
      </w:r>
      <w:r w:rsidRPr="00E805AD">
        <w:rPr>
          <w:rFonts w:eastAsia="Times New Roman"/>
          <w:sz w:val="24"/>
          <w:szCs w:val="24"/>
        </w:rPr>
        <w:t>(3), p.100.</w:t>
      </w:r>
      <w:hyperlink r:id="rId22">
        <w:r w:rsidRPr="00E805AD">
          <w:rPr>
            <w:rFonts w:eastAsia="Times New Roman"/>
            <w:sz w:val="24"/>
            <w:szCs w:val="24"/>
          </w:rPr>
          <w:t xml:space="preserve"> </w:t>
        </w:r>
      </w:hyperlink>
      <w:hyperlink r:id="rId23">
        <w:r w:rsidRPr="00E805AD">
          <w:rPr>
            <w:rFonts w:eastAsia="Times New Roman"/>
            <w:color w:val="1155CC"/>
            <w:sz w:val="24"/>
            <w:szCs w:val="24"/>
            <w:u w:val="single"/>
          </w:rPr>
          <w:t>https://www.mdpi.com/2227-7072/11/3/100</w:t>
        </w:r>
      </w:hyperlink>
    </w:p>
    <w:p w14:paraId="2E3717B7" w14:textId="77777777" w:rsidR="00650885" w:rsidRPr="00E805AD" w:rsidRDefault="00650885" w:rsidP="00E805AD">
      <w:pPr>
        <w:spacing w:after="160" w:line="360" w:lineRule="auto"/>
        <w:jc w:val="both"/>
        <w:rPr>
          <w:rFonts w:eastAsia="Times New Roman"/>
          <w:color w:val="1155CC"/>
          <w:sz w:val="24"/>
          <w:szCs w:val="24"/>
          <w:u w:val="single"/>
        </w:rPr>
      </w:pPr>
      <w:r w:rsidRPr="00E805AD">
        <w:rPr>
          <w:rFonts w:eastAsia="Times New Roman"/>
          <w:sz w:val="24"/>
          <w:szCs w:val="24"/>
        </w:rPr>
        <w:t xml:space="preserve">Burton-Howat, N., 2025. </w:t>
      </w:r>
      <w:r w:rsidRPr="00E805AD">
        <w:rPr>
          <w:rFonts w:eastAsia="Times New Roman"/>
          <w:i/>
          <w:iCs/>
          <w:sz w:val="24"/>
          <w:szCs w:val="24"/>
        </w:rPr>
        <w:t>Developing a Successful Hospitality Business: Philosophy and Practice</w:t>
      </w:r>
      <w:r w:rsidRPr="00E805AD">
        <w:rPr>
          <w:rFonts w:eastAsia="Times New Roman"/>
          <w:sz w:val="24"/>
          <w:szCs w:val="24"/>
        </w:rPr>
        <w:t>. Taylor &amp; Francis.</w:t>
      </w:r>
      <w:hyperlink r:id="rId24">
        <w:r w:rsidRPr="00E805AD">
          <w:rPr>
            <w:rFonts w:eastAsia="Times New Roman"/>
            <w:sz w:val="24"/>
            <w:szCs w:val="24"/>
          </w:rPr>
          <w:t xml:space="preserve"> </w:t>
        </w:r>
      </w:hyperlink>
      <w:hyperlink r:id="rId25">
        <w:r w:rsidRPr="00E805AD">
          <w:rPr>
            <w:rFonts w:eastAsia="Times New Roman"/>
            <w:color w:val="1155CC"/>
            <w:sz w:val="24"/>
            <w:szCs w:val="24"/>
            <w:u w:val="single"/>
          </w:rPr>
          <w:t>https://books.google.com/books?hl=en&amp;lr=&amp;id=b5WCEQAAQBAJ&amp;oi=fnd&amp;pg=PP1&amp;dq=an+asset-light+hospitality+business+model+whereby+its+inventory+consists+mainly+of+food,+beverage,+and+operating+supply+rather+than+merchandise+for+resale&amp;ots=qUsRa7bfO8&amp;sig=RAZrGFshBjd64wnEP34guGacCu8</w:t>
        </w:r>
      </w:hyperlink>
    </w:p>
    <w:p w14:paraId="12958081" w14:textId="77777777" w:rsidR="00650885" w:rsidRPr="00E805AD" w:rsidRDefault="00650885" w:rsidP="00E805AD">
      <w:pPr>
        <w:spacing w:after="160" w:line="360" w:lineRule="auto"/>
        <w:jc w:val="both"/>
        <w:rPr>
          <w:rFonts w:eastAsia="Times New Roman"/>
          <w:color w:val="1155CC"/>
          <w:sz w:val="24"/>
          <w:szCs w:val="24"/>
          <w:u w:val="single"/>
        </w:rPr>
      </w:pPr>
      <w:r w:rsidRPr="00E805AD">
        <w:rPr>
          <w:rFonts w:eastAsia="Times New Roman"/>
          <w:sz w:val="24"/>
          <w:szCs w:val="24"/>
        </w:rPr>
        <w:t xml:space="preserve">Chen, M.R., </w:t>
      </w:r>
      <w:proofErr w:type="spellStart"/>
      <w:r w:rsidRPr="00E805AD">
        <w:rPr>
          <w:rFonts w:eastAsia="Times New Roman"/>
          <w:sz w:val="24"/>
          <w:szCs w:val="24"/>
        </w:rPr>
        <w:t>Guzzo</w:t>
      </w:r>
      <w:proofErr w:type="spellEnd"/>
      <w:r w:rsidRPr="00E805AD">
        <w:rPr>
          <w:rFonts w:eastAsia="Times New Roman"/>
          <w:sz w:val="24"/>
          <w:szCs w:val="24"/>
        </w:rPr>
        <w:t xml:space="preserve">, V., </w:t>
      </w:r>
      <w:proofErr w:type="spellStart"/>
      <w:r w:rsidRPr="00E805AD">
        <w:rPr>
          <w:rFonts w:eastAsia="Times New Roman"/>
          <w:sz w:val="24"/>
          <w:szCs w:val="24"/>
        </w:rPr>
        <w:t>Jamaludin</w:t>
      </w:r>
      <w:proofErr w:type="spellEnd"/>
      <w:r w:rsidRPr="00E805AD">
        <w:rPr>
          <w:rFonts w:eastAsia="Times New Roman"/>
          <w:sz w:val="24"/>
          <w:szCs w:val="24"/>
        </w:rPr>
        <w:t xml:space="preserve">, M.F., </w:t>
      </w:r>
      <w:proofErr w:type="spellStart"/>
      <w:r w:rsidRPr="00E805AD">
        <w:rPr>
          <w:rFonts w:eastAsia="Times New Roman"/>
          <w:sz w:val="24"/>
          <w:szCs w:val="24"/>
        </w:rPr>
        <w:t>Mohommad</w:t>
      </w:r>
      <w:proofErr w:type="spellEnd"/>
      <w:r w:rsidRPr="00E805AD">
        <w:rPr>
          <w:rFonts w:eastAsia="Times New Roman"/>
          <w:sz w:val="24"/>
          <w:szCs w:val="24"/>
        </w:rPr>
        <w:t xml:space="preserve">, M.A., Qu, R. and Zhao, Y., 2024. </w:t>
      </w:r>
      <w:r w:rsidRPr="00E805AD">
        <w:rPr>
          <w:rFonts w:eastAsia="Times New Roman"/>
          <w:i/>
          <w:iCs/>
          <w:sz w:val="24"/>
          <w:szCs w:val="24"/>
        </w:rPr>
        <w:t xml:space="preserve">Bank profitability in </w:t>
      </w:r>
      <w:proofErr w:type="spellStart"/>
      <w:r w:rsidRPr="00E805AD">
        <w:rPr>
          <w:rFonts w:eastAsia="Times New Roman"/>
          <w:i/>
          <w:iCs/>
          <w:sz w:val="24"/>
          <w:szCs w:val="24"/>
        </w:rPr>
        <w:t>europe</w:t>
      </w:r>
      <w:proofErr w:type="spellEnd"/>
      <w:r w:rsidRPr="00E805AD">
        <w:rPr>
          <w:rFonts w:eastAsia="Times New Roman"/>
          <w:i/>
          <w:iCs/>
          <w:sz w:val="24"/>
          <w:szCs w:val="24"/>
        </w:rPr>
        <w:t>: Not here to stay</w:t>
      </w:r>
      <w:r w:rsidRPr="00E805AD">
        <w:rPr>
          <w:rFonts w:eastAsia="Times New Roman"/>
          <w:sz w:val="24"/>
          <w:szCs w:val="24"/>
        </w:rPr>
        <w:t>. International Monetary Fund.</w:t>
      </w:r>
      <w:hyperlink r:id="rId26">
        <w:r w:rsidRPr="00E805AD">
          <w:rPr>
            <w:rFonts w:eastAsia="Times New Roman"/>
            <w:sz w:val="24"/>
            <w:szCs w:val="24"/>
          </w:rPr>
          <w:t xml:space="preserve"> </w:t>
        </w:r>
      </w:hyperlink>
      <w:hyperlink r:id="rId27">
        <w:r w:rsidRPr="00E805AD">
          <w:rPr>
            <w:rFonts w:eastAsia="Times New Roman"/>
            <w:color w:val="1155CC"/>
            <w:sz w:val="24"/>
            <w:szCs w:val="24"/>
            <w:u w:val="single"/>
          </w:rPr>
          <w:t>https://www.elibrary.imf.org/downloadpdf/view/journals/001/2024/142/001.2024.issue-142-en.pdf</w:t>
        </w:r>
      </w:hyperlink>
    </w:p>
    <w:p w14:paraId="0C6F911C" w14:textId="77777777" w:rsidR="00650885" w:rsidRPr="00E805AD" w:rsidRDefault="00650885" w:rsidP="00E805AD">
      <w:pPr>
        <w:spacing w:after="160" w:line="360" w:lineRule="auto"/>
        <w:jc w:val="both"/>
        <w:rPr>
          <w:rFonts w:eastAsia="Times New Roman"/>
          <w:color w:val="1155CC"/>
          <w:sz w:val="24"/>
          <w:szCs w:val="24"/>
          <w:u w:val="single"/>
        </w:rPr>
      </w:pPr>
      <w:r w:rsidRPr="00E805AD">
        <w:rPr>
          <w:rFonts w:eastAsia="Times New Roman"/>
          <w:sz w:val="24"/>
          <w:szCs w:val="24"/>
        </w:rPr>
        <w:t>Clement, M., 2025. Business Models and Revenue Opportunities for Non-Financial Companies.</w:t>
      </w:r>
      <w:hyperlink r:id="rId28">
        <w:r w:rsidRPr="00E805AD">
          <w:rPr>
            <w:rFonts w:eastAsia="Times New Roman"/>
            <w:sz w:val="24"/>
            <w:szCs w:val="24"/>
          </w:rPr>
          <w:t xml:space="preserve"> </w:t>
        </w:r>
      </w:hyperlink>
      <w:hyperlink r:id="rId29">
        <w:r w:rsidRPr="00E805AD">
          <w:rPr>
            <w:rFonts w:eastAsia="Times New Roman"/>
            <w:color w:val="1155CC"/>
            <w:sz w:val="24"/>
            <w:szCs w:val="24"/>
            <w:u w:val="single"/>
          </w:rPr>
          <w:t>https://www.researchgate.net/profile/Mateo-Clement/publication/392078947_Business_Models_and_Revenue_Opportunities_for_Non-_Financial_Companies/links/6832fbe2026fee1034fb54f0/Business-Models-and-Revenue-Opportunities-for-Non-Financial-Companies.pdf</w:t>
        </w:r>
      </w:hyperlink>
    </w:p>
    <w:p w14:paraId="2F1E9426" w14:textId="77777777" w:rsidR="00650885" w:rsidRPr="00E805AD" w:rsidRDefault="00650885" w:rsidP="00E805AD">
      <w:pPr>
        <w:spacing w:after="160" w:line="360" w:lineRule="auto"/>
        <w:jc w:val="both"/>
        <w:rPr>
          <w:rFonts w:eastAsia="Times New Roman"/>
          <w:color w:val="1155CC"/>
          <w:sz w:val="24"/>
          <w:szCs w:val="24"/>
          <w:u w:val="single"/>
        </w:rPr>
      </w:pPr>
      <w:r w:rsidRPr="00E805AD">
        <w:rPr>
          <w:rFonts w:eastAsia="Times New Roman"/>
          <w:sz w:val="24"/>
          <w:szCs w:val="24"/>
        </w:rPr>
        <w:t xml:space="preserve">De Keyser, E. and </w:t>
      </w:r>
      <w:proofErr w:type="spellStart"/>
      <w:r w:rsidRPr="00E805AD">
        <w:rPr>
          <w:rFonts w:eastAsia="Times New Roman"/>
          <w:sz w:val="24"/>
          <w:szCs w:val="24"/>
        </w:rPr>
        <w:t>Mathijs</w:t>
      </w:r>
      <w:proofErr w:type="spellEnd"/>
      <w:r w:rsidRPr="00E805AD">
        <w:rPr>
          <w:rFonts w:eastAsia="Times New Roman"/>
          <w:sz w:val="24"/>
          <w:szCs w:val="24"/>
        </w:rPr>
        <w:t xml:space="preserve">, E., 2023. A typology of sustainable circular business models with applications in the </w:t>
      </w:r>
      <w:proofErr w:type="spellStart"/>
      <w:r w:rsidRPr="00E805AD">
        <w:rPr>
          <w:rFonts w:eastAsia="Times New Roman"/>
          <w:sz w:val="24"/>
          <w:szCs w:val="24"/>
        </w:rPr>
        <w:t>bioeconomy</w:t>
      </w:r>
      <w:proofErr w:type="spellEnd"/>
      <w:r w:rsidRPr="00E805AD">
        <w:rPr>
          <w:rFonts w:eastAsia="Times New Roman"/>
          <w:sz w:val="24"/>
          <w:szCs w:val="24"/>
        </w:rPr>
        <w:t xml:space="preserve">. </w:t>
      </w:r>
      <w:r w:rsidRPr="00E805AD">
        <w:rPr>
          <w:rFonts w:eastAsia="Times New Roman"/>
          <w:i/>
          <w:iCs/>
          <w:sz w:val="24"/>
          <w:szCs w:val="24"/>
        </w:rPr>
        <w:t>Frontiers in Sustainable Food Systems</w:t>
      </w:r>
      <w:r w:rsidRPr="00E805AD">
        <w:rPr>
          <w:rFonts w:eastAsia="Times New Roman"/>
          <w:sz w:val="24"/>
          <w:szCs w:val="24"/>
        </w:rPr>
        <w:t xml:space="preserve">, </w:t>
      </w:r>
      <w:r w:rsidRPr="00E805AD">
        <w:rPr>
          <w:rFonts w:eastAsia="Times New Roman"/>
          <w:i/>
          <w:iCs/>
          <w:sz w:val="24"/>
          <w:szCs w:val="24"/>
        </w:rPr>
        <w:t>6</w:t>
      </w:r>
      <w:r w:rsidRPr="00E805AD">
        <w:rPr>
          <w:rFonts w:eastAsia="Times New Roman"/>
          <w:sz w:val="24"/>
          <w:szCs w:val="24"/>
        </w:rPr>
        <w:t>, p.1028877.</w:t>
      </w:r>
      <w:hyperlink r:id="rId30">
        <w:r w:rsidRPr="00E805AD">
          <w:rPr>
            <w:rFonts w:eastAsia="Times New Roman"/>
            <w:sz w:val="24"/>
            <w:szCs w:val="24"/>
          </w:rPr>
          <w:t xml:space="preserve"> </w:t>
        </w:r>
      </w:hyperlink>
      <w:hyperlink r:id="rId31">
        <w:r w:rsidRPr="00E805AD">
          <w:rPr>
            <w:rFonts w:eastAsia="Times New Roman"/>
            <w:color w:val="1155CC"/>
            <w:sz w:val="24"/>
            <w:szCs w:val="24"/>
            <w:u w:val="single"/>
          </w:rPr>
          <w:t>https://www.frontiersin.org/journals/sustainable-food-systems/articles/10.3389/fsufs.2022.1028877/pdf</w:t>
        </w:r>
      </w:hyperlink>
    </w:p>
    <w:p w14:paraId="43263964" w14:textId="77777777" w:rsidR="00650885" w:rsidRPr="00E805AD" w:rsidRDefault="00650885" w:rsidP="00E805AD">
      <w:pPr>
        <w:pStyle w:val="NormalWeb"/>
        <w:spacing w:before="0" w:beforeAutospacing="0" w:after="240" w:afterAutospacing="0" w:line="360" w:lineRule="auto"/>
        <w:jc w:val="both"/>
        <w:rPr>
          <w:rFonts w:ascii="Arial" w:hAnsi="Arial" w:cs="Arial"/>
        </w:rPr>
      </w:pPr>
      <w:r w:rsidRPr="00E805AD">
        <w:rPr>
          <w:rFonts w:ascii="Arial" w:hAnsi="Arial" w:cs="Arial"/>
          <w:color w:val="222222"/>
          <w:shd w:val="clear" w:color="auto" w:fill="FFFFFF"/>
        </w:rPr>
        <w:t xml:space="preserve">Denny, P., </w:t>
      </w:r>
      <w:proofErr w:type="spellStart"/>
      <w:r w:rsidRPr="00E805AD">
        <w:rPr>
          <w:rFonts w:ascii="Arial" w:hAnsi="Arial" w:cs="Arial"/>
          <w:color w:val="222222"/>
          <w:shd w:val="clear" w:color="auto" w:fill="FFFFFF"/>
        </w:rPr>
        <w:t>Khosravi</w:t>
      </w:r>
      <w:proofErr w:type="spellEnd"/>
      <w:r w:rsidRPr="00E805AD">
        <w:rPr>
          <w:rFonts w:ascii="Arial" w:hAnsi="Arial" w:cs="Arial"/>
          <w:color w:val="222222"/>
          <w:shd w:val="clear" w:color="auto" w:fill="FFFFFF"/>
        </w:rPr>
        <w:t xml:space="preserve">, H., Hellas, A., </w:t>
      </w:r>
      <w:proofErr w:type="spellStart"/>
      <w:r w:rsidRPr="00E805AD">
        <w:rPr>
          <w:rFonts w:ascii="Arial" w:hAnsi="Arial" w:cs="Arial"/>
          <w:color w:val="222222"/>
          <w:shd w:val="clear" w:color="auto" w:fill="FFFFFF"/>
        </w:rPr>
        <w:t>Leinonen</w:t>
      </w:r>
      <w:proofErr w:type="spellEnd"/>
      <w:r w:rsidRPr="00E805AD">
        <w:rPr>
          <w:rFonts w:ascii="Arial" w:hAnsi="Arial" w:cs="Arial"/>
          <w:color w:val="222222"/>
          <w:shd w:val="clear" w:color="auto" w:fill="FFFFFF"/>
        </w:rPr>
        <w:t xml:space="preserve">, J. and </w:t>
      </w:r>
      <w:proofErr w:type="spellStart"/>
      <w:r w:rsidRPr="00E805AD">
        <w:rPr>
          <w:rFonts w:ascii="Arial" w:hAnsi="Arial" w:cs="Arial"/>
          <w:color w:val="222222"/>
          <w:shd w:val="clear" w:color="auto" w:fill="FFFFFF"/>
        </w:rPr>
        <w:t>Sarsa</w:t>
      </w:r>
      <w:proofErr w:type="spellEnd"/>
      <w:r w:rsidRPr="00E805AD">
        <w:rPr>
          <w:rFonts w:ascii="Arial" w:hAnsi="Arial" w:cs="Arial"/>
          <w:color w:val="222222"/>
          <w:shd w:val="clear" w:color="auto" w:fill="FFFFFF"/>
        </w:rPr>
        <w:t xml:space="preserve">, S., 2023. Can we trust AI-generated educational content? Comparative analysis of human and AI-generated learning resources. </w:t>
      </w:r>
      <w:proofErr w:type="spellStart"/>
      <w:r w:rsidRPr="00E805AD">
        <w:rPr>
          <w:rFonts w:ascii="Arial" w:hAnsi="Arial" w:cs="Arial"/>
          <w:i/>
          <w:iCs/>
          <w:color w:val="222222"/>
          <w:shd w:val="clear" w:color="auto" w:fill="FFFFFF"/>
        </w:rPr>
        <w:t>arXiv</w:t>
      </w:r>
      <w:proofErr w:type="spellEnd"/>
      <w:r w:rsidRPr="00E805AD">
        <w:rPr>
          <w:rFonts w:ascii="Arial" w:hAnsi="Arial" w:cs="Arial"/>
          <w:i/>
          <w:iCs/>
          <w:color w:val="222222"/>
          <w:shd w:val="clear" w:color="auto" w:fill="FFFFFF"/>
        </w:rPr>
        <w:t xml:space="preserve"> preprint arXiv:2306.10509</w:t>
      </w:r>
      <w:r w:rsidRPr="00E805AD">
        <w:rPr>
          <w:rFonts w:ascii="Arial" w:hAnsi="Arial" w:cs="Arial"/>
          <w:color w:val="222222"/>
          <w:shd w:val="clear" w:color="auto" w:fill="FFFFFF"/>
        </w:rPr>
        <w:t>.</w:t>
      </w:r>
      <w:r w:rsidRPr="00E805AD">
        <w:rPr>
          <w:rFonts w:ascii="Arial" w:hAnsi="Arial" w:cs="Arial"/>
          <w:color w:val="000000"/>
        </w:rPr>
        <w:t xml:space="preserve"> </w:t>
      </w:r>
      <w:hyperlink r:id="rId32" w:history="1">
        <w:r w:rsidRPr="00E805AD">
          <w:rPr>
            <w:rStyle w:val="Hyperlink"/>
            <w:rFonts w:ascii="Arial" w:hAnsi="Arial" w:cs="Arial"/>
            <w:color w:val="1155CC"/>
          </w:rPr>
          <w:t>https://arxiv.org/pdf/2306.10509</w:t>
        </w:r>
      </w:hyperlink>
    </w:p>
    <w:p w14:paraId="2C748506" w14:textId="77777777" w:rsidR="00650885" w:rsidRPr="00E805AD" w:rsidRDefault="00650885" w:rsidP="00E805AD">
      <w:pPr>
        <w:spacing w:after="160" w:line="360" w:lineRule="auto"/>
        <w:jc w:val="both"/>
        <w:rPr>
          <w:rFonts w:eastAsia="Times New Roman"/>
          <w:color w:val="1155CC"/>
          <w:sz w:val="24"/>
          <w:szCs w:val="24"/>
          <w:u w:val="single"/>
        </w:rPr>
      </w:pPr>
      <w:r w:rsidRPr="00E805AD">
        <w:rPr>
          <w:rFonts w:eastAsia="Times New Roman"/>
          <w:sz w:val="24"/>
          <w:szCs w:val="24"/>
        </w:rPr>
        <w:lastRenderedPageBreak/>
        <w:t>Edo-</w:t>
      </w:r>
      <w:proofErr w:type="spellStart"/>
      <w:r w:rsidRPr="00E805AD">
        <w:rPr>
          <w:rFonts w:eastAsia="Times New Roman"/>
          <w:sz w:val="24"/>
          <w:szCs w:val="24"/>
        </w:rPr>
        <w:t>Osagie</w:t>
      </w:r>
      <w:proofErr w:type="spellEnd"/>
      <w:r w:rsidRPr="00E805AD">
        <w:rPr>
          <w:rFonts w:eastAsia="Times New Roman"/>
          <w:sz w:val="24"/>
          <w:szCs w:val="24"/>
        </w:rPr>
        <w:t xml:space="preserve">, E., 2025. Advanced budgeting and dynamic allocation strategies for maximizing financial resilience amid economic volatility and market shifts. </w:t>
      </w:r>
      <w:r w:rsidRPr="00E805AD">
        <w:rPr>
          <w:rFonts w:eastAsia="Times New Roman"/>
          <w:i/>
          <w:iCs/>
          <w:sz w:val="24"/>
          <w:szCs w:val="24"/>
        </w:rPr>
        <w:t>International Journal of Research Publication and Reviews</w:t>
      </w:r>
      <w:r w:rsidRPr="00E805AD">
        <w:rPr>
          <w:rFonts w:eastAsia="Times New Roman"/>
          <w:sz w:val="24"/>
          <w:szCs w:val="24"/>
        </w:rPr>
        <w:t xml:space="preserve">, </w:t>
      </w:r>
      <w:r w:rsidRPr="00E805AD">
        <w:rPr>
          <w:rFonts w:eastAsia="Times New Roman"/>
          <w:i/>
          <w:iCs/>
          <w:sz w:val="24"/>
          <w:szCs w:val="24"/>
        </w:rPr>
        <w:t>6</w:t>
      </w:r>
      <w:r w:rsidRPr="00E805AD">
        <w:rPr>
          <w:rFonts w:eastAsia="Times New Roman"/>
          <w:sz w:val="24"/>
          <w:szCs w:val="24"/>
        </w:rPr>
        <w:t>(3), pp.1060-1077.</w:t>
      </w:r>
      <w:hyperlink r:id="rId33">
        <w:r w:rsidRPr="00E805AD">
          <w:rPr>
            <w:rFonts w:eastAsia="Times New Roman"/>
            <w:sz w:val="24"/>
            <w:szCs w:val="24"/>
          </w:rPr>
          <w:t xml:space="preserve"> </w:t>
        </w:r>
      </w:hyperlink>
      <w:hyperlink r:id="rId34">
        <w:r w:rsidRPr="00E805AD">
          <w:rPr>
            <w:rFonts w:eastAsia="Times New Roman"/>
            <w:color w:val="1155CC"/>
            <w:sz w:val="24"/>
            <w:szCs w:val="24"/>
            <w:u w:val="single"/>
          </w:rPr>
          <w:t>https://www.researchgate.net/profile/Esosa-Edo-Osagie/publication/389682992_International_Journal_of_Research_Publication_and_Reviews_Advanced_Budgeting_and_Dynamic_Allocation_Strategies_for_Maximizing_Financial_Resilience_Amid_Economic_Volatility_and_Market_Shifts/links/67cd0346bab3d32d844022ec/International-Journal-of-Research-Publication-and-Reviews-Advanced-Budgeting-and-Dynamic-Allocation-Strategies-for-Maximizing-Financial-Resilience-Amid-Economic-Volatility-and-Market-Shifts.pdf</w:t>
        </w:r>
      </w:hyperlink>
    </w:p>
    <w:p w14:paraId="0D200CE7" w14:textId="77777777" w:rsidR="00650885" w:rsidRPr="00E805AD" w:rsidRDefault="00650885" w:rsidP="00E805AD">
      <w:pPr>
        <w:spacing w:after="160" w:line="360" w:lineRule="auto"/>
        <w:jc w:val="both"/>
        <w:rPr>
          <w:rFonts w:eastAsia="Times New Roman"/>
          <w:color w:val="1155CC"/>
          <w:sz w:val="24"/>
          <w:szCs w:val="24"/>
          <w:u w:val="single"/>
        </w:rPr>
      </w:pPr>
      <w:r w:rsidRPr="00E805AD">
        <w:rPr>
          <w:rFonts w:eastAsia="Times New Roman"/>
          <w:sz w:val="24"/>
          <w:szCs w:val="24"/>
        </w:rPr>
        <w:t xml:space="preserve">Farooq, U., </w:t>
      </w:r>
      <w:proofErr w:type="spellStart"/>
      <w:r w:rsidRPr="00E805AD">
        <w:rPr>
          <w:rFonts w:eastAsia="Times New Roman"/>
          <w:sz w:val="24"/>
          <w:szCs w:val="24"/>
        </w:rPr>
        <w:t>Tabash</w:t>
      </w:r>
      <w:proofErr w:type="spellEnd"/>
      <w:r w:rsidRPr="00E805AD">
        <w:rPr>
          <w:rFonts w:eastAsia="Times New Roman"/>
          <w:sz w:val="24"/>
          <w:szCs w:val="24"/>
        </w:rPr>
        <w:t xml:space="preserve">, M.I., </w:t>
      </w:r>
      <w:proofErr w:type="spellStart"/>
      <w:r w:rsidRPr="00E805AD">
        <w:rPr>
          <w:rFonts w:eastAsia="Times New Roman"/>
          <w:sz w:val="24"/>
          <w:szCs w:val="24"/>
        </w:rPr>
        <w:t>Mamadiyarov</w:t>
      </w:r>
      <w:proofErr w:type="spellEnd"/>
      <w:r w:rsidRPr="00E805AD">
        <w:rPr>
          <w:rFonts w:eastAsia="Times New Roman"/>
          <w:sz w:val="24"/>
          <w:szCs w:val="24"/>
        </w:rPr>
        <w:t xml:space="preserve">, Z., </w:t>
      </w:r>
      <w:proofErr w:type="spellStart"/>
      <w:r w:rsidRPr="00E805AD">
        <w:rPr>
          <w:rFonts w:eastAsia="Times New Roman"/>
          <w:sz w:val="24"/>
          <w:szCs w:val="24"/>
        </w:rPr>
        <w:t>Issa</w:t>
      </w:r>
      <w:proofErr w:type="spellEnd"/>
      <w:r w:rsidRPr="00E805AD">
        <w:rPr>
          <w:rFonts w:eastAsia="Times New Roman"/>
          <w:sz w:val="24"/>
          <w:szCs w:val="24"/>
        </w:rPr>
        <w:t xml:space="preserve">, S.S. and </w:t>
      </w:r>
      <w:proofErr w:type="spellStart"/>
      <w:r w:rsidRPr="00E805AD">
        <w:rPr>
          <w:rFonts w:eastAsia="Times New Roman"/>
          <w:sz w:val="24"/>
          <w:szCs w:val="24"/>
        </w:rPr>
        <w:t>Aldawsari</w:t>
      </w:r>
      <w:proofErr w:type="spellEnd"/>
      <w:r w:rsidRPr="00E805AD">
        <w:rPr>
          <w:rFonts w:eastAsia="Times New Roman"/>
          <w:sz w:val="24"/>
          <w:szCs w:val="24"/>
        </w:rPr>
        <w:t xml:space="preserve">, S.H., 2025. Sustainable financial strategies: the role of intellectual capital in shaping corporate cash holdings. </w:t>
      </w:r>
      <w:r w:rsidRPr="00E805AD">
        <w:rPr>
          <w:rFonts w:eastAsia="Times New Roman"/>
          <w:i/>
          <w:iCs/>
          <w:sz w:val="24"/>
          <w:szCs w:val="24"/>
        </w:rPr>
        <w:t>International Journal of Organizational Analysis</w:t>
      </w:r>
      <w:r w:rsidRPr="00E805AD">
        <w:rPr>
          <w:rFonts w:eastAsia="Times New Roman"/>
          <w:sz w:val="24"/>
          <w:szCs w:val="24"/>
        </w:rPr>
        <w:t>, pp.1-19.</w:t>
      </w:r>
      <w:hyperlink r:id="rId35">
        <w:r w:rsidRPr="00E805AD">
          <w:rPr>
            <w:rFonts w:eastAsia="Times New Roman"/>
            <w:sz w:val="24"/>
            <w:szCs w:val="24"/>
          </w:rPr>
          <w:t xml:space="preserve"> </w:t>
        </w:r>
      </w:hyperlink>
      <w:hyperlink r:id="rId36">
        <w:r w:rsidRPr="00E805AD">
          <w:rPr>
            <w:rFonts w:eastAsia="Times New Roman"/>
            <w:color w:val="1155CC"/>
            <w:sz w:val="24"/>
            <w:szCs w:val="24"/>
            <w:u w:val="single"/>
          </w:rPr>
          <w:t>https://www.researchgate.net/profile/Suzan-Issa/publication/397714869_Sustainable_financial_strategies_the_role_of_intellectual_capital_in_shaping_corporate_cash_holdings/links/6921db47acf4cf6385374a33/Sustainable-financial-strategies-the-role-of-intellectual-capital-in-shaping-corporate-cash-holdings.pdf</w:t>
        </w:r>
      </w:hyperlink>
    </w:p>
    <w:p w14:paraId="219BA59A" w14:textId="77777777" w:rsidR="00650885" w:rsidRPr="00E805AD" w:rsidRDefault="00650885" w:rsidP="00E805AD">
      <w:pPr>
        <w:spacing w:after="160" w:line="360" w:lineRule="auto"/>
        <w:jc w:val="both"/>
        <w:rPr>
          <w:rFonts w:eastAsia="Times New Roman"/>
          <w:sz w:val="24"/>
          <w:szCs w:val="24"/>
        </w:rPr>
      </w:pPr>
      <w:r w:rsidRPr="00E805AD">
        <w:rPr>
          <w:rFonts w:eastAsia="Times New Roman"/>
          <w:sz w:val="24"/>
          <w:szCs w:val="24"/>
        </w:rPr>
        <w:t xml:space="preserve">Finance Yahoo (2026) </w:t>
      </w:r>
      <w:r w:rsidRPr="00E805AD">
        <w:rPr>
          <w:rFonts w:eastAsia="Times New Roman"/>
          <w:i/>
          <w:iCs/>
          <w:sz w:val="24"/>
          <w:szCs w:val="24"/>
        </w:rPr>
        <w:t>Marriott International, Inc. (MAR).</w:t>
      </w:r>
      <w:r w:rsidRPr="00E805AD">
        <w:rPr>
          <w:rFonts w:eastAsia="Times New Roman"/>
          <w:sz w:val="24"/>
          <w:szCs w:val="24"/>
        </w:rPr>
        <w:t xml:space="preserve"> Available from:</w:t>
      </w:r>
      <w:hyperlink r:id="rId37">
        <w:r w:rsidRPr="00E805AD">
          <w:rPr>
            <w:rFonts w:eastAsia="Times New Roman"/>
            <w:sz w:val="24"/>
            <w:szCs w:val="24"/>
          </w:rPr>
          <w:t xml:space="preserve"> </w:t>
        </w:r>
      </w:hyperlink>
      <w:hyperlink r:id="rId38">
        <w:r w:rsidRPr="00E805AD">
          <w:rPr>
            <w:rFonts w:eastAsia="Times New Roman"/>
            <w:color w:val="1155CC"/>
            <w:sz w:val="24"/>
            <w:szCs w:val="24"/>
            <w:u w:val="single"/>
          </w:rPr>
          <w:t>https://finance.yahoo.com/quote/MAR/financials/</w:t>
        </w:r>
      </w:hyperlink>
      <w:r w:rsidRPr="00E805AD">
        <w:rPr>
          <w:rFonts w:eastAsia="Times New Roman"/>
          <w:sz w:val="24"/>
          <w:szCs w:val="24"/>
        </w:rPr>
        <w:t xml:space="preserve"> Accessed on 13.07.2026</w:t>
      </w:r>
    </w:p>
    <w:p w14:paraId="6B2CDAD0" w14:textId="77777777" w:rsidR="00650885" w:rsidRPr="00E805AD" w:rsidRDefault="00650885" w:rsidP="00E805AD">
      <w:pPr>
        <w:spacing w:after="160" w:line="360" w:lineRule="auto"/>
        <w:jc w:val="both"/>
        <w:rPr>
          <w:rFonts w:eastAsia="Times New Roman"/>
          <w:color w:val="1155CC"/>
          <w:sz w:val="24"/>
          <w:szCs w:val="24"/>
          <w:u w:val="single"/>
        </w:rPr>
      </w:pPr>
      <w:r w:rsidRPr="00E805AD">
        <w:rPr>
          <w:rFonts w:eastAsia="Times New Roman"/>
          <w:sz w:val="24"/>
          <w:szCs w:val="24"/>
        </w:rPr>
        <w:t xml:space="preserve">Francisca, A.Y., 2025. Optimizing debt capital markets through quantitative risk models: enhancing financial stability and SME growth in the US. </w:t>
      </w:r>
      <w:r w:rsidRPr="00E805AD">
        <w:rPr>
          <w:rFonts w:eastAsia="Times New Roman"/>
          <w:i/>
          <w:iCs/>
          <w:sz w:val="24"/>
          <w:szCs w:val="24"/>
        </w:rPr>
        <w:t>International Journal of Research Publication and Reviews</w:t>
      </w:r>
      <w:r w:rsidRPr="00E805AD">
        <w:rPr>
          <w:rFonts w:eastAsia="Times New Roman"/>
          <w:sz w:val="24"/>
          <w:szCs w:val="24"/>
        </w:rPr>
        <w:t xml:space="preserve">, </w:t>
      </w:r>
      <w:r w:rsidRPr="00E805AD">
        <w:rPr>
          <w:rFonts w:eastAsia="Times New Roman"/>
          <w:i/>
          <w:iCs/>
          <w:sz w:val="24"/>
          <w:szCs w:val="24"/>
        </w:rPr>
        <w:t>6</w:t>
      </w:r>
      <w:r w:rsidRPr="00E805AD">
        <w:rPr>
          <w:rFonts w:eastAsia="Times New Roman"/>
          <w:sz w:val="24"/>
          <w:szCs w:val="24"/>
        </w:rPr>
        <w:t>(4), pp.4858-74.</w:t>
      </w:r>
      <w:hyperlink r:id="rId39">
        <w:r w:rsidRPr="00E805AD">
          <w:rPr>
            <w:rFonts w:eastAsia="Times New Roman"/>
            <w:sz w:val="24"/>
            <w:szCs w:val="24"/>
          </w:rPr>
          <w:t xml:space="preserve"> </w:t>
        </w:r>
      </w:hyperlink>
      <w:hyperlink r:id="rId40">
        <w:r w:rsidRPr="00E805AD">
          <w:rPr>
            <w:rFonts w:eastAsia="Times New Roman"/>
            <w:color w:val="1155CC"/>
            <w:sz w:val="24"/>
            <w:szCs w:val="24"/>
            <w:u w:val="single"/>
          </w:rPr>
          <w:t>https://www.researchgate.net/profile/Yetunde-Adekoya/publication/392066512_Optimizing_Debt_Capital_Markets_Through_Quantitative_Risk_Models_Enhancing_Financial_Stability_and_SME_Growth_in_the_US/links/683227d48a76251f22e7696b/Optimizing-Debt-Capital-Markets-Through-Quantitative-Risk-Models-Enhancing-Financial-Stability-and-SME-Growth-in-the-US.pdf</w:t>
        </w:r>
      </w:hyperlink>
    </w:p>
    <w:p w14:paraId="32D33D8C" w14:textId="77777777" w:rsidR="00650885" w:rsidRPr="00E805AD" w:rsidRDefault="00650885" w:rsidP="00E805AD">
      <w:pPr>
        <w:pStyle w:val="NormalWeb"/>
        <w:spacing w:before="0" w:beforeAutospacing="0" w:after="240" w:afterAutospacing="0" w:line="360" w:lineRule="auto"/>
        <w:jc w:val="both"/>
        <w:rPr>
          <w:rFonts w:ascii="Arial" w:hAnsi="Arial" w:cs="Arial"/>
        </w:rPr>
      </w:pPr>
      <w:proofErr w:type="spellStart"/>
      <w:r w:rsidRPr="00E805AD">
        <w:rPr>
          <w:rFonts w:ascii="Arial" w:hAnsi="Arial" w:cs="Arial"/>
          <w:color w:val="222222"/>
          <w:shd w:val="clear" w:color="auto" w:fill="FFFFFF"/>
        </w:rPr>
        <w:t>Harati</w:t>
      </w:r>
      <w:proofErr w:type="spellEnd"/>
      <w:r w:rsidRPr="00E805AD">
        <w:rPr>
          <w:rFonts w:ascii="Arial" w:hAnsi="Arial" w:cs="Arial"/>
          <w:color w:val="222222"/>
          <w:shd w:val="clear" w:color="auto" w:fill="FFFFFF"/>
        </w:rPr>
        <w:t xml:space="preserve">, K., 2024. </w:t>
      </w:r>
      <w:proofErr w:type="spellStart"/>
      <w:r w:rsidRPr="00E805AD">
        <w:rPr>
          <w:rFonts w:ascii="Arial" w:hAnsi="Arial" w:cs="Arial"/>
          <w:color w:val="222222"/>
          <w:shd w:val="clear" w:color="auto" w:fill="FFFFFF"/>
        </w:rPr>
        <w:t>ChatGPT</w:t>
      </w:r>
      <w:proofErr w:type="spellEnd"/>
      <w:r w:rsidRPr="00E805AD">
        <w:rPr>
          <w:rFonts w:ascii="Arial" w:hAnsi="Arial" w:cs="Arial"/>
          <w:color w:val="222222"/>
          <w:shd w:val="clear" w:color="auto" w:fill="FFFFFF"/>
        </w:rPr>
        <w:t xml:space="preserve"> and AI-powered writing tools: Unveiling risks and ethical challenges in scientific writing. </w:t>
      </w:r>
      <w:r w:rsidRPr="00E805AD">
        <w:rPr>
          <w:rFonts w:ascii="Arial" w:hAnsi="Arial" w:cs="Arial"/>
          <w:i/>
          <w:iCs/>
          <w:color w:val="222222"/>
          <w:shd w:val="clear" w:color="auto" w:fill="FFFFFF"/>
        </w:rPr>
        <w:t>Journal of Reviews in Medical Sciences</w:t>
      </w:r>
      <w:r w:rsidRPr="00E805AD">
        <w:rPr>
          <w:rFonts w:ascii="Arial" w:hAnsi="Arial" w:cs="Arial"/>
          <w:color w:val="222222"/>
          <w:shd w:val="clear" w:color="auto" w:fill="FFFFFF"/>
        </w:rPr>
        <w:t xml:space="preserve">, </w:t>
      </w:r>
      <w:r w:rsidRPr="00E805AD">
        <w:rPr>
          <w:rFonts w:ascii="Arial" w:hAnsi="Arial" w:cs="Arial"/>
          <w:i/>
          <w:iCs/>
          <w:color w:val="222222"/>
          <w:shd w:val="clear" w:color="auto" w:fill="FFFFFF"/>
        </w:rPr>
        <w:t>4</w:t>
      </w:r>
      <w:r w:rsidRPr="00E805AD">
        <w:rPr>
          <w:rFonts w:ascii="Arial" w:hAnsi="Arial" w:cs="Arial"/>
          <w:color w:val="222222"/>
          <w:shd w:val="clear" w:color="auto" w:fill="FFFFFF"/>
        </w:rPr>
        <w:t>(1), pp.1-6.</w:t>
      </w:r>
      <w:r w:rsidRPr="00E805AD">
        <w:rPr>
          <w:rFonts w:ascii="Arial" w:hAnsi="Arial" w:cs="Arial"/>
          <w:color w:val="000000"/>
        </w:rPr>
        <w:t xml:space="preserve"> </w:t>
      </w:r>
      <w:hyperlink r:id="rId41" w:history="1">
        <w:r w:rsidRPr="00E805AD">
          <w:rPr>
            <w:rStyle w:val="Hyperlink"/>
            <w:rFonts w:ascii="Arial" w:hAnsi="Arial" w:cs="Arial"/>
            <w:color w:val="1155CC"/>
          </w:rPr>
          <w:t>https://www.jrevmeds.com/article_211431_15ee9d0df2505c6b009c48471f04f09b.pdf</w:t>
        </w:r>
      </w:hyperlink>
    </w:p>
    <w:p w14:paraId="6CECF18F" w14:textId="77777777" w:rsidR="00650885" w:rsidRPr="00E805AD" w:rsidRDefault="00650885" w:rsidP="00E805AD">
      <w:pPr>
        <w:spacing w:after="160" w:line="360" w:lineRule="auto"/>
        <w:jc w:val="both"/>
        <w:rPr>
          <w:rFonts w:eastAsia="Times New Roman"/>
          <w:color w:val="1155CC"/>
          <w:sz w:val="24"/>
          <w:szCs w:val="24"/>
          <w:u w:val="single"/>
        </w:rPr>
      </w:pPr>
      <w:r w:rsidRPr="00E805AD">
        <w:rPr>
          <w:rFonts w:eastAsia="Times New Roman"/>
          <w:sz w:val="24"/>
          <w:szCs w:val="24"/>
        </w:rPr>
        <w:lastRenderedPageBreak/>
        <w:t xml:space="preserve">Hossain, M.M., </w:t>
      </w:r>
      <w:proofErr w:type="spellStart"/>
      <w:r w:rsidRPr="00E805AD">
        <w:rPr>
          <w:rFonts w:eastAsia="Times New Roman"/>
          <w:sz w:val="24"/>
          <w:szCs w:val="24"/>
        </w:rPr>
        <w:t>Nodia</w:t>
      </w:r>
      <w:proofErr w:type="spellEnd"/>
      <w:r w:rsidRPr="00E805AD">
        <w:rPr>
          <w:rFonts w:eastAsia="Times New Roman"/>
          <w:sz w:val="24"/>
          <w:szCs w:val="24"/>
        </w:rPr>
        <w:t xml:space="preserve">, U.Z.Z., Rahman, F., </w:t>
      </w:r>
      <w:proofErr w:type="spellStart"/>
      <w:r w:rsidRPr="00E805AD">
        <w:rPr>
          <w:rFonts w:eastAsia="Times New Roman"/>
          <w:sz w:val="24"/>
          <w:szCs w:val="24"/>
        </w:rPr>
        <w:t>Antor</w:t>
      </w:r>
      <w:proofErr w:type="spellEnd"/>
      <w:r w:rsidRPr="00E805AD">
        <w:rPr>
          <w:rFonts w:eastAsia="Times New Roman"/>
          <w:sz w:val="24"/>
          <w:szCs w:val="24"/>
        </w:rPr>
        <w:t xml:space="preserve">, M.M.H., Ahmed, M.T. and </w:t>
      </w:r>
      <w:proofErr w:type="spellStart"/>
      <w:r w:rsidRPr="00E805AD">
        <w:rPr>
          <w:rFonts w:eastAsia="Times New Roman"/>
          <w:sz w:val="24"/>
          <w:szCs w:val="24"/>
        </w:rPr>
        <w:t>Priya</w:t>
      </w:r>
      <w:proofErr w:type="spellEnd"/>
      <w:r w:rsidRPr="00E805AD">
        <w:rPr>
          <w:rFonts w:eastAsia="Times New Roman"/>
          <w:sz w:val="24"/>
          <w:szCs w:val="24"/>
        </w:rPr>
        <w:t>, F.A., Determinants and consequences of share repurchases: Evidence from US public firms.</w:t>
      </w:r>
      <w:hyperlink r:id="rId42">
        <w:r w:rsidRPr="00E805AD">
          <w:rPr>
            <w:rFonts w:eastAsia="Times New Roman"/>
            <w:sz w:val="24"/>
            <w:szCs w:val="24"/>
          </w:rPr>
          <w:t xml:space="preserve"> </w:t>
        </w:r>
      </w:hyperlink>
      <w:hyperlink r:id="rId43">
        <w:r w:rsidRPr="00E805AD">
          <w:rPr>
            <w:rFonts w:eastAsia="Times New Roman"/>
            <w:color w:val="1155CC"/>
            <w:sz w:val="24"/>
            <w:szCs w:val="24"/>
            <w:u w:val="single"/>
          </w:rPr>
          <w:t>https://www.researchgate.net/profile/Minar-Hossain/publication/398078708_Determinants_and_consequences_of_share_repurchases_Evidence_from_US_public_firms/links/6929d01b71855517106470b6/Determinants-and-consequences-of-share-repurchases-Evidence-from-US-public-firms.pdf</w:t>
        </w:r>
      </w:hyperlink>
    </w:p>
    <w:p w14:paraId="58FBE2A6" w14:textId="77777777" w:rsidR="00650885" w:rsidRPr="00E805AD" w:rsidRDefault="00650885" w:rsidP="00E805AD">
      <w:pPr>
        <w:spacing w:after="160" w:line="360" w:lineRule="auto"/>
        <w:jc w:val="both"/>
        <w:rPr>
          <w:rFonts w:eastAsia="Times New Roman"/>
          <w:color w:val="1155CC"/>
          <w:sz w:val="24"/>
          <w:szCs w:val="24"/>
          <w:u w:val="single"/>
        </w:rPr>
      </w:pPr>
      <w:r w:rsidRPr="00E805AD">
        <w:rPr>
          <w:rFonts w:eastAsia="Times New Roman"/>
          <w:sz w:val="24"/>
          <w:szCs w:val="24"/>
        </w:rPr>
        <w:t xml:space="preserve">Hossain, M.M., </w:t>
      </w:r>
      <w:proofErr w:type="spellStart"/>
      <w:r w:rsidRPr="00E805AD">
        <w:rPr>
          <w:rFonts w:eastAsia="Times New Roman"/>
          <w:sz w:val="24"/>
          <w:szCs w:val="24"/>
        </w:rPr>
        <w:t>Nodia</w:t>
      </w:r>
      <w:proofErr w:type="spellEnd"/>
      <w:r w:rsidRPr="00E805AD">
        <w:rPr>
          <w:rFonts w:eastAsia="Times New Roman"/>
          <w:sz w:val="24"/>
          <w:szCs w:val="24"/>
        </w:rPr>
        <w:t xml:space="preserve">, U.Z.Z., Rahman, F., </w:t>
      </w:r>
      <w:proofErr w:type="spellStart"/>
      <w:r w:rsidRPr="00E805AD">
        <w:rPr>
          <w:rFonts w:eastAsia="Times New Roman"/>
          <w:sz w:val="24"/>
          <w:szCs w:val="24"/>
        </w:rPr>
        <w:t>Antor</w:t>
      </w:r>
      <w:proofErr w:type="spellEnd"/>
      <w:r w:rsidRPr="00E805AD">
        <w:rPr>
          <w:rFonts w:eastAsia="Times New Roman"/>
          <w:sz w:val="24"/>
          <w:szCs w:val="24"/>
        </w:rPr>
        <w:t xml:space="preserve">, M.M.H., Ahmed, M.T. and </w:t>
      </w:r>
      <w:proofErr w:type="spellStart"/>
      <w:r w:rsidRPr="00E805AD">
        <w:rPr>
          <w:rFonts w:eastAsia="Times New Roman"/>
          <w:sz w:val="24"/>
          <w:szCs w:val="24"/>
        </w:rPr>
        <w:t>Priya</w:t>
      </w:r>
      <w:proofErr w:type="spellEnd"/>
      <w:r w:rsidRPr="00E805AD">
        <w:rPr>
          <w:rFonts w:eastAsia="Times New Roman"/>
          <w:sz w:val="24"/>
          <w:szCs w:val="24"/>
        </w:rPr>
        <w:t>, F.A., Determinants and consequences of share repurchases: Evidence from US public firms.</w:t>
      </w:r>
      <w:hyperlink r:id="rId44">
        <w:r w:rsidRPr="00E805AD">
          <w:rPr>
            <w:rFonts w:eastAsia="Times New Roman"/>
            <w:sz w:val="24"/>
            <w:szCs w:val="24"/>
          </w:rPr>
          <w:t xml:space="preserve"> </w:t>
        </w:r>
      </w:hyperlink>
      <w:hyperlink r:id="rId45">
        <w:r w:rsidRPr="00E805AD">
          <w:rPr>
            <w:rFonts w:eastAsia="Times New Roman"/>
            <w:color w:val="1155CC"/>
            <w:sz w:val="24"/>
            <w:szCs w:val="24"/>
            <w:u w:val="single"/>
          </w:rPr>
          <w:t>https://www.researchgate.net/profile/Minar-Hossain/publication/398078708_Determinants_and_consequences_of_share_repurchases_Evidence_from_US_public_firms/links/6929d01b71855517106470b6/Determinants-and-consequences-of-share-repurchases-Evidence-from-US-public-firms.pdf</w:t>
        </w:r>
      </w:hyperlink>
    </w:p>
    <w:p w14:paraId="5232E321" w14:textId="77777777" w:rsidR="00650885" w:rsidRPr="00E805AD" w:rsidRDefault="00650885" w:rsidP="00E805AD">
      <w:pPr>
        <w:spacing w:after="160" w:line="360" w:lineRule="auto"/>
        <w:jc w:val="both"/>
        <w:rPr>
          <w:rFonts w:eastAsia="Times New Roman"/>
          <w:sz w:val="24"/>
          <w:szCs w:val="24"/>
        </w:rPr>
      </w:pPr>
      <w:r w:rsidRPr="00E805AD">
        <w:rPr>
          <w:rFonts w:eastAsia="Times New Roman"/>
          <w:sz w:val="24"/>
          <w:szCs w:val="24"/>
        </w:rPr>
        <w:t xml:space="preserve">Hossain, M.M., </w:t>
      </w:r>
      <w:proofErr w:type="spellStart"/>
      <w:r w:rsidRPr="00E805AD">
        <w:rPr>
          <w:rFonts w:eastAsia="Times New Roman"/>
          <w:sz w:val="24"/>
          <w:szCs w:val="24"/>
        </w:rPr>
        <w:t>Nodia</w:t>
      </w:r>
      <w:proofErr w:type="spellEnd"/>
      <w:r w:rsidRPr="00E805AD">
        <w:rPr>
          <w:rFonts w:eastAsia="Times New Roman"/>
          <w:sz w:val="24"/>
          <w:szCs w:val="24"/>
        </w:rPr>
        <w:t xml:space="preserve">, U.Z.Z., Rahman, F., </w:t>
      </w:r>
      <w:proofErr w:type="spellStart"/>
      <w:r w:rsidRPr="00E805AD">
        <w:rPr>
          <w:rFonts w:eastAsia="Times New Roman"/>
          <w:sz w:val="24"/>
          <w:szCs w:val="24"/>
        </w:rPr>
        <w:t>Antor</w:t>
      </w:r>
      <w:proofErr w:type="spellEnd"/>
      <w:r w:rsidRPr="00E805AD">
        <w:rPr>
          <w:rFonts w:eastAsia="Times New Roman"/>
          <w:sz w:val="24"/>
          <w:szCs w:val="24"/>
        </w:rPr>
        <w:t xml:space="preserve">, M.M.H., Ahmed, M.T. and </w:t>
      </w:r>
      <w:proofErr w:type="spellStart"/>
      <w:r w:rsidRPr="00E805AD">
        <w:rPr>
          <w:rFonts w:eastAsia="Times New Roman"/>
          <w:sz w:val="24"/>
          <w:szCs w:val="24"/>
        </w:rPr>
        <w:t>Priya</w:t>
      </w:r>
      <w:proofErr w:type="spellEnd"/>
      <w:r w:rsidRPr="00E805AD">
        <w:rPr>
          <w:rFonts w:eastAsia="Times New Roman"/>
          <w:sz w:val="24"/>
          <w:szCs w:val="24"/>
        </w:rPr>
        <w:t>, F.A., Determinants and consequences of share repurchases: Evidence from US public firms.</w:t>
      </w:r>
    </w:p>
    <w:p w14:paraId="05404741" w14:textId="77777777" w:rsidR="00650885" w:rsidRPr="00E805AD" w:rsidRDefault="00650885" w:rsidP="00E805AD">
      <w:pPr>
        <w:spacing w:after="160" w:line="360" w:lineRule="auto"/>
        <w:jc w:val="both"/>
        <w:rPr>
          <w:rFonts w:eastAsia="Times New Roman"/>
          <w:color w:val="1155CC"/>
          <w:sz w:val="24"/>
          <w:szCs w:val="24"/>
          <w:u w:val="single"/>
        </w:rPr>
      </w:pPr>
      <w:r w:rsidRPr="00E805AD">
        <w:rPr>
          <w:rFonts w:eastAsia="Times New Roman"/>
          <w:sz w:val="24"/>
          <w:szCs w:val="24"/>
        </w:rPr>
        <w:t xml:space="preserve">Huebner, C. and </w:t>
      </w:r>
      <w:proofErr w:type="spellStart"/>
      <w:r w:rsidRPr="00E805AD">
        <w:rPr>
          <w:rFonts w:eastAsia="Times New Roman"/>
          <w:sz w:val="24"/>
          <w:szCs w:val="24"/>
        </w:rPr>
        <w:t>Flessa</w:t>
      </w:r>
      <w:proofErr w:type="spellEnd"/>
      <w:r w:rsidRPr="00E805AD">
        <w:rPr>
          <w:rFonts w:eastAsia="Times New Roman"/>
          <w:sz w:val="24"/>
          <w:szCs w:val="24"/>
        </w:rPr>
        <w:t xml:space="preserve">, S., 2022. Strategic management in healthcare: a call for long-term and systems-thinking in an uncertain system. </w:t>
      </w:r>
      <w:r w:rsidRPr="00E805AD">
        <w:rPr>
          <w:rFonts w:eastAsia="Times New Roman"/>
          <w:i/>
          <w:iCs/>
          <w:sz w:val="24"/>
          <w:szCs w:val="24"/>
        </w:rPr>
        <w:t>International journal of environmental research and public health</w:t>
      </w:r>
      <w:r w:rsidRPr="00E805AD">
        <w:rPr>
          <w:rFonts w:eastAsia="Times New Roman"/>
          <w:sz w:val="24"/>
          <w:szCs w:val="24"/>
        </w:rPr>
        <w:t xml:space="preserve">, </w:t>
      </w:r>
      <w:r w:rsidRPr="00E805AD">
        <w:rPr>
          <w:rFonts w:eastAsia="Times New Roman"/>
          <w:i/>
          <w:iCs/>
          <w:sz w:val="24"/>
          <w:szCs w:val="24"/>
        </w:rPr>
        <w:t>19</w:t>
      </w:r>
      <w:r w:rsidRPr="00E805AD">
        <w:rPr>
          <w:rFonts w:eastAsia="Times New Roman"/>
          <w:sz w:val="24"/>
          <w:szCs w:val="24"/>
        </w:rPr>
        <w:t>(14), p.8617.</w:t>
      </w:r>
      <w:hyperlink r:id="rId46">
        <w:r w:rsidRPr="00E805AD">
          <w:rPr>
            <w:rFonts w:eastAsia="Times New Roman"/>
            <w:sz w:val="24"/>
            <w:szCs w:val="24"/>
          </w:rPr>
          <w:t xml:space="preserve"> </w:t>
        </w:r>
      </w:hyperlink>
      <w:hyperlink r:id="rId47">
        <w:r w:rsidRPr="00E805AD">
          <w:rPr>
            <w:rFonts w:eastAsia="Times New Roman"/>
            <w:color w:val="1155CC"/>
            <w:sz w:val="24"/>
            <w:szCs w:val="24"/>
            <w:u w:val="single"/>
          </w:rPr>
          <w:t>https://www.mdpi.com/1660-4601/19/14/8617</w:t>
        </w:r>
      </w:hyperlink>
    </w:p>
    <w:p w14:paraId="0DFA2910" w14:textId="77777777" w:rsidR="00650885" w:rsidRPr="00E805AD" w:rsidRDefault="00650885" w:rsidP="00E805AD">
      <w:pPr>
        <w:spacing w:after="160" w:line="360" w:lineRule="auto"/>
        <w:jc w:val="both"/>
        <w:rPr>
          <w:rFonts w:eastAsia="Times New Roman"/>
          <w:color w:val="1155CC"/>
          <w:sz w:val="24"/>
          <w:szCs w:val="24"/>
          <w:u w:val="single"/>
        </w:rPr>
      </w:pPr>
      <w:r w:rsidRPr="00E805AD">
        <w:rPr>
          <w:rFonts w:eastAsia="Times New Roman"/>
          <w:sz w:val="24"/>
          <w:szCs w:val="24"/>
        </w:rPr>
        <w:t xml:space="preserve">Islam, R., </w:t>
      </w:r>
      <w:proofErr w:type="spellStart"/>
      <w:r w:rsidRPr="00E805AD">
        <w:rPr>
          <w:rFonts w:eastAsia="Times New Roman"/>
          <w:sz w:val="24"/>
          <w:szCs w:val="24"/>
        </w:rPr>
        <w:t>Haque</w:t>
      </w:r>
      <w:proofErr w:type="spellEnd"/>
      <w:r w:rsidRPr="00E805AD">
        <w:rPr>
          <w:rFonts w:eastAsia="Times New Roman"/>
          <w:sz w:val="24"/>
          <w:szCs w:val="24"/>
        </w:rPr>
        <w:t xml:space="preserve">, Z. and </w:t>
      </w:r>
      <w:proofErr w:type="spellStart"/>
      <w:r w:rsidRPr="00E805AD">
        <w:rPr>
          <w:rFonts w:eastAsia="Times New Roman"/>
          <w:sz w:val="24"/>
          <w:szCs w:val="24"/>
        </w:rPr>
        <w:t>Moutushi</w:t>
      </w:r>
      <w:proofErr w:type="spellEnd"/>
      <w:r w:rsidRPr="00E805AD">
        <w:rPr>
          <w:rFonts w:eastAsia="Times New Roman"/>
          <w:sz w:val="24"/>
          <w:szCs w:val="24"/>
        </w:rPr>
        <w:t xml:space="preserve">, R.H., 2022. Earnings quality and financial flexibility: A moderating role of corporate governance. </w:t>
      </w:r>
      <w:r w:rsidRPr="00E805AD">
        <w:rPr>
          <w:rFonts w:eastAsia="Times New Roman"/>
          <w:i/>
          <w:iCs/>
          <w:sz w:val="24"/>
          <w:szCs w:val="24"/>
        </w:rPr>
        <w:t>Cogent Business &amp; Management</w:t>
      </w:r>
      <w:r w:rsidRPr="00E805AD">
        <w:rPr>
          <w:rFonts w:eastAsia="Times New Roman"/>
          <w:sz w:val="24"/>
          <w:szCs w:val="24"/>
        </w:rPr>
        <w:t xml:space="preserve">, </w:t>
      </w:r>
      <w:r w:rsidRPr="00E805AD">
        <w:rPr>
          <w:rFonts w:eastAsia="Times New Roman"/>
          <w:i/>
          <w:iCs/>
          <w:sz w:val="24"/>
          <w:szCs w:val="24"/>
        </w:rPr>
        <w:t>9</w:t>
      </w:r>
      <w:r w:rsidRPr="00E805AD">
        <w:rPr>
          <w:rFonts w:eastAsia="Times New Roman"/>
          <w:sz w:val="24"/>
          <w:szCs w:val="24"/>
        </w:rPr>
        <w:t>(1), p.2097620.</w:t>
      </w:r>
      <w:hyperlink r:id="rId48">
        <w:r w:rsidRPr="00E805AD">
          <w:rPr>
            <w:rFonts w:eastAsia="Times New Roman"/>
            <w:sz w:val="24"/>
            <w:szCs w:val="24"/>
          </w:rPr>
          <w:t xml:space="preserve"> </w:t>
        </w:r>
      </w:hyperlink>
      <w:hyperlink r:id="rId49">
        <w:r w:rsidRPr="00E805AD">
          <w:rPr>
            <w:rFonts w:eastAsia="Times New Roman"/>
            <w:color w:val="1155CC"/>
            <w:sz w:val="24"/>
            <w:szCs w:val="24"/>
            <w:u w:val="single"/>
          </w:rPr>
          <w:t>https://www.tandfonline.com/doi/pdf/10.1080/23311975.2022.2097620</w:t>
        </w:r>
      </w:hyperlink>
    </w:p>
    <w:p w14:paraId="5105F0E0" w14:textId="77777777" w:rsidR="00650885" w:rsidRPr="00E805AD" w:rsidRDefault="00650885" w:rsidP="00E805AD">
      <w:pPr>
        <w:spacing w:after="160" w:line="360" w:lineRule="auto"/>
        <w:jc w:val="both"/>
        <w:rPr>
          <w:rFonts w:eastAsia="Times New Roman"/>
          <w:color w:val="1155CC"/>
          <w:sz w:val="24"/>
          <w:szCs w:val="24"/>
          <w:u w:val="single"/>
        </w:rPr>
      </w:pPr>
      <w:r w:rsidRPr="00E805AD">
        <w:rPr>
          <w:rFonts w:eastAsia="Times New Roman"/>
          <w:sz w:val="24"/>
          <w:szCs w:val="24"/>
        </w:rPr>
        <w:t xml:space="preserve">Joshua, C., </w:t>
      </w:r>
      <w:proofErr w:type="spellStart"/>
      <w:r w:rsidRPr="00E805AD">
        <w:rPr>
          <w:rFonts w:eastAsia="Times New Roman"/>
          <w:sz w:val="24"/>
          <w:szCs w:val="24"/>
        </w:rPr>
        <w:t>imran</w:t>
      </w:r>
      <w:proofErr w:type="spellEnd"/>
      <w:r w:rsidRPr="00E805AD">
        <w:rPr>
          <w:rFonts w:eastAsia="Times New Roman"/>
          <w:sz w:val="24"/>
          <w:szCs w:val="24"/>
        </w:rPr>
        <w:t xml:space="preserve"> Khan, M., Hussain, R.Y. and </w:t>
      </w:r>
      <w:proofErr w:type="spellStart"/>
      <w:r w:rsidRPr="00E805AD">
        <w:rPr>
          <w:rFonts w:eastAsia="Times New Roman"/>
          <w:sz w:val="24"/>
          <w:szCs w:val="24"/>
        </w:rPr>
        <w:t>Pratiwi</w:t>
      </w:r>
      <w:proofErr w:type="spellEnd"/>
      <w:r w:rsidRPr="00E805AD">
        <w:rPr>
          <w:rFonts w:eastAsia="Times New Roman"/>
          <w:sz w:val="24"/>
          <w:szCs w:val="24"/>
        </w:rPr>
        <w:t>, R.E., 2024. Impact of Procure-to-Pay Automation on Component Manufacturers’ Working Capital Efficiency.</w:t>
      </w:r>
      <w:hyperlink r:id="rId50">
        <w:r w:rsidRPr="00E805AD">
          <w:rPr>
            <w:rFonts w:eastAsia="Times New Roman"/>
            <w:sz w:val="24"/>
            <w:szCs w:val="24"/>
          </w:rPr>
          <w:t xml:space="preserve"> </w:t>
        </w:r>
      </w:hyperlink>
      <w:hyperlink r:id="rId51">
        <w:r w:rsidRPr="00E805AD">
          <w:rPr>
            <w:rFonts w:eastAsia="Times New Roman"/>
            <w:color w:val="1155CC"/>
            <w:sz w:val="24"/>
            <w:szCs w:val="24"/>
            <w:u w:val="single"/>
          </w:rPr>
          <w:t>https://www.researchgate.net/profile/Chidiebere-Joshua/publication/398020195_Impact_of_Procure-to-Pay_Automation_on_Component_Manufacturers'_Working_Capital_Efficiency/links/69278f57a130337711bfa4e7/Impact-of-Procure-to-Pay-Automation-on-Component-Manufacturers-Working-Capital-Efficiency.pdf</w:t>
        </w:r>
      </w:hyperlink>
    </w:p>
    <w:p w14:paraId="6BF6A5B4" w14:textId="77777777" w:rsidR="00650885" w:rsidRPr="00E805AD" w:rsidRDefault="00650885" w:rsidP="00E805AD">
      <w:pPr>
        <w:spacing w:after="160" w:line="360" w:lineRule="auto"/>
        <w:jc w:val="both"/>
        <w:rPr>
          <w:rFonts w:eastAsia="Times New Roman"/>
          <w:color w:val="1155CC"/>
          <w:sz w:val="24"/>
          <w:szCs w:val="24"/>
          <w:u w:val="single"/>
        </w:rPr>
      </w:pPr>
      <w:proofErr w:type="spellStart"/>
      <w:r w:rsidRPr="00E805AD">
        <w:rPr>
          <w:rFonts w:eastAsia="Times New Roman"/>
          <w:sz w:val="24"/>
          <w:szCs w:val="24"/>
        </w:rPr>
        <w:t>Majka</w:t>
      </w:r>
      <w:proofErr w:type="spellEnd"/>
      <w:r w:rsidRPr="00E805AD">
        <w:rPr>
          <w:rFonts w:eastAsia="Times New Roman"/>
          <w:sz w:val="24"/>
          <w:szCs w:val="24"/>
        </w:rPr>
        <w:t>, M., EBITDA vs. Net Income: Key Differences and Their Importance in Financial Analysis.</w:t>
      </w:r>
      <w:hyperlink r:id="rId52">
        <w:r w:rsidRPr="00E805AD">
          <w:rPr>
            <w:rFonts w:eastAsia="Times New Roman"/>
            <w:sz w:val="24"/>
            <w:szCs w:val="24"/>
          </w:rPr>
          <w:t xml:space="preserve"> </w:t>
        </w:r>
      </w:hyperlink>
      <w:hyperlink r:id="rId53">
        <w:r w:rsidRPr="00E805AD">
          <w:rPr>
            <w:rFonts w:eastAsia="Times New Roman"/>
            <w:color w:val="1155CC"/>
            <w:sz w:val="24"/>
            <w:szCs w:val="24"/>
            <w:u w:val="single"/>
          </w:rPr>
          <w:t>https://www.researchgate.net/profile/Marcin-Majka-</w:t>
        </w:r>
        <w:r w:rsidRPr="00E805AD">
          <w:rPr>
            <w:rFonts w:eastAsia="Times New Roman"/>
            <w:color w:val="1155CC"/>
            <w:sz w:val="24"/>
            <w:szCs w:val="24"/>
            <w:u w:val="single"/>
          </w:rPr>
          <w:lastRenderedPageBreak/>
          <w:t>2/publication/385936952_EBITDA_vs_Net_Income_Key_Differences_and_Their_Importance_in_Financial_Analysis/links/673c5be9c1b80e56164627d9/EBITDA-vs-Net-Income-Key-Differences-and-Their-Importance-in-Financial-Analysis.pdf</w:t>
        </w:r>
      </w:hyperlink>
    </w:p>
    <w:p w14:paraId="703FCC8B" w14:textId="77777777" w:rsidR="00650885" w:rsidRPr="00E805AD" w:rsidRDefault="00650885" w:rsidP="00E805AD">
      <w:pPr>
        <w:spacing w:after="160" w:line="360" w:lineRule="auto"/>
        <w:jc w:val="both"/>
        <w:rPr>
          <w:rFonts w:eastAsia="Times New Roman"/>
          <w:sz w:val="24"/>
          <w:szCs w:val="24"/>
        </w:rPr>
      </w:pPr>
      <w:r w:rsidRPr="00E805AD">
        <w:rPr>
          <w:rFonts w:eastAsia="Times New Roman"/>
          <w:sz w:val="24"/>
          <w:szCs w:val="24"/>
        </w:rPr>
        <w:t>Marriott (2025) Marriott International 2025 Annual Report. Available from:</w:t>
      </w:r>
      <w:hyperlink r:id="rId54">
        <w:r w:rsidRPr="00E805AD">
          <w:rPr>
            <w:rFonts w:eastAsia="Times New Roman"/>
            <w:sz w:val="24"/>
            <w:szCs w:val="24"/>
          </w:rPr>
          <w:t xml:space="preserve"> </w:t>
        </w:r>
      </w:hyperlink>
      <w:hyperlink r:id="rId55">
        <w:r w:rsidRPr="00E805AD">
          <w:rPr>
            <w:rFonts w:eastAsia="Times New Roman"/>
            <w:color w:val="1155CC"/>
            <w:sz w:val="24"/>
            <w:szCs w:val="24"/>
            <w:u w:val="single"/>
          </w:rPr>
          <w:t>https://marriott.gcs-web.com/static-files/9cf0e9b0-bbfa-48a6-9e21-ffbdbc4b2d78</w:t>
        </w:r>
      </w:hyperlink>
      <w:r w:rsidRPr="00E805AD">
        <w:rPr>
          <w:rFonts w:eastAsia="Times New Roman"/>
          <w:sz w:val="24"/>
          <w:szCs w:val="24"/>
        </w:rPr>
        <w:t xml:space="preserve"> Accessed on 13.07.2026</w:t>
      </w:r>
    </w:p>
    <w:p w14:paraId="5A96EEE6" w14:textId="77777777" w:rsidR="00650885" w:rsidRPr="00E805AD" w:rsidRDefault="00650885" w:rsidP="00E805AD">
      <w:pPr>
        <w:spacing w:after="160" w:line="360" w:lineRule="auto"/>
        <w:jc w:val="both"/>
        <w:rPr>
          <w:rFonts w:eastAsia="Times New Roman"/>
          <w:sz w:val="24"/>
          <w:szCs w:val="24"/>
        </w:rPr>
      </w:pPr>
      <w:r w:rsidRPr="00E805AD">
        <w:rPr>
          <w:rFonts w:eastAsia="Times New Roman"/>
          <w:sz w:val="24"/>
          <w:szCs w:val="24"/>
        </w:rPr>
        <w:t xml:space="preserve">Marriott (2026) </w:t>
      </w:r>
      <w:r w:rsidRPr="00E805AD">
        <w:rPr>
          <w:rFonts w:eastAsia="Times New Roman"/>
          <w:i/>
          <w:iCs/>
          <w:sz w:val="24"/>
          <w:szCs w:val="24"/>
        </w:rPr>
        <w:t>Financial Reports &amp; Proxy.</w:t>
      </w:r>
      <w:r w:rsidRPr="00E805AD">
        <w:rPr>
          <w:rFonts w:eastAsia="Times New Roman"/>
          <w:sz w:val="24"/>
          <w:szCs w:val="24"/>
        </w:rPr>
        <w:t xml:space="preserve"> Available from:</w:t>
      </w:r>
      <w:hyperlink r:id="rId56">
        <w:r w:rsidRPr="00E805AD">
          <w:rPr>
            <w:rFonts w:eastAsia="Times New Roman"/>
            <w:sz w:val="24"/>
            <w:szCs w:val="24"/>
          </w:rPr>
          <w:t xml:space="preserve"> </w:t>
        </w:r>
      </w:hyperlink>
      <w:hyperlink r:id="rId57">
        <w:r w:rsidRPr="00E805AD">
          <w:rPr>
            <w:rFonts w:eastAsia="Times New Roman"/>
            <w:color w:val="1155CC"/>
            <w:sz w:val="24"/>
            <w:szCs w:val="24"/>
            <w:u w:val="single"/>
          </w:rPr>
          <w:t>https://marriott.gcs-web.com/annual</w:t>
        </w:r>
      </w:hyperlink>
      <w:r w:rsidRPr="00E805AD">
        <w:rPr>
          <w:rFonts w:eastAsia="Times New Roman"/>
          <w:sz w:val="24"/>
          <w:szCs w:val="24"/>
        </w:rPr>
        <w:t xml:space="preserve"> Accessed on 13.07.2026</w:t>
      </w:r>
    </w:p>
    <w:p w14:paraId="6B57D7E0" w14:textId="77777777" w:rsidR="00650885" w:rsidRPr="00E805AD" w:rsidRDefault="00650885" w:rsidP="00E805AD">
      <w:pPr>
        <w:pStyle w:val="NormalWeb"/>
        <w:spacing w:before="0" w:beforeAutospacing="0" w:after="240" w:afterAutospacing="0" w:line="360" w:lineRule="auto"/>
        <w:jc w:val="both"/>
        <w:rPr>
          <w:rFonts w:ascii="Arial" w:hAnsi="Arial" w:cs="Arial"/>
        </w:rPr>
      </w:pPr>
      <w:r w:rsidRPr="00E805AD">
        <w:rPr>
          <w:rFonts w:ascii="Arial" w:hAnsi="Arial" w:cs="Arial"/>
          <w:color w:val="000000"/>
        </w:rPr>
        <w:t>Marriott, (2026)</w:t>
      </w:r>
      <w:r w:rsidRPr="00E805AD">
        <w:rPr>
          <w:rFonts w:ascii="Arial" w:hAnsi="Arial" w:cs="Arial"/>
          <w:i/>
          <w:iCs/>
          <w:color w:val="000000"/>
        </w:rPr>
        <w:t xml:space="preserve"> We Are Marriott International</w:t>
      </w:r>
      <w:r w:rsidRPr="00E805AD">
        <w:rPr>
          <w:rFonts w:ascii="Arial" w:hAnsi="Arial" w:cs="Arial"/>
          <w:color w:val="000000"/>
        </w:rPr>
        <w:t xml:space="preserve"> Available from:  </w:t>
      </w:r>
      <w:hyperlink r:id="rId58" w:history="1">
        <w:r w:rsidRPr="00E805AD">
          <w:rPr>
            <w:rStyle w:val="Hyperlink"/>
            <w:rFonts w:ascii="Arial" w:hAnsi="Arial" w:cs="Arial"/>
            <w:color w:val="1155CC"/>
          </w:rPr>
          <w:t>https://www.marriott.com/marriott/aboutmarriott.mi</w:t>
        </w:r>
      </w:hyperlink>
      <w:r w:rsidRPr="00E805AD">
        <w:rPr>
          <w:rFonts w:ascii="Arial" w:hAnsi="Arial" w:cs="Arial"/>
          <w:color w:val="000000"/>
        </w:rPr>
        <w:t xml:space="preserve"> Accessed on 13.7.26. </w:t>
      </w:r>
    </w:p>
    <w:p w14:paraId="2401A2EA" w14:textId="77777777" w:rsidR="00650885" w:rsidRPr="00E805AD" w:rsidRDefault="00650885" w:rsidP="00E805AD">
      <w:pPr>
        <w:spacing w:after="160" w:line="360" w:lineRule="auto"/>
        <w:jc w:val="both"/>
        <w:rPr>
          <w:rFonts w:eastAsia="Times New Roman"/>
          <w:color w:val="1155CC"/>
          <w:sz w:val="24"/>
          <w:szCs w:val="24"/>
          <w:u w:val="single"/>
        </w:rPr>
      </w:pPr>
      <w:r w:rsidRPr="00E805AD">
        <w:rPr>
          <w:rFonts w:eastAsia="Times New Roman"/>
          <w:sz w:val="24"/>
          <w:szCs w:val="24"/>
        </w:rPr>
        <w:t>OK, E., 2025. Debt vs. Equity Financing for R&amp;D Investments in Emerging Markets: Trends, Challenges, and Best Practices.</w:t>
      </w:r>
      <w:hyperlink r:id="rId59">
        <w:r w:rsidRPr="00E805AD">
          <w:rPr>
            <w:rFonts w:eastAsia="Times New Roman"/>
            <w:sz w:val="24"/>
            <w:szCs w:val="24"/>
          </w:rPr>
          <w:t xml:space="preserve"> </w:t>
        </w:r>
      </w:hyperlink>
      <w:hyperlink r:id="rId60">
        <w:r w:rsidRPr="00E805AD">
          <w:rPr>
            <w:rFonts w:eastAsia="Times New Roman"/>
            <w:color w:val="1155CC"/>
            <w:sz w:val="24"/>
            <w:szCs w:val="24"/>
            <w:u w:val="single"/>
          </w:rPr>
          <w:t>https://www.researchgate.net/profile/Emmanuel-Ok-2/publication/388800588_Debt_vs_Equity_Financing_for_RD_Investments_in_Emerging_Markets_Trends_Challenges_and_Best_Practices/links/67a6a0c1461fb56424cdbf9d/Debt-vs-Equity-Financing-for-R-D-Investments-in-Emerging-Markets-Trends-Challenges-and-Best-Practices.pdf</w:t>
        </w:r>
      </w:hyperlink>
    </w:p>
    <w:p w14:paraId="6DD3AC45" w14:textId="77777777" w:rsidR="00650885" w:rsidRPr="00E805AD" w:rsidRDefault="00650885" w:rsidP="00E805AD">
      <w:pPr>
        <w:spacing w:after="160" w:line="360" w:lineRule="auto"/>
        <w:jc w:val="both"/>
        <w:rPr>
          <w:rFonts w:eastAsia="Times New Roman"/>
          <w:color w:val="1155CC"/>
          <w:sz w:val="24"/>
          <w:szCs w:val="24"/>
          <w:u w:val="single"/>
        </w:rPr>
      </w:pPr>
      <w:proofErr w:type="spellStart"/>
      <w:r w:rsidRPr="00E805AD">
        <w:rPr>
          <w:rFonts w:eastAsia="Times New Roman"/>
          <w:sz w:val="24"/>
          <w:szCs w:val="24"/>
        </w:rPr>
        <w:t>Poutakidou</w:t>
      </w:r>
      <w:proofErr w:type="spellEnd"/>
      <w:r w:rsidRPr="00E805AD">
        <w:rPr>
          <w:rFonts w:eastAsia="Times New Roman"/>
          <w:sz w:val="24"/>
          <w:szCs w:val="24"/>
        </w:rPr>
        <w:t xml:space="preserve">, G. and </w:t>
      </w:r>
      <w:proofErr w:type="spellStart"/>
      <w:r w:rsidRPr="00E805AD">
        <w:rPr>
          <w:rFonts w:eastAsia="Times New Roman"/>
          <w:sz w:val="24"/>
          <w:szCs w:val="24"/>
        </w:rPr>
        <w:t>Menegaki</w:t>
      </w:r>
      <w:proofErr w:type="spellEnd"/>
      <w:r w:rsidRPr="00E805AD">
        <w:rPr>
          <w:rFonts w:eastAsia="Times New Roman"/>
          <w:sz w:val="24"/>
          <w:szCs w:val="24"/>
        </w:rPr>
        <w:t>, A.N., 2023. Do energy prices put the tourism sector at risk</w:t>
      </w:r>
      <w:proofErr w:type="gramStart"/>
      <w:r w:rsidRPr="00E805AD">
        <w:rPr>
          <w:rFonts w:eastAsia="Times New Roman"/>
          <w:sz w:val="24"/>
          <w:szCs w:val="24"/>
        </w:rPr>
        <w:t>?.</w:t>
      </w:r>
      <w:proofErr w:type="gramEnd"/>
      <w:r w:rsidRPr="00E805AD">
        <w:rPr>
          <w:rFonts w:eastAsia="Times New Roman"/>
          <w:sz w:val="24"/>
          <w:szCs w:val="24"/>
        </w:rPr>
        <w:t xml:space="preserve"> </w:t>
      </w:r>
      <w:r w:rsidRPr="00E805AD">
        <w:rPr>
          <w:rFonts w:eastAsia="Times New Roman"/>
          <w:i/>
          <w:iCs/>
          <w:sz w:val="24"/>
          <w:szCs w:val="24"/>
        </w:rPr>
        <w:t>Economies</w:t>
      </w:r>
      <w:r w:rsidRPr="00E805AD">
        <w:rPr>
          <w:rFonts w:eastAsia="Times New Roman"/>
          <w:sz w:val="24"/>
          <w:szCs w:val="24"/>
        </w:rPr>
        <w:t xml:space="preserve">, </w:t>
      </w:r>
      <w:r w:rsidRPr="00E805AD">
        <w:rPr>
          <w:rFonts w:eastAsia="Times New Roman"/>
          <w:i/>
          <w:iCs/>
          <w:sz w:val="24"/>
          <w:szCs w:val="24"/>
        </w:rPr>
        <w:t>11</w:t>
      </w:r>
      <w:r w:rsidRPr="00E805AD">
        <w:rPr>
          <w:rFonts w:eastAsia="Times New Roman"/>
          <w:sz w:val="24"/>
          <w:szCs w:val="24"/>
        </w:rPr>
        <w:t>(7), p.197.</w:t>
      </w:r>
      <w:hyperlink r:id="rId61">
        <w:r w:rsidRPr="00E805AD">
          <w:rPr>
            <w:rFonts w:eastAsia="Times New Roman"/>
            <w:sz w:val="24"/>
            <w:szCs w:val="24"/>
          </w:rPr>
          <w:t xml:space="preserve"> </w:t>
        </w:r>
      </w:hyperlink>
      <w:hyperlink r:id="rId62">
        <w:r w:rsidRPr="00E805AD">
          <w:rPr>
            <w:rFonts w:eastAsia="Times New Roman"/>
            <w:color w:val="1155CC"/>
            <w:sz w:val="24"/>
            <w:szCs w:val="24"/>
            <w:u w:val="single"/>
          </w:rPr>
          <w:t>https://www.mdpi.com/2227-7099/11/7/197</w:t>
        </w:r>
      </w:hyperlink>
    </w:p>
    <w:p w14:paraId="6C84B4EC" w14:textId="77777777" w:rsidR="00650885" w:rsidRPr="00E805AD" w:rsidRDefault="00650885" w:rsidP="00E805AD">
      <w:pPr>
        <w:spacing w:after="160" w:line="360" w:lineRule="auto"/>
        <w:jc w:val="both"/>
        <w:rPr>
          <w:rFonts w:eastAsia="Times New Roman"/>
          <w:color w:val="1155CC"/>
          <w:sz w:val="24"/>
          <w:szCs w:val="24"/>
          <w:u w:val="single"/>
        </w:rPr>
      </w:pPr>
      <w:proofErr w:type="spellStart"/>
      <w:r w:rsidRPr="00E805AD">
        <w:rPr>
          <w:rFonts w:eastAsia="Times New Roman"/>
          <w:sz w:val="24"/>
          <w:szCs w:val="24"/>
        </w:rPr>
        <w:t>Putri</w:t>
      </w:r>
      <w:proofErr w:type="spellEnd"/>
      <w:r w:rsidRPr="00E805AD">
        <w:rPr>
          <w:rFonts w:eastAsia="Times New Roman"/>
          <w:sz w:val="24"/>
          <w:szCs w:val="24"/>
        </w:rPr>
        <w:t xml:space="preserve">, V.R., Mohamad </w:t>
      </w:r>
      <w:proofErr w:type="spellStart"/>
      <w:r w:rsidRPr="00E805AD">
        <w:rPr>
          <w:rFonts w:eastAsia="Times New Roman"/>
          <w:sz w:val="24"/>
          <w:szCs w:val="24"/>
        </w:rPr>
        <w:t>Yunus</w:t>
      </w:r>
      <w:proofErr w:type="spellEnd"/>
      <w:r w:rsidRPr="00E805AD">
        <w:rPr>
          <w:rFonts w:eastAsia="Times New Roman"/>
          <w:sz w:val="24"/>
          <w:szCs w:val="24"/>
        </w:rPr>
        <w:t xml:space="preserve">, M.H.S., </w:t>
      </w:r>
      <w:proofErr w:type="spellStart"/>
      <w:r w:rsidRPr="00E805AD">
        <w:rPr>
          <w:rFonts w:eastAsia="Times New Roman"/>
          <w:sz w:val="24"/>
          <w:szCs w:val="24"/>
        </w:rPr>
        <w:t>Zakaria</w:t>
      </w:r>
      <w:proofErr w:type="spellEnd"/>
      <w:r w:rsidRPr="00E805AD">
        <w:rPr>
          <w:rFonts w:eastAsia="Times New Roman"/>
          <w:sz w:val="24"/>
          <w:szCs w:val="24"/>
        </w:rPr>
        <w:t xml:space="preserve">, N.B., </w:t>
      </w:r>
      <w:proofErr w:type="spellStart"/>
      <w:r w:rsidRPr="00E805AD">
        <w:rPr>
          <w:rFonts w:eastAsia="Times New Roman"/>
          <w:sz w:val="24"/>
          <w:szCs w:val="24"/>
        </w:rPr>
        <w:t>Zifi</w:t>
      </w:r>
      <w:proofErr w:type="spellEnd"/>
      <w:r w:rsidRPr="00E805AD">
        <w:rPr>
          <w:rFonts w:eastAsia="Times New Roman"/>
          <w:sz w:val="24"/>
          <w:szCs w:val="24"/>
        </w:rPr>
        <w:t xml:space="preserve">, M.P., </w:t>
      </w:r>
      <w:proofErr w:type="spellStart"/>
      <w:r w:rsidRPr="00E805AD">
        <w:rPr>
          <w:rFonts w:eastAsia="Times New Roman"/>
          <w:sz w:val="24"/>
          <w:szCs w:val="24"/>
        </w:rPr>
        <w:t>Sastrodiharjo</w:t>
      </w:r>
      <w:proofErr w:type="spellEnd"/>
      <w:r w:rsidRPr="00E805AD">
        <w:rPr>
          <w:rFonts w:eastAsia="Times New Roman"/>
          <w:sz w:val="24"/>
          <w:szCs w:val="24"/>
        </w:rPr>
        <w:t xml:space="preserve">, I. and </w:t>
      </w:r>
      <w:proofErr w:type="spellStart"/>
      <w:r w:rsidRPr="00E805AD">
        <w:rPr>
          <w:rFonts w:eastAsia="Times New Roman"/>
          <w:sz w:val="24"/>
          <w:szCs w:val="24"/>
        </w:rPr>
        <w:t>Dewi</w:t>
      </w:r>
      <w:proofErr w:type="spellEnd"/>
      <w:r w:rsidRPr="00E805AD">
        <w:rPr>
          <w:rFonts w:eastAsia="Times New Roman"/>
          <w:sz w:val="24"/>
          <w:szCs w:val="24"/>
        </w:rPr>
        <w:t xml:space="preserve">, R., 2024. Tax avoidance with </w:t>
      </w:r>
      <w:proofErr w:type="spellStart"/>
      <w:r w:rsidRPr="00E805AD">
        <w:rPr>
          <w:rFonts w:eastAsia="Times New Roman"/>
          <w:sz w:val="24"/>
          <w:szCs w:val="24"/>
        </w:rPr>
        <w:t>maqasid</w:t>
      </w:r>
      <w:proofErr w:type="spellEnd"/>
      <w:r w:rsidRPr="00E805AD">
        <w:rPr>
          <w:rFonts w:eastAsia="Times New Roman"/>
          <w:sz w:val="24"/>
          <w:szCs w:val="24"/>
        </w:rPr>
        <w:t xml:space="preserve"> </w:t>
      </w:r>
      <w:proofErr w:type="spellStart"/>
      <w:r w:rsidRPr="00E805AD">
        <w:rPr>
          <w:rFonts w:eastAsia="Times New Roman"/>
          <w:sz w:val="24"/>
          <w:szCs w:val="24"/>
        </w:rPr>
        <w:t>syariah</w:t>
      </w:r>
      <w:proofErr w:type="spellEnd"/>
      <w:r w:rsidRPr="00E805AD">
        <w:rPr>
          <w:rFonts w:eastAsia="Times New Roman"/>
          <w:sz w:val="24"/>
          <w:szCs w:val="24"/>
        </w:rPr>
        <w:t xml:space="preserve">: Empirical insights on derivatives, debt shifting, transfer pricing, and financial distress. </w:t>
      </w:r>
      <w:r w:rsidRPr="00E805AD">
        <w:rPr>
          <w:rFonts w:eastAsia="Times New Roman"/>
          <w:i/>
          <w:iCs/>
          <w:sz w:val="24"/>
          <w:szCs w:val="24"/>
        </w:rPr>
        <w:t>Journal of Risk and Financial Management</w:t>
      </w:r>
      <w:r w:rsidRPr="00E805AD">
        <w:rPr>
          <w:rFonts w:eastAsia="Times New Roman"/>
          <w:sz w:val="24"/>
          <w:szCs w:val="24"/>
        </w:rPr>
        <w:t xml:space="preserve">, </w:t>
      </w:r>
      <w:r w:rsidRPr="00E805AD">
        <w:rPr>
          <w:rFonts w:eastAsia="Times New Roman"/>
          <w:i/>
          <w:iCs/>
          <w:sz w:val="24"/>
          <w:szCs w:val="24"/>
        </w:rPr>
        <w:t>17</w:t>
      </w:r>
      <w:r w:rsidRPr="00E805AD">
        <w:rPr>
          <w:rFonts w:eastAsia="Times New Roman"/>
          <w:sz w:val="24"/>
          <w:szCs w:val="24"/>
        </w:rPr>
        <w:t>(11), p.519.</w:t>
      </w:r>
      <w:hyperlink r:id="rId63">
        <w:r w:rsidRPr="00E805AD">
          <w:rPr>
            <w:rFonts w:eastAsia="Times New Roman"/>
            <w:sz w:val="24"/>
            <w:szCs w:val="24"/>
          </w:rPr>
          <w:t xml:space="preserve"> </w:t>
        </w:r>
      </w:hyperlink>
      <w:hyperlink r:id="rId64">
        <w:r w:rsidRPr="00E805AD">
          <w:rPr>
            <w:rFonts w:eastAsia="Times New Roman"/>
            <w:color w:val="1155CC"/>
            <w:sz w:val="24"/>
            <w:szCs w:val="24"/>
            <w:u w:val="single"/>
          </w:rPr>
          <w:t>https://www.mdpi.com/1911-8074/17/11/519</w:t>
        </w:r>
      </w:hyperlink>
    </w:p>
    <w:p w14:paraId="3A1DA444" w14:textId="77777777" w:rsidR="00650885" w:rsidRPr="00E805AD" w:rsidRDefault="00650885" w:rsidP="00E805AD">
      <w:pPr>
        <w:spacing w:after="160" w:line="360" w:lineRule="auto"/>
        <w:jc w:val="both"/>
        <w:rPr>
          <w:rFonts w:eastAsia="Times New Roman"/>
          <w:sz w:val="24"/>
          <w:szCs w:val="24"/>
        </w:rPr>
      </w:pPr>
      <w:r w:rsidRPr="00E805AD">
        <w:rPr>
          <w:rFonts w:eastAsia="Times New Roman"/>
          <w:sz w:val="24"/>
          <w:szCs w:val="24"/>
        </w:rPr>
        <w:t xml:space="preserve">RBA (2026) </w:t>
      </w:r>
      <w:r w:rsidRPr="00E805AD">
        <w:rPr>
          <w:rFonts w:eastAsia="Times New Roman"/>
          <w:i/>
          <w:iCs/>
          <w:sz w:val="24"/>
          <w:szCs w:val="24"/>
        </w:rPr>
        <w:t>The Exchange Rate and the Reserve Bank's Role in the Foreign Exchange Market.</w:t>
      </w:r>
      <w:r w:rsidRPr="00E805AD">
        <w:rPr>
          <w:rFonts w:eastAsia="Times New Roman"/>
          <w:sz w:val="24"/>
          <w:szCs w:val="24"/>
        </w:rPr>
        <w:t xml:space="preserve"> Available from:</w:t>
      </w:r>
      <w:hyperlink r:id="rId65">
        <w:r w:rsidRPr="00E805AD">
          <w:rPr>
            <w:rFonts w:eastAsia="Times New Roman"/>
            <w:sz w:val="24"/>
            <w:szCs w:val="24"/>
          </w:rPr>
          <w:t xml:space="preserve"> </w:t>
        </w:r>
      </w:hyperlink>
      <w:hyperlink r:id="rId66">
        <w:r w:rsidRPr="00E805AD">
          <w:rPr>
            <w:rFonts w:eastAsia="Times New Roman"/>
            <w:color w:val="1155CC"/>
            <w:sz w:val="24"/>
            <w:szCs w:val="24"/>
            <w:u w:val="single"/>
          </w:rPr>
          <w:t>https://www.rba.gov.au/mkt-operations/ex-rate-rba-role-fx-mkt.html</w:t>
        </w:r>
      </w:hyperlink>
      <w:r w:rsidRPr="00E805AD">
        <w:rPr>
          <w:rFonts w:eastAsia="Times New Roman"/>
          <w:sz w:val="24"/>
          <w:szCs w:val="24"/>
        </w:rPr>
        <w:t xml:space="preserve"> Accessed on 13.07.2026</w:t>
      </w:r>
    </w:p>
    <w:p w14:paraId="1E339926" w14:textId="77777777" w:rsidR="00650885" w:rsidRPr="00E805AD" w:rsidRDefault="00650885" w:rsidP="00E805AD">
      <w:pPr>
        <w:spacing w:after="160" w:line="360" w:lineRule="auto"/>
        <w:jc w:val="both"/>
        <w:rPr>
          <w:rFonts w:eastAsia="Times New Roman"/>
          <w:color w:val="1155CC"/>
          <w:sz w:val="24"/>
          <w:szCs w:val="24"/>
          <w:u w:val="single"/>
        </w:rPr>
      </w:pPr>
      <w:proofErr w:type="spellStart"/>
      <w:r w:rsidRPr="00E805AD">
        <w:rPr>
          <w:rFonts w:eastAsia="Times New Roman"/>
          <w:sz w:val="24"/>
          <w:szCs w:val="24"/>
        </w:rPr>
        <w:t>Reyad</w:t>
      </w:r>
      <w:proofErr w:type="spellEnd"/>
      <w:r w:rsidRPr="00E805AD">
        <w:rPr>
          <w:rFonts w:eastAsia="Times New Roman"/>
          <w:sz w:val="24"/>
          <w:szCs w:val="24"/>
        </w:rPr>
        <w:t xml:space="preserve">, H.M., </w:t>
      </w:r>
      <w:proofErr w:type="spellStart"/>
      <w:r w:rsidRPr="00E805AD">
        <w:rPr>
          <w:rFonts w:eastAsia="Times New Roman"/>
          <w:sz w:val="24"/>
          <w:szCs w:val="24"/>
        </w:rPr>
        <w:t>Zariyawati</w:t>
      </w:r>
      <w:proofErr w:type="spellEnd"/>
      <w:r w:rsidRPr="00E805AD">
        <w:rPr>
          <w:rFonts w:eastAsia="Times New Roman"/>
          <w:sz w:val="24"/>
          <w:szCs w:val="24"/>
        </w:rPr>
        <w:t xml:space="preserve">, M.A., Ong, T.S. and Muhamad, H., 2022. The impact of macroeconomic risk factors, the adoption of financial derivatives on working capital management, and firm performance. </w:t>
      </w:r>
      <w:r w:rsidRPr="00E805AD">
        <w:rPr>
          <w:rFonts w:eastAsia="Times New Roman"/>
          <w:i/>
          <w:iCs/>
          <w:sz w:val="24"/>
          <w:szCs w:val="24"/>
        </w:rPr>
        <w:t>Sustainability</w:t>
      </w:r>
      <w:r w:rsidRPr="00E805AD">
        <w:rPr>
          <w:rFonts w:eastAsia="Times New Roman"/>
          <w:sz w:val="24"/>
          <w:szCs w:val="24"/>
        </w:rPr>
        <w:t xml:space="preserve">, </w:t>
      </w:r>
      <w:r w:rsidRPr="00E805AD">
        <w:rPr>
          <w:rFonts w:eastAsia="Times New Roman"/>
          <w:i/>
          <w:iCs/>
          <w:sz w:val="24"/>
          <w:szCs w:val="24"/>
        </w:rPr>
        <w:t>14</w:t>
      </w:r>
      <w:r w:rsidRPr="00E805AD">
        <w:rPr>
          <w:rFonts w:eastAsia="Times New Roman"/>
          <w:sz w:val="24"/>
          <w:szCs w:val="24"/>
        </w:rPr>
        <w:t>(21), p.14447.</w:t>
      </w:r>
      <w:hyperlink r:id="rId67">
        <w:r w:rsidRPr="00E805AD">
          <w:rPr>
            <w:rFonts w:eastAsia="Times New Roman"/>
            <w:sz w:val="24"/>
            <w:szCs w:val="24"/>
          </w:rPr>
          <w:t xml:space="preserve"> </w:t>
        </w:r>
      </w:hyperlink>
      <w:hyperlink r:id="rId68">
        <w:r w:rsidRPr="00E805AD">
          <w:rPr>
            <w:rFonts w:eastAsia="Times New Roman"/>
            <w:color w:val="1155CC"/>
            <w:sz w:val="24"/>
            <w:szCs w:val="24"/>
            <w:u w:val="single"/>
          </w:rPr>
          <w:t>https://www.mdpi.com/2071-1050/14/21/14447</w:t>
        </w:r>
      </w:hyperlink>
    </w:p>
    <w:p w14:paraId="3C87157B" w14:textId="77777777" w:rsidR="00650885" w:rsidRPr="00E805AD" w:rsidRDefault="00650885" w:rsidP="00E805AD">
      <w:pPr>
        <w:spacing w:after="160" w:line="360" w:lineRule="auto"/>
        <w:jc w:val="both"/>
        <w:rPr>
          <w:rFonts w:eastAsia="Times New Roman"/>
          <w:color w:val="1155CC"/>
          <w:sz w:val="24"/>
          <w:szCs w:val="24"/>
          <w:u w:val="single"/>
        </w:rPr>
      </w:pPr>
      <w:proofErr w:type="spellStart"/>
      <w:r w:rsidRPr="00E805AD">
        <w:rPr>
          <w:rFonts w:eastAsia="Times New Roman"/>
          <w:sz w:val="24"/>
          <w:szCs w:val="24"/>
        </w:rPr>
        <w:lastRenderedPageBreak/>
        <w:t>Rosselló</w:t>
      </w:r>
      <w:proofErr w:type="spellEnd"/>
      <w:r w:rsidRPr="00E805AD">
        <w:rPr>
          <w:rFonts w:eastAsia="Times New Roman"/>
          <w:sz w:val="24"/>
          <w:szCs w:val="24"/>
        </w:rPr>
        <w:t xml:space="preserve">-Nadal, J. and </w:t>
      </w:r>
      <w:proofErr w:type="spellStart"/>
      <w:r w:rsidRPr="00E805AD">
        <w:rPr>
          <w:rFonts w:eastAsia="Times New Roman"/>
          <w:sz w:val="24"/>
          <w:szCs w:val="24"/>
        </w:rPr>
        <w:t>Sard</w:t>
      </w:r>
      <w:proofErr w:type="spellEnd"/>
      <w:r w:rsidRPr="00E805AD">
        <w:rPr>
          <w:rFonts w:eastAsia="Times New Roman"/>
          <w:sz w:val="24"/>
          <w:szCs w:val="24"/>
        </w:rPr>
        <w:t xml:space="preserve">, M., 2026. Tourism Taxation: Balancing revenues, competitiveness and sustainability in destination management. </w:t>
      </w:r>
      <w:r w:rsidRPr="00E805AD">
        <w:rPr>
          <w:rFonts w:eastAsia="Times New Roman"/>
          <w:i/>
          <w:iCs/>
          <w:sz w:val="24"/>
          <w:szCs w:val="24"/>
        </w:rPr>
        <w:t>Tourism Management</w:t>
      </w:r>
      <w:r w:rsidRPr="00E805AD">
        <w:rPr>
          <w:rFonts w:eastAsia="Times New Roman"/>
          <w:sz w:val="24"/>
          <w:szCs w:val="24"/>
        </w:rPr>
        <w:t xml:space="preserve">, </w:t>
      </w:r>
      <w:r w:rsidRPr="00E805AD">
        <w:rPr>
          <w:rFonts w:eastAsia="Times New Roman"/>
          <w:i/>
          <w:iCs/>
          <w:sz w:val="24"/>
          <w:szCs w:val="24"/>
        </w:rPr>
        <w:t>113</w:t>
      </w:r>
      <w:r w:rsidRPr="00E805AD">
        <w:rPr>
          <w:rFonts w:eastAsia="Times New Roman"/>
          <w:sz w:val="24"/>
          <w:szCs w:val="24"/>
        </w:rPr>
        <w:t>, p.105326.</w:t>
      </w:r>
      <w:hyperlink r:id="rId69">
        <w:r w:rsidRPr="00E805AD">
          <w:rPr>
            <w:rFonts w:eastAsia="Times New Roman"/>
            <w:sz w:val="24"/>
            <w:szCs w:val="24"/>
          </w:rPr>
          <w:t xml:space="preserve"> </w:t>
        </w:r>
      </w:hyperlink>
      <w:hyperlink r:id="rId70">
        <w:r w:rsidRPr="00E805AD">
          <w:rPr>
            <w:rFonts w:eastAsia="Times New Roman"/>
            <w:color w:val="1155CC"/>
            <w:sz w:val="24"/>
            <w:szCs w:val="24"/>
            <w:u w:val="single"/>
          </w:rPr>
          <w:t>https://www.sciencedirect.com/science/article/pii/S0261517725001967</w:t>
        </w:r>
      </w:hyperlink>
    </w:p>
    <w:p w14:paraId="254FDEE2" w14:textId="77777777" w:rsidR="00650885" w:rsidRPr="00E805AD" w:rsidRDefault="00650885" w:rsidP="00E805AD">
      <w:pPr>
        <w:pStyle w:val="NormalWeb"/>
        <w:spacing w:before="0" w:beforeAutospacing="0" w:after="240" w:afterAutospacing="0" w:line="360" w:lineRule="auto"/>
        <w:jc w:val="both"/>
        <w:rPr>
          <w:rFonts w:ascii="Arial" w:hAnsi="Arial" w:cs="Arial"/>
        </w:rPr>
      </w:pPr>
      <w:proofErr w:type="spellStart"/>
      <w:r w:rsidRPr="00E805AD">
        <w:rPr>
          <w:rFonts w:ascii="Arial" w:hAnsi="Arial" w:cs="Arial"/>
          <w:color w:val="222222"/>
          <w:shd w:val="clear" w:color="auto" w:fill="FFFFFF"/>
        </w:rPr>
        <w:t>Sethupathy</w:t>
      </w:r>
      <w:proofErr w:type="spellEnd"/>
      <w:r w:rsidRPr="00E805AD">
        <w:rPr>
          <w:rFonts w:ascii="Arial" w:hAnsi="Arial" w:cs="Arial"/>
          <w:color w:val="222222"/>
          <w:shd w:val="clear" w:color="auto" w:fill="FFFFFF"/>
        </w:rPr>
        <w:t xml:space="preserve">, U.K.A., 2025. The Future of B2B Payments: A Framework for AI-Driven Accounts Receivable Automation. </w:t>
      </w:r>
      <w:r w:rsidRPr="00E805AD">
        <w:rPr>
          <w:rFonts w:ascii="Arial" w:hAnsi="Arial" w:cs="Arial"/>
          <w:i/>
          <w:iCs/>
          <w:color w:val="222222"/>
          <w:shd w:val="clear" w:color="auto" w:fill="FFFFFF"/>
        </w:rPr>
        <w:t xml:space="preserve">Journal </w:t>
      </w:r>
      <w:proofErr w:type="gramStart"/>
      <w:r w:rsidRPr="00E805AD">
        <w:rPr>
          <w:rFonts w:ascii="Arial" w:hAnsi="Arial" w:cs="Arial"/>
          <w:i/>
          <w:iCs/>
          <w:color w:val="222222"/>
          <w:shd w:val="clear" w:color="auto" w:fill="FFFFFF"/>
        </w:rPr>
        <w:t>Of Engineering And</w:t>
      </w:r>
      <w:proofErr w:type="gramEnd"/>
      <w:r w:rsidRPr="00E805AD">
        <w:rPr>
          <w:rFonts w:ascii="Arial" w:hAnsi="Arial" w:cs="Arial"/>
          <w:i/>
          <w:iCs/>
          <w:color w:val="222222"/>
          <w:shd w:val="clear" w:color="auto" w:fill="FFFFFF"/>
        </w:rPr>
        <w:t xml:space="preserve"> Computer Sciences</w:t>
      </w:r>
      <w:r w:rsidRPr="00E805AD">
        <w:rPr>
          <w:rFonts w:ascii="Arial" w:hAnsi="Arial" w:cs="Arial"/>
          <w:color w:val="222222"/>
          <w:shd w:val="clear" w:color="auto" w:fill="FFFFFF"/>
        </w:rPr>
        <w:t xml:space="preserve">, </w:t>
      </w:r>
      <w:r w:rsidRPr="00E805AD">
        <w:rPr>
          <w:rFonts w:ascii="Arial" w:hAnsi="Arial" w:cs="Arial"/>
          <w:i/>
          <w:iCs/>
          <w:color w:val="222222"/>
          <w:shd w:val="clear" w:color="auto" w:fill="FFFFFF"/>
        </w:rPr>
        <w:t>4</w:t>
      </w:r>
      <w:r w:rsidRPr="00E805AD">
        <w:rPr>
          <w:rFonts w:ascii="Arial" w:hAnsi="Arial" w:cs="Arial"/>
          <w:color w:val="222222"/>
          <w:shd w:val="clear" w:color="auto" w:fill="FFFFFF"/>
        </w:rPr>
        <w:t>(7), pp.1330-1344.</w:t>
      </w:r>
      <w:r w:rsidRPr="00E805AD">
        <w:rPr>
          <w:rFonts w:ascii="Arial" w:hAnsi="Arial" w:cs="Arial"/>
          <w:color w:val="000000"/>
        </w:rPr>
        <w:t xml:space="preserve"> </w:t>
      </w:r>
      <w:hyperlink r:id="rId71" w:history="1">
        <w:r w:rsidRPr="00E805AD">
          <w:rPr>
            <w:rStyle w:val="Hyperlink"/>
            <w:rFonts w:ascii="Arial" w:hAnsi="Arial" w:cs="Arial"/>
            <w:color w:val="1155CC"/>
          </w:rPr>
          <w:t>https://sarcouncil.com/download-article/SJECS-289_-2025-1330-1344.pdf</w:t>
        </w:r>
      </w:hyperlink>
    </w:p>
    <w:p w14:paraId="04265DB8" w14:textId="77777777" w:rsidR="00650885" w:rsidRPr="00E805AD" w:rsidRDefault="00650885" w:rsidP="00E805AD">
      <w:pPr>
        <w:spacing w:after="160" w:line="360" w:lineRule="auto"/>
        <w:jc w:val="both"/>
        <w:rPr>
          <w:rFonts w:eastAsia="Times New Roman"/>
          <w:color w:val="1155CC"/>
          <w:sz w:val="24"/>
          <w:szCs w:val="24"/>
          <w:u w:val="single"/>
        </w:rPr>
      </w:pPr>
      <w:r w:rsidRPr="00E805AD">
        <w:rPr>
          <w:rFonts w:eastAsia="Times New Roman"/>
          <w:sz w:val="24"/>
          <w:szCs w:val="24"/>
        </w:rPr>
        <w:t xml:space="preserve">Siebert, M., 2024. </w:t>
      </w:r>
      <w:r w:rsidRPr="00E805AD">
        <w:rPr>
          <w:rFonts w:eastAsia="Times New Roman"/>
          <w:i/>
          <w:iCs/>
          <w:sz w:val="24"/>
          <w:szCs w:val="24"/>
        </w:rPr>
        <w:t>Franchise your business: The guide to employing the greatest growth strategy ever</w:t>
      </w:r>
      <w:r w:rsidRPr="00E805AD">
        <w:rPr>
          <w:rFonts w:eastAsia="Times New Roman"/>
          <w:sz w:val="24"/>
          <w:szCs w:val="24"/>
        </w:rPr>
        <w:t>. Entrepreneur Press.</w:t>
      </w:r>
      <w:hyperlink r:id="rId72">
        <w:r w:rsidRPr="00E805AD">
          <w:rPr>
            <w:rFonts w:eastAsia="Times New Roman"/>
            <w:sz w:val="24"/>
            <w:szCs w:val="24"/>
          </w:rPr>
          <w:t xml:space="preserve"> </w:t>
        </w:r>
      </w:hyperlink>
      <w:hyperlink r:id="rId73">
        <w:r w:rsidRPr="00E805AD">
          <w:rPr>
            <w:rFonts w:eastAsia="Times New Roman"/>
            <w:color w:val="1155CC"/>
            <w:sz w:val="24"/>
            <w:szCs w:val="24"/>
            <w:u w:val="single"/>
          </w:rPr>
          <w:t>https://www.academia.edu/download/56425727/how_to_franchise_your_business.pdf</w:t>
        </w:r>
      </w:hyperlink>
    </w:p>
    <w:p w14:paraId="4EE6189C" w14:textId="77777777" w:rsidR="00650885" w:rsidRPr="00E805AD" w:rsidRDefault="00650885" w:rsidP="00E805AD">
      <w:pPr>
        <w:spacing w:after="160" w:line="360" w:lineRule="auto"/>
        <w:jc w:val="both"/>
        <w:rPr>
          <w:rFonts w:eastAsia="Times New Roman"/>
          <w:color w:val="1155CC"/>
          <w:sz w:val="24"/>
          <w:szCs w:val="24"/>
          <w:u w:val="single"/>
        </w:rPr>
      </w:pPr>
      <w:r w:rsidRPr="00E805AD">
        <w:rPr>
          <w:rFonts w:eastAsia="Times New Roman"/>
          <w:sz w:val="24"/>
          <w:szCs w:val="24"/>
        </w:rPr>
        <w:t xml:space="preserve">Stavropoulos, A.S. and </w:t>
      </w:r>
      <w:proofErr w:type="spellStart"/>
      <w:r w:rsidRPr="00E805AD">
        <w:rPr>
          <w:rFonts w:eastAsia="Times New Roman"/>
          <w:sz w:val="24"/>
          <w:szCs w:val="24"/>
        </w:rPr>
        <w:t>Zounta</w:t>
      </w:r>
      <w:proofErr w:type="spellEnd"/>
      <w:r w:rsidRPr="00E805AD">
        <w:rPr>
          <w:rFonts w:eastAsia="Times New Roman"/>
          <w:sz w:val="24"/>
          <w:szCs w:val="24"/>
        </w:rPr>
        <w:t xml:space="preserve">, S., 2025. Cash conversion cycle and profitability: Evidence from Greek service firms. </w:t>
      </w:r>
      <w:r w:rsidRPr="00E805AD">
        <w:rPr>
          <w:rFonts w:eastAsia="Times New Roman"/>
          <w:i/>
          <w:iCs/>
          <w:sz w:val="24"/>
          <w:szCs w:val="24"/>
        </w:rPr>
        <w:t>Journal of Risk and Financial Management</w:t>
      </w:r>
      <w:r w:rsidRPr="00E805AD">
        <w:rPr>
          <w:rFonts w:eastAsia="Times New Roman"/>
          <w:sz w:val="24"/>
          <w:szCs w:val="24"/>
        </w:rPr>
        <w:t xml:space="preserve">, </w:t>
      </w:r>
      <w:r w:rsidRPr="00E805AD">
        <w:rPr>
          <w:rFonts w:eastAsia="Times New Roman"/>
          <w:i/>
          <w:iCs/>
          <w:sz w:val="24"/>
          <w:szCs w:val="24"/>
        </w:rPr>
        <w:t>18</w:t>
      </w:r>
      <w:r w:rsidRPr="00E805AD">
        <w:rPr>
          <w:rFonts w:eastAsia="Times New Roman"/>
          <w:sz w:val="24"/>
          <w:szCs w:val="24"/>
        </w:rPr>
        <w:t>(4), p.208.</w:t>
      </w:r>
      <w:hyperlink r:id="rId74">
        <w:r w:rsidRPr="00E805AD">
          <w:rPr>
            <w:rFonts w:eastAsia="Times New Roman"/>
            <w:sz w:val="24"/>
            <w:szCs w:val="24"/>
          </w:rPr>
          <w:t xml:space="preserve"> </w:t>
        </w:r>
      </w:hyperlink>
      <w:hyperlink r:id="rId75">
        <w:r w:rsidRPr="00E805AD">
          <w:rPr>
            <w:rFonts w:eastAsia="Times New Roman"/>
            <w:color w:val="1155CC"/>
            <w:sz w:val="24"/>
            <w:szCs w:val="24"/>
            <w:u w:val="single"/>
          </w:rPr>
          <w:t>https://www.mdpi.com/1911-8074/18/4/208</w:t>
        </w:r>
      </w:hyperlink>
    </w:p>
    <w:p w14:paraId="6C4AFE6C" w14:textId="77777777" w:rsidR="00650885" w:rsidRPr="00E805AD" w:rsidRDefault="00650885" w:rsidP="00E805AD">
      <w:pPr>
        <w:spacing w:after="160" w:line="360" w:lineRule="auto"/>
        <w:jc w:val="both"/>
        <w:rPr>
          <w:rFonts w:eastAsia="Times New Roman"/>
          <w:color w:val="1155CC"/>
          <w:sz w:val="24"/>
          <w:szCs w:val="24"/>
          <w:u w:val="single"/>
        </w:rPr>
      </w:pPr>
      <w:proofErr w:type="spellStart"/>
      <w:r w:rsidRPr="00E805AD">
        <w:rPr>
          <w:rFonts w:eastAsia="Times New Roman"/>
          <w:sz w:val="24"/>
          <w:szCs w:val="24"/>
        </w:rPr>
        <w:t>Stivala</w:t>
      </w:r>
      <w:proofErr w:type="spellEnd"/>
      <w:r w:rsidRPr="00E805AD">
        <w:rPr>
          <w:rFonts w:eastAsia="Times New Roman"/>
          <w:sz w:val="24"/>
          <w:szCs w:val="24"/>
        </w:rPr>
        <w:t xml:space="preserve">, E., 2022. The Perceived value of purchasing tourism services through an online travel agency: A study of consumers in Malta. </w:t>
      </w:r>
      <w:r w:rsidRPr="00E805AD">
        <w:rPr>
          <w:rFonts w:eastAsia="Times New Roman"/>
          <w:i/>
          <w:iCs/>
          <w:sz w:val="24"/>
          <w:szCs w:val="24"/>
        </w:rPr>
        <w:t>The Online Open Access Repository of the Institute of Tourism Studies (Malta)</w:t>
      </w:r>
      <w:r w:rsidRPr="00E805AD">
        <w:rPr>
          <w:rFonts w:eastAsia="Times New Roman"/>
          <w:sz w:val="24"/>
          <w:szCs w:val="24"/>
        </w:rPr>
        <w:t>.</w:t>
      </w:r>
      <w:hyperlink r:id="rId76">
        <w:r w:rsidRPr="00E805AD">
          <w:rPr>
            <w:rFonts w:eastAsia="Times New Roman"/>
            <w:sz w:val="24"/>
            <w:szCs w:val="24"/>
          </w:rPr>
          <w:t xml:space="preserve"> </w:t>
        </w:r>
      </w:hyperlink>
      <w:hyperlink r:id="rId77">
        <w:r w:rsidRPr="00E805AD">
          <w:rPr>
            <w:rFonts w:eastAsia="Times New Roman"/>
            <w:color w:val="1155CC"/>
            <w:sz w:val="24"/>
            <w:szCs w:val="24"/>
            <w:u w:val="single"/>
          </w:rPr>
          <w:t>https://futouristic.scholasticahq.com/article/90637.pdf</w:t>
        </w:r>
      </w:hyperlink>
    </w:p>
    <w:p w14:paraId="140F68B4" w14:textId="77777777" w:rsidR="00650885" w:rsidRPr="00E805AD" w:rsidRDefault="00650885" w:rsidP="00E805AD">
      <w:pPr>
        <w:spacing w:after="160" w:line="360" w:lineRule="auto"/>
        <w:jc w:val="both"/>
        <w:rPr>
          <w:rFonts w:eastAsia="Times New Roman"/>
          <w:color w:val="1155CC"/>
          <w:sz w:val="24"/>
          <w:szCs w:val="24"/>
          <w:u w:val="single"/>
        </w:rPr>
      </w:pPr>
      <w:proofErr w:type="spellStart"/>
      <w:r w:rsidRPr="00E805AD">
        <w:rPr>
          <w:rFonts w:eastAsia="Times New Roman"/>
          <w:sz w:val="24"/>
          <w:szCs w:val="24"/>
        </w:rPr>
        <w:t>Tamplin</w:t>
      </w:r>
      <w:proofErr w:type="spellEnd"/>
      <w:r w:rsidRPr="00E805AD">
        <w:rPr>
          <w:rFonts w:eastAsia="Times New Roman"/>
          <w:sz w:val="24"/>
          <w:szCs w:val="24"/>
        </w:rPr>
        <w:t xml:space="preserve">, T., 2022. </w:t>
      </w:r>
      <w:r w:rsidRPr="00E805AD">
        <w:rPr>
          <w:rFonts w:eastAsia="Times New Roman"/>
          <w:i/>
          <w:iCs/>
          <w:sz w:val="24"/>
          <w:szCs w:val="24"/>
        </w:rPr>
        <w:t>The handy financial ratios guide: a comprehensive guide to 140 common financial ratios</w:t>
      </w:r>
      <w:r w:rsidRPr="00E805AD">
        <w:rPr>
          <w:rFonts w:eastAsia="Times New Roman"/>
          <w:sz w:val="24"/>
          <w:szCs w:val="24"/>
        </w:rPr>
        <w:t xml:space="preserve">. True </w:t>
      </w:r>
      <w:proofErr w:type="spellStart"/>
      <w:r w:rsidRPr="00E805AD">
        <w:rPr>
          <w:rFonts w:eastAsia="Times New Roman"/>
          <w:sz w:val="24"/>
          <w:szCs w:val="24"/>
        </w:rPr>
        <w:t>Tamplin</w:t>
      </w:r>
      <w:proofErr w:type="spellEnd"/>
      <w:r w:rsidRPr="00E805AD">
        <w:rPr>
          <w:rFonts w:eastAsia="Times New Roman"/>
          <w:sz w:val="24"/>
          <w:szCs w:val="24"/>
        </w:rPr>
        <w:t>.</w:t>
      </w:r>
      <w:hyperlink r:id="rId78">
        <w:r w:rsidRPr="00E805AD">
          <w:rPr>
            <w:rFonts w:eastAsia="Times New Roman"/>
            <w:sz w:val="24"/>
            <w:szCs w:val="24"/>
          </w:rPr>
          <w:t xml:space="preserve"> </w:t>
        </w:r>
      </w:hyperlink>
      <w:hyperlink r:id="rId79">
        <w:r w:rsidRPr="00E805AD">
          <w:rPr>
            <w:rFonts w:eastAsia="Times New Roman"/>
            <w:color w:val="1155CC"/>
            <w:sz w:val="24"/>
            <w:szCs w:val="24"/>
            <w:u w:val="single"/>
          </w:rPr>
          <w:t>https://books.google.com/books?hl=en&amp;lr=&amp;id=ZsOPEAAAQBAJ&amp;oi=fnd&amp;pg=PA5&amp;dq=+A+lower+DPO+indicates+cash-generating+ability+to+make+timely+investor+payments+maintaining+good+relations&amp;ots=4KH5cCJO-D&amp;sig=iY1ZhXhSaPpEtU3PerCdyuXRBl8</w:t>
        </w:r>
      </w:hyperlink>
    </w:p>
    <w:p w14:paraId="2E30716C" w14:textId="77777777" w:rsidR="00650885" w:rsidRPr="00E805AD" w:rsidRDefault="00650885" w:rsidP="00E805AD">
      <w:pPr>
        <w:pStyle w:val="NormalWeb"/>
        <w:spacing w:before="0" w:beforeAutospacing="0" w:after="240" w:afterAutospacing="0" w:line="360" w:lineRule="auto"/>
        <w:jc w:val="both"/>
        <w:rPr>
          <w:rFonts w:ascii="Arial" w:hAnsi="Arial" w:cs="Arial"/>
        </w:rPr>
      </w:pPr>
      <w:r w:rsidRPr="00E805AD">
        <w:rPr>
          <w:rFonts w:ascii="Arial" w:hAnsi="Arial" w:cs="Arial"/>
          <w:color w:val="222222"/>
          <w:shd w:val="clear" w:color="auto" w:fill="FFFFFF"/>
        </w:rPr>
        <w:t xml:space="preserve">Tang, A., Li, K.K., Kwok, K.O., Cao, L., Luong, S. and Tam, W., 2024. The importance of transparency: Declaring the use of generative artificial intelligence (AI) in academic writing. </w:t>
      </w:r>
      <w:r w:rsidRPr="00E805AD">
        <w:rPr>
          <w:rFonts w:ascii="Arial" w:hAnsi="Arial" w:cs="Arial"/>
          <w:i/>
          <w:iCs/>
          <w:color w:val="222222"/>
          <w:shd w:val="clear" w:color="auto" w:fill="FFFFFF"/>
        </w:rPr>
        <w:t>Journal of nursing scholarship</w:t>
      </w:r>
      <w:r w:rsidRPr="00E805AD">
        <w:rPr>
          <w:rFonts w:ascii="Arial" w:hAnsi="Arial" w:cs="Arial"/>
          <w:color w:val="222222"/>
          <w:shd w:val="clear" w:color="auto" w:fill="FFFFFF"/>
        </w:rPr>
        <w:t xml:space="preserve">, </w:t>
      </w:r>
      <w:r w:rsidRPr="00E805AD">
        <w:rPr>
          <w:rFonts w:ascii="Arial" w:hAnsi="Arial" w:cs="Arial"/>
          <w:i/>
          <w:iCs/>
          <w:color w:val="222222"/>
          <w:shd w:val="clear" w:color="auto" w:fill="FFFFFF"/>
        </w:rPr>
        <w:t>56</w:t>
      </w:r>
      <w:r w:rsidRPr="00E805AD">
        <w:rPr>
          <w:rFonts w:ascii="Arial" w:hAnsi="Arial" w:cs="Arial"/>
          <w:color w:val="222222"/>
          <w:shd w:val="clear" w:color="auto" w:fill="FFFFFF"/>
        </w:rPr>
        <w:t>(2), pp.314-318.</w:t>
      </w:r>
      <w:r w:rsidRPr="00E805AD">
        <w:rPr>
          <w:rFonts w:ascii="Arial" w:hAnsi="Arial" w:cs="Arial"/>
          <w:color w:val="000000"/>
        </w:rPr>
        <w:t xml:space="preserve"> </w:t>
      </w:r>
      <w:hyperlink r:id="rId80" w:history="1">
        <w:r w:rsidRPr="00E805AD">
          <w:rPr>
            <w:rStyle w:val="Hyperlink"/>
            <w:rFonts w:ascii="Arial" w:hAnsi="Arial" w:cs="Arial"/>
            <w:color w:val="1155CC"/>
          </w:rPr>
          <w:t>https://sigmapubs.onlinelibrary.wiley.com/doi/pdfdirect/10.1111/jnu.12938</w:t>
        </w:r>
      </w:hyperlink>
    </w:p>
    <w:p w14:paraId="137C0046" w14:textId="77777777" w:rsidR="00650885" w:rsidRPr="00E805AD" w:rsidRDefault="00650885" w:rsidP="00E805AD">
      <w:pPr>
        <w:spacing w:after="160" w:line="360" w:lineRule="auto"/>
        <w:jc w:val="both"/>
        <w:rPr>
          <w:rFonts w:eastAsia="Times New Roman"/>
          <w:color w:val="1155CC"/>
          <w:sz w:val="24"/>
          <w:szCs w:val="24"/>
          <w:u w:val="single"/>
        </w:rPr>
      </w:pPr>
      <w:r w:rsidRPr="00E805AD">
        <w:rPr>
          <w:rFonts w:eastAsia="Times New Roman"/>
          <w:sz w:val="24"/>
          <w:szCs w:val="24"/>
        </w:rPr>
        <w:lastRenderedPageBreak/>
        <w:t xml:space="preserve">Wang, Z., 2023. Investor sentiment and the stock market. </w:t>
      </w:r>
      <w:r w:rsidRPr="00E805AD">
        <w:rPr>
          <w:rFonts w:eastAsia="Times New Roman"/>
          <w:i/>
          <w:iCs/>
          <w:sz w:val="24"/>
          <w:szCs w:val="24"/>
        </w:rPr>
        <w:t>Highlights in Business, Economics and Management</w:t>
      </w:r>
      <w:r w:rsidRPr="00E805AD">
        <w:rPr>
          <w:rFonts w:eastAsia="Times New Roman"/>
          <w:sz w:val="24"/>
          <w:szCs w:val="24"/>
        </w:rPr>
        <w:t xml:space="preserve">, </w:t>
      </w:r>
      <w:r w:rsidRPr="00E805AD">
        <w:rPr>
          <w:rFonts w:eastAsia="Times New Roman"/>
          <w:i/>
          <w:iCs/>
          <w:sz w:val="24"/>
          <w:szCs w:val="24"/>
        </w:rPr>
        <w:t>21</w:t>
      </w:r>
      <w:r w:rsidRPr="00E805AD">
        <w:rPr>
          <w:rFonts w:eastAsia="Times New Roman"/>
          <w:sz w:val="24"/>
          <w:szCs w:val="24"/>
        </w:rPr>
        <w:t>, pp.346-351.</w:t>
      </w:r>
      <w:hyperlink r:id="rId81">
        <w:r w:rsidRPr="00E805AD">
          <w:rPr>
            <w:rFonts w:eastAsia="Times New Roman"/>
            <w:sz w:val="24"/>
            <w:szCs w:val="24"/>
          </w:rPr>
          <w:t xml:space="preserve"> </w:t>
        </w:r>
      </w:hyperlink>
      <w:hyperlink r:id="rId82">
        <w:r w:rsidRPr="00E805AD">
          <w:rPr>
            <w:rFonts w:eastAsia="Times New Roman"/>
            <w:color w:val="1155CC"/>
            <w:sz w:val="24"/>
            <w:szCs w:val="24"/>
            <w:u w:val="single"/>
          </w:rPr>
          <w:t>https://pdfs.semanticscholar.org/9e77/ef1c33760b4f935df8f6349f60af3b754496.pdf</w:t>
        </w:r>
      </w:hyperlink>
    </w:p>
    <w:p w14:paraId="17232E36" w14:textId="77777777" w:rsidR="00650885" w:rsidRPr="00E805AD" w:rsidRDefault="00650885" w:rsidP="00E805AD">
      <w:pPr>
        <w:spacing w:after="160" w:line="360" w:lineRule="auto"/>
        <w:jc w:val="both"/>
        <w:rPr>
          <w:rFonts w:eastAsia="Times New Roman"/>
          <w:color w:val="1155CC"/>
          <w:sz w:val="24"/>
          <w:szCs w:val="24"/>
          <w:u w:val="single"/>
        </w:rPr>
      </w:pPr>
      <w:proofErr w:type="spellStart"/>
      <w:r w:rsidRPr="00E805AD">
        <w:rPr>
          <w:rFonts w:eastAsia="Times New Roman"/>
          <w:sz w:val="24"/>
          <w:szCs w:val="24"/>
        </w:rPr>
        <w:t>Zeqiri</w:t>
      </w:r>
      <w:proofErr w:type="spellEnd"/>
      <w:r w:rsidRPr="00E805AD">
        <w:rPr>
          <w:rFonts w:eastAsia="Times New Roman"/>
          <w:sz w:val="24"/>
          <w:szCs w:val="24"/>
        </w:rPr>
        <w:t xml:space="preserve">, A., Ben Youssef, A. and </w:t>
      </w:r>
      <w:proofErr w:type="spellStart"/>
      <w:r w:rsidRPr="00E805AD">
        <w:rPr>
          <w:rFonts w:eastAsia="Times New Roman"/>
          <w:sz w:val="24"/>
          <w:szCs w:val="24"/>
        </w:rPr>
        <w:t>Maherzi</w:t>
      </w:r>
      <w:proofErr w:type="spellEnd"/>
      <w:r w:rsidRPr="00E805AD">
        <w:rPr>
          <w:rFonts w:eastAsia="Times New Roman"/>
          <w:sz w:val="24"/>
          <w:szCs w:val="24"/>
        </w:rPr>
        <w:t xml:space="preserve"> </w:t>
      </w:r>
      <w:proofErr w:type="spellStart"/>
      <w:r w:rsidRPr="00E805AD">
        <w:rPr>
          <w:rFonts w:eastAsia="Times New Roman"/>
          <w:sz w:val="24"/>
          <w:szCs w:val="24"/>
        </w:rPr>
        <w:t>Zahar</w:t>
      </w:r>
      <w:proofErr w:type="spellEnd"/>
      <w:r w:rsidRPr="00E805AD">
        <w:rPr>
          <w:rFonts w:eastAsia="Times New Roman"/>
          <w:sz w:val="24"/>
          <w:szCs w:val="24"/>
        </w:rPr>
        <w:t xml:space="preserve">, T., 2025. The role of digital tourism platforms in advancing sustainable development goals in the industry 4.0 era. </w:t>
      </w:r>
      <w:r w:rsidRPr="00E805AD">
        <w:rPr>
          <w:rFonts w:eastAsia="Times New Roman"/>
          <w:i/>
          <w:iCs/>
          <w:sz w:val="24"/>
          <w:szCs w:val="24"/>
        </w:rPr>
        <w:t>Sustainability</w:t>
      </w:r>
      <w:r w:rsidRPr="00E805AD">
        <w:rPr>
          <w:rFonts w:eastAsia="Times New Roman"/>
          <w:sz w:val="24"/>
          <w:szCs w:val="24"/>
        </w:rPr>
        <w:t xml:space="preserve">, </w:t>
      </w:r>
      <w:r w:rsidRPr="00E805AD">
        <w:rPr>
          <w:rFonts w:eastAsia="Times New Roman"/>
          <w:i/>
          <w:iCs/>
          <w:sz w:val="24"/>
          <w:szCs w:val="24"/>
        </w:rPr>
        <w:t>17</w:t>
      </w:r>
      <w:r w:rsidRPr="00E805AD">
        <w:rPr>
          <w:rFonts w:eastAsia="Times New Roman"/>
          <w:sz w:val="24"/>
          <w:szCs w:val="24"/>
        </w:rPr>
        <w:t>(8), p.3482.</w:t>
      </w:r>
      <w:hyperlink r:id="rId83">
        <w:r w:rsidRPr="00E805AD">
          <w:rPr>
            <w:rFonts w:eastAsia="Times New Roman"/>
            <w:sz w:val="24"/>
            <w:szCs w:val="24"/>
          </w:rPr>
          <w:t xml:space="preserve"> </w:t>
        </w:r>
      </w:hyperlink>
      <w:hyperlink r:id="rId84">
        <w:r w:rsidRPr="00E805AD">
          <w:rPr>
            <w:rFonts w:eastAsia="Times New Roman"/>
            <w:color w:val="1155CC"/>
            <w:sz w:val="24"/>
            <w:szCs w:val="24"/>
            <w:u w:val="single"/>
          </w:rPr>
          <w:t>https://www.mdpi.com/2071-1050/17/8/3482</w:t>
        </w:r>
      </w:hyperlink>
    </w:p>
    <w:p w14:paraId="3BB08A9C" w14:textId="77777777" w:rsidR="00650885" w:rsidRPr="00E805AD" w:rsidRDefault="00650885" w:rsidP="00E805AD">
      <w:pPr>
        <w:spacing w:after="160" w:line="360" w:lineRule="auto"/>
        <w:jc w:val="both"/>
        <w:rPr>
          <w:rFonts w:eastAsia="Times New Roman"/>
          <w:color w:val="1155CC"/>
          <w:sz w:val="24"/>
          <w:szCs w:val="24"/>
          <w:u w:val="single"/>
        </w:rPr>
      </w:pPr>
      <w:proofErr w:type="spellStart"/>
      <w:r w:rsidRPr="00E805AD">
        <w:rPr>
          <w:rFonts w:eastAsia="Times New Roman"/>
          <w:sz w:val="24"/>
          <w:szCs w:val="24"/>
        </w:rPr>
        <w:t>Zhi</w:t>
      </w:r>
      <w:proofErr w:type="spellEnd"/>
      <w:r w:rsidRPr="00E805AD">
        <w:rPr>
          <w:rFonts w:eastAsia="Times New Roman"/>
          <w:sz w:val="24"/>
          <w:szCs w:val="24"/>
        </w:rPr>
        <w:t xml:space="preserve">, Z., 2023. Exploring Financial Strategy under Vanke's Asset-light Operation Model. </w:t>
      </w:r>
      <w:r w:rsidRPr="00E805AD">
        <w:rPr>
          <w:rFonts w:eastAsia="Times New Roman"/>
          <w:i/>
          <w:iCs/>
          <w:sz w:val="24"/>
          <w:szCs w:val="24"/>
        </w:rPr>
        <w:t>Accounting and Corporate Management</w:t>
      </w:r>
      <w:r w:rsidRPr="00E805AD">
        <w:rPr>
          <w:rFonts w:eastAsia="Times New Roman"/>
          <w:sz w:val="24"/>
          <w:szCs w:val="24"/>
        </w:rPr>
        <w:t xml:space="preserve">, </w:t>
      </w:r>
      <w:r w:rsidRPr="00E805AD">
        <w:rPr>
          <w:rFonts w:eastAsia="Times New Roman"/>
          <w:i/>
          <w:iCs/>
          <w:sz w:val="24"/>
          <w:szCs w:val="24"/>
        </w:rPr>
        <w:t>5</w:t>
      </w:r>
      <w:r w:rsidRPr="00E805AD">
        <w:rPr>
          <w:rFonts w:eastAsia="Times New Roman"/>
          <w:sz w:val="24"/>
          <w:szCs w:val="24"/>
        </w:rPr>
        <w:t>(5), pp.1-10.</w:t>
      </w:r>
      <w:hyperlink r:id="rId85">
        <w:r w:rsidRPr="00E805AD">
          <w:rPr>
            <w:rFonts w:eastAsia="Times New Roman"/>
            <w:sz w:val="24"/>
            <w:szCs w:val="24"/>
          </w:rPr>
          <w:t xml:space="preserve"> </w:t>
        </w:r>
      </w:hyperlink>
      <w:hyperlink r:id="rId86">
        <w:r w:rsidRPr="00E805AD">
          <w:rPr>
            <w:rFonts w:eastAsia="Times New Roman"/>
            <w:color w:val="1155CC"/>
            <w:sz w:val="24"/>
            <w:szCs w:val="24"/>
            <w:u w:val="single"/>
          </w:rPr>
          <w:t>http://166.62.7.99/assets/default/article/2023/05/01/article_1682991700.pdf</w:t>
        </w:r>
      </w:hyperlink>
    </w:p>
    <w:p w14:paraId="3F7E819C" w14:textId="77777777" w:rsidR="00650885" w:rsidRPr="00E805AD" w:rsidRDefault="00650885" w:rsidP="00E805AD">
      <w:pPr>
        <w:spacing w:after="160" w:line="360" w:lineRule="auto"/>
        <w:jc w:val="both"/>
        <w:rPr>
          <w:rFonts w:eastAsia="Times New Roman"/>
          <w:color w:val="1155CC"/>
          <w:sz w:val="24"/>
          <w:szCs w:val="24"/>
          <w:u w:val="single"/>
        </w:rPr>
      </w:pPr>
    </w:p>
    <w:p w14:paraId="689732A9" w14:textId="77777777" w:rsidR="00465EF1" w:rsidRPr="00E805AD" w:rsidRDefault="00465EF1" w:rsidP="00E805AD">
      <w:pPr>
        <w:spacing w:line="360" w:lineRule="auto"/>
        <w:rPr>
          <w:rFonts w:eastAsia="Times New Roman"/>
          <w:sz w:val="24"/>
          <w:szCs w:val="24"/>
        </w:rPr>
      </w:pPr>
      <w:r w:rsidRPr="00E805AD">
        <w:rPr>
          <w:rFonts w:eastAsia="Times New Roman"/>
          <w:sz w:val="24"/>
          <w:szCs w:val="24"/>
        </w:rPr>
        <w:br w:type="page"/>
      </w:r>
    </w:p>
    <w:p w14:paraId="00000087" w14:textId="1FFA8398" w:rsidR="003E62FA" w:rsidRPr="00E805AD" w:rsidRDefault="00123D4C" w:rsidP="00E805AD">
      <w:pPr>
        <w:spacing w:after="200" w:line="360" w:lineRule="auto"/>
        <w:jc w:val="both"/>
        <w:rPr>
          <w:rFonts w:eastAsia="Times New Roman"/>
          <w:sz w:val="24"/>
          <w:szCs w:val="24"/>
        </w:rPr>
      </w:pPr>
      <w:r w:rsidRPr="00E805AD">
        <w:rPr>
          <w:rFonts w:eastAsia="Times New Roman"/>
          <w:sz w:val="24"/>
          <w:szCs w:val="24"/>
        </w:rPr>
        <w:lastRenderedPageBreak/>
        <w:t xml:space="preserve">9. Appendices </w:t>
      </w:r>
    </w:p>
    <w:p w14:paraId="00000088" w14:textId="17795673" w:rsidR="003E62FA" w:rsidRPr="00E805AD" w:rsidRDefault="00664A03" w:rsidP="00E805AD">
      <w:pPr>
        <w:spacing w:after="200" w:line="360" w:lineRule="auto"/>
        <w:jc w:val="both"/>
        <w:rPr>
          <w:rFonts w:eastAsia="Times New Roman"/>
          <w:sz w:val="24"/>
          <w:szCs w:val="24"/>
        </w:rPr>
      </w:pPr>
      <w:r w:rsidRPr="00E805AD">
        <w:rPr>
          <w:rFonts w:eastAsia="Times New Roman"/>
          <w:sz w:val="24"/>
          <w:szCs w:val="24"/>
        </w:rPr>
        <w:t xml:space="preserve">Appendix A: Ratios Analysis Table </w:t>
      </w:r>
    </w:p>
    <w:tbl>
      <w:tblPr>
        <w:tblStyle w:val="TableGrid"/>
        <w:tblW w:w="5000" w:type="pct"/>
        <w:tblLook w:val="04A0" w:firstRow="1" w:lastRow="0" w:firstColumn="1" w:lastColumn="0" w:noHBand="0" w:noVBand="1"/>
      </w:tblPr>
      <w:tblGrid>
        <w:gridCol w:w="3898"/>
        <w:gridCol w:w="1024"/>
        <w:gridCol w:w="1025"/>
        <w:gridCol w:w="1025"/>
        <w:gridCol w:w="1025"/>
        <w:gridCol w:w="1022"/>
      </w:tblGrid>
      <w:tr w:rsidR="00664A03" w:rsidRPr="00E805AD" w14:paraId="25D21F80" w14:textId="77777777" w:rsidTr="00664A03">
        <w:trPr>
          <w:trHeight w:val="300"/>
        </w:trPr>
        <w:tc>
          <w:tcPr>
            <w:tcW w:w="1827" w:type="pct"/>
            <w:noWrap/>
            <w:hideMark/>
          </w:tcPr>
          <w:p w14:paraId="0EDB4183"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Financial Data</w:t>
            </w:r>
          </w:p>
        </w:tc>
        <w:tc>
          <w:tcPr>
            <w:tcW w:w="635" w:type="pct"/>
            <w:noWrap/>
            <w:hideMark/>
          </w:tcPr>
          <w:p w14:paraId="0C6CE70E"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2021</w:t>
            </w:r>
          </w:p>
        </w:tc>
        <w:tc>
          <w:tcPr>
            <w:tcW w:w="635" w:type="pct"/>
            <w:noWrap/>
            <w:hideMark/>
          </w:tcPr>
          <w:p w14:paraId="48E8BADC"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2022</w:t>
            </w:r>
          </w:p>
        </w:tc>
        <w:tc>
          <w:tcPr>
            <w:tcW w:w="635" w:type="pct"/>
            <w:noWrap/>
            <w:hideMark/>
          </w:tcPr>
          <w:p w14:paraId="23555B4C"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2023</w:t>
            </w:r>
          </w:p>
        </w:tc>
        <w:tc>
          <w:tcPr>
            <w:tcW w:w="635" w:type="pct"/>
            <w:noWrap/>
            <w:hideMark/>
          </w:tcPr>
          <w:p w14:paraId="1C9C3021"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2024</w:t>
            </w:r>
          </w:p>
        </w:tc>
        <w:tc>
          <w:tcPr>
            <w:tcW w:w="635" w:type="pct"/>
            <w:noWrap/>
            <w:hideMark/>
          </w:tcPr>
          <w:p w14:paraId="2EEF1A56"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2025</w:t>
            </w:r>
          </w:p>
        </w:tc>
      </w:tr>
      <w:tr w:rsidR="00664A03" w:rsidRPr="00E805AD" w14:paraId="3B790520" w14:textId="77777777" w:rsidTr="00664A03">
        <w:trPr>
          <w:trHeight w:val="300"/>
        </w:trPr>
        <w:tc>
          <w:tcPr>
            <w:tcW w:w="1827" w:type="pct"/>
            <w:noWrap/>
            <w:hideMark/>
          </w:tcPr>
          <w:p w14:paraId="090F2534"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Revenue</w:t>
            </w:r>
          </w:p>
        </w:tc>
        <w:tc>
          <w:tcPr>
            <w:tcW w:w="635" w:type="pct"/>
            <w:noWrap/>
            <w:hideMark/>
          </w:tcPr>
          <w:p w14:paraId="2512FC1B"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13,857</w:t>
            </w:r>
          </w:p>
        </w:tc>
        <w:tc>
          <w:tcPr>
            <w:tcW w:w="635" w:type="pct"/>
            <w:noWrap/>
            <w:hideMark/>
          </w:tcPr>
          <w:p w14:paraId="645E64D5"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20,773</w:t>
            </w:r>
          </w:p>
        </w:tc>
        <w:tc>
          <w:tcPr>
            <w:tcW w:w="635" w:type="pct"/>
            <w:noWrap/>
            <w:hideMark/>
          </w:tcPr>
          <w:p w14:paraId="144F3518"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23,713</w:t>
            </w:r>
          </w:p>
        </w:tc>
        <w:tc>
          <w:tcPr>
            <w:tcW w:w="635" w:type="pct"/>
            <w:noWrap/>
            <w:hideMark/>
          </w:tcPr>
          <w:p w14:paraId="3DB49AE8"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25,100</w:t>
            </w:r>
          </w:p>
        </w:tc>
        <w:tc>
          <w:tcPr>
            <w:tcW w:w="635" w:type="pct"/>
            <w:noWrap/>
            <w:hideMark/>
          </w:tcPr>
          <w:p w14:paraId="54A7912B"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26,186</w:t>
            </w:r>
          </w:p>
        </w:tc>
      </w:tr>
      <w:tr w:rsidR="00664A03" w:rsidRPr="00E805AD" w14:paraId="40095050" w14:textId="77777777" w:rsidTr="00664A03">
        <w:trPr>
          <w:trHeight w:val="300"/>
        </w:trPr>
        <w:tc>
          <w:tcPr>
            <w:tcW w:w="1827" w:type="pct"/>
            <w:noWrap/>
            <w:hideMark/>
          </w:tcPr>
          <w:p w14:paraId="2CC662AF"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Gross Profit</w:t>
            </w:r>
          </w:p>
        </w:tc>
        <w:tc>
          <w:tcPr>
            <w:tcW w:w="635" w:type="pct"/>
            <w:noWrap/>
            <w:hideMark/>
          </w:tcPr>
          <w:p w14:paraId="51C4A70B"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2,801</w:t>
            </w:r>
          </w:p>
        </w:tc>
        <w:tc>
          <w:tcPr>
            <w:tcW w:w="635" w:type="pct"/>
            <w:noWrap/>
            <w:hideMark/>
          </w:tcPr>
          <w:p w14:paraId="0049382D"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4,558</w:t>
            </w:r>
          </w:p>
        </w:tc>
        <w:tc>
          <w:tcPr>
            <w:tcW w:w="635" w:type="pct"/>
            <w:noWrap/>
            <w:hideMark/>
          </w:tcPr>
          <w:p w14:paraId="13FCCE66"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4,980</w:t>
            </w:r>
          </w:p>
        </w:tc>
        <w:tc>
          <w:tcPr>
            <w:tcW w:w="635" w:type="pct"/>
            <w:noWrap/>
            <w:hideMark/>
          </w:tcPr>
          <w:p w14:paraId="6486CD6F"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4,972</w:t>
            </w:r>
          </w:p>
        </w:tc>
        <w:tc>
          <w:tcPr>
            <w:tcW w:w="635" w:type="pct"/>
            <w:noWrap/>
            <w:hideMark/>
          </w:tcPr>
          <w:p w14:paraId="2284143E"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5,222</w:t>
            </w:r>
          </w:p>
        </w:tc>
      </w:tr>
      <w:tr w:rsidR="00664A03" w:rsidRPr="00E805AD" w14:paraId="7A0EEBEB" w14:textId="77777777" w:rsidTr="00664A03">
        <w:trPr>
          <w:trHeight w:val="300"/>
        </w:trPr>
        <w:tc>
          <w:tcPr>
            <w:tcW w:w="1827" w:type="pct"/>
            <w:noWrap/>
            <w:hideMark/>
          </w:tcPr>
          <w:p w14:paraId="405AD2F9"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Operating Income (EBIT)</w:t>
            </w:r>
          </w:p>
        </w:tc>
        <w:tc>
          <w:tcPr>
            <w:tcW w:w="635" w:type="pct"/>
            <w:noWrap/>
            <w:hideMark/>
          </w:tcPr>
          <w:p w14:paraId="775C5FFD"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1,750</w:t>
            </w:r>
          </w:p>
        </w:tc>
        <w:tc>
          <w:tcPr>
            <w:tcW w:w="635" w:type="pct"/>
            <w:noWrap/>
            <w:hideMark/>
          </w:tcPr>
          <w:p w14:paraId="2DDB5C54"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3,462</w:t>
            </w:r>
          </w:p>
        </w:tc>
        <w:tc>
          <w:tcPr>
            <w:tcW w:w="635" w:type="pct"/>
            <w:noWrap/>
            <w:hideMark/>
          </w:tcPr>
          <w:p w14:paraId="5371E040"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3,864</w:t>
            </w:r>
          </w:p>
        </w:tc>
        <w:tc>
          <w:tcPr>
            <w:tcW w:w="635" w:type="pct"/>
            <w:noWrap/>
            <w:hideMark/>
          </w:tcPr>
          <w:p w14:paraId="52B4DA01"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3,767</w:t>
            </w:r>
          </w:p>
        </w:tc>
        <w:tc>
          <w:tcPr>
            <w:tcW w:w="635" w:type="pct"/>
            <w:noWrap/>
            <w:hideMark/>
          </w:tcPr>
          <w:p w14:paraId="7F1C41A2"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4,141</w:t>
            </w:r>
          </w:p>
        </w:tc>
      </w:tr>
      <w:tr w:rsidR="00664A03" w:rsidRPr="00E805AD" w14:paraId="4C5D6463" w14:textId="77777777" w:rsidTr="00664A03">
        <w:trPr>
          <w:trHeight w:val="300"/>
        </w:trPr>
        <w:tc>
          <w:tcPr>
            <w:tcW w:w="1827" w:type="pct"/>
            <w:noWrap/>
            <w:hideMark/>
          </w:tcPr>
          <w:p w14:paraId="297D912E"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EBITDA</w:t>
            </w:r>
          </w:p>
        </w:tc>
        <w:tc>
          <w:tcPr>
            <w:tcW w:w="635" w:type="pct"/>
            <w:noWrap/>
            <w:hideMark/>
          </w:tcPr>
          <w:p w14:paraId="51376076"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2,045</w:t>
            </w:r>
          </w:p>
        </w:tc>
        <w:tc>
          <w:tcPr>
            <w:tcW w:w="635" w:type="pct"/>
            <w:noWrap/>
            <w:hideMark/>
          </w:tcPr>
          <w:p w14:paraId="547C6509"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3,862</w:t>
            </w:r>
          </w:p>
        </w:tc>
        <w:tc>
          <w:tcPr>
            <w:tcW w:w="635" w:type="pct"/>
            <w:noWrap/>
            <w:hideMark/>
          </w:tcPr>
          <w:p w14:paraId="433CDFC3"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4,300</w:t>
            </w:r>
          </w:p>
        </w:tc>
        <w:tc>
          <w:tcPr>
            <w:tcW w:w="635" w:type="pct"/>
            <w:noWrap/>
            <w:hideMark/>
          </w:tcPr>
          <w:p w14:paraId="11611F59"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4,259</w:t>
            </w:r>
          </w:p>
        </w:tc>
        <w:tc>
          <w:tcPr>
            <w:tcW w:w="635" w:type="pct"/>
            <w:noWrap/>
            <w:hideMark/>
          </w:tcPr>
          <w:p w14:paraId="55FC5533"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4,740</w:t>
            </w:r>
          </w:p>
        </w:tc>
      </w:tr>
      <w:tr w:rsidR="00664A03" w:rsidRPr="00E805AD" w14:paraId="502143F7" w14:textId="77777777" w:rsidTr="00664A03">
        <w:trPr>
          <w:trHeight w:val="300"/>
        </w:trPr>
        <w:tc>
          <w:tcPr>
            <w:tcW w:w="1827" w:type="pct"/>
            <w:noWrap/>
            <w:hideMark/>
          </w:tcPr>
          <w:p w14:paraId="35E10228"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Pre-Tax Income</w:t>
            </w:r>
          </w:p>
        </w:tc>
        <w:tc>
          <w:tcPr>
            <w:tcW w:w="635" w:type="pct"/>
            <w:noWrap/>
            <w:hideMark/>
          </w:tcPr>
          <w:p w14:paraId="141C8A5B"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1,180</w:t>
            </w:r>
          </w:p>
        </w:tc>
        <w:tc>
          <w:tcPr>
            <w:tcW w:w="635" w:type="pct"/>
            <w:noWrap/>
            <w:hideMark/>
          </w:tcPr>
          <w:p w14:paraId="25F48606"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3,114</w:t>
            </w:r>
          </w:p>
        </w:tc>
        <w:tc>
          <w:tcPr>
            <w:tcW w:w="635" w:type="pct"/>
            <w:noWrap/>
            <w:hideMark/>
          </w:tcPr>
          <w:p w14:paraId="30C65A2A"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3,378</w:t>
            </w:r>
          </w:p>
        </w:tc>
        <w:tc>
          <w:tcPr>
            <w:tcW w:w="635" w:type="pct"/>
            <w:noWrap/>
            <w:hideMark/>
          </w:tcPr>
          <w:p w14:paraId="447DC9C2"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3,151</w:t>
            </w:r>
          </w:p>
        </w:tc>
        <w:tc>
          <w:tcPr>
            <w:tcW w:w="635" w:type="pct"/>
            <w:noWrap/>
            <w:hideMark/>
          </w:tcPr>
          <w:p w14:paraId="28B202C7"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3,394</w:t>
            </w:r>
          </w:p>
        </w:tc>
      </w:tr>
      <w:tr w:rsidR="00664A03" w:rsidRPr="00E805AD" w14:paraId="0A460743" w14:textId="77777777" w:rsidTr="00664A03">
        <w:trPr>
          <w:trHeight w:val="300"/>
        </w:trPr>
        <w:tc>
          <w:tcPr>
            <w:tcW w:w="1827" w:type="pct"/>
            <w:noWrap/>
            <w:hideMark/>
          </w:tcPr>
          <w:p w14:paraId="273932FF"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Net Income</w:t>
            </w:r>
          </w:p>
        </w:tc>
        <w:tc>
          <w:tcPr>
            <w:tcW w:w="635" w:type="pct"/>
            <w:noWrap/>
            <w:hideMark/>
          </w:tcPr>
          <w:p w14:paraId="5866396D"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1,099</w:t>
            </w:r>
          </w:p>
        </w:tc>
        <w:tc>
          <w:tcPr>
            <w:tcW w:w="635" w:type="pct"/>
            <w:noWrap/>
            <w:hideMark/>
          </w:tcPr>
          <w:p w14:paraId="64B5EDCD"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2,358</w:t>
            </w:r>
          </w:p>
        </w:tc>
        <w:tc>
          <w:tcPr>
            <w:tcW w:w="635" w:type="pct"/>
            <w:noWrap/>
            <w:hideMark/>
          </w:tcPr>
          <w:p w14:paraId="3270BE32"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3,083</w:t>
            </w:r>
          </w:p>
        </w:tc>
        <w:tc>
          <w:tcPr>
            <w:tcW w:w="635" w:type="pct"/>
            <w:noWrap/>
            <w:hideMark/>
          </w:tcPr>
          <w:p w14:paraId="2A3D4D25"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2,375</w:t>
            </w:r>
          </w:p>
        </w:tc>
        <w:tc>
          <w:tcPr>
            <w:tcW w:w="635" w:type="pct"/>
            <w:noWrap/>
            <w:hideMark/>
          </w:tcPr>
          <w:p w14:paraId="0CC55B23"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2,601</w:t>
            </w:r>
          </w:p>
        </w:tc>
      </w:tr>
      <w:tr w:rsidR="00664A03" w:rsidRPr="00E805AD" w14:paraId="7D821C58" w14:textId="77777777" w:rsidTr="00664A03">
        <w:trPr>
          <w:trHeight w:val="300"/>
        </w:trPr>
        <w:tc>
          <w:tcPr>
            <w:tcW w:w="1827" w:type="pct"/>
            <w:noWrap/>
            <w:hideMark/>
          </w:tcPr>
          <w:p w14:paraId="3B915BFF"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Cash from Operations (CFO)</w:t>
            </w:r>
          </w:p>
        </w:tc>
        <w:tc>
          <w:tcPr>
            <w:tcW w:w="635" w:type="pct"/>
            <w:noWrap/>
            <w:hideMark/>
          </w:tcPr>
          <w:p w14:paraId="52832A7D"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1,177</w:t>
            </w:r>
          </w:p>
        </w:tc>
        <w:tc>
          <w:tcPr>
            <w:tcW w:w="635" w:type="pct"/>
            <w:noWrap/>
            <w:hideMark/>
          </w:tcPr>
          <w:p w14:paraId="0D01E9FC"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2,363</w:t>
            </w:r>
          </w:p>
        </w:tc>
        <w:tc>
          <w:tcPr>
            <w:tcW w:w="635" w:type="pct"/>
            <w:noWrap/>
            <w:hideMark/>
          </w:tcPr>
          <w:p w14:paraId="1D7A2398"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3,170</w:t>
            </w:r>
          </w:p>
        </w:tc>
        <w:tc>
          <w:tcPr>
            <w:tcW w:w="635" w:type="pct"/>
            <w:noWrap/>
            <w:hideMark/>
          </w:tcPr>
          <w:p w14:paraId="71B436C9"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2,749</w:t>
            </w:r>
          </w:p>
        </w:tc>
        <w:tc>
          <w:tcPr>
            <w:tcW w:w="635" w:type="pct"/>
            <w:noWrap/>
            <w:hideMark/>
          </w:tcPr>
          <w:p w14:paraId="29A6C28B"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3,212</w:t>
            </w:r>
          </w:p>
        </w:tc>
      </w:tr>
      <w:tr w:rsidR="00664A03" w:rsidRPr="00E805AD" w14:paraId="68107893" w14:textId="77777777" w:rsidTr="00664A03">
        <w:trPr>
          <w:trHeight w:val="300"/>
        </w:trPr>
        <w:tc>
          <w:tcPr>
            <w:tcW w:w="1827" w:type="pct"/>
            <w:noWrap/>
            <w:hideMark/>
          </w:tcPr>
          <w:p w14:paraId="0386519C"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Cash on Hand</w:t>
            </w:r>
          </w:p>
        </w:tc>
        <w:tc>
          <w:tcPr>
            <w:tcW w:w="635" w:type="pct"/>
            <w:noWrap/>
            <w:hideMark/>
          </w:tcPr>
          <w:p w14:paraId="52F5880A"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1,393</w:t>
            </w:r>
          </w:p>
        </w:tc>
        <w:tc>
          <w:tcPr>
            <w:tcW w:w="635" w:type="pct"/>
            <w:noWrap/>
            <w:hideMark/>
          </w:tcPr>
          <w:p w14:paraId="3070D494"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507</w:t>
            </w:r>
          </w:p>
        </w:tc>
        <w:tc>
          <w:tcPr>
            <w:tcW w:w="635" w:type="pct"/>
            <w:noWrap/>
            <w:hideMark/>
          </w:tcPr>
          <w:p w14:paraId="73980FA6"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338</w:t>
            </w:r>
          </w:p>
        </w:tc>
        <w:tc>
          <w:tcPr>
            <w:tcW w:w="635" w:type="pct"/>
            <w:noWrap/>
            <w:hideMark/>
          </w:tcPr>
          <w:p w14:paraId="2B9D4400"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396</w:t>
            </w:r>
          </w:p>
        </w:tc>
        <w:tc>
          <w:tcPr>
            <w:tcW w:w="635" w:type="pct"/>
            <w:noWrap/>
            <w:hideMark/>
          </w:tcPr>
          <w:p w14:paraId="4B466EAB"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358</w:t>
            </w:r>
          </w:p>
        </w:tc>
      </w:tr>
      <w:tr w:rsidR="00664A03" w:rsidRPr="00E805AD" w14:paraId="1098C0F5" w14:textId="77777777" w:rsidTr="00664A03">
        <w:trPr>
          <w:trHeight w:val="300"/>
        </w:trPr>
        <w:tc>
          <w:tcPr>
            <w:tcW w:w="1827" w:type="pct"/>
            <w:noWrap/>
            <w:hideMark/>
          </w:tcPr>
          <w:p w14:paraId="5AEE932A"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Receivables</w:t>
            </w:r>
          </w:p>
        </w:tc>
        <w:tc>
          <w:tcPr>
            <w:tcW w:w="635" w:type="pct"/>
            <w:noWrap/>
            <w:hideMark/>
          </w:tcPr>
          <w:p w14:paraId="0D90A474"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1,982</w:t>
            </w:r>
          </w:p>
        </w:tc>
        <w:tc>
          <w:tcPr>
            <w:tcW w:w="635" w:type="pct"/>
            <w:noWrap/>
            <w:hideMark/>
          </w:tcPr>
          <w:p w14:paraId="0101A2BA"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2,571</w:t>
            </w:r>
          </w:p>
        </w:tc>
        <w:tc>
          <w:tcPr>
            <w:tcW w:w="635" w:type="pct"/>
            <w:noWrap/>
            <w:hideMark/>
          </w:tcPr>
          <w:p w14:paraId="36CC6FF8"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2,712</w:t>
            </w:r>
          </w:p>
        </w:tc>
        <w:tc>
          <w:tcPr>
            <w:tcW w:w="635" w:type="pct"/>
            <w:noWrap/>
            <w:hideMark/>
          </w:tcPr>
          <w:p w14:paraId="5BF051FD"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2,795</w:t>
            </w:r>
          </w:p>
        </w:tc>
        <w:tc>
          <w:tcPr>
            <w:tcW w:w="635" w:type="pct"/>
            <w:noWrap/>
            <w:hideMark/>
          </w:tcPr>
          <w:p w14:paraId="2D86347F"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2,909</w:t>
            </w:r>
          </w:p>
        </w:tc>
      </w:tr>
      <w:tr w:rsidR="00664A03" w:rsidRPr="00E805AD" w14:paraId="3D764F11" w14:textId="77777777" w:rsidTr="00664A03">
        <w:trPr>
          <w:trHeight w:val="300"/>
        </w:trPr>
        <w:tc>
          <w:tcPr>
            <w:tcW w:w="1827" w:type="pct"/>
            <w:noWrap/>
            <w:hideMark/>
          </w:tcPr>
          <w:p w14:paraId="4F2F4228"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Prepaid Expenses</w:t>
            </w:r>
          </w:p>
        </w:tc>
        <w:tc>
          <w:tcPr>
            <w:tcW w:w="635" w:type="pct"/>
            <w:noWrap/>
            <w:hideMark/>
          </w:tcPr>
          <w:p w14:paraId="6309D97D"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251</w:t>
            </w:r>
          </w:p>
        </w:tc>
        <w:tc>
          <w:tcPr>
            <w:tcW w:w="635" w:type="pct"/>
            <w:noWrap/>
            <w:hideMark/>
          </w:tcPr>
          <w:p w14:paraId="0BE96BE7"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235</w:t>
            </w:r>
          </w:p>
        </w:tc>
        <w:tc>
          <w:tcPr>
            <w:tcW w:w="635" w:type="pct"/>
            <w:noWrap/>
            <w:hideMark/>
          </w:tcPr>
          <w:p w14:paraId="14DD2814"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261</w:t>
            </w:r>
          </w:p>
        </w:tc>
        <w:tc>
          <w:tcPr>
            <w:tcW w:w="635" w:type="pct"/>
            <w:noWrap/>
            <w:hideMark/>
          </w:tcPr>
          <w:p w14:paraId="035752B9"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294</w:t>
            </w:r>
          </w:p>
        </w:tc>
        <w:tc>
          <w:tcPr>
            <w:tcW w:w="635" w:type="pct"/>
            <w:noWrap/>
            <w:hideMark/>
          </w:tcPr>
          <w:p w14:paraId="480D3350"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317</w:t>
            </w:r>
          </w:p>
        </w:tc>
      </w:tr>
      <w:tr w:rsidR="00664A03" w:rsidRPr="00E805AD" w14:paraId="56A142F3" w14:textId="77777777" w:rsidTr="00664A03">
        <w:trPr>
          <w:trHeight w:val="300"/>
        </w:trPr>
        <w:tc>
          <w:tcPr>
            <w:tcW w:w="1827" w:type="pct"/>
            <w:noWrap/>
            <w:hideMark/>
          </w:tcPr>
          <w:p w14:paraId="7EC41231"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Total Current Assets</w:t>
            </w:r>
          </w:p>
        </w:tc>
        <w:tc>
          <w:tcPr>
            <w:tcW w:w="635" w:type="pct"/>
            <w:noWrap/>
            <w:hideMark/>
          </w:tcPr>
          <w:p w14:paraId="42FAEBE5"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3,626</w:t>
            </w:r>
          </w:p>
        </w:tc>
        <w:tc>
          <w:tcPr>
            <w:tcW w:w="635" w:type="pct"/>
            <w:noWrap/>
            <w:hideMark/>
          </w:tcPr>
          <w:p w14:paraId="2F38810A"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3,313</w:t>
            </w:r>
          </w:p>
        </w:tc>
        <w:tc>
          <w:tcPr>
            <w:tcW w:w="635" w:type="pct"/>
            <w:noWrap/>
            <w:hideMark/>
          </w:tcPr>
          <w:p w14:paraId="25BB3619"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3,311</w:t>
            </w:r>
          </w:p>
        </w:tc>
        <w:tc>
          <w:tcPr>
            <w:tcW w:w="635" w:type="pct"/>
            <w:noWrap/>
            <w:hideMark/>
          </w:tcPr>
          <w:p w14:paraId="1A173247"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3,485</w:t>
            </w:r>
          </w:p>
        </w:tc>
        <w:tc>
          <w:tcPr>
            <w:tcW w:w="635" w:type="pct"/>
            <w:noWrap/>
            <w:hideMark/>
          </w:tcPr>
          <w:p w14:paraId="06F0956E"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3,584</w:t>
            </w:r>
          </w:p>
        </w:tc>
      </w:tr>
      <w:tr w:rsidR="00664A03" w:rsidRPr="00E805AD" w14:paraId="1DF8C070" w14:textId="77777777" w:rsidTr="00664A03">
        <w:trPr>
          <w:trHeight w:val="300"/>
        </w:trPr>
        <w:tc>
          <w:tcPr>
            <w:tcW w:w="1827" w:type="pct"/>
            <w:noWrap/>
            <w:hideMark/>
          </w:tcPr>
          <w:p w14:paraId="039241A4"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PP&amp;E</w:t>
            </w:r>
          </w:p>
        </w:tc>
        <w:tc>
          <w:tcPr>
            <w:tcW w:w="635" w:type="pct"/>
            <w:noWrap/>
            <w:hideMark/>
          </w:tcPr>
          <w:p w14:paraId="1CECF07F"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1,503</w:t>
            </w:r>
          </w:p>
        </w:tc>
        <w:tc>
          <w:tcPr>
            <w:tcW w:w="635" w:type="pct"/>
            <w:noWrap/>
            <w:hideMark/>
          </w:tcPr>
          <w:p w14:paraId="48D2E94A"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1,585</w:t>
            </w:r>
          </w:p>
        </w:tc>
        <w:tc>
          <w:tcPr>
            <w:tcW w:w="635" w:type="pct"/>
            <w:noWrap/>
            <w:hideMark/>
          </w:tcPr>
          <w:p w14:paraId="5E4C9BB7"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1,581</w:t>
            </w:r>
          </w:p>
        </w:tc>
        <w:tc>
          <w:tcPr>
            <w:tcW w:w="635" w:type="pct"/>
            <w:noWrap/>
            <w:hideMark/>
          </w:tcPr>
          <w:p w14:paraId="3BFEA189"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1,833</w:t>
            </w:r>
          </w:p>
        </w:tc>
        <w:tc>
          <w:tcPr>
            <w:tcW w:w="635" w:type="pct"/>
            <w:noWrap/>
            <w:hideMark/>
          </w:tcPr>
          <w:p w14:paraId="3287C762"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1,954</w:t>
            </w:r>
          </w:p>
        </w:tc>
      </w:tr>
      <w:tr w:rsidR="00664A03" w:rsidRPr="00E805AD" w14:paraId="2E50CDF2" w14:textId="77777777" w:rsidTr="00664A03">
        <w:trPr>
          <w:trHeight w:val="300"/>
        </w:trPr>
        <w:tc>
          <w:tcPr>
            <w:tcW w:w="1827" w:type="pct"/>
            <w:noWrap/>
            <w:hideMark/>
          </w:tcPr>
          <w:p w14:paraId="6AFB4740"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Long-Term Investments</w:t>
            </w:r>
          </w:p>
        </w:tc>
        <w:tc>
          <w:tcPr>
            <w:tcW w:w="635" w:type="pct"/>
            <w:noWrap/>
            <w:hideMark/>
          </w:tcPr>
          <w:p w14:paraId="44E955CA"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387</w:t>
            </w:r>
          </w:p>
        </w:tc>
        <w:tc>
          <w:tcPr>
            <w:tcW w:w="635" w:type="pct"/>
            <w:noWrap/>
            <w:hideMark/>
          </w:tcPr>
          <w:p w14:paraId="468D03D1"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335</w:t>
            </w:r>
          </w:p>
        </w:tc>
        <w:tc>
          <w:tcPr>
            <w:tcW w:w="635" w:type="pct"/>
            <w:noWrap/>
            <w:hideMark/>
          </w:tcPr>
          <w:p w14:paraId="2AD8562C"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308</w:t>
            </w:r>
          </w:p>
        </w:tc>
        <w:tc>
          <w:tcPr>
            <w:tcW w:w="635" w:type="pct"/>
            <w:noWrap/>
            <w:hideMark/>
          </w:tcPr>
          <w:p w14:paraId="486EA961"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298</w:t>
            </w:r>
          </w:p>
        </w:tc>
        <w:tc>
          <w:tcPr>
            <w:tcW w:w="635" w:type="pct"/>
            <w:noWrap/>
            <w:hideMark/>
          </w:tcPr>
          <w:p w14:paraId="5864CE72"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298</w:t>
            </w:r>
          </w:p>
        </w:tc>
      </w:tr>
      <w:tr w:rsidR="00664A03" w:rsidRPr="00E805AD" w14:paraId="26AA9D30" w14:textId="77777777" w:rsidTr="00664A03">
        <w:trPr>
          <w:trHeight w:val="300"/>
        </w:trPr>
        <w:tc>
          <w:tcPr>
            <w:tcW w:w="1827" w:type="pct"/>
            <w:noWrap/>
            <w:hideMark/>
          </w:tcPr>
          <w:p w14:paraId="6CF99148"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Goodwill &amp; Intangibles</w:t>
            </w:r>
          </w:p>
        </w:tc>
        <w:tc>
          <w:tcPr>
            <w:tcW w:w="635" w:type="pct"/>
            <w:noWrap/>
            <w:hideMark/>
          </w:tcPr>
          <w:p w14:paraId="3D47653A"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17,999</w:t>
            </w:r>
          </w:p>
        </w:tc>
        <w:tc>
          <w:tcPr>
            <w:tcW w:w="635" w:type="pct"/>
            <w:noWrap/>
            <w:hideMark/>
          </w:tcPr>
          <w:p w14:paraId="77033576"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17,619</w:t>
            </w:r>
          </w:p>
        </w:tc>
        <w:tc>
          <w:tcPr>
            <w:tcW w:w="635" w:type="pct"/>
            <w:noWrap/>
            <w:hideMark/>
          </w:tcPr>
          <w:p w14:paraId="5126F670"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18,076</w:t>
            </w:r>
          </w:p>
        </w:tc>
        <w:tc>
          <w:tcPr>
            <w:tcW w:w="635" w:type="pct"/>
            <w:noWrap/>
            <w:hideMark/>
          </w:tcPr>
          <w:p w14:paraId="5EC90937"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18,219</w:t>
            </w:r>
          </w:p>
        </w:tc>
        <w:tc>
          <w:tcPr>
            <w:tcW w:w="635" w:type="pct"/>
            <w:noWrap/>
            <w:hideMark/>
          </w:tcPr>
          <w:p w14:paraId="61737DB6"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19,243</w:t>
            </w:r>
          </w:p>
        </w:tc>
      </w:tr>
      <w:tr w:rsidR="00664A03" w:rsidRPr="00E805AD" w14:paraId="0EDA3D1D" w14:textId="77777777" w:rsidTr="00664A03">
        <w:trPr>
          <w:trHeight w:val="300"/>
        </w:trPr>
        <w:tc>
          <w:tcPr>
            <w:tcW w:w="1827" w:type="pct"/>
            <w:noWrap/>
            <w:hideMark/>
          </w:tcPr>
          <w:p w14:paraId="7A5D0DC1"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Other Long-Term Assets</w:t>
            </w:r>
          </w:p>
        </w:tc>
        <w:tc>
          <w:tcPr>
            <w:tcW w:w="635" w:type="pct"/>
            <w:noWrap/>
            <w:hideMark/>
          </w:tcPr>
          <w:p w14:paraId="5EE5A4B7"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604</w:t>
            </w:r>
          </w:p>
        </w:tc>
        <w:tc>
          <w:tcPr>
            <w:tcW w:w="635" w:type="pct"/>
            <w:noWrap/>
            <w:hideMark/>
          </w:tcPr>
          <w:p w14:paraId="2AECE735"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584</w:t>
            </w:r>
          </w:p>
        </w:tc>
        <w:tc>
          <w:tcPr>
            <w:tcW w:w="635" w:type="pct"/>
            <w:noWrap/>
            <w:hideMark/>
          </w:tcPr>
          <w:p w14:paraId="5D6EB737"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658</w:t>
            </w:r>
          </w:p>
        </w:tc>
        <w:tc>
          <w:tcPr>
            <w:tcW w:w="635" w:type="pct"/>
            <w:noWrap/>
            <w:hideMark/>
          </w:tcPr>
          <w:p w14:paraId="7B77A673"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716</w:t>
            </w:r>
          </w:p>
        </w:tc>
        <w:tc>
          <w:tcPr>
            <w:tcW w:w="635" w:type="pct"/>
            <w:noWrap/>
            <w:hideMark/>
          </w:tcPr>
          <w:p w14:paraId="38397214"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799</w:t>
            </w:r>
          </w:p>
        </w:tc>
      </w:tr>
      <w:tr w:rsidR="00664A03" w:rsidRPr="00E805AD" w14:paraId="582CB983" w14:textId="77777777" w:rsidTr="00664A03">
        <w:trPr>
          <w:trHeight w:val="300"/>
        </w:trPr>
        <w:tc>
          <w:tcPr>
            <w:tcW w:w="1827" w:type="pct"/>
            <w:noWrap/>
            <w:hideMark/>
          </w:tcPr>
          <w:p w14:paraId="65673ED3"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Total Long-Term Assets</w:t>
            </w:r>
          </w:p>
        </w:tc>
        <w:tc>
          <w:tcPr>
            <w:tcW w:w="635" w:type="pct"/>
            <w:noWrap/>
            <w:hideMark/>
          </w:tcPr>
          <w:p w14:paraId="44E214D2"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21,927</w:t>
            </w:r>
          </w:p>
        </w:tc>
        <w:tc>
          <w:tcPr>
            <w:tcW w:w="635" w:type="pct"/>
            <w:noWrap/>
            <w:hideMark/>
          </w:tcPr>
          <w:p w14:paraId="304592E8"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21,502</w:t>
            </w:r>
          </w:p>
        </w:tc>
        <w:tc>
          <w:tcPr>
            <w:tcW w:w="635" w:type="pct"/>
            <w:noWrap/>
            <w:hideMark/>
          </w:tcPr>
          <w:p w14:paraId="7821A738"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22,363</w:t>
            </w:r>
          </w:p>
        </w:tc>
        <w:tc>
          <w:tcPr>
            <w:tcW w:w="635" w:type="pct"/>
            <w:noWrap/>
            <w:hideMark/>
          </w:tcPr>
          <w:p w14:paraId="3E19007C"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22,697</w:t>
            </w:r>
          </w:p>
        </w:tc>
        <w:tc>
          <w:tcPr>
            <w:tcW w:w="635" w:type="pct"/>
            <w:noWrap/>
            <w:hideMark/>
          </w:tcPr>
          <w:p w14:paraId="603479AD"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23,956</w:t>
            </w:r>
          </w:p>
        </w:tc>
      </w:tr>
      <w:tr w:rsidR="00664A03" w:rsidRPr="00E805AD" w14:paraId="6AC04C12" w14:textId="77777777" w:rsidTr="00664A03">
        <w:trPr>
          <w:trHeight w:val="300"/>
        </w:trPr>
        <w:tc>
          <w:tcPr>
            <w:tcW w:w="1827" w:type="pct"/>
            <w:noWrap/>
            <w:hideMark/>
          </w:tcPr>
          <w:p w14:paraId="46D5C45C"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Total Assets</w:t>
            </w:r>
          </w:p>
        </w:tc>
        <w:tc>
          <w:tcPr>
            <w:tcW w:w="635" w:type="pct"/>
            <w:noWrap/>
            <w:hideMark/>
          </w:tcPr>
          <w:p w14:paraId="11DADB3C"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25,553</w:t>
            </w:r>
          </w:p>
        </w:tc>
        <w:tc>
          <w:tcPr>
            <w:tcW w:w="635" w:type="pct"/>
            <w:noWrap/>
            <w:hideMark/>
          </w:tcPr>
          <w:p w14:paraId="14195029"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24,815</w:t>
            </w:r>
          </w:p>
        </w:tc>
        <w:tc>
          <w:tcPr>
            <w:tcW w:w="635" w:type="pct"/>
            <w:noWrap/>
            <w:hideMark/>
          </w:tcPr>
          <w:p w14:paraId="2A24F3B0"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25,674</w:t>
            </w:r>
          </w:p>
        </w:tc>
        <w:tc>
          <w:tcPr>
            <w:tcW w:w="635" w:type="pct"/>
            <w:noWrap/>
            <w:hideMark/>
          </w:tcPr>
          <w:p w14:paraId="66A562A7"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26,182</w:t>
            </w:r>
          </w:p>
        </w:tc>
        <w:tc>
          <w:tcPr>
            <w:tcW w:w="635" w:type="pct"/>
            <w:noWrap/>
            <w:hideMark/>
          </w:tcPr>
          <w:p w14:paraId="71C697F3"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27,540</w:t>
            </w:r>
          </w:p>
        </w:tc>
      </w:tr>
      <w:tr w:rsidR="00664A03" w:rsidRPr="00E805AD" w14:paraId="3760B59F" w14:textId="77777777" w:rsidTr="00664A03">
        <w:trPr>
          <w:trHeight w:val="300"/>
        </w:trPr>
        <w:tc>
          <w:tcPr>
            <w:tcW w:w="1827" w:type="pct"/>
            <w:noWrap/>
            <w:hideMark/>
          </w:tcPr>
          <w:p w14:paraId="6E33460C"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Total Current Liabilities</w:t>
            </w:r>
          </w:p>
        </w:tc>
        <w:tc>
          <w:tcPr>
            <w:tcW w:w="635" w:type="pct"/>
            <w:noWrap/>
            <w:hideMark/>
          </w:tcPr>
          <w:p w14:paraId="40132FB3"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6,407</w:t>
            </w:r>
          </w:p>
        </w:tc>
        <w:tc>
          <w:tcPr>
            <w:tcW w:w="635" w:type="pct"/>
            <w:noWrap/>
            <w:hideMark/>
          </w:tcPr>
          <w:p w14:paraId="3B19AAE3"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7,339</w:t>
            </w:r>
          </w:p>
        </w:tc>
        <w:tc>
          <w:tcPr>
            <w:tcW w:w="635" w:type="pct"/>
            <w:noWrap/>
            <w:hideMark/>
          </w:tcPr>
          <w:p w14:paraId="62BD9D88"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7,762</w:t>
            </w:r>
          </w:p>
        </w:tc>
        <w:tc>
          <w:tcPr>
            <w:tcW w:w="635" w:type="pct"/>
            <w:noWrap/>
            <w:hideMark/>
          </w:tcPr>
          <w:p w14:paraId="1F5146CC"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8,649</w:t>
            </w:r>
          </w:p>
        </w:tc>
        <w:tc>
          <w:tcPr>
            <w:tcW w:w="635" w:type="pct"/>
            <w:noWrap/>
            <w:hideMark/>
          </w:tcPr>
          <w:p w14:paraId="0C15B22A"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8,398</w:t>
            </w:r>
          </w:p>
        </w:tc>
      </w:tr>
      <w:tr w:rsidR="00664A03" w:rsidRPr="00E805AD" w14:paraId="2178379B" w14:textId="77777777" w:rsidTr="00664A03">
        <w:trPr>
          <w:trHeight w:val="300"/>
        </w:trPr>
        <w:tc>
          <w:tcPr>
            <w:tcW w:w="1827" w:type="pct"/>
            <w:noWrap/>
            <w:hideMark/>
          </w:tcPr>
          <w:p w14:paraId="14246FBA"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lastRenderedPageBreak/>
              <w:t>Shareholders' Equity</w:t>
            </w:r>
          </w:p>
        </w:tc>
        <w:tc>
          <w:tcPr>
            <w:tcW w:w="635" w:type="pct"/>
            <w:noWrap/>
            <w:hideMark/>
          </w:tcPr>
          <w:p w14:paraId="54DEF9AD"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1,414</w:t>
            </w:r>
          </w:p>
        </w:tc>
        <w:tc>
          <w:tcPr>
            <w:tcW w:w="635" w:type="pct"/>
            <w:noWrap/>
            <w:hideMark/>
          </w:tcPr>
          <w:p w14:paraId="091D4A27"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568</w:t>
            </w:r>
          </w:p>
        </w:tc>
        <w:tc>
          <w:tcPr>
            <w:tcW w:w="635" w:type="pct"/>
            <w:noWrap/>
            <w:hideMark/>
          </w:tcPr>
          <w:p w14:paraId="43B267A6"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-682</w:t>
            </w:r>
          </w:p>
        </w:tc>
        <w:tc>
          <w:tcPr>
            <w:tcW w:w="635" w:type="pct"/>
            <w:noWrap/>
            <w:hideMark/>
          </w:tcPr>
          <w:p w14:paraId="2E3F2EF6"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-2,992</w:t>
            </w:r>
          </w:p>
        </w:tc>
        <w:tc>
          <w:tcPr>
            <w:tcW w:w="635" w:type="pct"/>
            <w:noWrap/>
            <w:hideMark/>
          </w:tcPr>
          <w:p w14:paraId="48F95D2C"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-3,771</w:t>
            </w:r>
          </w:p>
        </w:tc>
      </w:tr>
      <w:tr w:rsidR="00664A03" w:rsidRPr="00E805AD" w14:paraId="4BD21205" w14:textId="77777777" w:rsidTr="00664A03">
        <w:trPr>
          <w:trHeight w:val="300"/>
        </w:trPr>
        <w:tc>
          <w:tcPr>
            <w:tcW w:w="1827" w:type="pct"/>
            <w:noWrap/>
            <w:hideMark/>
          </w:tcPr>
          <w:p w14:paraId="1BF9E7E3"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Basic Shares Outstanding (million)</w:t>
            </w:r>
          </w:p>
        </w:tc>
        <w:tc>
          <w:tcPr>
            <w:tcW w:w="635" w:type="pct"/>
            <w:noWrap/>
            <w:hideMark/>
          </w:tcPr>
          <w:p w14:paraId="5D41BA3E"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327</w:t>
            </w:r>
          </w:p>
        </w:tc>
        <w:tc>
          <w:tcPr>
            <w:tcW w:w="635" w:type="pct"/>
            <w:noWrap/>
            <w:hideMark/>
          </w:tcPr>
          <w:p w14:paraId="3D92C101"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324</w:t>
            </w:r>
          </w:p>
        </w:tc>
        <w:tc>
          <w:tcPr>
            <w:tcW w:w="635" w:type="pct"/>
            <w:noWrap/>
            <w:hideMark/>
          </w:tcPr>
          <w:p w14:paraId="42030D18"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302</w:t>
            </w:r>
          </w:p>
        </w:tc>
        <w:tc>
          <w:tcPr>
            <w:tcW w:w="635" w:type="pct"/>
            <w:noWrap/>
            <w:hideMark/>
          </w:tcPr>
          <w:p w14:paraId="0A1A215F"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284</w:t>
            </w:r>
          </w:p>
        </w:tc>
        <w:tc>
          <w:tcPr>
            <w:tcW w:w="635" w:type="pct"/>
            <w:noWrap/>
            <w:hideMark/>
          </w:tcPr>
          <w:p w14:paraId="277EF036"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273</w:t>
            </w:r>
          </w:p>
        </w:tc>
      </w:tr>
      <w:tr w:rsidR="00664A03" w:rsidRPr="00E805AD" w14:paraId="39D3DD47" w14:textId="77777777" w:rsidTr="00664A03">
        <w:trPr>
          <w:trHeight w:val="300"/>
        </w:trPr>
        <w:tc>
          <w:tcPr>
            <w:tcW w:w="1827" w:type="pct"/>
            <w:noWrap/>
            <w:hideMark/>
          </w:tcPr>
          <w:p w14:paraId="550A31D1"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Basic EPS ($)</w:t>
            </w:r>
          </w:p>
        </w:tc>
        <w:tc>
          <w:tcPr>
            <w:tcW w:w="635" w:type="pct"/>
            <w:noWrap/>
            <w:hideMark/>
          </w:tcPr>
          <w:p w14:paraId="0325FD44"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3.36</w:t>
            </w:r>
          </w:p>
        </w:tc>
        <w:tc>
          <w:tcPr>
            <w:tcW w:w="635" w:type="pct"/>
            <w:noWrap/>
            <w:hideMark/>
          </w:tcPr>
          <w:p w14:paraId="6371C11D"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7.27</w:t>
            </w:r>
          </w:p>
        </w:tc>
        <w:tc>
          <w:tcPr>
            <w:tcW w:w="635" w:type="pct"/>
            <w:noWrap/>
            <w:hideMark/>
          </w:tcPr>
          <w:p w14:paraId="1E0A6435"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10.23</w:t>
            </w:r>
          </w:p>
        </w:tc>
        <w:tc>
          <w:tcPr>
            <w:tcW w:w="635" w:type="pct"/>
            <w:noWrap/>
            <w:hideMark/>
          </w:tcPr>
          <w:p w14:paraId="0FB31A9A"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8.36</w:t>
            </w:r>
          </w:p>
        </w:tc>
        <w:tc>
          <w:tcPr>
            <w:tcW w:w="635" w:type="pct"/>
            <w:noWrap/>
            <w:hideMark/>
          </w:tcPr>
          <w:p w14:paraId="65103526"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9.53</w:t>
            </w:r>
          </w:p>
        </w:tc>
      </w:tr>
      <w:tr w:rsidR="00664A03" w:rsidRPr="00E805AD" w14:paraId="4B8ED6DF" w14:textId="77777777" w:rsidTr="00664A03">
        <w:trPr>
          <w:trHeight w:val="315"/>
        </w:trPr>
        <w:tc>
          <w:tcPr>
            <w:tcW w:w="1827" w:type="pct"/>
            <w:noWrap/>
            <w:hideMark/>
          </w:tcPr>
          <w:p w14:paraId="0FDCCAE8"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Net Cash Flow</w:t>
            </w:r>
          </w:p>
        </w:tc>
        <w:tc>
          <w:tcPr>
            <w:tcW w:w="635" w:type="pct"/>
            <w:noWrap/>
            <w:hideMark/>
          </w:tcPr>
          <w:p w14:paraId="2460DF27"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527</w:t>
            </w:r>
          </w:p>
        </w:tc>
        <w:tc>
          <w:tcPr>
            <w:tcW w:w="635" w:type="pct"/>
            <w:noWrap/>
            <w:hideMark/>
          </w:tcPr>
          <w:p w14:paraId="335DAFD7"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-896</w:t>
            </w:r>
          </w:p>
        </w:tc>
        <w:tc>
          <w:tcPr>
            <w:tcW w:w="635" w:type="pct"/>
            <w:noWrap/>
            <w:hideMark/>
          </w:tcPr>
          <w:p w14:paraId="2C2F8853"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-159</w:t>
            </w:r>
          </w:p>
        </w:tc>
        <w:tc>
          <w:tcPr>
            <w:tcW w:w="635" w:type="pct"/>
            <w:noWrap/>
            <w:hideMark/>
          </w:tcPr>
          <w:p w14:paraId="368D9AFD"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59</w:t>
            </w:r>
          </w:p>
        </w:tc>
        <w:tc>
          <w:tcPr>
            <w:tcW w:w="635" w:type="pct"/>
            <w:noWrap/>
            <w:hideMark/>
          </w:tcPr>
          <w:p w14:paraId="717FB6A5"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-54</w:t>
            </w:r>
          </w:p>
        </w:tc>
      </w:tr>
    </w:tbl>
    <w:p w14:paraId="16B97FAE" w14:textId="77777777" w:rsidR="00664A03" w:rsidRPr="00E805AD" w:rsidRDefault="00664A03" w:rsidP="00E805AD">
      <w:pPr>
        <w:spacing w:after="240" w:line="360" w:lineRule="auto"/>
        <w:jc w:val="both"/>
        <w:rPr>
          <w:rFonts w:eastAsia="Times New Roman"/>
          <w:sz w:val="24"/>
          <w:szCs w:val="24"/>
        </w:rPr>
      </w:pPr>
    </w:p>
    <w:tbl>
      <w:tblPr>
        <w:tblW w:w="5000" w:type="pct"/>
        <w:tblLook w:val="04A0" w:firstRow="1" w:lastRow="0" w:firstColumn="1" w:lastColumn="0" w:noHBand="0" w:noVBand="1"/>
      </w:tblPr>
      <w:tblGrid>
        <w:gridCol w:w="2400"/>
        <w:gridCol w:w="3284"/>
        <w:gridCol w:w="667"/>
        <w:gridCol w:w="667"/>
        <w:gridCol w:w="667"/>
        <w:gridCol w:w="667"/>
        <w:gridCol w:w="667"/>
      </w:tblGrid>
      <w:tr w:rsidR="00664A03" w:rsidRPr="00E805AD" w14:paraId="79F75329" w14:textId="77777777" w:rsidTr="00664A03">
        <w:trPr>
          <w:trHeight w:val="300"/>
        </w:trPr>
        <w:tc>
          <w:tcPr>
            <w:tcW w:w="1066" w:type="pct"/>
            <w:tcBorders>
              <w:top w:val="single" w:sz="4" w:space="0" w:color="auto"/>
              <w:left w:val="single" w:sz="4" w:space="0" w:color="auto"/>
              <w:bottom w:val="single" w:sz="4" w:space="0" w:color="auto"/>
              <w:right w:val="single" w:sz="4" w:space="0" w:color="auto"/>
            </w:tcBorders>
            <w:noWrap/>
            <w:vAlign w:val="bottom"/>
            <w:hideMark/>
          </w:tcPr>
          <w:p w14:paraId="0C82DDFA" w14:textId="77777777" w:rsidR="00664A03" w:rsidRPr="00E805AD" w:rsidRDefault="00664A03" w:rsidP="00E805AD">
            <w:pPr>
              <w:spacing w:after="240" w:line="360" w:lineRule="auto"/>
              <w:rPr>
                <w:rFonts w:eastAsia="Times New Roman"/>
                <w:b/>
                <w:bCs/>
                <w:color w:val="000000"/>
                <w:sz w:val="24"/>
                <w:szCs w:val="24"/>
                <w:lang w:val="en-US"/>
              </w:rPr>
            </w:pPr>
            <w:r w:rsidRPr="00E805AD">
              <w:rPr>
                <w:rFonts w:eastAsia="Times New Roman"/>
                <w:b/>
                <w:bCs/>
                <w:color w:val="000000"/>
                <w:sz w:val="24"/>
                <w:szCs w:val="24"/>
                <w:lang w:val="en-US"/>
              </w:rPr>
              <w:t>A. Profitability Ratios</w:t>
            </w:r>
          </w:p>
        </w:tc>
        <w:tc>
          <w:tcPr>
            <w:tcW w:w="1544" w:type="pct"/>
            <w:tcBorders>
              <w:top w:val="single" w:sz="4" w:space="0" w:color="auto"/>
              <w:left w:val="nil"/>
              <w:bottom w:val="single" w:sz="4" w:space="0" w:color="auto"/>
              <w:right w:val="single" w:sz="4" w:space="0" w:color="auto"/>
            </w:tcBorders>
            <w:noWrap/>
            <w:vAlign w:val="bottom"/>
            <w:hideMark/>
          </w:tcPr>
          <w:p w14:paraId="138A776C" w14:textId="77777777" w:rsidR="00664A03" w:rsidRPr="00E805AD" w:rsidRDefault="00664A03" w:rsidP="00E805AD">
            <w:pPr>
              <w:spacing w:after="240" w:line="360" w:lineRule="auto"/>
              <w:rPr>
                <w:rFonts w:eastAsia="Times New Roman"/>
                <w:b/>
                <w:bCs/>
                <w:color w:val="000000"/>
                <w:sz w:val="24"/>
                <w:szCs w:val="24"/>
                <w:lang w:val="en-US"/>
              </w:rPr>
            </w:pPr>
            <w:r w:rsidRPr="00E805AD">
              <w:rPr>
                <w:rFonts w:eastAsia="Times New Roman"/>
                <w:b/>
                <w:bCs/>
                <w:color w:val="000000"/>
                <w:sz w:val="24"/>
                <w:szCs w:val="24"/>
                <w:lang w:val="en-US"/>
              </w:rPr>
              <w:t>Formula</w:t>
            </w:r>
          </w:p>
        </w:tc>
        <w:tc>
          <w:tcPr>
            <w:tcW w:w="478" w:type="pct"/>
            <w:tcBorders>
              <w:top w:val="single" w:sz="4" w:space="0" w:color="auto"/>
              <w:left w:val="nil"/>
              <w:bottom w:val="single" w:sz="4" w:space="0" w:color="auto"/>
              <w:right w:val="single" w:sz="4" w:space="0" w:color="auto"/>
            </w:tcBorders>
            <w:noWrap/>
            <w:vAlign w:val="bottom"/>
            <w:hideMark/>
          </w:tcPr>
          <w:p w14:paraId="4214152B"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2021</w:t>
            </w:r>
          </w:p>
        </w:tc>
        <w:tc>
          <w:tcPr>
            <w:tcW w:w="478" w:type="pct"/>
            <w:tcBorders>
              <w:top w:val="single" w:sz="4" w:space="0" w:color="auto"/>
              <w:left w:val="nil"/>
              <w:bottom w:val="single" w:sz="4" w:space="0" w:color="auto"/>
              <w:right w:val="single" w:sz="4" w:space="0" w:color="auto"/>
            </w:tcBorders>
            <w:noWrap/>
            <w:vAlign w:val="bottom"/>
            <w:hideMark/>
          </w:tcPr>
          <w:p w14:paraId="177CEF89"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2022</w:t>
            </w:r>
          </w:p>
        </w:tc>
        <w:tc>
          <w:tcPr>
            <w:tcW w:w="478" w:type="pct"/>
            <w:tcBorders>
              <w:top w:val="single" w:sz="4" w:space="0" w:color="auto"/>
              <w:left w:val="nil"/>
              <w:bottom w:val="single" w:sz="4" w:space="0" w:color="auto"/>
              <w:right w:val="single" w:sz="4" w:space="0" w:color="auto"/>
            </w:tcBorders>
            <w:noWrap/>
            <w:vAlign w:val="bottom"/>
            <w:hideMark/>
          </w:tcPr>
          <w:p w14:paraId="2EFE173D"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2023</w:t>
            </w:r>
          </w:p>
        </w:tc>
        <w:tc>
          <w:tcPr>
            <w:tcW w:w="478" w:type="pct"/>
            <w:tcBorders>
              <w:top w:val="single" w:sz="4" w:space="0" w:color="auto"/>
              <w:left w:val="nil"/>
              <w:bottom w:val="single" w:sz="4" w:space="0" w:color="auto"/>
              <w:right w:val="single" w:sz="4" w:space="0" w:color="auto"/>
            </w:tcBorders>
            <w:noWrap/>
            <w:vAlign w:val="bottom"/>
            <w:hideMark/>
          </w:tcPr>
          <w:p w14:paraId="64CE490A"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2024</w:t>
            </w:r>
          </w:p>
        </w:tc>
        <w:tc>
          <w:tcPr>
            <w:tcW w:w="478" w:type="pct"/>
            <w:tcBorders>
              <w:top w:val="single" w:sz="4" w:space="0" w:color="auto"/>
              <w:left w:val="nil"/>
              <w:bottom w:val="single" w:sz="4" w:space="0" w:color="auto"/>
              <w:right w:val="single" w:sz="4" w:space="0" w:color="auto"/>
            </w:tcBorders>
            <w:noWrap/>
            <w:vAlign w:val="bottom"/>
            <w:hideMark/>
          </w:tcPr>
          <w:p w14:paraId="58D4E238"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2025</w:t>
            </w:r>
          </w:p>
        </w:tc>
      </w:tr>
      <w:tr w:rsidR="00664A03" w:rsidRPr="00E805AD" w14:paraId="3AAF37C7" w14:textId="77777777" w:rsidTr="00664A03">
        <w:trPr>
          <w:trHeight w:val="300"/>
        </w:trPr>
        <w:tc>
          <w:tcPr>
            <w:tcW w:w="1066" w:type="pct"/>
            <w:tcBorders>
              <w:top w:val="nil"/>
              <w:left w:val="single" w:sz="4" w:space="0" w:color="auto"/>
              <w:bottom w:val="single" w:sz="4" w:space="0" w:color="auto"/>
              <w:right w:val="single" w:sz="4" w:space="0" w:color="auto"/>
            </w:tcBorders>
            <w:noWrap/>
            <w:vAlign w:val="bottom"/>
            <w:hideMark/>
          </w:tcPr>
          <w:p w14:paraId="203E3D6A"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Gross Profit Margin</w:t>
            </w:r>
          </w:p>
        </w:tc>
        <w:tc>
          <w:tcPr>
            <w:tcW w:w="1544" w:type="pct"/>
            <w:tcBorders>
              <w:top w:val="nil"/>
              <w:left w:val="nil"/>
              <w:bottom w:val="single" w:sz="4" w:space="0" w:color="auto"/>
              <w:right w:val="single" w:sz="4" w:space="0" w:color="auto"/>
            </w:tcBorders>
            <w:noWrap/>
            <w:vAlign w:val="bottom"/>
            <w:hideMark/>
          </w:tcPr>
          <w:p w14:paraId="0EC6C62E"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Gross Profit / Revenue</w:t>
            </w:r>
          </w:p>
        </w:tc>
        <w:tc>
          <w:tcPr>
            <w:tcW w:w="478" w:type="pct"/>
            <w:tcBorders>
              <w:top w:val="nil"/>
              <w:left w:val="nil"/>
              <w:bottom w:val="single" w:sz="4" w:space="0" w:color="auto"/>
              <w:right w:val="single" w:sz="4" w:space="0" w:color="auto"/>
            </w:tcBorders>
            <w:noWrap/>
            <w:vAlign w:val="bottom"/>
            <w:hideMark/>
          </w:tcPr>
          <w:p w14:paraId="7AAD8ECD"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0.20</w:t>
            </w:r>
          </w:p>
        </w:tc>
        <w:tc>
          <w:tcPr>
            <w:tcW w:w="478" w:type="pct"/>
            <w:tcBorders>
              <w:top w:val="nil"/>
              <w:left w:val="nil"/>
              <w:bottom w:val="single" w:sz="4" w:space="0" w:color="auto"/>
              <w:right w:val="single" w:sz="4" w:space="0" w:color="auto"/>
            </w:tcBorders>
            <w:noWrap/>
            <w:vAlign w:val="bottom"/>
            <w:hideMark/>
          </w:tcPr>
          <w:p w14:paraId="6F4C423C"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0.22</w:t>
            </w:r>
          </w:p>
        </w:tc>
        <w:tc>
          <w:tcPr>
            <w:tcW w:w="478" w:type="pct"/>
            <w:tcBorders>
              <w:top w:val="nil"/>
              <w:left w:val="nil"/>
              <w:bottom w:val="single" w:sz="4" w:space="0" w:color="auto"/>
              <w:right w:val="single" w:sz="4" w:space="0" w:color="auto"/>
            </w:tcBorders>
            <w:noWrap/>
            <w:vAlign w:val="bottom"/>
            <w:hideMark/>
          </w:tcPr>
          <w:p w14:paraId="5B95EA10"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0.21</w:t>
            </w:r>
          </w:p>
        </w:tc>
        <w:tc>
          <w:tcPr>
            <w:tcW w:w="478" w:type="pct"/>
            <w:tcBorders>
              <w:top w:val="nil"/>
              <w:left w:val="nil"/>
              <w:bottom w:val="single" w:sz="4" w:space="0" w:color="auto"/>
              <w:right w:val="single" w:sz="4" w:space="0" w:color="auto"/>
            </w:tcBorders>
            <w:noWrap/>
            <w:vAlign w:val="bottom"/>
            <w:hideMark/>
          </w:tcPr>
          <w:p w14:paraId="214141CE"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0.20</w:t>
            </w:r>
          </w:p>
        </w:tc>
        <w:tc>
          <w:tcPr>
            <w:tcW w:w="478" w:type="pct"/>
            <w:tcBorders>
              <w:top w:val="nil"/>
              <w:left w:val="nil"/>
              <w:bottom w:val="single" w:sz="4" w:space="0" w:color="auto"/>
              <w:right w:val="single" w:sz="4" w:space="0" w:color="auto"/>
            </w:tcBorders>
            <w:noWrap/>
            <w:vAlign w:val="bottom"/>
            <w:hideMark/>
          </w:tcPr>
          <w:p w14:paraId="5F863514"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0.20</w:t>
            </w:r>
          </w:p>
        </w:tc>
      </w:tr>
      <w:tr w:rsidR="00664A03" w:rsidRPr="00E805AD" w14:paraId="64ADB240" w14:textId="77777777" w:rsidTr="00664A03">
        <w:trPr>
          <w:trHeight w:val="300"/>
        </w:trPr>
        <w:tc>
          <w:tcPr>
            <w:tcW w:w="1066" w:type="pct"/>
            <w:tcBorders>
              <w:top w:val="nil"/>
              <w:left w:val="single" w:sz="4" w:space="0" w:color="auto"/>
              <w:bottom w:val="single" w:sz="4" w:space="0" w:color="auto"/>
              <w:right w:val="single" w:sz="4" w:space="0" w:color="auto"/>
            </w:tcBorders>
            <w:noWrap/>
            <w:vAlign w:val="bottom"/>
            <w:hideMark/>
          </w:tcPr>
          <w:p w14:paraId="6EFB9C44"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Operating Margin</w:t>
            </w:r>
          </w:p>
        </w:tc>
        <w:tc>
          <w:tcPr>
            <w:tcW w:w="1544" w:type="pct"/>
            <w:tcBorders>
              <w:top w:val="nil"/>
              <w:left w:val="nil"/>
              <w:bottom w:val="single" w:sz="4" w:space="0" w:color="auto"/>
              <w:right w:val="single" w:sz="4" w:space="0" w:color="auto"/>
            </w:tcBorders>
            <w:noWrap/>
            <w:vAlign w:val="bottom"/>
            <w:hideMark/>
          </w:tcPr>
          <w:p w14:paraId="45A6C7C7"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EBIT / Revenue</w:t>
            </w:r>
          </w:p>
        </w:tc>
        <w:tc>
          <w:tcPr>
            <w:tcW w:w="478" w:type="pct"/>
            <w:tcBorders>
              <w:top w:val="nil"/>
              <w:left w:val="nil"/>
              <w:bottom w:val="single" w:sz="4" w:space="0" w:color="auto"/>
              <w:right w:val="single" w:sz="4" w:space="0" w:color="auto"/>
            </w:tcBorders>
            <w:noWrap/>
            <w:vAlign w:val="bottom"/>
            <w:hideMark/>
          </w:tcPr>
          <w:p w14:paraId="2A4AE680"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0.13</w:t>
            </w:r>
          </w:p>
        </w:tc>
        <w:tc>
          <w:tcPr>
            <w:tcW w:w="478" w:type="pct"/>
            <w:tcBorders>
              <w:top w:val="nil"/>
              <w:left w:val="nil"/>
              <w:bottom w:val="single" w:sz="4" w:space="0" w:color="auto"/>
              <w:right w:val="single" w:sz="4" w:space="0" w:color="auto"/>
            </w:tcBorders>
            <w:noWrap/>
            <w:vAlign w:val="bottom"/>
            <w:hideMark/>
          </w:tcPr>
          <w:p w14:paraId="167981BD"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0.17</w:t>
            </w:r>
          </w:p>
        </w:tc>
        <w:tc>
          <w:tcPr>
            <w:tcW w:w="478" w:type="pct"/>
            <w:tcBorders>
              <w:top w:val="nil"/>
              <w:left w:val="nil"/>
              <w:bottom w:val="single" w:sz="4" w:space="0" w:color="auto"/>
              <w:right w:val="single" w:sz="4" w:space="0" w:color="auto"/>
            </w:tcBorders>
            <w:noWrap/>
            <w:vAlign w:val="bottom"/>
            <w:hideMark/>
          </w:tcPr>
          <w:p w14:paraId="4E72DCD7"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0.16</w:t>
            </w:r>
          </w:p>
        </w:tc>
        <w:tc>
          <w:tcPr>
            <w:tcW w:w="478" w:type="pct"/>
            <w:tcBorders>
              <w:top w:val="nil"/>
              <w:left w:val="nil"/>
              <w:bottom w:val="single" w:sz="4" w:space="0" w:color="auto"/>
              <w:right w:val="single" w:sz="4" w:space="0" w:color="auto"/>
            </w:tcBorders>
            <w:noWrap/>
            <w:vAlign w:val="bottom"/>
            <w:hideMark/>
          </w:tcPr>
          <w:p w14:paraId="278F1240"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0.15</w:t>
            </w:r>
          </w:p>
        </w:tc>
        <w:tc>
          <w:tcPr>
            <w:tcW w:w="478" w:type="pct"/>
            <w:tcBorders>
              <w:top w:val="nil"/>
              <w:left w:val="nil"/>
              <w:bottom w:val="single" w:sz="4" w:space="0" w:color="auto"/>
              <w:right w:val="single" w:sz="4" w:space="0" w:color="auto"/>
            </w:tcBorders>
            <w:noWrap/>
            <w:vAlign w:val="bottom"/>
            <w:hideMark/>
          </w:tcPr>
          <w:p w14:paraId="36BBFB8A"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0.16</w:t>
            </w:r>
          </w:p>
        </w:tc>
      </w:tr>
      <w:tr w:rsidR="00664A03" w:rsidRPr="00E805AD" w14:paraId="272DE793" w14:textId="77777777" w:rsidTr="00664A03">
        <w:trPr>
          <w:trHeight w:val="300"/>
        </w:trPr>
        <w:tc>
          <w:tcPr>
            <w:tcW w:w="1066" w:type="pct"/>
            <w:tcBorders>
              <w:top w:val="nil"/>
              <w:left w:val="single" w:sz="4" w:space="0" w:color="auto"/>
              <w:bottom w:val="single" w:sz="4" w:space="0" w:color="auto"/>
              <w:right w:val="single" w:sz="4" w:space="0" w:color="auto"/>
            </w:tcBorders>
            <w:noWrap/>
            <w:vAlign w:val="bottom"/>
            <w:hideMark/>
          </w:tcPr>
          <w:p w14:paraId="769C2846"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EBITDA Margin</w:t>
            </w:r>
          </w:p>
        </w:tc>
        <w:tc>
          <w:tcPr>
            <w:tcW w:w="1544" w:type="pct"/>
            <w:tcBorders>
              <w:top w:val="nil"/>
              <w:left w:val="nil"/>
              <w:bottom w:val="single" w:sz="4" w:space="0" w:color="auto"/>
              <w:right w:val="single" w:sz="4" w:space="0" w:color="auto"/>
            </w:tcBorders>
            <w:noWrap/>
            <w:vAlign w:val="bottom"/>
            <w:hideMark/>
          </w:tcPr>
          <w:p w14:paraId="5FC1FC44"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EBITDA / Revenue</w:t>
            </w:r>
          </w:p>
        </w:tc>
        <w:tc>
          <w:tcPr>
            <w:tcW w:w="478" w:type="pct"/>
            <w:tcBorders>
              <w:top w:val="nil"/>
              <w:left w:val="nil"/>
              <w:bottom w:val="single" w:sz="4" w:space="0" w:color="auto"/>
              <w:right w:val="single" w:sz="4" w:space="0" w:color="auto"/>
            </w:tcBorders>
            <w:noWrap/>
            <w:vAlign w:val="bottom"/>
            <w:hideMark/>
          </w:tcPr>
          <w:p w14:paraId="2FF799D7"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0.15</w:t>
            </w:r>
          </w:p>
        </w:tc>
        <w:tc>
          <w:tcPr>
            <w:tcW w:w="478" w:type="pct"/>
            <w:tcBorders>
              <w:top w:val="nil"/>
              <w:left w:val="nil"/>
              <w:bottom w:val="single" w:sz="4" w:space="0" w:color="auto"/>
              <w:right w:val="single" w:sz="4" w:space="0" w:color="auto"/>
            </w:tcBorders>
            <w:noWrap/>
            <w:vAlign w:val="bottom"/>
            <w:hideMark/>
          </w:tcPr>
          <w:p w14:paraId="48D59E7A"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0.19</w:t>
            </w:r>
          </w:p>
        </w:tc>
        <w:tc>
          <w:tcPr>
            <w:tcW w:w="478" w:type="pct"/>
            <w:tcBorders>
              <w:top w:val="nil"/>
              <w:left w:val="nil"/>
              <w:bottom w:val="single" w:sz="4" w:space="0" w:color="auto"/>
              <w:right w:val="single" w:sz="4" w:space="0" w:color="auto"/>
            </w:tcBorders>
            <w:noWrap/>
            <w:vAlign w:val="bottom"/>
            <w:hideMark/>
          </w:tcPr>
          <w:p w14:paraId="462D9233"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0.18</w:t>
            </w:r>
          </w:p>
        </w:tc>
        <w:tc>
          <w:tcPr>
            <w:tcW w:w="478" w:type="pct"/>
            <w:tcBorders>
              <w:top w:val="nil"/>
              <w:left w:val="nil"/>
              <w:bottom w:val="single" w:sz="4" w:space="0" w:color="auto"/>
              <w:right w:val="single" w:sz="4" w:space="0" w:color="auto"/>
            </w:tcBorders>
            <w:noWrap/>
            <w:vAlign w:val="bottom"/>
            <w:hideMark/>
          </w:tcPr>
          <w:p w14:paraId="5D4E8D3C"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0.17</w:t>
            </w:r>
          </w:p>
        </w:tc>
        <w:tc>
          <w:tcPr>
            <w:tcW w:w="478" w:type="pct"/>
            <w:tcBorders>
              <w:top w:val="nil"/>
              <w:left w:val="nil"/>
              <w:bottom w:val="single" w:sz="4" w:space="0" w:color="auto"/>
              <w:right w:val="single" w:sz="4" w:space="0" w:color="auto"/>
            </w:tcBorders>
            <w:noWrap/>
            <w:vAlign w:val="bottom"/>
            <w:hideMark/>
          </w:tcPr>
          <w:p w14:paraId="298D276A"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0.18</w:t>
            </w:r>
          </w:p>
        </w:tc>
      </w:tr>
      <w:tr w:rsidR="00664A03" w:rsidRPr="00E805AD" w14:paraId="4B240CCA" w14:textId="77777777" w:rsidTr="00664A03">
        <w:trPr>
          <w:trHeight w:val="300"/>
        </w:trPr>
        <w:tc>
          <w:tcPr>
            <w:tcW w:w="1066" w:type="pct"/>
            <w:tcBorders>
              <w:top w:val="nil"/>
              <w:left w:val="single" w:sz="4" w:space="0" w:color="auto"/>
              <w:bottom w:val="single" w:sz="4" w:space="0" w:color="auto"/>
              <w:right w:val="single" w:sz="4" w:space="0" w:color="auto"/>
            </w:tcBorders>
            <w:noWrap/>
            <w:vAlign w:val="bottom"/>
            <w:hideMark/>
          </w:tcPr>
          <w:p w14:paraId="2719B29E"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Pre-Tax Profit Margin</w:t>
            </w:r>
          </w:p>
        </w:tc>
        <w:tc>
          <w:tcPr>
            <w:tcW w:w="1544" w:type="pct"/>
            <w:tcBorders>
              <w:top w:val="nil"/>
              <w:left w:val="nil"/>
              <w:bottom w:val="single" w:sz="4" w:space="0" w:color="auto"/>
              <w:right w:val="single" w:sz="4" w:space="0" w:color="auto"/>
            </w:tcBorders>
            <w:noWrap/>
            <w:vAlign w:val="bottom"/>
            <w:hideMark/>
          </w:tcPr>
          <w:p w14:paraId="1FE6246D"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Pre-Tax Income / Revenue</w:t>
            </w:r>
          </w:p>
        </w:tc>
        <w:tc>
          <w:tcPr>
            <w:tcW w:w="478" w:type="pct"/>
            <w:tcBorders>
              <w:top w:val="nil"/>
              <w:left w:val="nil"/>
              <w:bottom w:val="single" w:sz="4" w:space="0" w:color="auto"/>
              <w:right w:val="single" w:sz="4" w:space="0" w:color="auto"/>
            </w:tcBorders>
            <w:noWrap/>
            <w:vAlign w:val="bottom"/>
            <w:hideMark/>
          </w:tcPr>
          <w:p w14:paraId="5B1038F2"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0.09</w:t>
            </w:r>
          </w:p>
        </w:tc>
        <w:tc>
          <w:tcPr>
            <w:tcW w:w="478" w:type="pct"/>
            <w:tcBorders>
              <w:top w:val="nil"/>
              <w:left w:val="nil"/>
              <w:bottom w:val="single" w:sz="4" w:space="0" w:color="auto"/>
              <w:right w:val="single" w:sz="4" w:space="0" w:color="auto"/>
            </w:tcBorders>
            <w:noWrap/>
            <w:vAlign w:val="bottom"/>
            <w:hideMark/>
          </w:tcPr>
          <w:p w14:paraId="18658378"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0.15</w:t>
            </w:r>
          </w:p>
        </w:tc>
        <w:tc>
          <w:tcPr>
            <w:tcW w:w="478" w:type="pct"/>
            <w:tcBorders>
              <w:top w:val="nil"/>
              <w:left w:val="nil"/>
              <w:bottom w:val="single" w:sz="4" w:space="0" w:color="auto"/>
              <w:right w:val="single" w:sz="4" w:space="0" w:color="auto"/>
            </w:tcBorders>
            <w:noWrap/>
            <w:vAlign w:val="bottom"/>
            <w:hideMark/>
          </w:tcPr>
          <w:p w14:paraId="0971471F"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0.14</w:t>
            </w:r>
          </w:p>
        </w:tc>
        <w:tc>
          <w:tcPr>
            <w:tcW w:w="478" w:type="pct"/>
            <w:tcBorders>
              <w:top w:val="nil"/>
              <w:left w:val="nil"/>
              <w:bottom w:val="single" w:sz="4" w:space="0" w:color="auto"/>
              <w:right w:val="single" w:sz="4" w:space="0" w:color="auto"/>
            </w:tcBorders>
            <w:noWrap/>
            <w:vAlign w:val="bottom"/>
            <w:hideMark/>
          </w:tcPr>
          <w:p w14:paraId="59C23066"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0.13</w:t>
            </w:r>
          </w:p>
        </w:tc>
        <w:tc>
          <w:tcPr>
            <w:tcW w:w="478" w:type="pct"/>
            <w:tcBorders>
              <w:top w:val="nil"/>
              <w:left w:val="nil"/>
              <w:bottom w:val="single" w:sz="4" w:space="0" w:color="auto"/>
              <w:right w:val="single" w:sz="4" w:space="0" w:color="auto"/>
            </w:tcBorders>
            <w:noWrap/>
            <w:vAlign w:val="bottom"/>
            <w:hideMark/>
          </w:tcPr>
          <w:p w14:paraId="09C7A57B"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0.13</w:t>
            </w:r>
          </w:p>
        </w:tc>
      </w:tr>
      <w:tr w:rsidR="00664A03" w:rsidRPr="00E805AD" w14:paraId="2FEEF3C4" w14:textId="77777777" w:rsidTr="00664A03">
        <w:trPr>
          <w:trHeight w:val="300"/>
        </w:trPr>
        <w:tc>
          <w:tcPr>
            <w:tcW w:w="1066" w:type="pct"/>
            <w:tcBorders>
              <w:top w:val="nil"/>
              <w:left w:val="single" w:sz="4" w:space="0" w:color="auto"/>
              <w:bottom w:val="single" w:sz="4" w:space="0" w:color="auto"/>
              <w:right w:val="single" w:sz="4" w:space="0" w:color="auto"/>
            </w:tcBorders>
            <w:noWrap/>
            <w:vAlign w:val="bottom"/>
            <w:hideMark/>
          </w:tcPr>
          <w:p w14:paraId="410B888F"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Net Profit Margin</w:t>
            </w:r>
          </w:p>
        </w:tc>
        <w:tc>
          <w:tcPr>
            <w:tcW w:w="1544" w:type="pct"/>
            <w:tcBorders>
              <w:top w:val="nil"/>
              <w:left w:val="nil"/>
              <w:bottom w:val="single" w:sz="4" w:space="0" w:color="auto"/>
              <w:right w:val="single" w:sz="4" w:space="0" w:color="auto"/>
            </w:tcBorders>
            <w:noWrap/>
            <w:vAlign w:val="bottom"/>
            <w:hideMark/>
          </w:tcPr>
          <w:p w14:paraId="7282B45B"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Net Income / Revenue</w:t>
            </w:r>
          </w:p>
        </w:tc>
        <w:tc>
          <w:tcPr>
            <w:tcW w:w="478" w:type="pct"/>
            <w:tcBorders>
              <w:top w:val="nil"/>
              <w:left w:val="nil"/>
              <w:bottom w:val="single" w:sz="4" w:space="0" w:color="auto"/>
              <w:right w:val="single" w:sz="4" w:space="0" w:color="auto"/>
            </w:tcBorders>
            <w:noWrap/>
            <w:vAlign w:val="bottom"/>
            <w:hideMark/>
          </w:tcPr>
          <w:p w14:paraId="1B4E022B"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0.08</w:t>
            </w:r>
          </w:p>
        </w:tc>
        <w:tc>
          <w:tcPr>
            <w:tcW w:w="478" w:type="pct"/>
            <w:tcBorders>
              <w:top w:val="nil"/>
              <w:left w:val="nil"/>
              <w:bottom w:val="single" w:sz="4" w:space="0" w:color="auto"/>
              <w:right w:val="single" w:sz="4" w:space="0" w:color="auto"/>
            </w:tcBorders>
            <w:noWrap/>
            <w:vAlign w:val="bottom"/>
            <w:hideMark/>
          </w:tcPr>
          <w:p w14:paraId="1AB5EFE2"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0.11</w:t>
            </w:r>
          </w:p>
        </w:tc>
        <w:tc>
          <w:tcPr>
            <w:tcW w:w="478" w:type="pct"/>
            <w:tcBorders>
              <w:top w:val="nil"/>
              <w:left w:val="nil"/>
              <w:bottom w:val="single" w:sz="4" w:space="0" w:color="auto"/>
              <w:right w:val="single" w:sz="4" w:space="0" w:color="auto"/>
            </w:tcBorders>
            <w:noWrap/>
            <w:vAlign w:val="bottom"/>
            <w:hideMark/>
          </w:tcPr>
          <w:p w14:paraId="50C076C9"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0.13</w:t>
            </w:r>
          </w:p>
        </w:tc>
        <w:tc>
          <w:tcPr>
            <w:tcW w:w="478" w:type="pct"/>
            <w:tcBorders>
              <w:top w:val="nil"/>
              <w:left w:val="nil"/>
              <w:bottom w:val="single" w:sz="4" w:space="0" w:color="auto"/>
              <w:right w:val="single" w:sz="4" w:space="0" w:color="auto"/>
            </w:tcBorders>
            <w:noWrap/>
            <w:vAlign w:val="bottom"/>
            <w:hideMark/>
          </w:tcPr>
          <w:p w14:paraId="0299D404"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0.09</w:t>
            </w:r>
          </w:p>
        </w:tc>
        <w:tc>
          <w:tcPr>
            <w:tcW w:w="478" w:type="pct"/>
            <w:tcBorders>
              <w:top w:val="nil"/>
              <w:left w:val="nil"/>
              <w:bottom w:val="single" w:sz="4" w:space="0" w:color="auto"/>
              <w:right w:val="single" w:sz="4" w:space="0" w:color="auto"/>
            </w:tcBorders>
            <w:noWrap/>
            <w:vAlign w:val="bottom"/>
            <w:hideMark/>
          </w:tcPr>
          <w:p w14:paraId="62674C82"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0.10</w:t>
            </w:r>
          </w:p>
        </w:tc>
      </w:tr>
      <w:tr w:rsidR="00664A03" w:rsidRPr="00E805AD" w14:paraId="7D7C7F3B" w14:textId="77777777" w:rsidTr="00664A03">
        <w:trPr>
          <w:trHeight w:val="300"/>
        </w:trPr>
        <w:tc>
          <w:tcPr>
            <w:tcW w:w="1066" w:type="pct"/>
            <w:tcBorders>
              <w:top w:val="nil"/>
              <w:left w:val="single" w:sz="4" w:space="0" w:color="auto"/>
              <w:bottom w:val="single" w:sz="4" w:space="0" w:color="auto"/>
              <w:right w:val="single" w:sz="4" w:space="0" w:color="auto"/>
            </w:tcBorders>
            <w:noWrap/>
            <w:vAlign w:val="bottom"/>
            <w:hideMark/>
          </w:tcPr>
          <w:p w14:paraId="7D0A7D31"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Return on Assets (ROA)</w:t>
            </w:r>
          </w:p>
        </w:tc>
        <w:tc>
          <w:tcPr>
            <w:tcW w:w="1544" w:type="pct"/>
            <w:tcBorders>
              <w:top w:val="nil"/>
              <w:left w:val="nil"/>
              <w:bottom w:val="single" w:sz="4" w:space="0" w:color="auto"/>
              <w:right w:val="single" w:sz="4" w:space="0" w:color="auto"/>
            </w:tcBorders>
            <w:noWrap/>
            <w:vAlign w:val="bottom"/>
            <w:hideMark/>
          </w:tcPr>
          <w:p w14:paraId="1671BC96"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Net Income / Total Assets</w:t>
            </w:r>
          </w:p>
        </w:tc>
        <w:tc>
          <w:tcPr>
            <w:tcW w:w="478" w:type="pct"/>
            <w:tcBorders>
              <w:top w:val="nil"/>
              <w:left w:val="nil"/>
              <w:bottom w:val="single" w:sz="4" w:space="0" w:color="auto"/>
              <w:right w:val="single" w:sz="4" w:space="0" w:color="auto"/>
            </w:tcBorders>
            <w:noWrap/>
            <w:vAlign w:val="bottom"/>
            <w:hideMark/>
          </w:tcPr>
          <w:p w14:paraId="245C7CAB"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0.05</w:t>
            </w:r>
          </w:p>
        </w:tc>
        <w:tc>
          <w:tcPr>
            <w:tcW w:w="478" w:type="pct"/>
            <w:tcBorders>
              <w:top w:val="nil"/>
              <w:left w:val="nil"/>
              <w:bottom w:val="single" w:sz="4" w:space="0" w:color="auto"/>
              <w:right w:val="single" w:sz="4" w:space="0" w:color="auto"/>
            </w:tcBorders>
            <w:noWrap/>
            <w:vAlign w:val="bottom"/>
            <w:hideMark/>
          </w:tcPr>
          <w:p w14:paraId="0B276C1D"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0.11</w:t>
            </w:r>
          </w:p>
        </w:tc>
        <w:tc>
          <w:tcPr>
            <w:tcW w:w="478" w:type="pct"/>
            <w:tcBorders>
              <w:top w:val="nil"/>
              <w:left w:val="nil"/>
              <w:bottom w:val="single" w:sz="4" w:space="0" w:color="auto"/>
              <w:right w:val="single" w:sz="4" w:space="0" w:color="auto"/>
            </w:tcBorders>
            <w:noWrap/>
            <w:vAlign w:val="bottom"/>
            <w:hideMark/>
          </w:tcPr>
          <w:p w14:paraId="026B4CA9"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0.14</w:t>
            </w:r>
          </w:p>
        </w:tc>
        <w:tc>
          <w:tcPr>
            <w:tcW w:w="478" w:type="pct"/>
            <w:tcBorders>
              <w:top w:val="nil"/>
              <w:left w:val="nil"/>
              <w:bottom w:val="single" w:sz="4" w:space="0" w:color="auto"/>
              <w:right w:val="single" w:sz="4" w:space="0" w:color="auto"/>
            </w:tcBorders>
            <w:noWrap/>
            <w:vAlign w:val="bottom"/>
            <w:hideMark/>
          </w:tcPr>
          <w:p w14:paraId="6968A4BE"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0.10</w:t>
            </w:r>
          </w:p>
        </w:tc>
        <w:tc>
          <w:tcPr>
            <w:tcW w:w="478" w:type="pct"/>
            <w:tcBorders>
              <w:top w:val="nil"/>
              <w:left w:val="nil"/>
              <w:bottom w:val="single" w:sz="4" w:space="0" w:color="auto"/>
              <w:right w:val="single" w:sz="4" w:space="0" w:color="auto"/>
            </w:tcBorders>
            <w:noWrap/>
            <w:vAlign w:val="bottom"/>
            <w:hideMark/>
          </w:tcPr>
          <w:p w14:paraId="6E84F373"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0.11</w:t>
            </w:r>
          </w:p>
        </w:tc>
      </w:tr>
      <w:tr w:rsidR="00664A03" w:rsidRPr="00E805AD" w14:paraId="5A1F7777" w14:textId="77777777" w:rsidTr="00664A03">
        <w:trPr>
          <w:trHeight w:val="300"/>
        </w:trPr>
        <w:tc>
          <w:tcPr>
            <w:tcW w:w="1066" w:type="pct"/>
            <w:tcBorders>
              <w:top w:val="nil"/>
              <w:left w:val="single" w:sz="4" w:space="0" w:color="auto"/>
              <w:bottom w:val="single" w:sz="4" w:space="0" w:color="auto"/>
              <w:right w:val="single" w:sz="4" w:space="0" w:color="auto"/>
            </w:tcBorders>
            <w:noWrap/>
            <w:vAlign w:val="bottom"/>
            <w:hideMark/>
          </w:tcPr>
          <w:p w14:paraId="2C29EF66"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Return on Equity (ROE)</w:t>
            </w:r>
          </w:p>
        </w:tc>
        <w:tc>
          <w:tcPr>
            <w:tcW w:w="1544" w:type="pct"/>
            <w:tcBorders>
              <w:top w:val="nil"/>
              <w:left w:val="nil"/>
              <w:bottom w:val="single" w:sz="4" w:space="0" w:color="auto"/>
              <w:right w:val="single" w:sz="4" w:space="0" w:color="auto"/>
            </w:tcBorders>
            <w:noWrap/>
            <w:vAlign w:val="bottom"/>
            <w:hideMark/>
          </w:tcPr>
          <w:p w14:paraId="5FD1E45C"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Net Income / Shareholders' Equity</w:t>
            </w:r>
          </w:p>
        </w:tc>
        <w:tc>
          <w:tcPr>
            <w:tcW w:w="478" w:type="pct"/>
            <w:tcBorders>
              <w:top w:val="nil"/>
              <w:left w:val="nil"/>
              <w:bottom w:val="single" w:sz="4" w:space="0" w:color="auto"/>
              <w:right w:val="single" w:sz="4" w:space="0" w:color="auto"/>
            </w:tcBorders>
            <w:noWrap/>
            <w:vAlign w:val="bottom"/>
            <w:hideMark/>
          </w:tcPr>
          <w:p w14:paraId="12328221"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0.17</w:t>
            </w:r>
          </w:p>
        </w:tc>
        <w:tc>
          <w:tcPr>
            <w:tcW w:w="478" w:type="pct"/>
            <w:tcBorders>
              <w:top w:val="nil"/>
              <w:left w:val="nil"/>
              <w:bottom w:val="single" w:sz="4" w:space="0" w:color="auto"/>
              <w:right w:val="single" w:sz="4" w:space="0" w:color="auto"/>
            </w:tcBorders>
            <w:noWrap/>
            <w:vAlign w:val="bottom"/>
            <w:hideMark/>
          </w:tcPr>
          <w:p w14:paraId="36B6E443"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0.32</w:t>
            </w:r>
          </w:p>
        </w:tc>
        <w:tc>
          <w:tcPr>
            <w:tcW w:w="478" w:type="pct"/>
            <w:tcBorders>
              <w:top w:val="nil"/>
              <w:left w:val="nil"/>
              <w:bottom w:val="single" w:sz="4" w:space="0" w:color="auto"/>
              <w:right w:val="single" w:sz="4" w:space="0" w:color="auto"/>
            </w:tcBorders>
            <w:noWrap/>
            <w:vAlign w:val="bottom"/>
            <w:hideMark/>
          </w:tcPr>
          <w:p w14:paraId="215FA1A1"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0.40</w:t>
            </w:r>
          </w:p>
        </w:tc>
        <w:tc>
          <w:tcPr>
            <w:tcW w:w="478" w:type="pct"/>
            <w:tcBorders>
              <w:top w:val="nil"/>
              <w:left w:val="nil"/>
              <w:bottom w:val="single" w:sz="4" w:space="0" w:color="auto"/>
              <w:right w:val="single" w:sz="4" w:space="0" w:color="auto"/>
            </w:tcBorders>
            <w:noWrap/>
            <w:vAlign w:val="bottom"/>
            <w:hideMark/>
          </w:tcPr>
          <w:p w14:paraId="6CC8554F"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0.27</w:t>
            </w:r>
          </w:p>
        </w:tc>
        <w:tc>
          <w:tcPr>
            <w:tcW w:w="478" w:type="pct"/>
            <w:tcBorders>
              <w:top w:val="nil"/>
              <w:left w:val="nil"/>
              <w:bottom w:val="single" w:sz="4" w:space="0" w:color="auto"/>
              <w:right w:val="single" w:sz="4" w:space="0" w:color="auto"/>
            </w:tcBorders>
            <w:noWrap/>
            <w:vAlign w:val="bottom"/>
            <w:hideMark/>
          </w:tcPr>
          <w:p w14:paraId="5C7D9DE6"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0.31</w:t>
            </w:r>
          </w:p>
        </w:tc>
      </w:tr>
    </w:tbl>
    <w:p w14:paraId="00000089" w14:textId="77777777" w:rsidR="003E62FA" w:rsidRPr="00E805AD" w:rsidRDefault="003E62FA" w:rsidP="00E805AD">
      <w:pPr>
        <w:spacing w:after="240" w:line="360" w:lineRule="auto"/>
        <w:jc w:val="both"/>
        <w:rPr>
          <w:rFonts w:eastAsia="Times New Roman"/>
          <w:sz w:val="24"/>
          <w:szCs w:val="24"/>
        </w:rPr>
      </w:pPr>
    </w:p>
    <w:p w14:paraId="156A2F06" w14:textId="05C1F8A1" w:rsidR="00E705F4" w:rsidRPr="00E805AD" w:rsidRDefault="00E705F4" w:rsidP="00E805AD">
      <w:pPr>
        <w:spacing w:after="240" w:line="360" w:lineRule="auto"/>
        <w:jc w:val="center"/>
        <w:rPr>
          <w:rFonts w:eastAsia="Times New Roman"/>
          <w:sz w:val="24"/>
          <w:szCs w:val="24"/>
        </w:rPr>
      </w:pPr>
      <w:r w:rsidRPr="00E805AD">
        <w:rPr>
          <w:noProof/>
          <w:lang w:val="en-IN" w:eastAsia="en-IN" w:bidi="hi-IN"/>
        </w:rPr>
        <w:lastRenderedPageBreak/>
        <w:drawing>
          <wp:inline distT="0" distB="0" distL="0" distR="0" wp14:anchorId="7D6BF600" wp14:editId="31C96313">
            <wp:extent cx="4572000" cy="2743200"/>
            <wp:effectExtent l="0" t="0" r="0" b="0"/>
            <wp:docPr id="366425431" name="Chart 1">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http://schemas.microsoft.com/office/drawing/2014/chartex" xmlns="" id="{7DAE46C1-69CB-7115-7F54-06AC95AC14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7"/>
              </a:graphicData>
            </a:graphic>
          </wp:inline>
        </w:drawing>
      </w:r>
    </w:p>
    <w:tbl>
      <w:tblPr>
        <w:tblStyle w:val="TableGrid"/>
        <w:tblW w:w="5000" w:type="pct"/>
        <w:tblLook w:val="04A0" w:firstRow="1" w:lastRow="0" w:firstColumn="1" w:lastColumn="0" w:noHBand="0" w:noVBand="1"/>
      </w:tblPr>
      <w:tblGrid>
        <w:gridCol w:w="1718"/>
        <w:gridCol w:w="4016"/>
        <w:gridCol w:w="657"/>
        <w:gridCol w:w="657"/>
        <w:gridCol w:w="657"/>
        <w:gridCol w:w="657"/>
        <w:gridCol w:w="657"/>
      </w:tblGrid>
      <w:tr w:rsidR="00664A03" w:rsidRPr="00E805AD" w14:paraId="511A6692" w14:textId="77777777" w:rsidTr="00664A03">
        <w:trPr>
          <w:trHeight w:val="300"/>
        </w:trPr>
        <w:tc>
          <w:tcPr>
            <w:tcW w:w="930" w:type="pct"/>
            <w:noWrap/>
            <w:hideMark/>
          </w:tcPr>
          <w:p w14:paraId="0DAEBC73" w14:textId="77777777" w:rsidR="00664A03" w:rsidRPr="00E805AD" w:rsidRDefault="00664A03" w:rsidP="00E805AD">
            <w:pPr>
              <w:spacing w:after="240" w:line="360" w:lineRule="auto"/>
              <w:rPr>
                <w:rFonts w:eastAsia="Times New Roman"/>
                <w:b/>
                <w:bCs/>
                <w:color w:val="000000"/>
                <w:sz w:val="24"/>
                <w:szCs w:val="24"/>
                <w:lang w:val="en-US"/>
              </w:rPr>
            </w:pPr>
            <w:r w:rsidRPr="00E805AD">
              <w:rPr>
                <w:rFonts w:eastAsia="Times New Roman"/>
                <w:b/>
                <w:bCs/>
                <w:color w:val="000000"/>
                <w:sz w:val="24"/>
                <w:szCs w:val="24"/>
                <w:lang w:val="en-US"/>
              </w:rPr>
              <w:t>B. Liquidity Ratios</w:t>
            </w:r>
          </w:p>
        </w:tc>
        <w:tc>
          <w:tcPr>
            <w:tcW w:w="1987" w:type="pct"/>
            <w:noWrap/>
            <w:hideMark/>
          </w:tcPr>
          <w:p w14:paraId="038050FA" w14:textId="77777777" w:rsidR="00664A03" w:rsidRPr="00E805AD" w:rsidRDefault="00664A03" w:rsidP="00E805AD">
            <w:pPr>
              <w:spacing w:after="240" w:line="360" w:lineRule="auto"/>
              <w:rPr>
                <w:rFonts w:eastAsia="Times New Roman"/>
                <w:b/>
                <w:bCs/>
                <w:color w:val="000000"/>
                <w:sz w:val="24"/>
                <w:szCs w:val="24"/>
                <w:lang w:val="en-US"/>
              </w:rPr>
            </w:pPr>
            <w:r w:rsidRPr="00E805AD">
              <w:rPr>
                <w:rFonts w:eastAsia="Times New Roman"/>
                <w:b/>
                <w:bCs/>
                <w:color w:val="000000"/>
                <w:sz w:val="24"/>
                <w:szCs w:val="24"/>
                <w:lang w:val="en-US"/>
              </w:rPr>
              <w:t>Formula</w:t>
            </w:r>
          </w:p>
        </w:tc>
        <w:tc>
          <w:tcPr>
            <w:tcW w:w="417" w:type="pct"/>
            <w:noWrap/>
            <w:hideMark/>
          </w:tcPr>
          <w:p w14:paraId="6CAF3CCE"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2021</w:t>
            </w:r>
          </w:p>
        </w:tc>
        <w:tc>
          <w:tcPr>
            <w:tcW w:w="417" w:type="pct"/>
            <w:noWrap/>
            <w:hideMark/>
          </w:tcPr>
          <w:p w14:paraId="19BC92F4"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2022</w:t>
            </w:r>
          </w:p>
        </w:tc>
        <w:tc>
          <w:tcPr>
            <w:tcW w:w="417" w:type="pct"/>
            <w:noWrap/>
            <w:hideMark/>
          </w:tcPr>
          <w:p w14:paraId="725E49EB"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2023</w:t>
            </w:r>
          </w:p>
        </w:tc>
        <w:tc>
          <w:tcPr>
            <w:tcW w:w="417" w:type="pct"/>
            <w:noWrap/>
            <w:hideMark/>
          </w:tcPr>
          <w:p w14:paraId="2646ADD0"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2024</w:t>
            </w:r>
          </w:p>
        </w:tc>
        <w:tc>
          <w:tcPr>
            <w:tcW w:w="417" w:type="pct"/>
            <w:noWrap/>
            <w:hideMark/>
          </w:tcPr>
          <w:p w14:paraId="0086DEB5"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2025</w:t>
            </w:r>
          </w:p>
        </w:tc>
      </w:tr>
      <w:tr w:rsidR="00664A03" w:rsidRPr="00E805AD" w14:paraId="35EF6169" w14:textId="77777777" w:rsidTr="00664A03">
        <w:trPr>
          <w:trHeight w:val="300"/>
        </w:trPr>
        <w:tc>
          <w:tcPr>
            <w:tcW w:w="930" w:type="pct"/>
            <w:noWrap/>
            <w:hideMark/>
          </w:tcPr>
          <w:p w14:paraId="7CDDDE4E"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Current Ratio</w:t>
            </w:r>
          </w:p>
        </w:tc>
        <w:tc>
          <w:tcPr>
            <w:tcW w:w="1987" w:type="pct"/>
            <w:noWrap/>
            <w:hideMark/>
          </w:tcPr>
          <w:p w14:paraId="66A657E3"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Current Assets / Current Liabilities</w:t>
            </w:r>
          </w:p>
        </w:tc>
        <w:tc>
          <w:tcPr>
            <w:tcW w:w="417" w:type="pct"/>
            <w:noWrap/>
            <w:hideMark/>
          </w:tcPr>
          <w:p w14:paraId="16867B8E"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0.010</w:t>
            </w:r>
          </w:p>
        </w:tc>
        <w:tc>
          <w:tcPr>
            <w:tcW w:w="417" w:type="pct"/>
            <w:noWrap/>
            <w:hideMark/>
          </w:tcPr>
          <w:p w14:paraId="403EB321"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0.009</w:t>
            </w:r>
          </w:p>
        </w:tc>
        <w:tc>
          <w:tcPr>
            <w:tcW w:w="417" w:type="pct"/>
            <w:noWrap/>
            <w:hideMark/>
          </w:tcPr>
          <w:p w14:paraId="406AC9D6"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0.010</w:t>
            </w:r>
          </w:p>
        </w:tc>
        <w:tc>
          <w:tcPr>
            <w:tcW w:w="417" w:type="pct"/>
            <w:noWrap/>
            <w:hideMark/>
          </w:tcPr>
          <w:p w14:paraId="5BCDF035"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0.011</w:t>
            </w:r>
          </w:p>
        </w:tc>
        <w:tc>
          <w:tcPr>
            <w:tcW w:w="417" w:type="pct"/>
            <w:noWrap/>
            <w:hideMark/>
          </w:tcPr>
          <w:p w14:paraId="0684F674"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0.012</w:t>
            </w:r>
          </w:p>
        </w:tc>
      </w:tr>
      <w:tr w:rsidR="00664A03" w:rsidRPr="00E805AD" w14:paraId="16EFA9EC" w14:textId="77777777" w:rsidTr="00664A03">
        <w:trPr>
          <w:trHeight w:val="300"/>
        </w:trPr>
        <w:tc>
          <w:tcPr>
            <w:tcW w:w="930" w:type="pct"/>
            <w:noWrap/>
            <w:hideMark/>
          </w:tcPr>
          <w:p w14:paraId="3B78C57F"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Cash Ratio</w:t>
            </w:r>
          </w:p>
        </w:tc>
        <w:tc>
          <w:tcPr>
            <w:tcW w:w="1987" w:type="pct"/>
            <w:noWrap/>
            <w:hideMark/>
          </w:tcPr>
          <w:p w14:paraId="233D7680"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Cash / Current Liabilities</w:t>
            </w:r>
          </w:p>
        </w:tc>
        <w:tc>
          <w:tcPr>
            <w:tcW w:w="417" w:type="pct"/>
            <w:noWrap/>
            <w:hideMark/>
          </w:tcPr>
          <w:p w14:paraId="07F7CC6B"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0.046</w:t>
            </w:r>
          </w:p>
        </w:tc>
        <w:tc>
          <w:tcPr>
            <w:tcW w:w="417" w:type="pct"/>
            <w:noWrap/>
            <w:hideMark/>
          </w:tcPr>
          <w:p w14:paraId="4869D606"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0.095</w:t>
            </w:r>
          </w:p>
        </w:tc>
        <w:tc>
          <w:tcPr>
            <w:tcW w:w="417" w:type="pct"/>
            <w:noWrap/>
            <w:hideMark/>
          </w:tcPr>
          <w:p w14:paraId="1F448404"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0.123</w:t>
            </w:r>
          </w:p>
        </w:tc>
        <w:tc>
          <w:tcPr>
            <w:tcW w:w="417" w:type="pct"/>
            <w:noWrap/>
            <w:hideMark/>
          </w:tcPr>
          <w:p w14:paraId="22894D25"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0.105</w:t>
            </w:r>
          </w:p>
        </w:tc>
        <w:tc>
          <w:tcPr>
            <w:tcW w:w="417" w:type="pct"/>
            <w:noWrap/>
            <w:hideMark/>
          </w:tcPr>
          <w:p w14:paraId="0861470E"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0.117</w:t>
            </w:r>
          </w:p>
        </w:tc>
      </w:tr>
      <w:tr w:rsidR="00664A03" w:rsidRPr="00E805AD" w14:paraId="74928274" w14:textId="77777777" w:rsidTr="00664A03">
        <w:trPr>
          <w:trHeight w:val="300"/>
        </w:trPr>
        <w:tc>
          <w:tcPr>
            <w:tcW w:w="930" w:type="pct"/>
            <w:noWrap/>
            <w:hideMark/>
          </w:tcPr>
          <w:p w14:paraId="0356814E"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Working Capital Ratio</w:t>
            </w:r>
          </w:p>
        </w:tc>
        <w:tc>
          <w:tcPr>
            <w:tcW w:w="1987" w:type="pct"/>
            <w:noWrap/>
            <w:hideMark/>
          </w:tcPr>
          <w:p w14:paraId="28AB3427"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(Current Assets - Current Liabilities) / Current Liabilities</w:t>
            </w:r>
          </w:p>
        </w:tc>
        <w:tc>
          <w:tcPr>
            <w:tcW w:w="417" w:type="pct"/>
            <w:noWrap/>
            <w:hideMark/>
          </w:tcPr>
          <w:p w14:paraId="4AFC7317"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-0.990</w:t>
            </w:r>
          </w:p>
        </w:tc>
        <w:tc>
          <w:tcPr>
            <w:tcW w:w="417" w:type="pct"/>
            <w:noWrap/>
            <w:hideMark/>
          </w:tcPr>
          <w:p w14:paraId="51D818AA"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-0.991</w:t>
            </w:r>
          </w:p>
        </w:tc>
        <w:tc>
          <w:tcPr>
            <w:tcW w:w="417" w:type="pct"/>
            <w:noWrap/>
            <w:hideMark/>
          </w:tcPr>
          <w:p w14:paraId="6A370D65"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-0.990</w:t>
            </w:r>
          </w:p>
        </w:tc>
        <w:tc>
          <w:tcPr>
            <w:tcW w:w="417" w:type="pct"/>
            <w:noWrap/>
            <w:hideMark/>
          </w:tcPr>
          <w:p w14:paraId="5D09BB26"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-0.989</w:t>
            </w:r>
          </w:p>
        </w:tc>
        <w:tc>
          <w:tcPr>
            <w:tcW w:w="417" w:type="pct"/>
            <w:noWrap/>
            <w:hideMark/>
          </w:tcPr>
          <w:p w14:paraId="595D8A61"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-0.988</w:t>
            </w:r>
          </w:p>
        </w:tc>
      </w:tr>
    </w:tbl>
    <w:p w14:paraId="25847FC9" w14:textId="77777777" w:rsidR="00664A03" w:rsidRPr="00E805AD" w:rsidRDefault="00664A03" w:rsidP="00E805AD">
      <w:pPr>
        <w:spacing w:after="240" w:line="360" w:lineRule="auto"/>
        <w:jc w:val="both"/>
        <w:rPr>
          <w:rFonts w:eastAsia="Times New Roman"/>
          <w:sz w:val="24"/>
          <w:szCs w:val="24"/>
        </w:rPr>
      </w:pPr>
    </w:p>
    <w:p w14:paraId="06760ACF" w14:textId="782F5D43" w:rsidR="00E705F4" w:rsidRPr="00E805AD" w:rsidRDefault="00E705F4" w:rsidP="00E805AD">
      <w:pPr>
        <w:spacing w:after="240" w:line="360" w:lineRule="auto"/>
        <w:jc w:val="center"/>
        <w:rPr>
          <w:rFonts w:eastAsia="Times New Roman"/>
          <w:sz w:val="24"/>
          <w:szCs w:val="24"/>
        </w:rPr>
      </w:pPr>
      <w:r w:rsidRPr="00E805AD">
        <w:rPr>
          <w:noProof/>
          <w:lang w:val="en-IN" w:eastAsia="en-IN" w:bidi="hi-IN"/>
        </w:rPr>
        <w:lastRenderedPageBreak/>
        <w:drawing>
          <wp:inline distT="0" distB="0" distL="0" distR="0" wp14:anchorId="4C19BD10" wp14:editId="1276F40B">
            <wp:extent cx="4572000" cy="2743200"/>
            <wp:effectExtent l="0" t="0" r="0" b="0"/>
            <wp:docPr id="1213125983" name="Chart 1">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http://schemas.microsoft.com/office/drawing/2014/chartex" xmlns="" id="{96D58141-3209-D4FE-2C00-C71E651C239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8"/>
              </a:graphicData>
            </a:graphic>
          </wp:inline>
        </w:drawing>
      </w:r>
    </w:p>
    <w:tbl>
      <w:tblPr>
        <w:tblStyle w:val="TableGrid"/>
        <w:tblW w:w="5000" w:type="pct"/>
        <w:tblLook w:val="04A0" w:firstRow="1" w:lastRow="0" w:firstColumn="1" w:lastColumn="0" w:noHBand="0" w:noVBand="1"/>
      </w:tblPr>
      <w:tblGrid>
        <w:gridCol w:w="2237"/>
        <w:gridCol w:w="3042"/>
        <w:gridCol w:w="748"/>
        <w:gridCol w:w="748"/>
        <w:gridCol w:w="748"/>
        <w:gridCol w:w="748"/>
        <w:gridCol w:w="748"/>
      </w:tblGrid>
      <w:tr w:rsidR="00664A03" w:rsidRPr="00E805AD" w14:paraId="06446020" w14:textId="77777777" w:rsidTr="00664A03">
        <w:trPr>
          <w:trHeight w:val="300"/>
        </w:trPr>
        <w:tc>
          <w:tcPr>
            <w:tcW w:w="1066" w:type="pct"/>
            <w:noWrap/>
            <w:hideMark/>
          </w:tcPr>
          <w:p w14:paraId="477C57BC" w14:textId="77777777" w:rsidR="00664A03" w:rsidRPr="00E805AD" w:rsidRDefault="00664A03" w:rsidP="00E805AD">
            <w:pPr>
              <w:spacing w:after="240" w:line="360" w:lineRule="auto"/>
              <w:rPr>
                <w:rFonts w:eastAsia="Times New Roman"/>
                <w:b/>
                <w:bCs/>
                <w:color w:val="000000"/>
                <w:sz w:val="24"/>
                <w:szCs w:val="24"/>
                <w:lang w:val="en-US"/>
              </w:rPr>
            </w:pPr>
            <w:r w:rsidRPr="00E805AD">
              <w:rPr>
                <w:rFonts w:eastAsia="Times New Roman"/>
                <w:b/>
                <w:bCs/>
                <w:color w:val="000000"/>
                <w:sz w:val="24"/>
                <w:szCs w:val="24"/>
                <w:lang w:val="en-US"/>
              </w:rPr>
              <w:t>C. Efficiency Ratios</w:t>
            </w:r>
          </w:p>
        </w:tc>
        <w:tc>
          <w:tcPr>
            <w:tcW w:w="1544" w:type="pct"/>
            <w:noWrap/>
            <w:hideMark/>
          </w:tcPr>
          <w:p w14:paraId="083E972D" w14:textId="77777777" w:rsidR="00664A03" w:rsidRPr="00E805AD" w:rsidRDefault="00664A03" w:rsidP="00E805AD">
            <w:pPr>
              <w:spacing w:after="240" w:line="360" w:lineRule="auto"/>
              <w:rPr>
                <w:rFonts w:eastAsia="Times New Roman"/>
                <w:b/>
                <w:bCs/>
                <w:color w:val="000000"/>
                <w:sz w:val="24"/>
                <w:szCs w:val="24"/>
                <w:lang w:val="en-US"/>
              </w:rPr>
            </w:pPr>
            <w:r w:rsidRPr="00E805AD">
              <w:rPr>
                <w:rFonts w:eastAsia="Times New Roman"/>
                <w:b/>
                <w:bCs/>
                <w:color w:val="000000"/>
                <w:sz w:val="24"/>
                <w:szCs w:val="24"/>
                <w:lang w:val="en-US"/>
              </w:rPr>
              <w:t>Formula</w:t>
            </w:r>
          </w:p>
        </w:tc>
        <w:tc>
          <w:tcPr>
            <w:tcW w:w="478" w:type="pct"/>
            <w:noWrap/>
            <w:hideMark/>
          </w:tcPr>
          <w:p w14:paraId="643A3E96"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2021</w:t>
            </w:r>
          </w:p>
        </w:tc>
        <w:tc>
          <w:tcPr>
            <w:tcW w:w="478" w:type="pct"/>
            <w:noWrap/>
            <w:hideMark/>
          </w:tcPr>
          <w:p w14:paraId="297FE4E6"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2022</w:t>
            </w:r>
          </w:p>
        </w:tc>
        <w:tc>
          <w:tcPr>
            <w:tcW w:w="478" w:type="pct"/>
            <w:noWrap/>
            <w:hideMark/>
          </w:tcPr>
          <w:p w14:paraId="2A7D0E51"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2023</w:t>
            </w:r>
          </w:p>
        </w:tc>
        <w:tc>
          <w:tcPr>
            <w:tcW w:w="478" w:type="pct"/>
            <w:noWrap/>
            <w:hideMark/>
          </w:tcPr>
          <w:p w14:paraId="1A9B0D33"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2024</w:t>
            </w:r>
          </w:p>
        </w:tc>
        <w:tc>
          <w:tcPr>
            <w:tcW w:w="478" w:type="pct"/>
            <w:noWrap/>
            <w:hideMark/>
          </w:tcPr>
          <w:p w14:paraId="495613DA"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2025</w:t>
            </w:r>
          </w:p>
        </w:tc>
      </w:tr>
      <w:tr w:rsidR="00664A03" w:rsidRPr="00E805AD" w14:paraId="1EA8943B" w14:textId="77777777" w:rsidTr="00664A03">
        <w:trPr>
          <w:trHeight w:val="300"/>
        </w:trPr>
        <w:tc>
          <w:tcPr>
            <w:tcW w:w="1066" w:type="pct"/>
            <w:noWrap/>
            <w:hideMark/>
          </w:tcPr>
          <w:p w14:paraId="08285B82"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Total Asset Turnover</w:t>
            </w:r>
          </w:p>
        </w:tc>
        <w:tc>
          <w:tcPr>
            <w:tcW w:w="1544" w:type="pct"/>
            <w:noWrap/>
            <w:hideMark/>
          </w:tcPr>
          <w:p w14:paraId="0F4B4054"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Revenue / Total Assets</w:t>
            </w:r>
          </w:p>
        </w:tc>
        <w:tc>
          <w:tcPr>
            <w:tcW w:w="478" w:type="pct"/>
            <w:noWrap/>
            <w:hideMark/>
          </w:tcPr>
          <w:p w14:paraId="54EF8F89"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0.63</w:t>
            </w:r>
          </w:p>
        </w:tc>
        <w:tc>
          <w:tcPr>
            <w:tcW w:w="478" w:type="pct"/>
            <w:noWrap/>
            <w:hideMark/>
          </w:tcPr>
          <w:p w14:paraId="05625D61"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0.97</w:t>
            </w:r>
          </w:p>
        </w:tc>
        <w:tc>
          <w:tcPr>
            <w:tcW w:w="478" w:type="pct"/>
            <w:noWrap/>
            <w:hideMark/>
          </w:tcPr>
          <w:p w14:paraId="29A50737"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1.06</w:t>
            </w:r>
          </w:p>
        </w:tc>
        <w:tc>
          <w:tcPr>
            <w:tcW w:w="478" w:type="pct"/>
            <w:noWrap/>
            <w:hideMark/>
          </w:tcPr>
          <w:p w14:paraId="3B128C91"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1.11</w:t>
            </w:r>
          </w:p>
        </w:tc>
        <w:tc>
          <w:tcPr>
            <w:tcW w:w="478" w:type="pct"/>
            <w:noWrap/>
            <w:hideMark/>
          </w:tcPr>
          <w:p w14:paraId="51A76A5F"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1.09</w:t>
            </w:r>
          </w:p>
        </w:tc>
      </w:tr>
      <w:tr w:rsidR="00664A03" w:rsidRPr="00E805AD" w14:paraId="17F32626" w14:textId="77777777" w:rsidTr="00664A03">
        <w:trPr>
          <w:trHeight w:val="300"/>
        </w:trPr>
        <w:tc>
          <w:tcPr>
            <w:tcW w:w="1066" w:type="pct"/>
            <w:noWrap/>
            <w:hideMark/>
          </w:tcPr>
          <w:p w14:paraId="444B6D7B"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Receivable Turnover</w:t>
            </w:r>
          </w:p>
        </w:tc>
        <w:tc>
          <w:tcPr>
            <w:tcW w:w="1544" w:type="pct"/>
            <w:noWrap/>
            <w:hideMark/>
          </w:tcPr>
          <w:p w14:paraId="1CB3DD8E"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Revenue / Receivables</w:t>
            </w:r>
          </w:p>
        </w:tc>
        <w:tc>
          <w:tcPr>
            <w:tcW w:w="478" w:type="pct"/>
            <w:noWrap/>
            <w:hideMark/>
          </w:tcPr>
          <w:p w14:paraId="3B474A35"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9.95</w:t>
            </w:r>
          </w:p>
        </w:tc>
        <w:tc>
          <w:tcPr>
            <w:tcW w:w="478" w:type="pct"/>
            <w:noWrap/>
            <w:hideMark/>
          </w:tcPr>
          <w:p w14:paraId="38F6A0E1"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40.97</w:t>
            </w:r>
          </w:p>
        </w:tc>
        <w:tc>
          <w:tcPr>
            <w:tcW w:w="478" w:type="pct"/>
            <w:noWrap/>
            <w:hideMark/>
          </w:tcPr>
          <w:p w14:paraId="6886B878"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70.16</w:t>
            </w:r>
          </w:p>
        </w:tc>
        <w:tc>
          <w:tcPr>
            <w:tcW w:w="478" w:type="pct"/>
            <w:noWrap/>
            <w:hideMark/>
          </w:tcPr>
          <w:p w14:paraId="135FC08B"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63.38</w:t>
            </w:r>
          </w:p>
        </w:tc>
        <w:tc>
          <w:tcPr>
            <w:tcW w:w="478" w:type="pct"/>
            <w:noWrap/>
            <w:hideMark/>
          </w:tcPr>
          <w:p w14:paraId="5B6A4C04"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73.15</w:t>
            </w:r>
          </w:p>
        </w:tc>
      </w:tr>
      <w:tr w:rsidR="00664A03" w:rsidRPr="00E805AD" w14:paraId="6DD5DCD1" w14:textId="77777777" w:rsidTr="00664A03">
        <w:trPr>
          <w:trHeight w:val="300"/>
        </w:trPr>
        <w:tc>
          <w:tcPr>
            <w:tcW w:w="1066" w:type="pct"/>
            <w:noWrap/>
            <w:hideMark/>
          </w:tcPr>
          <w:p w14:paraId="660B3A79"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Receivable Days</w:t>
            </w:r>
          </w:p>
        </w:tc>
        <w:tc>
          <w:tcPr>
            <w:tcW w:w="1544" w:type="pct"/>
            <w:noWrap/>
            <w:hideMark/>
          </w:tcPr>
          <w:p w14:paraId="57CF1669"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(Receivables / Revenue) *365</w:t>
            </w:r>
          </w:p>
        </w:tc>
        <w:tc>
          <w:tcPr>
            <w:tcW w:w="478" w:type="pct"/>
            <w:noWrap/>
            <w:hideMark/>
          </w:tcPr>
          <w:p w14:paraId="3E9BADE9"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36.69</w:t>
            </w:r>
          </w:p>
        </w:tc>
        <w:tc>
          <w:tcPr>
            <w:tcW w:w="478" w:type="pct"/>
            <w:noWrap/>
            <w:hideMark/>
          </w:tcPr>
          <w:p w14:paraId="756B8F78"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8.91</w:t>
            </w:r>
          </w:p>
        </w:tc>
        <w:tc>
          <w:tcPr>
            <w:tcW w:w="478" w:type="pct"/>
            <w:noWrap/>
            <w:hideMark/>
          </w:tcPr>
          <w:p w14:paraId="3A6BE7E7"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5.20</w:t>
            </w:r>
          </w:p>
        </w:tc>
        <w:tc>
          <w:tcPr>
            <w:tcW w:w="478" w:type="pct"/>
            <w:noWrap/>
            <w:hideMark/>
          </w:tcPr>
          <w:p w14:paraId="58AC65C1"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5.76</w:t>
            </w:r>
          </w:p>
        </w:tc>
        <w:tc>
          <w:tcPr>
            <w:tcW w:w="478" w:type="pct"/>
            <w:noWrap/>
            <w:hideMark/>
          </w:tcPr>
          <w:p w14:paraId="68C878F9"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4.99</w:t>
            </w:r>
          </w:p>
        </w:tc>
      </w:tr>
      <w:tr w:rsidR="00664A03" w:rsidRPr="00E805AD" w14:paraId="4E4BE884" w14:textId="77777777" w:rsidTr="00664A03">
        <w:trPr>
          <w:trHeight w:val="300"/>
        </w:trPr>
        <w:tc>
          <w:tcPr>
            <w:tcW w:w="1066" w:type="pct"/>
            <w:noWrap/>
            <w:hideMark/>
          </w:tcPr>
          <w:p w14:paraId="40854180"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Fixed Asset Turnover</w:t>
            </w:r>
          </w:p>
        </w:tc>
        <w:tc>
          <w:tcPr>
            <w:tcW w:w="1544" w:type="pct"/>
            <w:noWrap/>
            <w:hideMark/>
          </w:tcPr>
          <w:p w14:paraId="532EA3D7"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Revenue / PP&amp;E</w:t>
            </w:r>
          </w:p>
        </w:tc>
        <w:tc>
          <w:tcPr>
            <w:tcW w:w="478" w:type="pct"/>
            <w:noWrap/>
            <w:hideMark/>
          </w:tcPr>
          <w:p w14:paraId="3F504EDD"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3.82</w:t>
            </w:r>
          </w:p>
        </w:tc>
        <w:tc>
          <w:tcPr>
            <w:tcW w:w="478" w:type="pct"/>
            <w:noWrap/>
            <w:hideMark/>
          </w:tcPr>
          <w:p w14:paraId="06EE535F"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6.27</w:t>
            </w:r>
          </w:p>
        </w:tc>
        <w:tc>
          <w:tcPr>
            <w:tcW w:w="478" w:type="pct"/>
            <w:noWrap/>
            <w:hideMark/>
          </w:tcPr>
          <w:p w14:paraId="00012A40"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7.16</w:t>
            </w:r>
          </w:p>
        </w:tc>
        <w:tc>
          <w:tcPr>
            <w:tcW w:w="478" w:type="pct"/>
            <w:noWrap/>
            <w:hideMark/>
          </w:tcPr>
          <w:p w14:paraId="47BE7858"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7.20</w:t>
            </w:r>
          </w:p>
        </w:tc>
        <w:tc>
          <w:tcPr>
            <w:tcW w:w="478" w:type="pct"/>
            <w:noWrap/>
            <w:hideMark/>
          </w:tcPr>
          <w:p w14:paraId="711BB06B"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7.31</w:t>
            </w:r>
          </w:p>
        </w:tc>
      </w:tr>
    </w:tbl>
    <w:p w14:paraId="14A762BC" w14:textId="77777777" w:rsidR="00664A03" w:rsidRPr="00E805AD" w:rsidRDefault="00664A03" w:rsidP="00E805AD">
      <w:pPr>
        <w:spacing w:after="240" w:line="360" w:lineRule="auto"/>
        <w:jc w:val="both"/>
        <w:rPr>
          <w:rFonts w:eastAsia="Times New Roman"/>
          <w:sz w:val="24"/>
          <w:szCs w:val="24"/>
        </w:rPr>
      </w:pPr>
    </w:p>
    <w:p w14:paraId="1ED2711D" w14:textId="0E2B0AF3" w:rsidR="00E705F4" w:rsidRPr="00E805AD" w:rsidRDefault="00E705F4" w:rsidP="00E805AD">
      <w:pPr>
        <w:spacing w:after="240" w:line="360" w:lineRule="auto"/>
        <w:jc w:val="center"/>
        <w:rPr>
          <w:rFonts w:eastAsia="Times New Roman"/>
          <w:sz w:val="24"/>
          <w:szCs w:val="24"/>
        </w:rPr>
      </w:pPr>
      <w:r w:rsidRPr="00E805AD">
        <w:rPr>
          <w:noProof/>
          <w:lang w:val="en-IN" w:eastAsia="en-IN" w:bidi="hi-IN"/>
        </w:rPr>
        <w:lastRenderedPageBreak/>
        <w:drawing>
          <wp:inline distT="0" distB="0" distL="0" distR="0" wp14:anchorId="244FD363" wp14:editId="256D3EE7">
            <wp:extent cx="4572000" cy="2743200"/>
            <wp:effectExtent l="0" t="0" r="0" b="0"/>
            <wp:docPr id="63402065" name="Chart 1">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http://schemas.microsoft.com/office/drawing/2014/chartex" xmlns="" id="{DEDED4FE-AE36-CD5E-17B0-BB56849760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9"/>
              </a:graphicData>
            </a:graphic>
          </wp:inline>
        </w:drawing>
      </w:r>
    </w:p>
    <w:tbl>
      <w:tblPr>
        <w:tblStyle w:val="TableGrid"/>
        <w:tblW w:w="5000" w:type="pct"/>
        <w:tblLook w:val="04A0" w:firstRow="1" w:lastRow="0" w:firstColumn="1" w:lastColumn="0" w:noHBand="0" w:noVBand="1"/>
      </w:tblPr>
      <w:tblGrid>
        <w:gridCol w:w="2996"/>
        <w:gridCol w:w="2893"/>
        <w:gridCol w:w="626"/>
        <w:gridCol w:w="626"/>
        <w:gridCol w:w="626"/>
        <w:gridCol w:w="626"/>
        <w:gridCol w:w="626"/>
      </w:tblGrid>
      <w:tr w:rsidR="00664A03" w:rsidRPr="00E805AD" w14:paraId="736A890C" w14:textId="77777777" w:rsidTr="00664A03">
        <w:trPr>
          <w:trHeight w:val="300"/>
        </w:trPr>
        <w:tc>
          <w:tcPr>
            <w:tcW w:w="1289" w:type="pct"/>
            <w:noWrap/>
            <w:hideMark/>
          </w:tcPr>
          <w:p w14:paraId="11B12DD1" w14:textId="77777777" w:rsidR="00664A03" w:rsidRPr="00E805AD" w:rsidRDefault="00664A03" w:rsidP="00E805AD">
            <w:pPr>
              <w:spacing w:after="240" w:line="360" w:lineRule="auto"/>
              <w:rPr>
                <w:rFonts w:eastAsia="Times New Roman"/>
                <w:b/>
                <w:bCs/>
                <w:color w:val="000000"/>
                <w:sz w:val="24"/>
                <w:szCs w:val="24"/>
                <w:lang w:val="en-US"/>
              </w:rPr>
            </w:pPr>
            <w:r w:rsidRPr="00E805AD">
              <w:rPr>
                <w:rFonts w:eastAsia="Times New Roman"/>
                <w:b/>
                <w:bCs/>
                <w:color w:val="000000"/>
                <w:sz w:val="24"/>
                <w:szCs w:val="24"/>
                <w:lang w:val="en-US"/>
              </w:rPr>
              <w:t>D. Gearing Ratios</w:t>
            </w:r>
          </w:p>
        </w:tc>
        <w:tc>
          <w:tcPr>
            <w:tcW w:w="1457" w:type="pct"/>
            <w:noWrap/>
            <w:hideMark/>
          </w:tcPr>
          <w:p w14:paraId="553764D8" w14:textId="77777777" w:rsidR="00664A03" w:rsidRPr="00E805AD" w:rsidRDefault="00664A03" w:rsidP="00E805AD">
            <w:pPr>
              <w:spacing w:after="240" w:line="360" w:lineRule="auto"/>
              <w:rPr>
                <w:rFonts w:eastAsia="Times New Roman"/>
                <w:b/>
                <w:bCs/>
                <w:color w:val="000000"/>
                <w:sz w:val="24"/>
                <w:szCs w:val="24"/>
                <w:lang w:val="en-US"/>
              </w:rPr>
            </w:pPr>
            <w:r w:rsidRPr="00E805AD">
              <w:rPr>
                <w:rFonts w:eastAsia="Times New Roman"/>
                <w:b/>
                <w:bCs/>
                <w:color w:val="000000"/>
                <w:sz w:val="24"/>
                <w:szCs w:val="24"/>
                <w:lang w:val="en-US"/>
              </w:rPr>
              <w:t>Formula</w:t>
            </w:r>
          </w:p>
        </w:tc>
        <w:tc>
          <w:tcPr>
            <w:tcW w:w="451" w:type="pct"/>
            <w:noWrap/>
            <w:hideMark/>
          </w:tcPr>
          <w:p w14:paraId="49249BF8"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2021</w:t>
            </w:r>
          </w:p>
        </w:tc>
        <w:tc>
          <w:tcPr>
            <w:tcW w:w="451" w:type="pct"/>
            <w:noWrap/>
            <w:hideMark/>
          </w:tcPr>
          <w:p w14:paraId="1C804958"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2022</w:t>
            </w:r>
          </w:p>
        </w:tc>
        <w:tc>
          <w:tcPr>
            <w:tcW w:w="451" w:type="pct"/>
            <w:noWrap/>
            <w:hideMark/>
          </w:tcPr>
          <w:p w14:paraId="008A7D0E"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2023</w:t>
            </w:r>
          </w:p>
        </w:tc>
        <w:tc>
          <w:tcPr>
            <w:tcW w:w="451" w:type="pct"/>
            <w:noWrap/>
            <w:hideMark/>
          </w:tcPr>
          <w:p w14:paraId="5BEC2B85"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2024</w:t>
            </w:r>
          </w:p>
        </w:tc>
        <w:tc>
          <w:tcPr>
            <w:tcW w:w="451" w:type="pct"/>
            <w:noWrap/>
            <w:hideMark/>
          </w:tcPr>
          <w:p w14:paraId="0E4E7852"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2025</w:t>
            </w:r>
          </w:p>
        </w:tc>
      </w:tr>
      <w:tr w:rsidR="00664A03" w:rsidRPr="00E805AD" w14:paraId="0DE2C394" w14:textId="77777777" w:rsidTr="00664A03">
        <w:trPr>
          <w:trHeight w:val="300"/>
        </w:trPr>
        <w:tc>
          <w:tcPr>
            <w:tcW w:w="1289" w:type="pct"/>
            <w:noWrap/>
            <w:hideMark/>
          </w:tcPr>
          <w:p w14:paraId="59189874"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Equity Ratio</w:t>
            </w:r>
          </w:p>
        </w:tc>
        <w:tc>
          <w:tcPr>
            <w:tcW w:w="1457" w:type="pct"/>
            <w:noWrap/>
            <w:hideMark/>
          </w:tcPr>
          <w:p w14:paraId="1F9D872A"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Equity / Total Assets</w:t>
            </w:r>
          </w:p>
        </w:tc>
        <w:tc>
          <w:tcPr>
            <w:tcW w:w="451" w:type="pct"/>
            <w:noWrap/>
            <w:hideMark/>
          </w:tcPr>
          <w:p w14:paraId="795714BF"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0.29</w:t>
            </w:r>
          </w:p>
        </w:tc>
        <w:tc>
          <w:tcPr>
            <w:tcW w:w="451" w:type="pct"/>
            <w:noWrap/>
            <w:hideMark/>
          </w:tcPr>
          <w:p w14:paraId="1CC3CFF6"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0.34</w:t>
            </w:r>
          </w:p>
        </w:tc>
        <w:tc>
          <w:tcPr>
            <w:tcW w:w="451" w:type="pct"/>
            <w:noWrap/>
            <w:hideMark/>
          </w:tcPr>
          <w:p w14:paraId="1F0DCB7D"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0.35</w:t>
            </w:r>
          </w:p>
        </w:tc>
        <w:tc>
          <w:tcPr>
            <w:tcW w:w="451" w:type="pct"/>
            <w:noWrap/>
            <w:hideMark/>
          </w:tcPr>
          <w:p w14:paraId="6F4439F2"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0.38</w:t>
            </w:r>
          </w:p>
        </w:tc>
        <w:tc>
          <w:tcPr>
            <w:tcW w:w="451" w:type="pct"/>
            <w:noWrap/>
            <w:hideMark/>
          </w:tcPr>
          <w:p w14:paraId="276FFA51"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0.35</w:t>
            </w:r>
          </w:p>
        </w:tc>
      </w:tr>
      <w:tr w:rsidR="00664A03" w:rsidRPr="00E805AD" w14:paraId="7A9875BA" w14:textId="77777777" w:rsidTr="00664A03">
        <w:trPr>
          <w:trHeight w:val="315"/>
        </w:trPr>
        <w:tc>
          <w:tcPr>
            <w:tcW w:w="1289" w:type="pct"/>
            <w:noWrap/>
            <w:hideMark/>
          </w:tcPr>
          <w:p w14:paraId="4F75C98D"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Financial Leverage</w:t>
            </w:r>
          </w:p>
        </w:tc>
        <w:tc>
          <w:tcPr>
            <w:tcW w:w="1457" w:type="pct"/>
            <w:noWrap/>
            <w:hideMark/>
          </w:tcPr>
          <w:p w14:paraId="74C1F651"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Total Assets / Equity</w:t>
            </w:r>
          </w:p>
        </w:tc>
        <w:tc>
          <w:tcPr>
            <w:tcW w:w="451" w:type="pct"/>
            <w:noWrap/>
            <w:hideMark/>
          </w:tcPr>
          <w:p w14:paraId="5013884C"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3.42</w:t>
            </w:r>
          </w:p>
        </w:tc>
        <w:tc>
          <w:tcPr>
            <w:tcW w:w="451" w:type="pct"/>
            <w:noWrap/>
            <w:hideMark/>
          </w:tcPr>
          <w:p w14:paraId="1860A3A7"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2.93</w:t>
            </w:r>
          </w:p>
        </w:tc>
        <w:tc>
          <w:tcPr>
            <w:tcW w:w="451" w:type="pct"/>
            <w:noWrap/>
            <w:hideMark/>
          </w:tcPr>
          <w:p w14:paraId="4E73018D"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2.88</w:t>
            </w:r>
          </w:p>
        </w:tc>
        <w:tc>
          <w:tcPr>
            <w:tcW w:w="451" w:type="pct"/>
            <w:noWrap/>
            <w:hideMark/>
          </w:tcPr>
          <w:p w14:paraId="2D0F6DCB"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2.62</w:t>
            </w:r>
          </w:p>
        </w:tc>
        <w:tc>
          <w:tcPr>
            <w:tcW w:w="451" w:type="pct"/>
            <w:noWrap/>
            <w:hideMark/>
          </w:tcPr>
          <w:p w14:paraId="43F3C9FB"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2.85</w:t>
            </w:r>
          </w:p>
        </w:tc>
      </w:tr>
      <w:tr w:rsidR="00664A03" w:rsidRPr="00E805AD" w14:paraId="005CCD70" w14:textId="77777777" w:rsidTr="00664A03">
        <w:trPr>
          <w:trHeight w:val="300"/>
        </w:trPr>
        <w:tc>
          <w:tcPr>
            <w:tcW w:w="1289" w:type="pct"/>
            <w:noWrap/>
            <w:hideMark/>
          </w:tcPr>
          <w:p w14:paraId="45E94EB7"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Long-Term Assets to Total Assets</w:t>
            </w:r>
          </w:p>
        </w:tc>
        <w:tc>
          <w:tcPr>
            <w:tcW w:w="1457" w:type="pct"/>
            <w:noWrap/>
            <w:hideMark/>
          </w:tcPr>
          <w:p w14:paraId="227D9CEC"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Long-Term Assets / Total Assets</w:t>
            </w:r>
          </w:p>
        </w:tc>
        <w:tc>
          <w:tcPr>
            <w:tcW w:w="451" w:type="pct"/>
            <w:noWrap/>
            <w:hideMark/>
          </w:tcPr>
          <w:p w14:paraId="47F9C66D"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0.03</w:t>
            </w:r>
          </w:p>
        </w:tc>
        <w:tc>
          <w:tcPr>
            <w:tcW w:w="451" w:type="pct"/>
            <w:noWrap/>
            <w:hideMark/>
          </w:tcPr>
          <w:p w14:paraId="543E2262"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0.03</w:t>
            </w:r>
          </w:p>
        </w:tc>
        <w:tc>
          <w:tcPr>
            <w:tcW w:w="451" w:type="pct"/>
            <w:noWrap/>
            <w:hideMark/>
          </w:tcPr>
          <w:p w14:paraId="6EB9DAD2"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0.03</w:t>
            </w:r>
          </w:p>
        </w:tc>
        <w:tc>
          <w:tcPr>
            <w:tcW w:w="451" w:type="pct"/>
            <w:noWrap/>
            <w:hideMark/>
          </w:tcPr>
          <w:p w14:paraId="6B0CA698"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0.03</w:t>
            </w:r>
          </w:p>
        </w:tc>
        <w:tc>
          <w:tcPr>
            <w:tcW w:w="451" w:type="pct"/>
            <w:noWrap/>
            <w:hideMark/>
          </w:tcPr>
          <w:p w14:paraId="5F5FFC3E"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0.03</w:t>
            </w:r>
          </w:p>
        </w:tc>
      </w:tr>
    </w:tbl>
    <w:p w14:paraId="16A074F6" w14:textId="77777777" w:rsidR="00664A03" w:rsidRPr="00E805AD" w:rsidRDefault="00664A03" w:rsidP="00E805AD">
      <w:pPr>
        <w:spacing w:after="240" w:line="360" w:lineRule="auto"/>
        <w:jc w:val="both"/>
        <w:rPr>
          <w:rFonts w:eastAsia="Times New Roman"/>
          <w:sz w:val="24"/>
          <w:szCs w:val="24"/>
        </w:rPr>
      </w:pPr>
    </w:p>
    <w:p w14:paraId="1B1D24C1" w14:textId="3992C1C1" w:rsidR="00E705F4" w:rsidRPr="00E805AD" w:rsidRDefault="00E705F4" w:rsidP="00E805AD">
      <w:pPr>
        <w:spacing w:after="240" w:line="360" w:lineRule="auto"/>
        <w:jc w:val="center"/>
        <w:rPr>
          <w:rFonts w:eastAsia="Times New Roman"/>
          <w:sz w:val="24"/>
          <w:szCs w:val="24"/>
        </w:rPr>
      </w:pPr>
      <w:r w:rsidRPr="00E805AD">
        <w:rPr>
          <w:noProof/>
          <w:lang w:val="en-IN" w:eastAsia="en-IN" w:bidi="hi-IN"/>
        </w:rPr>
        <w:lastRenderedPageBreak/>
        <w:drawing>
          <wp:inline distT="0" distB="0" distL="0" distR="0" wp14:anchorId="4E1FDCCF" wp14:editId="3766C6EB">
            <wp:extent cx="4572000" cy="2743200"/>
            <wp:effectExtent l="0" t="0" r="0" b="0"/>
            <wp:docPr id="1771713581" name="Chart 1">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http://schemas.microsoft.com/office/drawing/2014/chartex" xmlns="" id="{F2F3211E-9C5A-23A4-38D4-CD81E963BC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0"/>
              </a:graphicData>
            </a:graphic>
          </wp:inline>
        </w:drawing>
      </w:r>
    </w:p>
    <w:tbl>
      <w:tblPr>
        <w:tblStyle w:val="TableGrid"/>
        <w:tblW w:w="5000" w:type="pct"/>
        <w:tblLook w:val="04A0" w:firstRow="1" w:lastRow="0" w:firstColumn="1" w:lastColumn="0" w:noHBand="0" w:noVBand="1"/>
      </w:tblPr>
      <w:tblGrid>
        <w:gridCol w:w="2522"/>
        <w:gridCol w:w="3164"/>
        <w:gridCol w:w="660"/>
        <w:gridCol w:w="660"/>
        <w:gridCol w:w="671"/>
        <w:gridCol w:w="671"/>
        <w:gridCol w:w="671"/>
      </w:tblGrid>
      <w:tr w:rsidR="00664A03" w:rsidRPr="00E805AD" w14:paraId="7F07B6A8" w14:textId="77777777" w:rsidTr="00664A03">
        <w:trPr>
          <w:trHeight w:val="300"/>
        </w:trPr>
        <w:tc>
          <w:tcPr>
            <w:tcW w:w="1066" w:type="pct"/>
            <w:noWrap/>
            <w:hideMark/>
          </w:tcPr>
          <w:p w14:paraId="577335EF" w14:textId="77777777" w:rsidR="00664A03" w:rsidRPr="00E805AD" w:rsidRDefault="00664A03" w:rsidP="00E805AD">
            <w:pPr>
              <w:spacing w:after="240" w:line="360" w:lineRule="auto"/>
              <w:rPr>
                <w:rFonts w:eastAsia="Times New Roman"/>
                <w:b/>
                <w:bCs/>
                <w:color w:val="000000"/>
                <w:sz w:val="24"/>
                <w:szCs w:val="24"/>
                <w:lang w:val="en-US"/>
              </w:rPr>
            </w:pPr>
            <w:r w:rsidRPr="00E805AD">
              <w:rPr>
                <w:rFonts w:eastAsia="Times New Roman"/>
                <w:b/>
                <w:bCs/>
                <w:color w:val="000000"/>
                <w:sz w:val="24"/>
                <w:szCs w:val="24"/>
                <w:lang w:val="en-US"/>
              </w:rPr>
              <w:t>E. Investment Ratios</w:t>
            </w:r>
          </w:p>
        </w:tc>
        <w:tc>
          <w:tcPr>
            <w:tcW w:w="1544" w:type="pct"/>
            <w:noWrap/>
            <w:hideMark/>
          </w:tcPr>
          <w:p w14:paraId="79E8FC25" w14:textId="77777777" w:rsidR="00664A03" w:rsidRPr="00E805AD" w:rsidRDefault="00664A03" w:rsidP="00E805AD">
            <w:pPr>
              <w:spacing w:after="240" w:line="360" w:lineRule="auto"/>
              <w:rPr>
                <w:rFonts w:eastAsia="Times New Roman"/>
                <w:b/>
                <w:bCs/>
                <w:color w:val="000000"/>
                <w:sz w:val="24"/>
                <w:szCs w:val="24"/>
                <w:lang w:val="en-US"/>
              </w:rPr>
            </w:pPr>
            <w:r w:rsidRPr="00E805AD">
              <w:rPr>
                <w:rFonts w:eastAsia="Times New Roman"/>
                <w:b/>
                <w:bCs/>
                <w:color w:val="000000"/>
                <w:sz w:val="24"/>
                <w:szCs w:val="24"/>
                <w:lang w:val="en-US"/>
              </w:rPr>
              <w:t>Formula</w:t>
            </w:r>
          </w:p>
        </w:tc>
        <w:tc>
          <w:tcPr>
            <w:tcW w:w="478" w:type="pct"/>
            <w:noWrap/>
            <w:hideMark/>
          </w:tcPr>
          <w:p w14:paraId="7A1E0DFA"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2021</w:t>
            </w:r>
          </w:p>
        </w:tc>
        <w:tc>
          <w:tcPr>
            <w:tcW w:w="478" w:type="pct"/>
            <w:noWrap/>
            <w:hideMark/>
          </w:tcPr>
          <w:p w14:paraId="6E0B1772"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2022</w:t>
            </w:r>
          </w:p>
        </w:tc>
        <w:tc>
          <w:tcPr>
            <w:tcW w:w="478" w:type="pct"/>
            <w:noWrap/>
            <w:hideMark/>
          </w:tcPr>
          <w:p w14:paraId="3A8F5259"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2023</w:t>
            </w:r>
          </w:p>
        </w:tc>
        <w:tc>
          <w:tcPr>
            <w:tcW w:w="478" w:type="pct"/>
            <w:noWrap/>
            <w:hideMark/>
          </w:tcPr>
          <w:p w14:paraId="2756E365"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2024</w:t>
            </w:r>
          </w:p>
        </w:tc>
        <w:tc>
          <w:tcPr>
            <w:tcW w:w="478" w:type="pct"/>
            <w:noWrap/>
            <w:hideMark/>
          </w:tcPr>
          <w:p w14:paraId="4B5E62F9"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2025</w:t>
            </w:r>
          </w:p>
        </w:tc>
      </w:tr>
      <w:tr w:rsidR="00664A03" w:rsidRPr="00E805AD" w14:paraId="7FEDF92A" w14:textId="77777777" w:rsidTr="00664A03">
        <w:trPr>
          <w:trHeight w:val="300"/>
        </w:trPr>
        <w:tc>
          <w:tcPr>
            <w:tcW w:w="1066" w:type="pct"/>
            <w:noWrap/>
            <w:hideMark/>
          </w:tcPr>
          <w:p w14:paraId="65F740D1"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Earnings per Share (EPS)</w:t>
            </w:r>
          </w:p>
        </w:tc>
        <w:tc>
          <w:tcPr>
            <w:tcW w:w="1544" w:type="pct"/>
            <w:noWrap/>
            <w:hideMark/>
          </w:tcPr>
          <w:p w14:paraId="597E8072"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Net Income / Shares Outstanding</w:t>
            </w:r>
          </w:p>
        </w:tc>
        <w:tc>
          <w:tcPr>
            <w:tcW w:w="478" w:type="pct"/>
            <w:noWrap/>
            <w:hideMark/>
          </w:tcPr>
          <w:p w14:paraId="65126C2E"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0.78</w:t>
            </w:r>
          </w:p>
        </w:tc>
        <w:tc>
          <w:tcPr>
            <w:tcW w:w="478" w:type="pct"/>
            <w:noWrap/>
            <w:hideMark/>
          </w:tcPr>
          <w:p w14:paraId="0ECD0797"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4.15</w:t>
            </w:r>
          </w:p>
        </w:tc>
        <w:tc>
          <w:tcPr>
            <w:tcW w:w="478" w:type="pct"/>
            <w:noWrap/>
            <w:hideMark/>
          </w:tcPr>
          <w:p w14:paraId="6AA8EE64"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-4.52</w:t>
            </w:r>
          </w:p>
        </w:tc>
        <w:tc>
          <w:tcPr>
            <w:tcW w:w="478" w:type="pct"/>
            <w:noWrap/>
            <w:hideMark/>
          </w:tcPr>
          <w:p w14:paraId="6DCE578E"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-0.79</w:t>
            </w:r>
          </w:p>
        </w:tc>
        <w:tc>
          <w:tcPr>
            <w:tcW w:w="478" w:type="pct"/>
            <w:noWrap/>
            <w:hideMark/>
          </w:tcPr>
          <w:p w14:paraId="2001CBA3"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-0.69</w:t>
            </w:r>
          </w:p>
        </w:tc>
      </w:tr>
    </w:tbl>
    <w:p w14:paraId="3574692C" w14:textId="77777777" w:rsidR="00664A03" w:rsidRPr="00E805AD" w:rsidRDefault="00664A03" w:rsidP="00E805AD">
      <w:pPr>
        <w:spacing w:after="240" w:line="360" w:lineRule="auto"/>
        <w:jc w:val="both"/>
        <w:rPr>
          <w:rFonts w:eastAsia="Times New Roman"/>
          <w:sz w:val="24"/>
          <w:szCs w:val="24"/>
        </w:rPr>
      </w:pPr>
    </w:p>
    <w:p w14:paraId="634A2F95" w14:textId="43B75357" w:rsidR="00E705F4" w:rsidRPr="00E805AD" w:rsidRDefault="00E705F4" w:rsidP="00E805AD">
      <w:pPr>
        <w:spacing w:after="240" w:line="360" w:lineRule="auto"/>
        <w:jc w:val="center"/>
        <w:rPr>
          <w:rFonts w:eastAsia="Times New Roman"/>
          <w:sz w:val="24"/>
          <w:szCs w:val="24"/>
        </w:rPr>
      </w:pPr>
      <w:r w:rsidRPr="00E805AD">
        <w:rPr>
          <w:noProof/>
          <w:lang w:val="en-IN" w:eastAsia="en-IN" w:bidi="hi-IN"/>
        </w:rPr>
        <w:drawing>
          <wp:inline distT="0" distB="0" distL="0" distR="0" wp14:anchorId="6B050FD6" wp14:editId="3C3D7FC6">
            <wp:extent cx="4572000" cy="2743200"/>
            <wp:effectExtent l="0" t="0" r="0" b="0"/>
            <wp:docPr id="1850885571" name="Chart 1">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http://schemas.microsoft.com/office/drawing/2014/chartex" xmlns="" id="{42785EEE-5339-3D59-7835-18D6F69D11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1"/>
              </a:graphicData>
            </a:graphic>
          </wp:inline>
        </w:drawing>
      </w:r>
    </w:p>
    <w:tbl>
      <w:tblPr>
        <w:tblStyle w:val="TableGrid"/>
        <w:tblW w:w="5000" w:type="pct"/>
        <w:tblLook w:val="04A0" w:firstRow="1" w:lastRow="0" w:firstColumn="1" w:lastColumn="0" w:noHBand="0" w:noVBand="1"/>
      </w:tblPr>
      <w:tblGrid>
        <w:gridCol w:w="3075"/>
        <w:gridCol w:w="2569"/>
        <w:gridCol w:w="675"/>
        <w:gridCol w:w="675"/>
        <w:gridCol w:w="675"/>
        <w:gridCol w:w="675"/>
        <w:gridCol w:w="675"/>
      </w:tblGrid>
      <w:tr w:rsidR="00664A03" w:rsidRPr="00E805AD" w14:paraId="096F3378" w14:textId="77777777" w:rsidTr="00664A03">
        <w:trPr>
          <w:trHeight w:val="300"/>
        </w:trPr>
        <w:tc>
          <w:tcPr>
            <w:tcW w:w="1228" w:type="pct"/>
            <w:noWrap/>
            <w:hideMark/>
          </w:tcPr>
          <w:p w14:paraId="221FCD79" w14:textId="77777777" w:rsidR="00664A03" w:rsidRPr="00E805AD" w:rsidRDefault="00664A03" w:rsidP="00E805AD">
            <w:pPr>
              <w:spacing w:after="240" w:line="360" w:lineRule="auto"/>
              <w:rPr>
                <w:rFonts w:eastAsia="Times New Roman"/>
                <w:b/>
                <w:bCs/>
                <w:color w:val="000000"/>
                <w:sz w:val="24"/>
                <w:szCs w:val="24"/>
                <w:lang w:val="en-US"/>
              </w:rPr>
            </w:pPr>
            <w:r w:rsidRPr="00E805AD">
              <w:rPr>
                <w:rFonts w:eastAsia="Times New Roman"/>
                <w:b/>
                <w:bCs/>
                <w:color w:val="000000"/>
                <w:sz w:val="24"/>
                <w:szCs w:val="24"/>
                <w:lang w:val="en-US"/>
              </w:rPr>
              <w:t>F. Cash Flow Ratios</w:t>
            </w:r>
          </w:p>
        </w:tc>
        <w:tc>
          <w:tcPr>
            <w:tcW w:w="1480" w:type="pct"/>
            <w:noWrap/>
            <w:hideMark/>
          </w:tcPr>
          <w:p w14:paraId="391A575A" w14:textId="77777777" w:rsidR="00664A03" w:rsidRPr="00E805AD" w:rsidRDefault="00664A03" w:rsidP="00E805AD">
            <w:pPr>
              <w:spacing w:after="240" w:line="360" w:lineRule="auto"/>
              <w:rPr>
                <w:rFonts w:eastAsia="Times New Roman"/>
                <w:b/>
                <w:bCs/>
                <w:color w:val="000000"/>
                <w:sz w:val="24"/>
                <w:szCs w:val="24"/>
                <w:lang w:val="en-US"/>
              </w:rPr>
            </w:pPr>
            <w:r w:rsidRPr="00E805AD">
              <w:rPr>
                <w:rFonts w:eastAsia="Times New Roman"/>
                <w:b/>
                <w:bCs/>
                <w:color w:val="000000"/>
                <w:sz w:val="24"/>
                <w:szCs w:val="24"/>
                <w:lang w:val="en-US"/>
              </w:rPr>
              <w:t>Formula</w:t>
            </w:r>
          </w:p>
        </w:tc>
        <w:tc>
          <w:tcPr>
            <w:tcW w:w="458" w:type="pct"/>
            <w:noWrap/>
            <w:hideMark/>
          </w:tcPr>
          <w:p w14:paraId="4295DA9B"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2021</w:t>
            </w:r>
          </w:p>
        </w:tc>
        <w:tc>
          <w:tcPr>
            <w:tcW w:w="458" w:type="pct"/>
            <w:noWrap/>
            <w:hideMark/>
          </w:tcPr>
          <w:p w14:paraId="09F04E05"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2022</w:t>
            </w:r>
          </w:p>
        </w:tc>
        <w:tc>
          <w:tcPr>
            <w:tcW w:w="458" w:type="pct"/>
            <w:noWrap/>
            <w:hideMark/>
          </w:tcPr>
          <w:p w14:paraId="62EDC3E5"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2023</w:t>
            </w:r>
          </w:p>
        </w:tc>
        <w:tc>
          <w:tcPr>
            <w:tcW w:w="458" w:type="pct"/>
            <w:noWrap/>
            <w:hideMark/>
          </w:tcPr>
          <w:p w14:paraId="56811D3A"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2024</w:t>
            </w:r>
          </w:p>
        </w:tc>
        <w:tc>
          <w:tcPr>
            <w:tcW w:w="458" w:type="pct"/>
            <w:noWrap/>
            <w:hideMark/>
          </w:tcPr>
          <w:p w14:paraId="324B2FA2" w14:textId="77777777" w:rsidR="00664A03" w:rsidRPr="00E805AD" w:rsidRDefault="00664A03" w:rsidP="00E805AD">
            <w:pPr>
              <w:spacing w:after="240" w:line="360" w:lineRule="auto"/>
              <w:jc w:val="center"/>
              <w:rPr>
                <w:rFonts w:eastAsia="Times New Roman"/>
                <w:b/>
                <w:bCs/>
                <w:i/>
                <w:iCs/>
                <w:color w:val="000000"/>
                <w:sz w:val="24"/>
                <w:szCs w:val="24"/>
                <w:lang w:val="en-US"/>
              </w:rPr>
            </w:pPr>
            <w:r w:rsidRPr="00E805AD">
              <w:rPr>
                <w:rFonts w:eastAsia="Times New Roman"/>
                <w:b/>
                <w:bCs/>
                <w:i/>
                <w:iCs/>
                <w:color w:val="000000"/>
                <w:sz w:val="24"/>
                <w:szCs w:val="24"/>
                <w:lang w:val="en-US"/>
              </w:rPr>
              <w:t>2025</w:t>
            </w:r>
          </w:p>
        </w:tc>
      </w:tr>
      <w:tr w:rsidR="00664A03" w:rsidRPr="00E805AD" w14:paraId="4F0FAD17" w14:textId="77777777" w:rsidTr="00664A03">
        <w:trPr>
          <w:trHeight w:val="300"/>
        </w:trPr>
        <w:tc>
          <w:tcPr>
            <w:tcW w:w="1228" w:type="pct"/>
            <w:noWrap/>
            <w:hideMark/>
          </w:tcPr>
          <w:p w14:paraId="0A163F5D"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lastRenderedPageBreak/>
              <w:t>Operating Cash Flow Margin</w:t>
            </w:r>
          </w:p>
        </w:tc>
        <w:tc>
          <w:tcPr>
            <w:tcW w:w="1480" w:type="pct"/>
            <w:noWrap/>
            <w:hideMark/>
          </w:tcPr>
          <w:p w14:paraId="1289922D"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CFO / Revenue</w:t>
            </w:r>
          </w:p>
        </w:tc>
        <w:tc>
          <w:tcPr>
            <w:tcW w:w="458" w:type="pct"/>
            <w:noWrap/>
            <w:hideMark/>
          </w:tcPr>
          <w:p w14:paraId="42B99573"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0.08</w:t>
            </w:r>
          </w:p>
        </w:tc>
        <w:tc>
          <w:tcPr>
            <w:tcW w:w="458" w:type="pct"/>
            <w:noWrap/>
            <w:hideMark/>
          </w:tcPr>
          <w:p w14:paraId="64A73318"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0.11</w:t>
            </w:r>
          </w:p>
        </w:tc>
        <w:tc>
          <w:tcPr>
            <w:tcW w:w="458" w:type="pct"/>
            <w:noWrap/>
            <w:hideMark/>
          </w:tcPr>
          <w:p w14:paraId="7D600325"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0.13</w:t>
            </w:r>
          </w:p>
        </w:tc>
        <w:tc>
          <w:tcPr>
            <w:tcW w:w="458" w:type="pct"/>
            <w:noWrap/>
            <w:hideMark/>
          </w:tcPr>
          <w:p w14:paraId="6765A411"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0.11</w:t>
            </w:r>
          </w:p>
        </w:tc>
        <w:tc>
          <w:tcPr>
            <w:tcW w:w="458" w:type="pct"/>
            <w:noWrap/>
            <w:hideMark/>
          </w:tcPr>
          <w:p w14:paraId="4154034E"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0.12</w:t>
            </w:r>
          </w:p>
        </w:tc>
      </w:tr>
      <w:tr w:rsidR="00664A03" w:rsidRPr="00E805AD" w14:paraId="7434D394" w14:textId="77777777" w:rsidTr="00664A03">
        <w:trPr>
          <w:trHeight w:val="300"/>
        </w:trPr>
        <w:tc>
          <w:tcPr>
            <w:tcW w:w="1228" w:type="pct"/>
            <w:noWrap/>
            <w:hideMark/>
          </w:tcPr>
          <w:p w14:paraId="27701875"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Operating Cash Flow to Assets</w:t>
            </w:r>
          </w:p>
        </w:tc>
        <w:tc>
          <w:tcPr>
            <w:tcW w:w="1480" w:type="pct"/>
            <w:noWrap/>
            <w:hideMark/>
          </w:tcPr>
          <w:p w14:paraId="126716D3"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CFO / Total Assets</w:t>
            </w:r>
          </w:p>
        </w:tc>
        <w:tc>
          <w:tcPr>
            <w:tcW w:w="458" w:type="pct"/>
            <w:noWrap/>
            <w:hideMark/>
          </w:tcPr>
          <w:p w14:paraId="17E359B9"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0.05</w:t>
            </w:r>
          </w:p>
        </w:tc>
        <w:tc>
          <w:tcPr>
            <w:tcW w:w="458" w:type="pct"/>
            <w:noWrap/>
            <w:hideMark/>
          </w:tcPr>
          <w:p w14:paraId="07F5C31C"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0.11</w:t>
            </w:r>
          </w:p>
        </w:tc>
        <w:tc>
          <w:tcPr>
            <w:tcW w:w="458" w:type="pct"/>
            <w:noWrap/>
            <w:hideMark/>
          </w:tcPr>
          <w:p w14:paraId="7A4AC5C9"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0.14</w:t>
            </w:r>
          </w:p>
        </w:tc>
        <w:tc>
          <w:tcPr>
            <w:tcW w:w="458" w:type="pct"/>
            <w:noWrap/>
            <w:hideMark/>
          </w:tcPr>
          <w:p w14:paraId="2192AE33"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0.12</w:t>
            </w:r>
          </w:p>
        </w:tc>
        <w:tc>
          <w:tcPr>
            <w:tcW w:w="458" w:type="pct"/>
            <w:noWrap/>
            <w:hideMark/>
          </w:tcPr>
          <w:p w14:paraId="1331AFE0"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0.13</w:t>
            </w:r>
          </w:p>
        </w:tc>
      </w:tr>
      <w:tr w:rsidR="00664A03" w:rsidRPr="00E805AD" w14:paraId="18960A35" w14:textId="77777777" w:rsidTr="00664A03">
        <w:trPr>
          <w:trHeight w:val="300"/>
        </w:trPr>
        <w:tc>
          <w:tcPr>
            <w:tcW w:w="1228" w:type="pct"/>
            <w:noWrap/>
            <w:hideMark/>
          </w:tcPr>
          <w:p w14:paraId="29A5BF3E"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Cash Flow to Current Liabilities</w:t>
            </w:r>
          </w:p>
        </w:tc>
        <w:tc>
          <w:tcPr>
            <w:tcW w:w="1480" w:type="pct"/>
            <w:noWrap/>
            <w:hideMark/>
          </w:tcPr>
          <w:p w14:paraId="56A66558"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CFO / Current Liabilities</w:t>
            </w:r>
          </w:p>
        </w:tc>
        <w:tc>
          <w:tcPr>
            <w:tcW w:w="458" w:type="pct"/>
            <w:noWrap/>
            <w:hideMark/>
          </w:tcPr>
          <w:p w14:paraId="488AC72C"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0.05</w:t>
            </w:r>
          </w:p>
        </w:tc>
        <w:tc>
          <w:tcPr>
            <w:tcW w:w="458" w:type="pct"/>
            <w:noWrap/>
            <w:hideMark/>
          </w:tcPr>
          <w:p w14:paraId="0F07B389"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0.10</w:t>
            </w:r>
          </w:p>
        </w:tc>
        <w:tc>
          <w:tcPr>
            <w:tcW w:w="458" w:type="pct"/>
            <w:noWrap/>
            <w:hideMark/>
          </w:tcPr>
          <w:p w14:paraId="357F4C5D"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0.12</w:t>
            </w:r>
          </w:p>
        </w:tc>
        <w:tc>
          <w:tcPr>
            <w:tcW w:w="458" w:type="pct"/>
            <w:noWrap/>
            <w:hideMark/>
          </w:tcPr>
          <w:p w14:paraId="6FA14B19"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0.10</w:t>
            </w:r>
          </w:p>
        </w:tc>
        <w:tc>
          <w:tcPr>
            <w:tcW w:w="458" w:type="pct"/>
            <w:noWrap/>
            <w:hideMark/>
          </w:tcPr>
          <w:p w14:paraId="19CAEA95"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0.12</w:t>
            </w:r>
          </w:p>
        </w:tc>
      </w:tr>
      <w:tr w:rsidR="00664A03" w:rsidRPr="00E805AD" w14:paraId="5B4EA528" w14:textId="77777777" w:rsidTr="00664A03">
        <w:trPr>
          <w:trHeight w:val="300"/>
        </w:trPr>
        <w:tc>
          <w:tcPr>
            <w:tcW w:w="1228" w:type="pct"/>
            <w:noWrap/>
            <w:hideMark/>
          </w:tcPr>
          <w:p w14:paraId="4F124FF2"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Net Cash Flow Ratio</w:t>
            </w:r>
          </w:p>
        </w:tc>
        <w:tc>
          <w:tcPr>
            <w:tcW w:w="1480" w:type="pct"/>
            <w:noWrap/>
            <w:hideMark/>
          </w:tcPr>
          <w:p w14:paraId="0C91D5B4" w14:textId="77777777" w:rsidR="00664A03" w:rsidRPr="00E805AD" w:rsidRDefault="00664A03"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Net Cash Flow / Revenue</w:t>
            </w:r>
          </w:p>
        </w:tc>
        <w:tc>
          <w:tcPr>
            <w:tcW w:w="458" w:type="pct"/>
            <w:noWrap/>
            <w:hideMark/>
          </w:tcPr>
          <w:p w14:paraId="51C00540"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0.00</w:t>
            </w:r>
          </w:p>
        </w:tc>
        <w:tc>
          <w:tcPr>
            <w:tcW w:w="458" w:type="pct"/>
            <w:noWrap/>
            <w:hideMark/>
          </w:tcPr>
          <w:p w14:paraId="4E963E31"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0.00</w:t>
            </w:r>
          </w:p>
        </w:tc>
        <w:tc>
          <w:tcPr>
            <w:tcW w:w="458" w:type="pct"/>
            <w:noWrap/>
            <w:hideMark/>
          </w:tcPr>
          <w:p w14:paraId="74DCC4C0"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0.00</w:t>
            </w:r>
          </w:p>
        </w:tc>
        <w:tc>
          <w:tcPr>
            <w:tcW w:w="458" w:type="pct"/>
            <w:noWrap/>
            <w:hideMark/>
          </w:tcPr>
          <w:p w14:paraId="5474E99E"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0.00</w:t>
            </w:r>
          </w:p>
        </w:tc>
        <w:tc>
          <w:tcPr>
            <w:tcW w:w="458" w:type="pct"/>
            <w:noWrap/>
            <w:hideMark/>
          </w:tcPr>
          <w:p w14:paraId="24333395" w14:textId="77777777" w:rsidR="00664A03" w:rsidRPr="00E805AD" w:rsidRDefault="00664A03"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0.00</w:t>
            </w:r>
          </w:p>
        </w:tc>
      </w:tr>
    </w:tbl>
    <w:p w14:paraId="68B943DB" w14:textId="77777777" w:rsidR="00664A03" w:rsidRPr="00E805AD" w:rsidRDefault="00664A03" w:rsidP="00E805AD">
      <w:pPr>
        <w:spacing w:after="200" w:line="360" w:lineRule="auto"/>
        <w:jc w:val="both"/>
        <w:rPr>
          <w:rFonts w:eastAsia="Times New Roman"/>
          <w:sz w:val="24"/>
          <w:szCs w:val="24"/>
        </w:rPr>
      </w:pPr>
    </w:p>
    <w:p w14:paraId="24A0A3D6" w14:textId="51B0797E" w:rsidR="00E705F4" w:rsidRPr="00E805AD" w:rsidRDefault="00E705F4" w:rsidP="00E805AD">
      <w:pPr>
        <w:spacing w:after="200" w:line="360" w:lineRule="auto"/>
        <w:jc w:val="center"/>
        <w:rPr>
          <w:rFonts w:eastAsia="Times New Roman"/>
          <w:sz w:val="24"/>
          <w:szCs w:val="24"/>
        </w:rPr>
      </w:pPr>
      <w:r w:rsidRPr="00E805AD">
        <w:rPr>
          <w:noProof/>
          <w:lang w:val="en-IN" w:eastAsia="en-IN" w:bidi="hi-IN"/>
        </w:rPr>
        <w:drawing>
          <wp:inline distT="0" distB="0" distL="0" distR="0" wp14:anchorId="7A31A54C" wp14:editId="5D9F3C3C">
            <wp:extent cx="4572000" cy="2743200"/>
            <wp:effectExtent l="0" t="0" r="0" b="0"/>
            <wp:docPr id="1544901657" name="Chart 1">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http://schemas.microsoft.com/office/drawing/2014/chartex" xmlns="" id="{09294927-FD0C-52D1-240B-52503C8CCC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2"/>
              </a:graphicData>
            </a:graphic>
          </wp:inline>
        </w:drawing>
      </w:r>
    </w:p>
    <w:p w14:paraId="2160C9AC" w14:textId="19257DF4" w:rsidR="00664A03" w:rsidRPr="00E805AD" w:rsidRDefault="00664A03" w:rsidP="00E805AD">
      <w:pPr>
        <w:spacing w:line="360" w:lineRule="auto"/>
        <w:rPr>
          <w:rFonts w:eastAsia="Times New Roman"/>
          <w:sz w:val="24"/>
          <w:szCs w:val="24"/>
        </w:rPr>
      </w:pPr>
      <w:r w:rsidRPr="00E805AD">
        <w:rPr>
          <w:rFonts w:eastAsia="Times New Roman"/>
          <w:sz w:val="24"/>
          <w:szCs w:val="24"/>
        </w:rPr>
        <w:br w:type="page"/>
      </w:r>
    </w:p>
    <w:p w14:paraId="4E5DA6C9" w14:textId="2DD3CF37" w:rsidR="00664A03" w:rsidRPr="00E805AD" w:rsidRDefault="00664A03" w:rsidP="00E805AD">
      <w:pPr>
        <w:pStyle w:val="Heading2"/>
      </w:pPr>
      <w:bookmarkStart w:id="27" w:name="_Toc234863830"/>
      <w:r w:rsidRPr="00E805AD">
        <w:lastRenderedPageBreak/>
        <w:t xml:space="preserve">Appendix B: </w:t>
      </w:r>
      <w:r w:rsidR="00CF29AB" w:rsidRPr="00E805AD">
        <w:t>Investment appraisal calculations</w:t>
      </w:r>
      <w:bookmarkEnd w:id="27"/>
    </w:p>
    <w:p w14:paraId="1260B97B" w14:textId="0854B9C8" w:rsidR="00CF29AB" w:rsidRPr="00E805AD" w:rsidRDefault="00CF29AB" w:rsidP="00E805AD">
      <w:pPr>
        <w:spacing w:after="240" w:line="360" w:lineRule="auto"/>
        <w:jc w:val="both"/>
        <w:rPr>
          <w:rFonts w:eastAsia="Times New Roman"/>
          <w:b/>
          <w:bCs/>
          <w:i/>
          <w:iCs/>
          <w:sz w:val="24"/>
          <w:szCs w:val="24"/>
        </w:rPr>
      </w:pPr>
      <w:r w:rsidRPr="00E805AD">
        <w:rPr>
          <w:rFonts w:eastAsia="Times New Roman"/>
          <w:b/>
          <w:bCs/>
          <w:i/>
          <w:iCs/>
          <w:sz w:val="24"/>
          <w:szCs w:val="24"/>
        </w:rPr>
        <w:t>Project A</w:t>
      </w:r>
    </w:p>
    <w:tbl>
      <w:tblPr>
        <w:tblW w:w="9080" w:type="dxa"/>
        <w:tblLook w:val="04A0" w:firstRow="1" w:lastRow="0" w:firstColumn="1" w:lastColumn="0" w:noHBand="0" w:noVBand="1"/>
      </w:tblPr>
      <w:tblGrid>
        <w:gridCol w:w="723"/>
        <w:gridCol w:w="1940"/>
        <w:gridCol w:w="2020"/>
        <w:gridCol w:w="1920"/>
        <w:gridCol w:w="2680"/>
      </w:tblGrid>
      <w:tr w:rsidR="00CF29AB" w:rsidRPr="00E805AD" w14:paraId="4BCF72DB" w14:textId="77777777" w:rsidTr="00CF29AB">
        <w:trPr>
          <w:trHeight w:val="300"/>
        </w:trPr>
        <w:tc>
          <w:tcPr>
            <w:tcW w:w="520" w:type="dxa"/>
            <w:tcBorders>
              <w:top w:val="single" w:sz="8" w:space="0" w:color="auto"/>
              <w:left w:val="single" w:sz="8" w:space="0" w:color="auto"/>
              <w:bottom w:val="single" w:sz="4" w:space="0" w:color="auto"/>
              <w:right w:val="single" w:sz="4" w:space="0" w:color="auto"/>
            </w:tcBorders>
            <w:noWrap/>
            <w:vAlign w:val="bottom"/>
            <w:hideMark/>
          </w:tcPr>
          <w:p w14:paraId="6C422283"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Year</w:t>
            </w:r>
          </w:p>
        </w:tc>
        <w:tc>
          <w:tcPr>
            <w:tcW w:w="1940" w:type="dxa"/>
            <w:tcBorders>
              <w:top w:val="single" w:sz="8" w:space="0" w:color="auto"/>
              <w:left w:val="nil"/>
              <w:bottom w:val="single" w:sz="4" w:space="0" w:color="auto"/>
              <w:right w:val="single" w:sz="4" w:space="0" w:color="auto"/>
            </w:tcBorders>
            <w:noWrap/>
            <w:vAlign w:val="bottom"/>
            <w:hideMark/>
          </w:tcPr>
          <w:p w14:paraId="4032F713"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Net Cash Flow (£m)</w:t>
            </w:r>
          </w:p>
        </w:tc>
        <w:tc>
          <w:tcPr>
            <w:tcW w:w="2020" w:type="dxa"/>
            <w:tcBorders>
              <w:top w:val="single" w:sz="8" w:space="0" w:color="auto"/>
              <w:left w:val="nil"/>
              <w:bottom w:val="single" w:sz="4" w:space="0" w:color="auto"/>
              <w:right w:val="single" w:sz="4" w:space="0" w:color="auto"/>
            </w:tcBorders>
            <w:noWrap/>
            <w:vAlign w:val="bottom"/>
            <w:hideMark/>
          </w:tcPr>
          <w:p w14:paraId="7E3D62F3"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Discount Factor (8%)</w:t>
            </w:r>
          </w:p>
        </w:tc>
        <w:tc>
          <w:tcPr>
            <w:tcW w:w="1920" w:type="dxa"/>
            <w:tcBorders>
              <w:top w:val="single" w:sz="8" w:space="0" w:color="auto"/>
              <w:left w:val="nil"/>
              <w:bottom w:val="single" w:sz="4" w:space="0" w:color="auto"/>
              <w:right w:val="single" w:sz="4" w:space="0" w:color="auto"/>
            </w:tcBorders>
            <w:noWrap/>
            <w:vAlign w:val="bottom"/>
            <w:hideMark/>
          </w:tcPr>
          <w:p w14:paraId="1409F652"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Present Value (£m)</w:t>
            </w:r>
          </w:p>
        </w:tc>
        <w:tc>
          <w:tcPr>
            <w:tcW w:w="2680" w:type="dxa"/>
            <w:tcBorders>
              <w:top w:val="single" w:sz="8" w:space="0" w:color="auto"/>
              <w:left w:val="nil"/>
              <w:bottom w:val="single" w:sz="4" w:space="0" w:color="auto"/>
              <w:right w:val="single" w:sz="8" w:space="0" w:color="auto"/>
            </w:tcBorders>
            <w:noWrap/>
            <w:vAlign w:val="bottom"/>
            <w:hideMark/>
          </w:tcPr>
          <w:p w14:paraId="5D3B6CF2"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Cumulative Cash Flow (£m)</w:t>
            </w:r>
          </w:p>
        </w:tc>
      </w:tr>
      <w:tr w:rsidR="00CF29AB" w:rsidRPr="00E805AD" w14:paraId="77B279B9" w14:textId="77777777" w:rsidTr="00CF29AB">
        <w:trPr>
          <w:trHeight w:val="300"/>
        </w:trPr>
        <w:tc>
          <w:tcPr>
            <w:tcW w:w="520" w:type="dxa"/>
            <w:tcBorders>
              <w:top w:val="nil"/>
              <w:left w:val="single" w:sz="8" w:space="0" w:color="auto"/>
              <w:bottom w:val="single" w:sz="4" w:space="0" w:color="auto"/>
              <w:right w:val="single" w:sz="4" w:space="0" w:color="auto"/>
            </w:tcBorders>
            <w:noWrap/>
            <w:vAlign w:val="bottom"/>
            <w:hideMark/>
          </w:tcPr>
          <w:p w14:paraId="70760775"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0</w:t>
            </w:r>
          </w:p>
        </w:tc>
        <w:tc>
          <w:tcPr>
            <w:tcW w:w="1940" w:type="dxa"/>
            <w:tcBorders>
              <w:top w:val="nil"/>
              <w:left w:val="nil"/>
              <w:bottom w:val="single" w:sz="4" w:space="0" w:color="auto"/>
              <w:right w:val="single" w:sz="4" w:space="0" w:color="auto"/>
            </w:tcBorders>
            <w:noWrap/>
            <w:vAlign w:val="bottom"/>
            <w:hideMark/>
          </w:tcPr>
          <w:p w14:paraId="7B0913C7"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-50</w:t>
            </w:r>
          </w:p>
        </w:tc>
        <w:tc>
          <w:tcPr>
            <w:tcW w:w="2020" w:type="dxa"/>
            <w:tcBorders>
              <w:top w:val="nil"/>
              <w:left w:val="nil"/>
              <w:bottom w:val="single" w:sz="4" w:space="0" w:color="auto"/>
              <w:right w:val="single" w:sz="4" w:space="0" w:color="auto"/>
            </w:tcBorders>
            <w:noWrap/>
            <w:vAlign w:val="bottom"/>
            <w:hideMark/>
          </w:tcPr>
          <w:p w14:paraId="2648B84C"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w:t>
            </w:r>
          </w:p>
        </w:tc>
        <w:tc>
          <w:tcPr>
            <w:tcW w:w="1920" w:type="dxa"/>
            <w:tcBorders>
              <w:top w:val="nil"/>
              <w:left w:val="nil"/>
              <w:bottom w:val="single" w:sz="4" w:space="0" w:color="auto"/>
              <w:right w:val="single" w:sz="4" w:space="0" w:color="auto"/>
            </w:tcBorders>
            <w:noWrap/>
            <w:vAlign w:val="bottom"/>
            <w:hideMark/>
          </w:tcPr>
          <w:p w14:paraId="4ED310F4"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-50</w:t>
            </w:r>
          </w:p>
        </w:tc>
        <w:tc>
          <w:tcPr>
            <w:tcW w:w="2680" w:type="dxa"/>
            <w:tcBorders>
              <w:top w:val="nil"/>
              <w:left w:val="nil"/>
              <w:bottom w:val="single" w:sz="4" w:space="0" w:color="auto"/>
              <w:right w:val="single" w:sz="8" w:space="0" w:color="auto"/>
            </w:tcBorders>
            <w:noWrap/>
            <w:vAlign w:val="bottom"/>
            <w:hideMark/>
          </w:tcPr>
          <w:p w14:paraId="123E3636"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-50</w:t>
            </w:r>
          </w:p>
        </w:tc>
      </w:tr>
      <w:tr w:rsidR="00CF29AB" w:rsidRPr="00E805AD" w14:paraId="47196DE1" w14:textId="77777777" w:rsidTr="00CF29AB">
        <w:trPr>
          <w:trHeight w:val="300"/>
        </w:trPr>
        <w:tc>
          <w:tcPr>
            <w:tcW w:w="520" w:type="dxa"/>
            <w:tcBorders>
              <w:top w:val="nil"/>
              <w:left w:val="single" w:sz="8" w:space="0" w:color="auto"/>
              <w:bottom w:val="single" w:sz="4" w:space="0" w:color="auto"/>
              <w:right w:val="single" w:sz="4" w:space="0" w:color="auto"/>
            </w:tcBorders>
            <w:noWrap/>
            <w:vAlign w:val="bottom"/>
            <w:hideMark/>
          </w:tcPr>
          <w:p w14:paraId="14F4B2AF"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1</w:t>
            </w:r>
          </w:p>
        </w:tc>
        <w:tc>
          <w:tcPr>
            <w:tcW w:w="1940" w:type="dxa"/>
            <w:tcBorders>
              <w:top w:val="nil"/>
              <w:left w:val="nil"/>
              <w:bottom w:val="single" w:sz="4" w:space="0" w:color="auto"/>
              <w:right w:val="single" w:sz="4" w:space="0" w:color="auto"/>
            </w:tcBorders>
            <w:noWrap/>
            <w:vAlign w:val="bottom"/>
            <w:hideMark/>
          </w:tcPr>
          <w:p w14:paraId="0A779C73"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10</w:t>
            </w:r>
          </w:p>
        </w:tc>
        <w:tc>
          <w:tcPr>
            <w:tcW w:w="2020" w:type="dxa"/>
            <w:tcBorders>
              <w:top w:val="nil"/>
              <w:left w:val="nil"/>
              <w:bottom w:val="single" w:sz="4" w:space="0" w:color="auto"/>
              <w:right w:val="single" w:sz="4" w:space="0" w:color="auto"/>
            </w:tcBorders>
            <w:noWrap/>
            <w:vAlign w:val="bottom"/>
            <w:hideMark/>
          </w:tcPr>
          <w:p w14:paraId="29B99616"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0.090909091</w:t>
            </w:r>
          </w:p>
        </w:tc>
        <w:tc>
          <w:tcPr>
            <w:tcW w:w="1920" w:type="dxa"/>
            <w:tcBorders>
              <w:top w:val="nil"/>
              <w:left w:val="nil"/>
              <w:bottom w:val="single" w:sz="4" w:space="0" w:color="auto"/>
              <w:right w:val="single" w:sz="4" w:space="0" w:color="auto"/>
            </w:tcBorders>
            <w:noWrap/>
            <w:vAlign w:val="bottom"/>
            <w:hideMark/>
          </w:tcPr>
          <w:p w14:paraId="4FBF8735"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0.909090909</w:t>
            </w:r>
          </w:p>
        </w:tc>
        <w:tc>
          <w:tcPr>
            <w:tcW w:w="2680" w:type="dxa"/>
            <w:tcBorders>
              <w:top w:val="nil"/>
              <w:left w:val="nil"/>
              <w:bottom w:val="single" w:sz="4" w:space="0" w:color="auto"/>
              <w:right w:val="single" w:sz="8" w:space="0" w:color="auto"/>
            </w:tcBorders>
            <w:noWrap/>
            <w:vAlign w:val="bottom"/>
            <w:hideMark/>
          </w:tcPr>
          <w:p w14:paraId="01B2E575"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-40</w:t>
            </w:r>
          </w:p>
        </w:tc>
      </w:tr>
      <w:tr w:rsidR="00CF29AB" w:rsidRPr="00E805AD" w14:paraId="201CE4E5" w14:textId="77777777" w:rsidTr="00CF29AB">
        <w:trPr>
          <w:trHeight w:val="300"/>
        </w:trPr>
        <w:tc>
          <w:tcPr>
            <w:tcW w:w="520" w:type="dxa"/>
            <w:tcBorders>
              <w:top w:val="nil"/>
              <w:left w:val="single" w:sz="8" w:space="0" w:color="auto"/>
              <w:bottom w:val="single" w:sz="4" w:space="0" w:color="auto"/>
              <w:right w:val="single" w:sz="4" w:space="0" w:color="auto"/>
            </w:tcBorders>
            <w:noWrap/>
            <w:vAlign w:val="bottom"/>
            <w:hideMark/>
          </w:tcPr>
          <w:p w14:paraId="3599294F"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2</w:t>
            </w:r>
          </w:p>
        </w:tc>
        <w:tc>
          <w:tcPr>
            <w:tcW w:w="1940" w:type="dxa"/>
            <w:tcBorders>
              <w:top w:val="nil"/>
              <w:left w:val="nil"/>
              <w:bottom w:val="single" w:sz="4" w:space="0" w:color="auto"/>
              <w:right w:val="single" w:sz="4" w:space="0" w:color="auto"/>
            </w:tcBorders>
            <w:noWrap/>
            <w:vAlign w:val="bottom"/>
            <w:hideMark/>
          </w:tcPr>
          <w:p w14:paraId="4FD27AA3"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12</w:t>
            </w:r>
          </w:p>
        </w:tc>
        <w:tc>
          <w:tcPr>
            <w:tcW w:w="2020" w:type="dxa"/>
            <w:tcBorders>
              <w:top w:val="nil"/>
              <w:left w:val="nil"/>
              <w:bottom w:val="single" w:sz="4" w:space="0" w:color="auto"/>
              <w:right w:val="single" w:sz="4" w:space="0" w:color="auto"/>
            </w:tcBorders>
            <w:noWrap/>
            <w:vAlign w:val="bottom"/>
            <w:hideMark/>
          </w:tcPr>
          <w:p w14:paraId="58B7AF3B"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0.00591716</w:t>
            </w:r>
          </w:p>
        </w:tc>
        <w:tc>
          <w:tcPr>
            <w:tcW w:w="1920" w:type="dxa"/>
            <w:tcBorders>
              <w:top w:val="nil"/>
              <w:left w:val="nil"/>
              <w:bottom w:val="single" w:sz="4" w:space="0" w:color="auto"/>
              <w:right w:val="single" w:sz="4" w:space="0" w:color="auto"/>
            </w:tcBorders>
            <w:noWrap/>
            <w:vAlign w:val="bottom"/>
            <w:hideMark/>
          </w:tcPr>
          <w:p w14:paraId="19CA597B"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0.071005917</w:t>
            </w:r>
          </w:p>
        </w:tc>
        <w:tc>
          <w:tcPr>
            <w:tcW w:w="2680" w:type="dxa"/>
            <w:tcBorders>
              <w:top w:val="nil"/>
              <w:left w:val="nil"/>
              <w:bottom w:val="single" w:sz="4" w:space="0" w:color="auto"/>
              <w:right w:val="single" w:sz="8" w:space="0" w:color="auto"/>
            </w:tcBorders>
            <w:noWrap/>
            <w:vAlign w:val="bottom"/>
            <w:hideMark/>
          </w:tcPr>
          <w:p w14:paraId="02D77E82"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-28</w:t>
            </w:r>
          </w:p>
        </w:tc>
      </w:tr>
      <w:tr w:rsidR="00CF29AB" w:rsidRPr="00E805AD" w14:paraId="67C52A84" w14:textId="77777777" w:rsidTr="00CF29AB">
        <w:trPr>
          <w:trHeight w:val="300"/>
        </w:trPr>
        <w:tc>
          <w:tcPr>
            <w:tcW w:w="520" w:type="dxa"/>
            <w:tcBorders>
              <w:top w:val="nil"/>
              <w:left w:val="single" w:sz="8" w:space="0" w:color="auto"/>
              <w:bottom w:val="single" w:sz="4" w:space="0" w:color="auto"/>
              <w:right w:val="single" w:sz="4" w:space="0" w:color="auto"/>
            </w:tcBorders>
            <w:noWrap/>
            <w:vAlign w:val="bottom"/>
            <w:hideMark/>
          </w:tcPr>
          <w:p w14:paraId="0F85EA5B"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3</w:t>
            </w:r>
          </w:p>
        </w:tc>
        <w:tc>
          <w:tcPr>
            <w:tcW w:w="1940" w:type="dxa"/>
            <w:tcBorders>
              <w:top w:val="nil"/>
              <w:left w:val="nil"/>
              <w:bottom w:val="single" w:sz="4" w:space="0" w:color="auto"/>
              <w:right w:val="single" w:sz="4" w:space="0" w:color="auto"/>
            </w:tcBorders>
            <w:noWrap/>
            <w:vAlign w:val="bottom"/>
            <w:hideMark/>
          </w:tcPr>
          <w:p w14:paraId="1F7C6247"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14</w:t>
            </w:r>
          </w:p>
        </w:tc>
        <w:tc>
          <w:tcPr>
            <w:tcW w:w="2020" w:type="dxa"/>
            <w:tcBorders>
              <w:top w:val="nil"/>
              <w:left w:val="nil"/>
              <w:bottom w:val="single" w:sz="4" w:space="0" w:color="auto"/>
              <w:right w:val="single" w:sz="4" w:space="0" w:color="auto"/>
            </w:tcBorders>
            <w:noWrap/>
            <w:vAlign w:val="bottom"/>
            <w:hideMark/>
          </w:tcPr>
          <w:p w14:paraId="01D300A2"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0.000296296</w:t>
            </w:r>
          </w:p>
        </w:tc>
        <w:tc>
          <w:tcPr>
            <w:tcW w:w="1920" w:type="dxa"/>
            <w:tcBorders>
              <w:top w:val="nil"/>
              <w:left w:val="nil"/>
              <w:bottom w:val="single" w:sz="4" w:space="0" w:color="auto"/>
              <w:right w:val="single" w:sz="4" w:space="0" w:color="auto"/>
            </w:tcBorders>
            <w:noWrap/>
            <w:vAlign w:val="bottom"/>
            <w:hideMark/>
          </w:tcPr>
          <w:p w14:paraId="16CBFB3B"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0.004148148</w:t>
            </w:r>
          </w:p>
        </w:tc>
        <w:tc>
          <w:tcPr>
            <w:tcW w:w="2680" w:type="dxa"/>
            <w:tcBorders>
              <w:top w:val="nil"/>
              <w:left w:val="nil"/>
              <w:bottom w:val="single" w:sz="4" w:space="0" w:color="auto"/>
              <w:right w:val="single" w:sz="8" w:space="0" w:color="auto"/>
            </w:tcBorders>
            <w:noWrap/>
            <w:vAlign w:val="bottom"/>
            <w:hideMark/>
          </w:tcPr>
          <w:p w14:paraId="2A71B8A4"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-14</w:t>
            </w:r>
          </w:p>
        </w:tc>
      </w:tr>
      <w:tr w:rsidR="00CF29AB" w:rsidRPr="00E805AD" w14:paraId="50FB483E" w14:textId="77777777" w:rsidTr="00CF29AB">
        <w:trPr>
          <w:trHeight w:val="300"/>
        </w:trPr>
        <w:tc>
          <w:tcPr>
            <w:tcW w:w="520" w:type="dxa"/>
            <w:tcBorders>
              <w:top w:val="nil"/>
              <w:left w:val="single" w:sz="8" w:space="0" w:color="auto"/>
              <w:bottom w:val="single" w:sz="4" w:space="0" w:color="auto"/>
              <w:right w:val="single" w:sz="4" w:space="0" w:color="auto"/>
            </w:tcBorders>
            <w:noWrap/>
            <w:vAlign w:val="bottom"/>
            <w:hideMark/>
          </w:tcPr>
          <w:p w14:paraId="11FCF9F9"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4</w:t>
            </w:r>
          </w:p>
        </w:tc>
        <w:tc>
          <w:tcPr>
            <w:tcW w:w="1940" w:type="dxa"/>
            <w:tcBorders>
              <w:top w:val="nil"/>
              <w:left w:val="nil"/>
              <w:bottom w:val="single" w:sz="4" w:space="0" w:color="auto"/>
              <w:right w:val="single" w:sz="4" w:space="0" w:color="auto"/>
            </w:tcBorders>
            <w:noWrap/>
            <w:vAlign w:val="bottom"/>
            <w:hideMark/>
          </w:tcPr>
          <w:p w14:paraId="310E8E24"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10</w:t>
            </w:r>
          </w:p>
        </w:tc>
        <w:tc>
          <w:tcPr>
            <w:tcW w:w="2020" w:type="dxa"/>
            <w:tcBorders>
              <w:top w:val="nil"/>
              <w:left w:val="nil"/>
              <w:bottom w:val="single" w:sz="4" w:space="0" w:color="auto"/>
              <w:right w:val="single" w:sz="4" w:space="0" w:color="auto"/>
            </w:tcBorders>
            <w:noWrap/>
            <w:vAlign w:val="bottom"/>
            <w:hideMark/>
          </w:tcPr>
          <w:p w14:paraId="166FB5E6"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6.83013E-05</w:t>
            </w:r>
          </w:p>
        </w:tc>
        <w:tc>
          <w:tcPr>
            <w:tcW w:w="1920" w:type="dxa"/>
            <w:tcBorders>
              <w:top w:val="nil"/>
              <w:left w:val="nil"/>
              <w:bottom w:val="single" w:sz="4" w:space="0" w:color="auto"/>
              <w:right w:val="single" w:sz="4" w:space="0" w:color="auto"/>
            </w:tcBorders>
            <w:noWrap/>
            <w:vAlign w:val="bottom"/>
            <w:hideMark/>
          </w:tcPr>
          <w:p w14:paraId="56A20295"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0.000683013</w:t>
            </w:r>
          </w:p>
        </w:tc>
        <w:tc>
          <w:tcPr>
            <w:tcW w:w="2680" w:type="dxa"/>
            <w:tcBorders>
              <w:top w:val="nil"/>
              <w:left w:val="nil"/>
              <w:bottom w:val="single" w:sz="4" w:space="0" w:color="auto"/>
              <w:right w:val="single" w:sz="8" w:space="0" w:color="auto"/>
            </w:tcBorders>
            <w:noWrap/>
            <w:vAlign w:val="bottom"/>
            <w:hideMark/>
          </w:tcPr>
          <w:p w14:paraId="2049F9A7"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-4</w:t>
            </w:r>
          </w:p>
        </w:tc>
      </w:tr>
      <w:tr w:rsidR="00CF29AB" w:rsidRPr="00E805AD" w14:paraId="3509269A" w14:textId="77777777" w:rsidTr="00CF29AB">
        <w:trPr>
          <w:trHeight w:val="300"/>
        </w:trPr>
        <w:tc>
          <w:tcPr>
            <w:tcW w:w="520" w:type="dxa"/>
            <w:tcBorders>
              <w:top w:val="nil"/>
              <w:left w:val="single" w:sz="8" w:space="0" w:color="auto"/>
              <w:bottom w:val="single" w:sz="4" w:space="0" w:color="auto"/>
              <w:right w:val="single" w:sz="4" w:space="0" w:color="auto"/>
            </w:tcBorders>
            <w:noWrap/>
            <w:vAlign w:val="bottom"/>
            <w:hideMark/>
          </w:tcPr>
          <w:p w14:paraId="530F64CA"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5</w:t>
            </w:r>
          </w:p>
        </w:tc>
        <w:tc>
          <w:tcPr>
            <w:tcW w:w="1940" w:type="dxa"/>
            <w:tcBorders>
              <w:top w:val="nil"/>
              <w:left w:val="nil"/>
              <w:bottom w:val="single" w:sz="4" w:space="0" w:color="auto"/>
              <w:right w:val="single" w:sz="4" w:space="0" w:color="auto"/>
            </w:tcBorders>
            <w:noWrap/>
            <w:vAlign w:val="bottom"/>
            <w:hideMark/>
          </w:tcPr>
          <w:p w14:paraId="109A734D"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8</w:t>
            </w:r>
          </w:p>
        </w:tc>
        <w:tc>
          <w:tcPr>
            <w:tcW w:w="2020" w:type="dxa"/>
            <w:tcBorders>
              <w:top w:val="nil"/>
              <w:left w:val="nil"/>
              <w:bottom w:val="single" w:sz="4" w:space="0" w:color="auto"/>
              <w:right w:val="single" w:sz="4" w:space="0" w:color="auto"/>
            </w:tcBorders>
            <w:noWrap/>
            <w:vAlign w:val="bottom"/>
            <w:hideMark/>
          </w:tcPr>
          <w:p w14:paraId="10460341"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1.69351E-05</w:t>
            </w:r>
          </w:p>
        </w:tc>
        <w:tc>
          <w:tcPr>
            <w:tcW w:w="1920" w:type="dxa"/>
            <w:tcBorders>
              <w:top w:val="nil"/>
              <w:left w:val="nil"/>
              <w:bottom w:val="single" w:sz="4" w:space="0" w:color="auto"/>
              <w:right w:val="single" w:sz="4" w:space="0" w:color="auto"/>
            </w:tcBorders>
            <w:noWrap/>
            <w:vAlign w:val="bottom"/>
            <w:hideMark/>
          </w:tcPr>
          <w:p w14:paraId="68F78384"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0.000135481</w:t>
            </w:r>
          </w:p>
        </w:tc>
        <w:tc>
          <w:tcPr>
            <w:tcW w:w="2680" w:type="dxa"/>
            <w:tcBorders>
              <w:top w:val="nil"/>
              <w:left w:val="nil"/>
              <w:bottom w:val="single" w:sz="4" w:space="0" w:color="auto"/>
              <w:right w:val="single" w:sz="8" w:space="0" w:color="auto"/>
            </w:tcBorders>
            <w:noWrap/>
            <w:vAlign w:val="bottom"/>
            <w:hideMark/>
          </w:tcPr>
          <w:p w14:paraId="7A7D53EA"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4</w:t>
            </w:r>
          </w:p>
        </w:tc>
      </w:tr>
      <w:tr w:rsidR="00CF29AB" w:rsidRPr="00E805AD" w14:paraId="68B9E501" w14:textId="77777777" w:rsidTr="00CF29AB">
        <w:trPr>
          <w:trHeight w:val="300"/>
        </w:trPr>
        <w:tc>
          <w:tcPr>
            <w:tcW w:w="4480" w:type="dxa"/>
            <w:gridSpan w:val="3"/>
            <w:tcBorders>
              <w:top w:val="single" w:sz="4" w:space="0" w:color="auto"/>
              <w:left w:val="single" w:sz="8" w:space="0" w:color="auto"/>
              <w:bottom w:val="single" w:sz="4" w:space="0" w:color="auto"/>
              <w:right w:val="single" w:sz="4" w:space="0" w:color="auto"/>
            </w:tcBorders>
            <w:noWrap/>
            <w:vAlign w:val="bottom"/>
            <w:hideMark/>
          </w:tcPr>
          <w:p w14:paraId="3B1ABFAE"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Total Present Value</w:t>
            </w:r>
          </w:p>
        </w:tc>
        <w:tc>
          <w:tcPr>
            <w:tcW w:w="4600" w:type="dxa"/>
            <w:gridSpan w:val="2"/>
            <w:tcBorders>
              <w:top w:val="single" w:sz="4" w:space="0" w:color="auto"/>
              <w:left w:val="nil"/>
              <w:bottom w:val="single" w:sz="4" w:space="0" w:color="auto"/>
              <w:right w:val="single" w:sz="8" w:space="0" w:color="000000"/>
            </w:tcBorders>
            <w:noWrap/>
            <w:vAlign w:val="bottom"/>
            <w:hideMark/>
          </w:tcPr>
          <w:p w14:paraId="0C3858F8"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0.985063469</w:t>
            </w:r>
          </w:p>
        </w:tc>
      </w:tr>
      <w:tr w:rsidR="00CF29AB" w:rsidRPr="00E805AD" w14:paraId="17670139" w14:textId="77777777" w:rsidTr="00CF29AB">
        <w:trPr>
          <w:trHeight w:val="300"/>
        </w:trPr>
        <w:tc>
          <w:tcPr>
            <w:tcW w:w="6400" w:type="dxa"/>
            <w:gridSpan w:val="4"/>
            <w:tcBorders>
              <w:top w:val="single" w:sz="4" w:space="0" w:color="auto"/>
              <w:left w:val="single" w:sz="8" w:space="0" w:color="auto"/>
              <w:bottom w:val="single" w:sz="4" w:space="0" w:color="auto"/>
              <w:right w:val="single" w:sz="4" w:space="0" w:color="auto"/>
            </w:tcBorders>
            <w:noWrap/>
            <w:vAlign w:val="bottom"/>
            <w:hideMark/>
          </w:tcPr>
          <w:p w14:paraId="3E933912"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Payback Period</w:t>
            </w:r>
          </w:p>
        </w:tc>
        <w:tc>
          <w:tcPr>
            <w:tcW w:w="2680" w:type="dxa"/>
            <w:tcBorders>
              <w:top w:val="nil"/>
              <w:left w:val="nil"/>
              <w:bottom w:val="single" w:sz="4" w:space="0" w:color="auto"/>
              <w:right w:val="single" w:sz="8" w:space="0" w:color="auto"/>
            </w:tcBorders>
            <w:noWrap/>
            <w:vAlign w:val="bottom"/>
            <w:hideMark/>
          </w:tcPr>
          <w:p w14:paraId="31013BFC"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4.8</w:t>
            </w:r>
          </w:p>
        </w:tc>
      </w:tr>
      <w:tr w:rsidR="00CF29AB" w:rsidRPr="00E805AD" w14:paraId="3B0C2352" w14:textId="77777777" w:rsidTr="00CF29AB">
        <w:trPr>
          <w:trHeight w:val="300"/>
        </w:trPr>
        <w:tc>
          <w:tcPr>
            <w:tcW w:w="6400" w:type="dxa"/>
            <w:gridSpan w:val="4"/>
            <w:tcBorders>
              <w:top w:val="single" w:sz="4" w:space="0" w:color="auto"/>
              <w:left w:val="single" w:sz="8" w:space="0" w:color="auto"/>
              <w:bottom w:val="single" w:sz="4" w:space="0" w:color="auto"/>
              <w:right w:val="single" w:sz="4" w:space="0" w:color="auto"/>
            </w:tcBorders>
            <w:noWrap/>
            <w:vAlign w:val="bottom"/>
            <w:hideMark/>
          </w:tcPr>
          <w:p w14:paraId="65A6B6E7"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Average Annual Profit</w:t>
            </w:r>
          </w:p>
        </w:tc>
        <w:tc>
          <w:tcPr>
            <w:tcW w:w="2680" w:type="dxa"/>
            <w:tcBorders>
              <w:top w:val="nil"/>
              <w:left w:val="nil"/>
              <w:bottom w:val="single" w:sz="4" w:space="0" w:color="auto"/>
              <w:right w:val="single" w:sz="8" w:space="0" w:color="auto"/>
            </w:tcBorders>
            <w:noWrap/>
            <w:vAlign w:val="bottom"/>
            <w:hideMark/>
          </w:tcPr>
          <w:p w14:paraId="47C3BBE5"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10.8</w:t>
            </w:r>
          </w:p>
        </w:tc>
      </w:tr>
      <w:tr w:rsidR="00CF29AB" w:rsidRPr="00E805AD" w14:paraId="5F4ED6E6" w14:textId="77777777" w:rsidTr="00CF29AB">
        <w:trPr>
          <w:trHeight w:val="300"/>
        </w:trPr>
        <w:tc>
          <w:tcPr>
            <w:tcW w:w="6400" w:type="dxa"/>
            <w:gridSpan w:val="4"/>
            <w:tcBorders>
              <w:top w:val="single" w:sz="4" w:space="0" w:color="auto"/>
              <w:left w:val="single" w:sz="8" w:space="0" w:color="auto"/>
              <w:bottom w:val="single" w:sz="4" w:space="0" w:color="auto"/>
              <w:right w:val="single" w:sz="4" w:space="0" w:color="auto"/>
            </w:tcBorders>
            <w:noWrap/>
            <w:vAlign w:val="bottom"/>
            <w:hideMark/>
          </w:tcPr>
          <w:p w14:paraId="5BB3E68A"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ARR</w:t>
            </w:r>
          </w:p>
        </w:tc>
        <w:tc>
          <w:tcPr>
            <w:tcW w:w="2680" w:type="dxa"/>
            <w:tcBorders>
              <w:top w:val="nil"/>
              <w:left w:val="nil"/>
              <w:bottom w:val="single" w:sz="4" w:space="0" w:color="auto"/>
              <w:right w:val="single" w:sz="8" w:space="0" w:color="auto"/>
            </w:tcBorders>
            <w:noWrap/>
            <w:vAlign w:val="bottom"/>
            <w:hideMark/>
          </w:tcPr>
          <w:p w14:paraId="1FA02F99"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21.6</w:t>
            </w:r>
          </w:p>
        </w:tc>
      </w:tr>
      <w:tr w:rsidR="00CF29AB" w:rsidRPr="00E805AD" w14:paraId="495D2654" w14:textId="77777777" w:rsidTr="00CF29AB">
        <w:trPr>
          <w:trHeight w:val="300"/>
        </w:trPr>
        <w:tc>
          <w:tcPr>
            <w:tcW w:w="6400" w:type="dxa"/>
            <w:gridSpan w:val="4"/>
            <w:tcBorders>
              <w:top w:val="single" w:sz="4" w:space="0" w:color="auto"/>
              <w:left w:val="single" w:sz="8" w:space="0" w:color="auto"/>
              <w:bottom w:val="single" w:sz="4" w:space="0" w:color="auto"/>
              <w:right w:val="single" w:sz="4" w:space="0" w:color="auto"/>
            </w:tcBorders>
            <w:noWrap/>
            <w:vAlign w:val="bottom"/>
            <w:hideMark/>
          </w:tcPr>
          <w:p w14:paraId="6E9718FB"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NPV</w:t>
            </w:r>
          </w:p>
        </w:tc>
        <w:tc>
          <w:tcPr>
            <w:tcW w:w="2680" w:type="dxa"/>
            <w:tcBorders>
              <w:top w:val="nil"/>
              <w:left w:val="nil"/>
              <w:bottom w:val="single" w:sz="4" w:space="0" w:color="auto"/>
              <w:right w:val="single" w:sz="8" w:space="0" w:color="auto"/>
            </w:tcBorders>
            <w:noWrap/>
            <w:vAlign w:val="bottom"/>
            <w:hideMark/>
          </w:tcPr>
          <w:p w14:paraId="35A656CF"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FF0000"/>
                <w:sz w:val="24"/>
                <w:szCs w:val="24"/>
                <w:lang w:val="en-US"/>
              </w:rPr>
              <w:t>($6.54)</w:t>
            </w:r>
          </w:p>
        </w:tc>
      </w:tr>
      <w:tr w:rsidR="00CF29AB" w:rsidRPr="00E805AD" w14:paraId="03E375F1" w14:textId="77777777" w:rsidTr="00CF29AB">
        <w:trPr>
          <w:trHeight w:val="300"/>
        </w:trPr>
        <w:tc>
          <w:tcPr>
            <w:tcW w:w="6400" w:type="dxa"/>
            <w:gridSpan w:val="4"/>
            <w:tcBorders>
              <w:top w:val="single" w:sz="4" w:space="0" w:color="auto"/>
              <w:left w:val="single" w:sz="8" w:space="0" w:color="auto"/>
              <w:bottom w:val="single" w:sz="4" w:space="0" w:color="auto"/>
              <w:right w:val="single" w:sz="4" w:space="0" w:color="auto"/>
            </w:tcBorders>
            <w:noWrap/>
            <w:vAlign w:val="bottom"/>
            <w:hideMark/>
          </w:tcPr>
          <w:p w14:paraId="15944A45"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Profitability Index</w:t>
            </w:r>
          </w:p>
        </w:tc>
        <w:tc>
          <w:tcPr>
            <w:tcW w:w="2680" w:type="dxa"/>
            <w:tcBorders>
              <w:top w:val="nil"/>
              <w:left w:val="nil"/>
              <w:bottom w:val="single" w:sz="4" w:space="0" w:color="auto"/>
              <w:right w:val="single" w:sz="8" w:space="0" w:color="auto"/>
            </w:tcBorders>
            <w:noWrap/>
            <w:vAlign w:val="bottom"/>
            <w:hideMark/>
          </w:tcPr>
          <w:p w14:paraId="74F2062A"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0.869118812</w:t>
            </w:r>
          </w:p>
        </w:tc>
      </w:tr>
      <w:tr w:rsidR="00CF29AB" w:rsidRPr="00E805AD" w14:paraId="29C21160" w14:textId="77777777" w:rsidTr="00CF29AB">
        <w:trPr>
          <w:trHeight w:val="315"/>
        </w:trPr>
        <w:tc>
          <w:tcPr>
            <w:tcW w:w="6400" w:type="dxa"/>
            <w:gridSpan w:val="4"/>
            <w:tcBorders>
              <w:top w:val="single" w:sz="4" w:space="0" w:color="auto"/>
              <w:left w:val="single" w:sz="8" w:space="0" w:color="auto"/>
              <w:bottom w:val="single" w:sz="8" w:space="0" w:color="auto"/>
              <w:right w:val="single" w:sz="4" w:space="0" w:color="auto"/>
            </w:tcBorders>
            <w:noWrap/>
            <w:vAlign w:val="bottom"/>
            <w:hideMark/>
          </w:tcPr>
          <w:p w14:paraId="48305B9E"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IRR</w:t>
            </w:r>
          </w:p>
        </w:tc>
        <w:tc>
          <w:tcPr>
            <w:tcW w:w="2680" w:type="dxa"/>
            <w:tcBorders>
              <w:top w:val="nil"/>
              <w:left w:val="nil"/>
              <w:bottom w:val="single" w:sz="8" w:space="0" w:color="auto"/>
              <w:right w:val="single" w:sz="8" w:space="0" w:color="auto"/>
            </w:tcBorders>
            <w:noWrap/>
            <w:vAlign w:val="bottom"/>
            <w:hideMark/>
          </w:tcPr>
          <w:p w14:paraId="023797AA"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w:t>
            </w:r>
          </w:p>
        </w:tc>
      </w:tr>
    </w:tbl>
    <w:p w14:paraId="5D43C446" w14:textId="77777777" w:rsidR="00CF29AB" w:rsidRPr="00E805AD" w:rsidRDefault="00CF29AB" w:rsidP="00E805AD">
      <w:pPr>
        <w:spacing w:after="240" w:line="360" w:lineRule="auto"/>
        <w:jc w:val="both"/>
        <w:rPr>
          <w:rFonts w:eastAsia="Times New Roman"/>
          <w:sz w:val="24"/>
          <w:szCs w:val="24"/>
        </w:rPr>
      </w:pPr>
    </w:p>
    <w:p w14:paraId="6DF81E3A" w14:textId="0DD53920" w:rsidR="00CF29AB" w:rsidRPr="00E805AD" w:rsidRDefault="00CF29AB" w:rsidP="00E805AD">
      <w:pPr>
        <w:spacing w:after="240" w:line="360" w:lineRule="auto"/>
        <w:jc w:val="both"/>
        <w:rPr>
          <w:rFonts w:eastAsia="Times New Roman"/>
          <w:b/>
          <w:bCs/>
          <w:i/>
          <w:iCs/>
          <w:sz w:val="24"/>
          <w:szCs w:val="24"/>
        </w:rPr>
      </w:pPr>
      <w:r w:rsidRPr="00E805AD">
        <w:rPr>
          <w:rFonts w:eastAsia="Times New Roman"/>
          <w:b/>
          <w:bCs/>
          <w:i/>
          <w:iCs/>
          <w:sz w:val="24"/>
          <w:szCs w:val="24"/>
        </w:rPr>
        <w:t>Project B</w:t>
      </w:r>
    </w:p>
    <w:tbl>
      <w:tblPr>
        <w:tblW w:w="9080" w:type="dxa"/>
        <w:tblLook w:val="04A0" w:firstRow="1" w:lastRow="0" w:firstColumn="1" w:lastColumn="0" w:noHBand="0" w:noVBand="1"/>
      </w:tblPr>
      <w:tblGrid>
        <w:gridCol w:w="723"/>
        <w:gridCol w:w="1940"/>
        <w:gridCol w:w="2020"/>
        <w:gridCol w:w="1920"/>
        <w:gridCol w:w="2680"/>
      </w:tblGrid>
      <w:tr w:rsidR="00CF29AB" w:rsidRPr="00E805AD" w14:paraId="4C615DD7" w14:textId="77777777" w:rsidTr="00CF29AB">
        <w:trPr>
          <w:trHeight w:val="300"/>
        </w:trPr>
        <w:tc>
          <w:tcPr>
            <w:tcW w:w="520" w:type="dxa"/>
            <w:tcBorders>
              <w:top w:val="single" w:sz="8" w:space="0" w:color="auto"/>
              <w:left w:val="single" w:sz="8" w:space="0" w:color="auto"/>
              <w:bottom w:val="single" w:sz="4" w:space="0" w:color="auto"/>
              <w:right w:val="single" w:sz="4" w:space="0" w:color="auto"/>
            </w:tcBorders>
            <w:noWrap/>
            <w:vAlign w:val="bottom"/>
            <w:hideMark/>
          </w:tcPr>
          <w:p w14:paraId="4F9FECFB"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Year</w:t>
            </w:r>
          </w:p>
        </w:tc>
        <w:tc>
          <w:tcPr>
            <w:tcW w:w="1940" w:type="dxa"/>
            <w:tcBorders>
              <w:top w:val="single" w:sz="8" w:space="0" w:color="auto"/>
              <w:left w:val="nil"/>
              <w:bottom w:val="single" w:sz="4" w:space="0" w:color="auto"/>
              <w:right w:val="single" w:sz="4" w:space="0" w:color="auto"/>
            </w:tcBorders>
            <w:noWrap/>
            <w:vAlign w:val="bottom"/>
            <w:hideMark/>
          </w:tcPr>
          <w:p w14:paraId="45534C0C"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Net Cash Flow (£m)</w:t>
            </w:r>
          </w:p>
        </w:tc>
        <w:tc>
          <w:tcPr>
            <w:tcW w:w="2020" w:type="dxa"/>
            <w:tcBorders>
              <w:top w:val="single" w:sz="8" w:space="0" w:color="auto"/>
              <w:left w:val="nil"/>
              <w:bottom w:val="single" w:sz="4" w:space="0" w:color="auto"/>
              <w:right w:val="single" w:sz="4" w:space="0" w:color="auto"/>
            </w:tcBorders>
            <w:noWrap/>
            <w:vAlign w:val="bottom"/>
            <w:hideMark/>
          </w:tcPr>
          <w:p w14:paraId="279953A9"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Discount Factor (8%)</w:t>
            </w:r>
          </w:p>
        </w:tc>
        <w:tc>
          <w:tcPr>
            <w:tcW w:w="1920" w:type="dxa"/>
            <w:tcBorders>
              <w:top w:val="single" w:sz="8" w:space="0" w:color="auto"/>
              <w:left w:val="nil"/>
              <w:bottom w:val="single" w:sz="4" w:space="0" w:color="auto"/>
              <w:right w:val="single" w:sz="4" w:space="0" w:color="auto"/>
            </w:tcBorders>
            <w:noWrap/>
            <w:vAlign w:val="bottom"/>
            <w:hideMark/>
          </w:tcPr>
          <w:p w14:paraId="402B3211"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Present Value (£m)</w:t>
            </w:r>
          </w:p>
        </w:tc>
        <w:tc>
          <w:tcPr>
            <w:tcW w:w="2680" w:type="dxa"/>
            <w:tcBorders>
              <w:top w:val="single" w:sz="8" w:space="0" w:color="auto"/>
              <w:left w:val="nil"/>
              <w:bottom w:val="single" w:sz="4" w:space="0" w:color="auto"/>
              <w:right w:val="single" w:sz="8" w:space="0" w:color="auto"/>
            </w:tcBorders>
            <w:noWrap/>
            <w:vAlign w:val="bottom"/>
            <w:hideMark/>
          </w:tcPr>
          <w:p w14:paraId="542C8E71"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Cumulative Cash Flow (£m)</w:t>
            </w:r>
          </w:p>
        </w:tc>
      </w:tr>
      <w:tr w:rsidR="00CF29AB" w:rsidRPr="00E805AD" w14:paraId="7FC00A58" w14:textId="77777777" w:rsidTr="00CF29AB">
        <w:trPr>
          <w:trHeight w:val="300"/>
        </w:trPr>
        <w:tc>
          <w:tcPr>
            <w:tcW w:w="520" w:type="dxa"/>
            <w:tcBorders>
              <w:top w:val="nil"/>
              <w:left w:val="single" w:sz="8" w:space="0" w:color="auto"/>
              <w:bottom w:val="single" w:sz="4" w:space="0" w:color="auto"/>
              <w:right w:val="single" w:sz="4" w:space="0" w:color="auto"/>
            </w:tcBorders>
            <w:noWrap/>
            <w:vAlign w:val="bottom"/>
            <w:hideMark/>
          </w:tcPr>
          <w:p w14:paraId="4E59E44F"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lastRenderedPageBreak/>
              <w:t>0</w:t>
            </w:r>
          </w:p>
        </w:tc>
        <w:tc>
          <w:tcPr>
            <w:tcW w:w="1940" w:type="dxa"/>
            <w:tcBorders>
              <w:top w:val="nil"/>
              <w:left w:val="nil"/>
              <w:bottom w:val="single" w:sz="4" w:space="0" w:color="auto"/>
              <w:right w:val="single" w:sz="4" w:space="0" w:color="auto"/>
            </w:tcBorders>
            <w:noWrap/>
            <w:vAlign w:val="bottom"/>
            <w:hideMark/>
          </w:tcPr>
          <w:p w14:paraId="6998976B"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-50</w:t>
            </w:r>
          </w:p>
        </w:tc>
        <w:tc>
          <w:tcPr>
            <w:tcW w:w="2020" w:type="dxa"/>
            <w:tcBorders>
              <w:top w:val="nil"/>
              <w:left w:val="nil"/>
              <w:bottom w:val="single" w:sz="4" w:space="0" w:color="auto"/>
              <w:right w:val="single" w:sz="4" w:space="0" w:color="auto"/>
            </w:tcBorders>
            <w:noWrap/>
            <w:vAlign w:val="bottom"/>
            <w:hideMark/>
          </w:tcPr>
          <w:p w14:paraId="1DF5D338"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w:t>
            </w:r>
          </w:p>
        </w:tc>
        <w:tc>
          <w:tcPr>
            <w:tcW w:w="1920" w:type="dxa"/>
            <w:tcBorders>
              <w:top w:val="nil"/>
              <w:left w:val="nil"/>
              <w:bottom w:val="single" w:sz="4" w:space="0" w:color="auto"/>
              <w:right w:val="single" w:sz="4" w:space="0" w:color="auto"/>
            </w:tcBorders>
            <w:noWrap/>
            <w:vAlign w:val="bottom"/>
            <w:hideMark/>
          </w:tcPr>
          <w:p w14:paraId="7AB4BBAB"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-50</w:t>
            </w:r>
          </w:p>
        </w:tc>
        <w:tc>
          <w:tcPr>
            <w:tcW w:w="2680" w:type="dxa"/>
            <w:tcBorders>
              <w:top w:val="nil"/>
              <w:left w:val="nil"/>
              <w:bottom w:val="single" w:sz="4" w:space="0" w:color="auto"/>
              <w:right w:val="single" w:sz="8" w:space="0" w:color="auto"/>
            </w:tcBorders>
            <w:noWrap/>
            <w:vAlign w:val="bottom"/>
            <w:hideMark/>
          </w:tcPr>
          <w:p w14:paraId="02909566"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-50</w:t>
            </w:r>
          </w:p>
        </w:tc>
      </w:tr>
      <w:tr w:rsidR="00CF29AB" w:rsidRPr="00E805AD" w14:paraId="59FF60C9" w14:textId="77777777" w:rsidTr="00CF29AB">
        <w:trPr>
          <w:trHeight w:val="300"/>
        </w:trPr>
        <w:tc>
          <w:tcPr>
            <w:tcW w:w="520" w:type="dxa"/>
            <w:tcBorders>
              <w:top w:val="nil"/>
              <w:left w:val="single" w:sz="8" w:space="0" w:color="auto"/>
              <w:bottom w:val="single" w:sz="4" w:space="0" w:color="auto"/>
              <w:right w:val="single" w:sz="4" w:space="0" w:color="auto"/>
            </w:tcBorders>
            <w:noWrap/>
            <w:vAlign w:val="bottom"/>
            <w:hideMark/>
          </w:tcPr>
          <w:p w14:paraId="0559DD31"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1</w:t>
            </w:r>
          </w:p>
        </w:tc>
        <w:tc>
          <w:tcPr>
            <w:tcW w:w="1940" w:type="dxa"/>
            <w:tcBorders>
              <w:top w:val="nil"/>
              <w:left w:val="nil"/>
              <w:bottom w:val="single" w:sz="4" w:space="0" w:color="auto"/>
              <w:right w:val="single" w:sz="4" w:space="0" w:color="auto"/>
            </w:tcBorders>
            <w:noWrap/>
            <w:vAlign w:val="bottom"/>
            <w:hideMark/>
          </w:tcPr>
          <w:p w14:paraId="638757B9"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11</w:t>
            </w:r>
          </w:p>
        </w:tc>
        <w:tc>
          <w:tcPr>
            <w:tcW w:w="2020" w:type="dxa"/>
            <w:tcBorders>
              <w:top w:val="nil"/>
              <w:left w:val="nil"/>
              <w:bottom w:val="single" w:sz="4" w:space="0" w:color="auto"/>
              <w:right w:val="single" w:sz="4" w:space="0" w:color="auto"/>
            </w:tcBorders>
            <w:noWrap/>
            <w:vAlign w:val="bottom"/>
            <w:hideMark/>
          </w:tcPr>
          <w:p w14:paraId="5A3D3384"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0.083333333</w:t>
            </w:r>
          </w:p>
        </w:tc>
        <w:tc>
          <w:tcPr>
            <w:tcW w:w="1920" w:type="dxa"/>
            <w:tcBorders>
              <w:top w:val="nil"/>
              <w:left w:val="nil"/>
              <w:bottom w:val="single" w:sz="4" w:space="0" w:color="auto"/>
              <w:right w:val="single" w:sz="4" w:space="0" w:color="auto"/>
            </w:tcBorders>
            <w:noWrap/>
            <w:vAlign w:val="bottom"/>
            <w:hideMark/>
          </w:tcPr>
          <w:p w14:paraId="78EE2A96"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0.916666667</w:t>
            </w:r>
          </w:p>
        </w:tc>
        <w:tc>
          <w:tcPr>
            <w:tcW w:w="2680" w:type="dxa"/>
            <w:tcBorders>
              <w:top w:val="nil"/>
              <w:left w:val="nil"/>
              <w:bottom w:val="single" w:sz="4" w:space="0" w:color="auto"/>
              <w:right w:val="single" w:sz="8" w:space="0" w:color="auto"/>
            </w:tcBorders>
            <w:noWrap/>
            <w:vAlign w:val="bottom"/>
            <w:hideMark/>
          </w:tcPr>
          <w:p w14:paraId="63E4C250"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-39</w:t>
            </w:r>
          </w:p>
        </w:tc>
      </w:tr>
      <w:tr w:rsidR="00CF29AB" w:rsidRPr="00E805AD" w14:paraId="70AFBF8C" w14:textId="77777777" w:rsidTr="00CF29AB">
        <w:trPr>
          <w:trHeight w:val="300"/>
        </w:trPr>
        <w:tc>
          <w:tcPr>
            <w:tcW w:w="520" w:type="dxa"/>
            <w:tcBorders>
              <w:top w:val="nil"/>
              <w:left w:val="single" w:sz="8" w:space="0" w:color="auto"/>
              <w:bottom w:val="single" w:sz="4" w:space="0" w:color="auto"/>
              <w:right w:val="single" w:sz="4" w:space="0" w:color="auto"/>
            </w:tcBorders>
            <w:noWrap/>
            <w:vAlign w:val="bottom"/>
            <w:hideMark/>
          </w:tcPr>
          <w:p w14:paraId="3530E42C"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2</w:t>
            </w:r>
          </w:p>
        </w:tc>
        <w:tc>
          <w:tcPr>
            <w:tcW w:w="1940" w:type="dxa"/>
            <w:tcBorders>
              <w:top w:val="nil"/>
              <w:left w:val="nil"/>
              <w:bottom w:val="single" w:sz="4" w:space="0" w:color="auto"/>
              <w:right w:val="single" w:sz="4" w:space="0" w:color="auto"/>
            </w:tcBorders>
            <w:noWrap/>
            <w:vAlign w:val="bottom"/>
            <w:hideMark/>
          </w:tcPr>
          <w:p w14:paraId="2FAE4E11"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11</w:t>
            </w:r>
          </w:p>
        </w:tc>
        <w:tc>
          <w:tcPr>
            <w:tcW w:w="2020" w:type="dxa"/>
            <w:tcBorders>
              <w:top w:val="nil"/>
              <w:left w:val="nil"/>
              <w:bottom w:val="single" w:sz="4" w:space="0" w:color="auto"/>
              <w:right w:val="single" w:sz="4" w:space="0" w:color="auto"/>
            </w:tcBorders>
            <w:noWrap/>
            <w:vAlign w:val="bottom"/>
            <w:hideMark/>
          </w:tcPr>
          <w:p w14:paraId="4CF5B319"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0.006944444</w:t>
            </w:r>
          </w:p>
        </w:tc>
        <w:tc>
          <w:tcPr>
            <w:tcW w:w="1920" w:type="dxa"/>
            <w:tcBorders>
              <w:top w:val="nil"/>
              <w:left w:val="nil"/>
              <w:bottom w:val="single" w:sz="4" w:space="0" w:color="auto"/>
              <w:right w:val="single" w:sz="4" w:space="0" w:color="auto"/>
            </w:tcBorders>
            <w:noWrap/>
            <w:vAlign w:val="bottom"/>
            <w:hideMark/>
          </w:tcPr>
          <w:p w14:paraId="08E4A685"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0.076388889</w:t>
            </w:r>
          </w:p>
        </w:tc>
        <w:tc>
          <w:tcPr>
            <w:tcW w:w="2680" w:type="dxa"/>
            <w:tcBorders>
              <w:top w:val="nil"/>
              <w:left w:val="nil"/>
              <w:bottom w:val="single" w:sz="4" w:space="0" w:color="auto"/>
              <w:right w:val="single" w:sz="8" w:space="0" w:color="auto"/>
            </w:tcBorders>
            <w:noWrap/>
            <w:vAlign w:val="bottom"/>
            <w:hideMark/>
          </w:tcPr>
          <w:p w14:paraId="46D4E707"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-28</w:t>
            </w:r>
          </w:p>
        </w:tc>
      </w:tr>
      <w:tr w:rsidR="00CF29AB" w:rsidRPr="00E805AD" w14:paraId="79BD83EA" w14:textId="77777777" w:rsidTr="00CF29AB">
        <w:trPr>
          <w:trHeight w:val="300"/>
        </w:trPr>
        <w:tc>
          <w:tcPr>
            <w:tcW w:w="520" w:type="dxa"/>
            <w:tcBorders>
              <w:top w:val="nil"/>
              <w:left w:val="single" w:sz="8" w:space="0" w:color="auto"/>
              <w:bottom w:val="single" w:sz="4" w:space="0" w:color="auto"/>
              <w:right w:val="single" w:sz="4" w:space="0" w:color="auto"/>
            </w:tcBorders>
            <w:noWrap/>
            <w:vAlign w:val="bottom"/>
            <w:hideMark/>
          </w:tcPr>
          <w:p w14:paraId="21544D0E"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3</w:t>
            </w:r>
          </w:p>
        </w:tc>
        <w:tc>
          <w:tcPr>
            <w:tcW w:w="1940" w:type="dxa"/>
            <w:tcBorders>
              <w:top w:val="nil"/>
              <w:left w:val="nil"/>
              <w:bottom w:val="single" w:sz="4" w:space="0" w:color="auto"/>
              <w:right w:val="single" w:sz="4" w:space="0" w:color="auto"/>
            </w:tcBorders>
            <w:noWrap/>
            <w:vAlign w:val="bottom"/>
            <w:hideMark/>
          </w:tcPr>
          <w:p w14:paraId="3A1CDAD8"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11</w:t>
            </w:r>
          </w:p>
        </w:tc>
        <w:tc>
          <w:tcPr>
            <w:tcW w:w="2020" w:type="dxa"/>
            <w:tcBorders>
              <w:top w:val="nil"/>
              <w:left w:val="nil"/>
              <w:bottom w:val="single" w:sz="4" w:space="0" w:color="auto"/>
              <w:right w:val="single" w:sz="4" w:space="0" w:color="auto"/>
            </w:tcBorders>
            <w:noWrap/>
            <w:vAlign w:val="bottom"/>
            <w:hideMark/>
          </w:tcPr>
          <w:p w14:paraId="00045243"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0.000578704</w:t>
            </w:r>
          </w:p>
        </w:tc>
        <w:tc>
          <w:tcPr>
            <w:tcW w:w="1920" w:type="dxa"/>
            <w:tcBorders>
              <w:top w:val="nil"/>
              <w:left w:val="nil"/>
              <w:bottom w:val="single" w:sz="4" w:space="0" w:color="auto"/>
              <w:right w:val="single" w:sz="4" w:space="0" w:color="auto"/>
            </w:tcBorders>
            <w:noWrap/>
            <w:vAlign w:val="bottom"/>
            <w:hideMark/>
          </w:tcPr>
          <w:p w14:paraId="40D473E3"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0.006365741</w:t>
            </w:r>
          </w:p>
        </w:tc>
        <w:tc>
          <w:tcPr>
            <w:tcW w:w="2680" w:type="dxa"/>
            <w:tcBorders>
              <w:top w:val="nil"/>
              <w:left w:val="nil"/>
              <w:bottom w:val="single" w:sz="4" w:space="0" w:color="auto"/>
              <w:right w:val="single" w:sz="8" w:space="0" w:color="auto"/>
            </w:tcBorders>
            <w:noWrap/>
            <w:vAlign w:val="bottom"/>
            <w:hideMark/>
          </w:tcPr>
          <w:p w14:paraId="316E9100"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-17</w:t>
            </w:r>
          </w:p>
        </w:tc>
      </w:tr>
      <w:tr w:rsidR="00CF29AB" w:rsidRPr="00E805AD" w14:paraId="38608488" w14:textId="77777777" w:rsidTr="00CF29AB">
        <w:trPr>
          <w:trHeight w:val="300"/>
        </w:trPr>
        <w:tc>
          <w:tcPr>
            <w:tcW w:w="520" w:type="dxa"/>
            <w:tcBorders>
              <w:top w:val="nil"/>
              <w:left w:val="single" w:sz="8" w:space="0" w:color="auto"/>
              <w:bottom w:val="single" w:sz="4" w:space="0" w:color="auto"/>
              <w:right w:val="single" w:sz="4" w:space="0" w:color="auto"/>
            </w:tcBorders>
            <w:noWrap/>
            <w:vAlign w:val="bottom"/>
            <w:hideMark/>
          </w:tcPr>
          <w:p w14:paraId="767A9CD1"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4</w:t>
            </w:r>
          </w:p>
        </w:tc>
        <w:tc>
          <w:tcPr>
            <w:tcW w:w="1940" w:type="dxa"/>
            <w:tcBorders>
              <w:top w:val="nil"/>
              <w:left w:val="nil"/>
              <w:bottom w:val="single" w:sz="4" w:space="0" w:color="auto"/>
              <w:right w:val="single" w:sz="4" w:space="0" w:color="auto"/>
            </w:tcBorders>
            <w:noWrap/>
            <w:vAlign w:val="bottom"/>
            <w:hideMark/>
          </w:tcPr>
          <w:p w14:paraId="58DF0505"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11</w:t>
            </w:r>
          </w:p>
        </w:tc>
        <w:tc>
          <w:tcPr>
            <w:tcW w:w="2020" w:type="dxa"/>
            <w:tcBorders>
              <w:top w:val="nil"/>
              <w:left w:val="nil"/>
              <w:bottom w:val="single" w:sz="4" w:space="0" w:color="auto"/>
              <w:right w:val="single" w:sz="4" w:space="0" w:color="auto"/>
            </w:tcBorders>
            <w:noWrap/>
            <w:vAlign w:val="bottom"/>
            <w:hideMark/>
          </w:tcPr>
          <w:p w14:paraId="7ED07DD5"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4.82253E-05</w:t>
            </w:r>
          </w:p>
        </w:tc>
        <w:tc>
          <w:tcPr>
            <w:tcW w:w="1920" w:type="dxa"/>
            <w:tcBorders>
              <w:top w:val="nil"/>
              <w:left w:val="nil"/>
              <w:bottom w:val="single" w:sz="4" w:space="0" w:color="auto"/>
              <w:right w:val="single" w:sz="4" w:space="0" w:color="auto"/>
            </w:tcBorders>
            <w:noWrap/>
            <w:vAlign w:val="bottom"/>
            <w:hideMark/>
          </w:tcPr>
          <w:p w14:paraId="1F785F99"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0.000530478</w:t>
            </w:r>
          </w:p>
        </w:tc>
        <w:tc>
          <w:tcPr>
            <w:tcW w:w="2680" w:type="dxa"/>
            <w:tcBorders>
              <w:top w:val="nil"/>
              <w:left w:val="nil"/>
              <w:bottom w:val="single" w:sz="4" w:space="0" w:color="auto"/>
              <w:right w:val="single" w:sz="8" w:space="0" w:color="auto"/>
            </w:tcBorders>
            <w:noWrap/>
            <w:vAlign w:val="bottom"/>
            <w:hideMark/>
          </w:tcPr>
          <w:p w14:paraId="67F836F0"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-6</w:t>
            </w:r>
          </w:p>
        </w:tc>
      </w:tr>
      <w:tr w:rsidR="00CF29AB" w:rsidRPr="00E805AD" w14:paraId="4659FC55" w14:textId="77777777" w:rsidTr="00CF29AB">
        <w:trPr>
          <w:trHeight w:val="300"/>
        </w:trPr>
        <w:tc>
          <w:tcPr>
            <w:tcW w:w="520" w:type="dxa"/>
            <w:tcBorders>
              <w:top w:val="nil"/>
              <w:left w:val="single" w:sz="8" w:space="0" w:color="auto"/>
              <w:bottom w:val="single" w:sz="4" w:space="0" w:color="auto"/>
              <w:right w:val="single" w:sz="4" w:space="0" w:color="auto"/>
            </w:tcBorders>
            <w:noWrap/>
            <w:vAlign w:val="bottom"/>
            <w:hideMark/>
          </w:tcPr>
          <w:p w14:paraId="69C92C19"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5</w:t>
            </w:r>
          </w:p>
        </w:tc>
        <w:tc>
          <w:tcPr>
            <w:tcW w:w="1940" w:type="dxa"/>
            <w:tcBorders>
              <w:top w:val="nil"/>
              <w:left w:val="nil"/>
              <w:bottom w:val="single" w:sz="4" w:space="0" w:color="auto"/>
              <w:right w:val="single" w:sz="4" w:space="0" w:color="auto"/>
            </w:tcBorders>
            <w:noWrap/>
            <w:vAlign w:val="bottom"/>
            <w:hideMark/>
          </w:tcPr>
          <w:p w14:paraId="65AD9AFD"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11</w:t>
            </w:r>
          </w:p>
        </w:tc>
        <w:tc>
          <w:tcPr>
            <w:tcW w:w="2020" w:type="dxa"/>
            <w:tcBorders>
              <w:top w:val="nil"/>
              <w:left w:val="nil"/>
              <w:bottom w:val="single" w:sz="4" w:space="0" w:color="auto"/>
              <w:right w:val="single" w:sz="4" w:space="0" w:color="auto"/>
            </w:tcBorders>
            <w:noWrap/>
            <w:vAlign w:val="bottom"/>
            <w:hideMark/>
          </w:tcPr>
          <w:p w14:paraId="501FC8EE"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4.01878E-06</w:t>
            </w:r>
          </w:p>
        </w:tc>
        <w:tc>
          <w:tcPr>
            <w:tcW w:w="1920" w:type="dxa"/>
            <w:tcBorders>
              <w:top w:val="nil"/>
              <w:left w:val="nil"/>
              <w:bottom w:val="single" w:sz="4" w:space="0" w:color="auto"/>
              <w:right w:val="single" w:sz="4" w:space="0" w:color="auto"/>
            </w:tcBorders>
            <w:noWrap/>
            <w:vAlign w:val="bottom"/>
            <w:hideMark/>
          </w:tcPr>
          <w:p w14:paraId="6E6C3750"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4.42065E-05</w:t>
            </w:r>
          </w:p>
        </w:tc>
        <w:tc>
          <w:tcPr>
            <w:tcW w:w="2680" w:type="dxa"/>
            <w:tcBorders>
              <w:top w:val="nil"/>
              <w:left w:val="nil"/>
              <w:bottom w:val="single" w:sz="4" w:space="0" w:color="auto"/>
              <w:right w:val="single" w:sz="8" w:space="0" w:color="auto"/>
            </w:tcBorders>
            <w:noWrap/>
            <w:vAlign w:val="bottom"/>
            <w:hideMark/>
          </w:tcPr>
          <w:p w14:paraId="4892E4A2"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w:t>
            </w:r>
          </w:p>
        </w:tc>
      </w:tr>
      <w:tr w:rsidR="00CF29AB" w:rsidRPr="00E805AD" w14:paraId="47643FBD" w14:textId="77777777" w:rsidTr="00CF29AB">
        <w:trPr>
          <w:trHeight w:val="300"/>
        </w:trPr>
        <w:tc>
          <w:tcPr>
            <w:tcW w:w="4480" w:type="dxa"/>
            <w:gridSpan w:val="3"/>
            <w:tcBorders>
              <w:top w:val="single" w:sz="4" w:space="0" w:color="auto"/>
              <w:left w:val="single" w:sz="8" w:space="0" w:color="auto"/>
              <w:bottom w:val="single" w:sz="4" w:space="0" w:color="auto"/>
              <w:right w:val="single" w:sz="4" w:space="0" w:color="auto"/>
            </w:tcBorders>
            <w:noWrap/>
            <w:vAlign w:val="bottom"/>
            <w:hideMark/>
          </w:tcPr>
          <w:p w14:paraId="05322EC9"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Total Present Value</w:t>
            </w:r>
          </w:p>
        </w:tc>
        <w:tc>
          <w:tcPr>
            <w:tcW w:w="4600" w:type="dxa"/>
            <w:gridSpan w:val="2"/>
            <w:tcBorders>
              <w:top w:val="single" w:sz="4" w:space="0" w:color="auto"/>
              <w:left w:val="nil"/>
              <w:bottom w:val="single" w:sz="4" w:space="0" w:color="auto"/>
              <w:right w:val="single" w:sz="8" w:space="0" w:color="000000"/>
            </w:tcBorders>
            <w:noWrap/>
            <w:vAlign w:val="bottom"/>
            <w:hideMark/>
          </w:tcPr>
          <w:p w14:paraId="713989B1"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0.999995981</w:t>
            </w:r>
          </w:p>
        </w:tc>
      </w:tr>
      <w:tr w:rsidR="00CF29AB" w:rsidRPr="00E805AD" w14:paraId="34322138" w14:textId="77777777" w:rsidTr="00CF29AB">
        <w:trPr>
          <w:trHeight w:val="300"/>
        </w:trPr>
        <w:tc>
          <w:tcPr>
            <w:tcW w:w="6400" w:type="dxa"/>
            <w:gridSpan w:val="4"/>
            <w:tcBorders>
              <w:top w:val="single" w:sz="4" w:space="0" w:color="auto"/>
              <w:left w:val="single" w:sz="8" w:space="0" w:color="auto"/>
              <w:bottom w:val="single" w:sz="4" w:space="0" w:color="auto"/>
              <w:right w:val="single" w:sz="4" w:space="0" w:color="auto"/>
            </w:tcBorders>
            <w:noWrap/>
            <w:vAlign w:val="bottom"/>
            <w:hideMark/>
          </w:tcPr>
          <w:p w14:paraId="6BEE19FD"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Payback Period</w:t>
            </w:r>
          </w:p>
        </w:tc>
        <w:tc>
          <w:tcPr>
            <w:tcW w:w="2680" w:type="dxa"/>
            <w:tcBorders>
              <w:top w:val="nil"/>
              <w:left w:val="nil"/>
              <w:bottom w:val="single" w:sz="4" w:space="0" w:color="auto"/>
              <w:right w:val="single" w:sz="8" w:space="0" w:color="auto"/>
            </w:tcBorders>
            <w:noWrap/>
            <w:vAlign w:val="bottom"/>
            <w:hideMark/>
          </w:tcPr>
          <w:p w14:paraId="2867E111"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w:t>
            </w:r>
          </w:p>
        </w:tc>
      </w:tr>
      <w:tr w:rsidR="00CF29AB" w:rsidRPr="00E805AD" w14:paraId="43A785D0" w14:textId="77777777" w:rsidTr="00CF29AB">
        <w:trPr>
          <w:trHeight w:val="300"/>
        </w:trPr>
        <w:tc>
          <w:tcPr>
            <w:tcW w:w="6400" w:type="dxa"/>
            <w:gridSpan w:val="4"/>
            <w:tcBorders>
              <w:top w:val="single" w:sz="4" w:space="0" w:color="auto"/>
              <w:left w:val="single" w:sz="8" w:space="0" w:color="auto"/>
              <w:bottom w:val="single" w:sz="4" w:space="0" w:color="auto"/>
              <w:right w:val="single" w:sz="4" w:space="0" w:color="auto"/>
            </w:tcBorders>
            <w:noWrap/>
            <w:vAlign w:val="bottom"/>
            <w:hideMark/>
          </w:tcPr>
          <w:p w14:paraId="0231253C"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Average Annual Profit</w:t>
            </w:r>
          </w:p>
        </w:tc>
        <w:tc>
          <w:tcPr>
            <w:tcW w:w="2680" w:type="dxa"/>
            <w:tcBorders>
              <w:top w:val="nil"/>
              <w:left w:val="nil"/>
              <w:bottom w:val="single" w:sz="4" w:space="0" w:color="auto"/>
              <w:right w:val="single" w:sz="8" w:space="0" w:color="auto"/>
            </w:tcBorders>
            <w:noWrap/>
            <w:vAlign w:val="bottom"/>
            <w:hideMark/>
          </w:tcPr>
          <w:p w14:paraId="326E11A4"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11</w:t>
            </w:r>
          </w:p>
        </w:tc>
      </w:tr>
      <w:tr w:rsidR="00CF29AB" w:rsidRPr="00E805AD" w14:paraId="16BEAC5E" w14:textId="77777777" w:rsidTr="00CF29AB">
        <w:trPr>
          <w:trHeight w:val="300"/>
        </w:trPr>
        <w:tc>
          <w:tcPr>
            <w:tcW w:w="6400" w:type="dxa"/>
            <w:gridSpan w:val="4"/>
            <w:tcBorders>
              <w:top w:val="single" w:sz="4" w:space="0" w:color="auto"/>
              <w:left w:val="single" w:sz="8" w:space="0" w:color="auto"/>
              <w:bottom w:val="single" w:sz="4" w:space="0" w:color="auto"/>
              <w:right w:val="single" w:sz="4" w:space="0" w:color="auto"/>
            </w:tcBorders>
            <w:noWrap/>
            <w:vAlign w:val="bottom"/>
            <w:hideMark/>
          </w:tcPr>
          <w:p w14:paraId="0CC5671D"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ARR</w:t>
            </w:r>
          </w:p>
        </w:tc>
        <w:tc>
          <w:tcPr>
            <w:tcW w:w="2680" w:type="dxa"/>
            <w:tcBorders>
              <w:top w:val="nil"/>
              <w:left w:val="nil"/>
              <w:bottom w:val="single" w:sz="4" w:space="0" w:color="auto"/>
              <w:right w:val="single" w:sz="8" w:space="0" w:color="auto"/>
            </w:tcBorders>
            <w:noWrap/>
            <w:vAlign w:val="bottom"/>
            <w:hideMark/>
          </w:tcPr>
          <w:p w14:paraId="0C118241"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22</w:t>
            </w:r>
          </w:p>
        </w:tc>
      </w:tr>
      <w:tr w:rsidR="00CF29AB" w:rsidRPr="00E805AD" w14:paraId="0D96DE80" w14:textId="77777777" w:rsidTr="00CF29AB">
        <w:trPr>
          <w:trHeight w:val="300"/>
        </w:trPr>
        <w:tc>
          <w:tcPr>
            <w:tcW w:w="6400" w:type="dxa"/>
            <w:gridSpan w:val="4"/>
            <w:tcBorders>
              <w:top w:val="single" w:sz="4" w:space="0" w:color="auto"/>
              <w:left w:val="single" w:sz="8" w:space="0" w:color="auto"/>
              <w:bottom w:val="single" w:sz="4" w:space="0" w:color="auto"/>
              <w:right w:val="single" w:sz="4" w:space="0" w:color="auto"/>
            </w:tcBorders>
            <w:noWrap/>
            <w:vAlign w:val="bottom"/>
            <w:hideMark/>
          </w:tcPr>
          <w:p w14:paraId="2BE740D5"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NPV</w:t>
            </w:r>
          </w:p>
        </w:tc>
        <w:tc>
          <w:tcPr>
            <w:tcW w:w="2680" w:type="dxa"/>
            <w:tcBorders>
              <w:top w:val="nil"/>
              <w:left w:val="nil"/>
              <w:bottom w:val="single" w:sz="4" w:space="0" w:color="auto"/>
              <w:right w:val="single" w:sz="8" w:space="0" w:color="auto"/>
            </w:tcBorders>
            <w:noWrap/>
            <w:vAlign w:val="bottom"/>
            <w:hideMark/>
          </w:tcPr>
          <w:p w14:paraId="61AEE512"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FF0000"/>
                <w:sz w:val="24"/>
                <w:szCs w:val="24"/>
                <w:lang w:val="en-US"/>
              </w:rPr>
              <w:t>($6.08)</w:t>
            </w:r>
          </w:p>
        </w:tc>
      </w:tr>
      <w:tr w:rsidR="00CF29AB" w:rsidRPr="00E805AD" w14:paraId="32C83032" w14:textId="77777777" w:rsidTr="00CF29AB">
        <w:trPr>
          <w:trHeight w:val="300"/>
        </w:trPr>
        <w:tc>
          <w:tcPr>
            <w:tcW w:w="6400" w:type="dxa"/>
            <w:gridSpan w:val="4"/>
            <w:tcBorders>
              <w:top w:val="single" w:sz="4" w:space="0" w:color="auto"/>
              <w:left w:val="single" w:sz="8" w:space="0" w:color="auto"/>
              <w:bottom w:val="single" w:sz="4" w:space="0" w:color="auto"/>
              <w:right w:val="single" w:sz="4" w:space="0" w:color="auto"/>
            </w:tcBorders>
            <w:noWrap/>
            <w:vAlign w:val="bottom"/>
            <w:hideMark/>
          </w:tcPr>
          <w:p w14:paraId="6FE28ABF"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Profitability Index</w:t>
            </w:r>
          </w:p>
        </w:tc>
        <w:tc>
          <w:tcPr>
            <w:tcW w:w="2680" w:type="dxa"/>
            <w:tcBorders>
              <w:top w:val="nil"/>
              <w:left w:val="nil"/>
              <w:bottom w:val="single" w:sz="4" w:space="0" w:color="auto"/>
              <w:right w:val="single" w:sz="8" w:space="0" w:color="auto"/>
            </w:tcBorders>
            <w:noWrap/>
            <w:vAlign w:val="bottom"/>
            <w:hideMark/>
          </w:tcPr>
          <w:p w14:paraId="60F1AEB5"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0.878396208</w:t>
            </w:r>
          </w:p>
        </w:tc>
      </w:tr>
      <w:tr w:rsidR="00CF29AB" w:rsidRPr="00E805AD" w14:paraId="2DEF6B31" w14:textId="77777777" w:rsidTr="00CF29AB">
        <w:trPr>
          <w:trHeight w:val="315"/>
        </w:trPr>
        <w:tc>
          <w:tcPr>
            <w:tcW w:w="6400" w:type="dxa"/>
            <w:gridSpan w:val="4"/>
            <w:tcBorders>
              <w:top w:val="single" w:sz="4" w:space="0" w:color="auto"/>
              <w:left w:val="single" w:sz="8" w:space="0" w:color="auto"/>
              <w:bottom w:val="single" w:sz="8" w:space="0" w:color="auto"/>
              <w:right w:val="single" w:sz="4" w:space="0" w:color="auto"/>
            </w:tcBorders>
            <w:noWrap/>
            <w:vAlign w:val="bottom"/>
            <w:hideMark/>
          </w:tcPr>
          <w:p w14:paraId="44EDAADB"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IRR</w:t>
            </w:r>
          </w:p>
        </w:tc>
        <w:tc>
          <w:tcPr>
            <w:tcW w:w="2680" w:type="dxa"/>
            <w:tcBorders>
              <w:top w:val="nil"/>
              <w:left w:val="nil"/>
              <w:bottom w:val="single" w:sz="8" w:space="0" w:color="auto"/>
              <w:right w:val="single" w:sz="8" w:space="0" w:color="auto"/>
            </w:tcBorders>
            <w:noWrap/>
            <w:vAlign w:val="bottom"/>
            <w:hideMark/>
          </w:tcPr>
          <w:p w14:paraId="6CC07257"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w:t>
            </w:r>
          </w:p>
        </w:tc>
      </w:tr>
    </w:tbl>
    <w:p w14:paraId="59F24207" w14:textId="77777777" w:rsidR="00CF29AB" w:rsidRPr="00E805AD" w:rsidRDefault="00CF29AB" w:rsidP="00E805AD">
      <w:pPr>
        <w:spacing w:after="240" w:line="360" w:lineRule="auto"/>
        <w:jc w:val="both"/>
        <w:rPr>
          <w:rFonts w:eastAsia="Times New Roman"/>
          <w:sz w:val="24"/>
          <w:szCs w:val="24"/>
        </w:rPr>
      </w:pPr>
    </w:p>
    <w:p w14:paraId="3432285F" w14:textId="4E9B41FA" w:rsidR="00CF29AB" w:rsidRPr="00E805AD" w:rsidRDefault="00CF29AB" w:rsidP="00E805AD">
      <w:pPr>
        <w:spacing w:after="240" w:line="360" w:lineRule="auto"/>
        <w:jc w:val="both"/>
        <w:rPr>
          <w:rFonts w:eastAsia="Times New Roman"/>
          <w:b/>
          <w:bCs/>
          <w:i/>
          <w:iCs/>
          <w:sz w:val="24"/>
          <w:szCs w:val="24"/>
        </w:rPr>
      </w:pPr>
      <w:r w:rsidRPr="00E805AD">
        <w:rPr>
          <w:rFonts w:eastAsia="Times New Roman"/>
          <w:b/>
          <w:bCs/>
          <w:i/>
          <w:iCs/>
          <w:sz w:val="24"/>
          <w:szCs w:val="24"/>
        </w:rPr>
        <w:t>Project C</w:t>
      </w:r>
    </w:p>
    <w:tbl>
      <w:tblPr>
        <w:tblW w:w="9080" w:type="dxa"/>
        <w:tblLook w:val="04A0" w:firstRow="1" w:lastRow="0" w:firstColumn="1" w:lastColumn="0" w:noHBand="0" w:noVBand="1"/>
      </w:tblPr>
      <w:tblGrid>
        <w:gridCol w:w="723"/>
        <w:gridCol w:w="1940"/>
        <w:gridCol w:w="2020"/>
        <w:gridCol w:w="1920"/>
        <w:gridCol w:w="2680"/>
      </w:tblGrid>
      <w:tr w:rsidR="00CF29AB" w:rsidRPr="00E805AD" w14:paraId="4A652FF2" w14:textId="77777777" w:rsidTr="00CF29AB">
        <w:trPr>
          <w:trHeight w:val="300"/>
        </w:trPr>
        <w:tc>
          <w:tcPr>
            <w:tcW w:w="520" w:type="dxa"/>
            <w:tcBorders>
              <w:top w:val="single" w:sz="8" w:space="0" w:color="auto"/>
              <w:left w:val="single" w:sz="8" w:space="0" w:color="auto"/>
              <w:bottom w:val="single" w:sz="4" w:space="0" w:color="auto"/>
              <w:right w:val="single" w:sz="4" w:space="0" w:color="auto"/>
            </w:tcBorders>
            <w:noWrap/>
            <w:vAlign w:val="bottom"/>
            <w:hideMark/>
          </w:tcPr>
          <w:p w14:paraId="6BC73234"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Year</w:t>
            </w:r>
          </w:p>
        </w:tc>
        <w:tc>
          <w:tcPr>
            <w:tcW w:w="1940" w:type="dxa"/>
            <w:tcBorders>
              <w:top w:val="single" w:sz="8" w:space="0" w:color="auto"/>
              <w:left w:val="nil"/>
              <w:bottom w:val="single" w:sz="4" w:space="0" w:color="auto"/>
              <w:right w:val="single" w:sz="4" w:space="0" w:color="auto"/>
            </w:tcBorders>
            <w:noWrap/>
            <w:vAlign w:val="bottom"/>
            <w:hideMark/>
          </w:tcPr>
          <w:p w14:paraId="53DDF7DD"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Net Cash Flow (£m)</w:t>
            </w:r>
          </w:p>
        </w:tc>
        <w:tc>
          <w:tcPr>
            <w:tcW w:w="2020" w:type="dxa"/>
            <w:tcBorders>
              <w:top w:val="single" w:sz="8" w:space="0" w:color="auto"/>
              <w:left w:val="nil"/>
              <w:bottom w:val="single" w:sz="4" w:space="0" w:color="auto"/>
              <w:right w:val="single" w:sz="4" w:space="0" w:color="auto"/>
            </w:tcBorders>
            <w:noWrap/>
            <w:vAlign w:val="bottom"/>
            <w:hideMark/>
          </w:tcPr>
          <w:p w14:paraId="057AC69C"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Discount Factor (8%)</w:t>
            </w:r>
          </w:p>
        </w:tc>
        <w:tc>
          <w:tcPr>
            <w:tcW w:w="1920" w:type="dxa"/>
            <w:tcBorders>
              <w:top w:val="single" w:sz="8" w:space="0" w:color="auto"/>
              <w:left w:val="nil"/>
              <w:bottom w:val="single" w:sz="4" w:space="0" w:color="auto"/>
              <w:right w:val="single" w:sz="4" w:space="0" w:color="auto"/>
            </w:tcBorders>
            <w:noWrap/>
            <w:vAlign w:val="bottom"/>
            <w:hideMark/>
          </w:tcPr>
          <w:p w14:paraId="522202AC"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Present Value (£m)</w:t>
            </w:r>
          </w:p>
        </w:tc>
        <w:tc>
          <w:tcPr>
            <w:tcW w:w="2680" w:type="dxa"/>
            <w:tcBorders>
              <w:top w:val="single" w:sz="8" w:space="0" w:color="auto"/>
              <w:left w:val="nil"/>
              <w:bottom w:val="single" w:sz="4" w:space="0" w:color="auto"/>
              <w:right w:val="single" w:sz="8" w:space="0" w:color="auto"/>
            </w:tcBorders>
            <w:noWrap/>
            <w:vAlign w:val="bottom"/>
            <w:hideMark/>
          </w:tcPr>
          <w:p w14:paraId="7DCD5C91"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Cumulative Cash Flow (£m)</w:t>
            </w:r>
          </w:p>
        </w:tc>
      </w:tr>
      <w:tr w:rsidR="00CF29AB" w:rsidRPr="00E805AD" w14:paraId="3947C0AB" w14:textId="77777777" w:rsidTr="00CF29AB">
        <w:trPr>
          <w:trHeight w:val="300"/>
        </w:trPr>
        <w:tc>
          <w:tcPr>
            <w:tcW w:w="520" w:type="dxa"/>
            <w:tcBorders>
              <w:top w:val="nil"/>
              <w:left w:val="single" w:sz="8" w:space="0" w:color="auto"/>
              <w:bottom w:val="single" w:sz="4" w:space="0" w:color="auto"/>
              <w:right w:val="single" w:sz="4" w:space="0" w:color="auto"/>
            </w:tcBorders>
            <w:noWrap/>
            <w:vAlign w:val="bottom"/>
            <w:hideMark/>
          </w:tcPr>
          <w:p w14:paraId="26ED27C3"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0</w:t>
            </w:r>
          </w:p>
        </w:tc>
        <w:tc>
          <w:tcPr>
            <w:tcW w:w="1940" w:type="dxa"/>
            <w:tcBorders>
              <w:top w:val="nil"/>
              <w:left w:val="nil"/>
              <w:bottom w:val="single" w:sz="4" w:space="0" w:color="auto"/>
              <w:right w:val="single" w:sz="4" w:space="0" w:color="auto"/>
            </w:tcBorders>
            <w:noWrap/>
            <w:vAlign w:val="bottom"/>
            <w:hideMark/>
          </w:tcPr>
          <w:p w14:paraId="731B3D4D"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-50</w:t>
            </w:r>
          </w:p>
        </w:tc>
        <w:tc>
          <w:tcPr>
            <w:tcW w:w="2020" w:type="dxa"/>
            <w:tcBorders>
              <w:top w:val="nil"/>
              <w:left w:val="nil"/>
              <w:bottom w:val="single" w:sz="4" w:space="0" w:color="auto"/>
              <w:right w:val="single" w:sz="4" w:space="0" w:color="auto"/>
            </w:tcBorders>
            <w:noWrap/>
            <w:vAlign w:val="bottom"/>
            <w:hideMark/>
          </w:tcPr>
          <w:p w14:paraId="770BAE87"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w:t>
            </w:r>
          </w:p>
        </w:tc>
        <w:tc>
          <w:tcPr>
            <w:tcW w:w="1920" w:type="dxa"/>
            <w:tcBorders>
              <w:top w:val="nil"/>
              <w:left w:val="nil"/>
              <w:bottom w:val="single" w:sz="4" w:space="0" w:color="auto"/>
              <w:right w:val="single" w:sz="4" w:space="0" w:color="auto"/>
            </w:tcBorders>
            <w:noWrap/>
            <w:vAlign w:val="bottom"/>
            <w:hideMark/>
          </w:tcPr>
          <w:p w14:paraId="16335F1E"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-50</w:t>
            </w:r>
          </w:p>
        </w:tc>
        <w:tc>
          <w:tcPr>
            <w:tcW w:w="2680" w:type="dxa"/>
            <w:tcBorders>
              <w:top w:val="nil"/>
              <w:left w:val="nil"/>
              <w:bottom w:val="single" w:sz="4" w:space="0" w:color="auto"/>
              <w:right w:val="single" w:sz="8" w:space="0" w:color="auto"/>
            </w:tcBorders>
            <w:noWrap/>
            <w:vAlign w:val="bottom"/>
            <w:hideMark/>
          </w:tcPr>
          <w:p w14:paraId="4BD4AEEE"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-50</w:t>
            </w:r>
          </w:p>
        </w:tc>
      </w:tr>
      <w:tr w:rsidR="00CF29AB" w:rsidRPr="00E805AD" w14:paraId="0F1796E6" w14:textId="77777777" w:rsidTr="00CF29AB">
        <w:trPr>
          <w:trHeight w:val="300"/>
        </w:trPr>
        <w:tc>
          <w:tcPr>
            <w:tcW w:w="520" w:type="dxa"/>
            <w:tcBorders>
              <w:top w:val="nil"/>
              <w:left w:val="single" w:sz="8" w:space="0" w:color="auto"/>
              <w:bottom w:val="single" w:sz="4" w:space="0" w:color="auto"/>
              <w:right w:val="single" w:sz="4" w:space="0" w:color="auto"/>
            </w:tcBorders>
            <w:noWrap/>
            <w:vAlign w:val="bottom"/>
            <w:hideMark/>
          </w:tcPr>
          <w:p w14:paraId="10B742A8"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1</w:t>
            </w:r>
          </w:p>
        </w:tc>
        <w:tc>
          <w:tcPr>
            <w:tcW w:w="1940" w:type="dxa"/>
            <w:tcBorders>
              <w:top w:val="nil"/>
              <w:left w:val="nil"/>
              <w:bottom w:val="single" w:sz="4" w:space="0" w:color="auto"/>
              <w:right w:val="single" w:sz="4" w:space="0" w:color="auto"/>
            </w:tcBorders>
            <w:noWrap/>
            <w:vAlign w:val="bottom"/>
            <w:hideMark/>
          </w:tcPr>
          <w:p w14:paraId="6184D509"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w:t>
            </w:r>
          </w:p>
        </w:tc>
        <w:tc>
          <w:tcPr>
            <w:tcW w:w="2020" w:type="dxa"/>
            <w:tcBorders>
              <w:top w:val="nil"/>
              <w:left w:val="nil"/>
              <w:bottom w:val="single" w:sz="4" w:space="0" w:color="auto"/>
              <w:right w:val="single" w:sz="4" w:space="0" w:color="auto"/>
            </w:tcBorders>
            <w:noWrap/>
            <w:vAlign w:val="bottom"/>
            <w:hideMark/>
          </w:tcPr>
          <w:p w14:paraId="3FEDA857"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0.166666667</w:t>
            </w:r>
          </w:p>
        </w:tc>
        <w:tc>
          <w:tcPr>
            <w:tcW w:w="1920" w:type="dxa"/>
            <w:tcBorders>
              <w:top w:val="nil"/>
              <w:left w:val="nil"/>
              <w:bottom w:val="single" w:sz="4" w:space="0" w:color="auto"/>
              <w:right w:val="single" w:sz="4" w:space="0" w:color="auto"/>
            </w:tcBorders>
            <w:noWrap/>
            <w:vAlign w:val="bottom"/>
            <w:hideMark/>
          </w:tcPr>
          <w:p w14:paraId="1B5FE4EE"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0.833333333</w:t>
            </w:r>
          </w:p>
        </w:tc>
        <w:tc>
          <w:tcPr>
            <w:tcW w:w="2680" w:type="dxa"/>
            <w:tcBorders>
              <w:top w:val="nil"/>
              <w:left w:val="nil"/>
              <w:bottom w:val="single" w:sz="4" w:space="0" w:color="auto"/>
              <w:right w:val="single" w:sz="8" w:space="0" w:color="auto"/>
            </w:tcBorders>
            <w:noWrap/>
            <w:vAlign w:val="bottom"/>
            <w:hideMark/>
          </w:tcPr>
          <w:p w14:paraId="48DE3156"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-45</w:t>
            </w:r>
          </w:p>
        </w:tc>
      </w:tr>
      <w:tr w:rsidR="00CF29AB" w:rsidRPr="00E805AD" w14:paraId="7515EEB5" w14:textId="77777777" w:rsidTr="00CF29AB">
        <w:trPr>
          <w:trHeight w:val="300"/>
        </w:trPr>
        <w:tc>
          <w:tcPr>
            <w:tcW w:w="520" w:type="dxa"/>
            <w:tcBorders>
              <w:top w:val="nil"/>
              <w:left w:val="single" w:sz="8" w:space="0" w:color="auto"/>
              <w:bottom w:val="single" w:sz="4" w:space="0" w:color="auto"/>
              <w:right w:val="single" w:sz="4" w:space="0" w:color="auto"/>
            </w:tcBorders>
            <w:noWrap/>
            <w:vAlign w:val="bottom"/>
            <w:hideMark/>
          </w:tcPr>
          <w:p w14:paraId="1704A330"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2</w:t>
            </w:r>
          </w:p>
        </w:tc>
        <w:tc>
          <w:tcPr>
            <w:tcW w:w="1940" w:type="dxa"/>
            <w:tcBorders>
              <w:top w:val="nil"/>
              <w:left w:val="nil"/>
              <w:bottom w:val="single" w:sz="4" w:space="0" w:color="auto"/>
              <w:right w:val="single" w:sz="4" w:space="0" w:color="auto"/>
            </w:tcBorders>
            <w:noWrap/>
            <w:vAlign w:val="bottom"/>
            <w:hideMark/>
          </w:tcPr>
          <w:p w14:paraId="27F533AB"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10</w:t>
            </w:r>
          </w:p>
        </w:tc>
        <w:tc>
          <w:tcPr>
            <w:tcW w:w="2020" w:type="dxa"/>
            <w:tcBorders>
              <w:top w:val="nil"/>
              <w:left w:val="nil"/>
              <w:bottom w:val="single" w:sz="4" w:space="0" w:color="auto"/>
              <w:right w:val="single" w:sz="4" w:space="0" w:color="auto"/>
            </w:tcBorders>
            <w:noWrap/>
            <w:vAlign w:val="bottom"/>
            <w:hideMark/>
          </w:tcPr>
          <w:p w14:paraId="04CBE8B0"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0.008264463</w:t>
            </w:r>
          </w:p>
        </w:tc>
        <w:tc>
          <w:tcPr>
            <w:tcW w:w="1920" w:type="dxa"/>
            <w:tcBorders>
              <w:top w:val="nil"/>
              <w:left w:val="nil"/>
              <w:bottom w:val="single" w:sz="4" w:space="0" w:color="auto"/>
              <w:right w:val="single" w:sz="4" w:space="0" w:color="auto"/>
            </w:tcBorders>
            <w:noWrap/>
            <w:vAlign w:val="bottom"/>
            <w:hideMark/>
          </w:tcPr>
          <w:p w14:paraId="1DAA58F1"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0.082644628</w:t>
            </w:r>
          </w:p>
        </w:tc>
        <w:tc>
          <w:tcPr>
            <w:tcW w:w="2680" w:type="dxa"/>
            <w:tcBorders>
              <w:top w:val="nil"/>
              <w:left w:val="nil"/>
              <w:bottom w:val="single" w:sz="4" w:space="0" w:color="auto"/>
              <w:right w:val="single" w:sz="8" w:space="0" w:color="auto"/>
            </w:tcBorders>
            <w:noWrap/>
            <w:vAlign w:val="bottom"/>
            <w:hideMark/>
          </w:tcPr>
          <w:p w14:paraId="2B22E773"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-35</w:t>
            </w:r>
          </w:p>
        </w:tc>
      </w:tr>
      <w:tr w:rsidR="00CF29AB" w:rsidRPr="00E805AD" w14:paraId="53D0EA21" w14:textId="77777777" w:rsidTr="00CF29AB">
        <w:trPr>
          <w:trHeight w:val="300"/>
        </w:trPr>
        <w:tc>
          <w:tcPr>
            <w:tcW w:w="520" w:type="dxa"/>
            <w:tcBorders>
              <w:top w:val="nil"/>
              <w:left w:val="single" w:sz="8" w:space="0" w:color="auto"/>
              <w:bottom w:val="single" w:sz="4" w:space="0" w:color="auto"/>
              <w:right w:val="single" w:sz="4" w:space="0" w:color="auto"/>
            </w:tcBorders>
            <w:noWrap/>
            <w:vAlign w:val="bottom"/>
            <w:hideMark/>
          </w:tcPr>
          <w:p w14:paraId="65737DFA"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3</w:t>
            </w:r>
          </w:p>
        </w:tc>
        <w:tc>
          <w:tcPr>
            <w:tcW w:w="1940" w:type="dxa"/>
            <w:tcBorders>
              <w:top w:val="nil"/>
              <w:left w:val="nil"/>
              <w:bottom w:val="single" w:sz="4" w:space="0" w:color="auto"/>
              <w:right w:val="single" w:sz="4" w:space="0" w:color="auto"/>
            </w:tcBorders>
            <w:noWrap/>
            <w:vAlign w:val="bottom"/>
            <w:hideMark/>
          </w:tcPr>
          <w:p w14:paraId="1AB4D323"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20</w:t>
            </w:r>
          </w:p>
        </w:tc>
        <w:tc>
          <w:tcPr>
            <w:tcW w:w="2020" w:type="dxa"/>
            <w:tcBorders>
              <w:top w:val="nil"/>
              <w:left w:val="nil"/>
              <w:bottom w:val="single" w:sz="4" w:space="0" w:color="auto"/>
              <w:right w:val="single" w:sz="4" w:space="0" w:color="auto"/>
            </w:tcBorders>
            <w:noWrap/>
            <w:vAlign w:val="bottom"/>
            <w:hideMark/>
          </w:tcPr>
          <w:p w14:paraId="2614AE19"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0.00010798</w:t>
            </w:r>
          </w:p>
        </w:tc>
        <w:tc>
          <w:tcPr>
            <w:tcW w:w="1920" w:type="dxa"/>
            <w:tcBorders>
              <w:top w:val="nil"/>
              <w:left w:val="nil"/>
              <w:bottom w:val="single" w:sz="4" w:space="0" w:color="auto"/>
              <w:right w:val="single" w:sz="4" w:space="0" w:color="auto"/>
            </w:tcBorders>
            <w:noWrap/>
            <w:vAlign w:val="bottom"/>
            <w:hideMark/>
          </w:tcPr>
          <w:p w14:paraId="0267BA65"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0.002159594</w:t>
            </w:r>
          </w:p>
        </w:tc>
        <w:tc>
          <w:tcPr>
            <w:tcW w:w="2680" w:type="dxa"/>
            <w:tcBorders>
              <w:top w:val="nil"/>
              <w:left w:val="nil"/>
              <w:bottom w:val="single" w:sz="4" w:space="0" w:color="auto"/>
              <w:right w:val="single" w:sz="8" w:space="0" w:color="auto"/>
            </w:tcBorders>
            <w:noWrap/>
            <w:vAlign w:val="bottom"/>
            <w:hideMark/>
          </w:tcPr>
          <w:p w14:paraId="606668D7"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-15</w:t>
            </w:r>
          </w:p>
        </w:tc>
      </w:tr>
      <w:tr w:rsidR="00CF29AB" w:rsidRPr="00E805AD" w14:paraId="4B2B4E85" w14:textId="77777777" w:rsidTr="00CF29AB">
        <w:trPr>
          <w:trHeight w:val="300"/>
        </w:trPr>
        <w:tc>
          <w:tcPr>
            <w:tcW w:w="520" w:type="dxa"/>
            <w:tcBorders>
              <w:top w:val="nil"/>
              <w:left w:val="single" w:sz="8" w:space="0" w:color="auto"/>
              <w:bottom w:val="single" w:sz="4" w:space="0" w:color="auto"/>
              <w:right w:val="single" w:sz="4" w:space="0" w:color="auto"/>
            </w:tcBorders>
            <w:noWrap/>
            <w:vAlign w:val="bottom"/>
            <w:hideMark/>
          </w:tcPr>
          <w:p w14:paraId="10B2E5A8"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lastRenderedPageBreak/>
              <w:t>4</w:t>
            </w:r>
          </w:p>
        </w:tc>
        <w:tc>
          <w:tcPr>
            <w:tcW w:w="1940" w:type="dxa"/>
            <w:tcBorders>
              <w:top w:val="nil"/>
              <w:left w:val="nil"/>
              <w:bottom w:val="single" w:sz="4" w:space="0" w:color="auto"/>
              <w:right w:val="single" w:sz="4" w:space="0" w:color="auto"/>
            </w:tcBorders>
            <w:noWrap/>
            <w:vAlign w:val="bottom"/>
            <w:hideMark/>
          </w:tcPr>
          <w:p w14:paraId="3A212690"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25</w:t>
            </w:r>
          </w:p>
        </w:tc>
        <w:tc>
          <w:tcPr>
            <w:tcW w:w="2020" w:type="dxa"/>
            <w:tcBorders>
              <w:top w:val="nil"/>
              <w:left w:val="nil"/>
              <w:bottom w:val="single" w:sz="4" w:space="0" w:color="auto"/>
              <w:right w:val="single" w:sz="4" w:space="0" w:color="auto"/>
            </w:tcBorders>
            <w:noWrap/>
            <w:vAlign w:val="bottom"/>
            <w:hideMark/>
          </w:tcPr>
          <w:p w14:paraId="24D1358F"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2.1883E-06</w:t>
            </w:r>
          </w:p>
        </w:tc>
        <w:tc>
          <w:tcPr>
            <w:tcW w:w="1920" w:type="dxa"/>
            <w:tcBorders>
              <w:top w:val="nil"/>
              <w:left w:val="nil"/>
              <w:bottom w:val="single" w:sz="4" w:space="0" w:color="auto"/>
              <w:right w:val="single" w:sz="4" w:space="0" w:color="auto"/>
            </w:tcBorders>
            <w:noWrap/>
            <w:vAlign w:val="bottom"/>
            <w:hideMark/>
          </w:tcPr>
          <w:p w14:paraId="09008139"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5.47075E-05</w:t>
            </w:r>
          </w:p>
        </w:tc>
        <w:tc>
          <w:tcPr>
            <w:tcW w:w="2680" w:type="dxa"/>
            <w:tcBorders>
              <w:top w:val="nil"/>
              <w:left w:val="nil"/>
              <w:bottom w:val="single" w:sz="4" w:space="0" w:color="auto"/>
              <w:right w:val="single" w:sz="8" w:space="0" w:color="auto"/>
            </w:tcBorders>
            <w:noWrap/>
            <w:vAlign w:val="bottom"/>
            <w:hideMark/>
          </w:tcPr>
          <w:p w14:paraId="736A2C1D"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10</w:t>
            </w:r>
          </w:p>
        </w:tc>
      </w:tr>
      <w:tr w:rsidR="00CF29AB" w:rsidRPr="00E805AD" w14:paraId="74165E18" w14:textId="77777777" w:rsidTr="00CF29AB">
        <w:trPr>
          <w:trHeight w:val="300"/>
        </w:trPr>
        <w:tc>
          <w:tcPr>
            <w:tcW w:w="520" w:type="dxa"/>
            <w:tcBorders>
              <w:top w:val="nil"/>
              <w:left w:val="single" w:sz="8" w:space="0" w:color="auto"/>
              <w:bottom w:val="single" w:sz="4" w:space="0" w:color="auto"/>
              <w:right w:val="single" w:sz="4" w:space="0" w:color="auto"/>
            </w:tcBorders>
            <w:noWrap/>
            <w:vAlign w:val="bottom"/>
            <w:hideMark/>
          </w:tcPr>
          <w:p w14:paraId="57701311"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5</w:t>
            </w:r>
          </w:p>
        </w:tc>
        <w:tc>
          <w:tcPr>
            <w:tcW w:w="1940" w:type="dxa"/>
            <w:tcBorders>
              <w:top w:val="nil"/>
              <w:left w:val="nil"/>
              <w:bottom w:val="single" w:sz="4" w:space="0" w:color="auto"/>
              <w:right w:val="single" w:sz="4" w:space="0" w:color="auto"/>
            </w:tcBorders>
            <w:noWrap/>
            <w:vAlign w:val="bottom"/>
            <w:hideMark/>
          </w:tcPr>
          <w:p w14:paraId="01984959"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5</w:t>
            </w:r>
          </w:p>
        </w:tc>
        <w:tc>
          <w:tcPr>
            <w:tcW w:w="2020" w:type="dxa"/>
            <w:tcBorders>
              <w:top w:val="nil"/>
              <w:left w:val="nil"/>
              <w:bottom w:val="single" w:sz="4" w:space="0" w:color="auto"/>
              <w:right w:val="single" w:sz="4" w:space="0" w:color="auto"/>
            </w:tcBorders>
            <w:noWrap/>
            <w:vAlign w:val="bottom"/>
            <w:hideMark/>
          </w:tcPr>
          <w:p w14:paraId="4A428A76"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0.000128601</w:t>
            </w:r>
          </w:p>
        </w:tc>
        <w:tc>
          <w:tcPr>
            <w:tcW w:w="1920" w:type="dxa"/>
            <w:tcBorders>
              <w:top w:val="nil"/>
              <w:left w:val="nil"/>
              <w:bottom w:val="single" w:sz="4" w:space="0" w:color="auto"/>
              <w:right w:val="single" w:sz="4" w:space="0" w:color="auto"/>
            </w:tcBorders>
            <w:noWrap/>
            <w:vAlign w:val="bottom"/>
            <w:hideMark/>
          </w:tcPr>
          <w:p w14:paraId="75C6B45F"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0.000643004</w:t>
            </w:r>
          </w:p>
        </w:tc>
        <w:tc>
          <w:tcPr>
            <w:tcW w:w="2680" w:type="dxa"/>
            <w:tcBorders>
              <w:top w:val="nil"/>
              <w:left w:val="nil"/>
              <w:bottom w:val="single" w:sz="4" w:space="0" w:color="auto"/>
              <w:right w:val="single" w:sz="8" w:space="0" w:color="auto"/>
            </w:tcBorders>
            <w:noWrap/>
            <w:vAlign w:val="bottom"/>
            <w:hideMark/>
          </w:tcPr>
          <w:p w14:paraId="63028E34"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15</w:t>
            </w:r>
          </w:p>
        </w:tc>
      </w:tr>
      <w:tr w:rsidR="00CF29AB" w:rsidRPr="00E805AD" w14:paraId="395918B3" w14:textId="77777777" w:rsidTr="00CF29AB">
        <w:trPr>
          <w:trHeight w:val="300"/>
        </w:trPr>
        <w:tc>
          <w:tcPr>
            <w:tcW w:w="4480" w:type="dxa"/>
            <w:gridSpan w:val="3"/>
            <w:tcBorders>
              <w:top w:val="single" w:sz="4" w:space="0" w:color="auto"/>
              <w:left w:val="single" w:sz="8" w:space="0" w:color="auto"/>
              <w:bottom w:val="single" w:sz="4" w:space="0" w:color="auto"/>
              <w:right w:val="single" w:sz="4" w:space="0" w:color="auto"/>
            </w:tcBorders>
            <w:noWrap/>
            <w:vAlign w:val="bottom"/>
            <w:hideMark/>
          </w:tcPr>
          <w:p w14:paraId="1924AC91"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Total Present Value</w:t>
            </w:r>
          </w:p>
        </w:tc>
        <w:tc>
          <w:tcPr>
            <w:tcW w:w="4600" w:type="dxa"/>
            <w:gridSpan w:val="2"/>
            <w:tcBorders>
              <w:top w:val="single" w:sz="4" w:space="0" w:color="auto"/>
              <w:left w:val="nil"/>
              <w:bottom w:val="single" w:sz="4" w:space="0" w:color="auto"/>
              <w:right w:val="single" w:sz="8" w:space="0" w:color="000000"/>
            </w:tcBorders>
            <w:noWrap/>
            <w:vAlign w:val="bottom"/>
            <w:hideMark/>
          </w:tcPr>
          <w:p w14:paraId="2EFCF53E"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0.918835267</w:t>
            </w:r>
          </w:p>
        </w:tc>
      </w:tr>
      <w:tr w:rsidR="00CF29AB" w:rsidRPr="00E805AD" w14:paraId="1461AC27" w14:textId="77777777" w:rsidTr="00CF29AB">
        <w:trPr>
          <w:trHeight w:val="300"/>
        </w:trPr>
        <w:tc>
          <w:tcPr>
            <w:tcW w:w="6400" w:type="dxa"/>
            <w:gridSpan w:val="4"/>
            <w:tcBorders>
              <w:top w:val="single" w:sz="4" w:space="0" w:color="auto"/>
              <w:left w:val="single" w:sz="8" w:space="0" w:color="auto"/>
              <w:bottom w:val="single" w:sz="4" w:space="0" w:color="auto"/>
              <w:right w:val="single" w:sz="4" w:space="0" w:color="auto"/>
            </w:tcBorders>
            <w:noWrap/>
            <w:vAlign w:val="bottom"/>
            <w:hideMark/>
          </w:tcPr>
          <w:p w14:paraId="2A156851"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Payback Period</w:t>
            </w:r>
          </w:p>
        </w:tc>
        <w:tc>
          <w:tcPr>
            <w:tcW w:w="2680" w:type="dxa"/>
            <w:tcBorders>
              <w:top w:val="nil"/>
              <w:left w:val="nil"/>
              <w:bottom w:val="single" w:sz="4" w:space="0" w:color="auto"/>
              <w:right w:val="single" w:sz="8" w:space="0" w:color="auto"/>
            </w:tcBorders>
            <w:noWrap/>
            <w:vAlign w:val="bottom"/>
            <w:hideMark/>
          </w:tcPr>
          <w:p w14:paraId="124FA460"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4.2</w:t>
            </w:r>
          </w:p>
        </w:tc>
      </w:tr>
      <w:tr w:rsidR="00CF29AB" w:rsidRPr="00E805AD" w14:paraId="78816439" w14:textId="77777777" w:rsidTr="00CF29AB">
        <w:trPr>
          <w:trHeight w:val="300"/>
        </w:trPr>
        <w:tc>
          <w:tcPr>
            <w:tcW w:w="6400" w:type="dxa"/>
            <w:gridSpan w:val="4"/>
            <w:tcBorders>
              <w:top w:val="single" w:sz="4" w:space="0" w:color="auto"/>
              <w:left w:val="single" w:sz="8" w:space="0" w:color="auto"/>
              <w:bottom w:val="single" w:sz="4" w:space="0" w:color="auto"/>
              <w:right w:val="single" w:sz="4" w:space="0" w:color="auto"/>
            </w:tcBorders>
            <w:noWrap/>
            <w:vAlign w:val="bottom"/>
            <w:hideMark/>
          </w:tcPr>
          <w:p w14:paraId="02160D44"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Average Annual Profit</w:t>
            </w:r>
          </w:p>
        </w:tc>
        <w:tc>
          <w:tcPr>
            <w:tcW w:w="2680" w:type="dxa"/>
            <w:tcBorders>
              <w:top w:val="nil"/>
              <w:left w:val="nil"/>
              <w:bottom w:val="single" w:sz="4" w:space="0" w:color="auto"/>
              <w:right w:val="single" w:sz="8" w:space="0" w:color="auto"/>
            </w:tcBorders>
            <w:noWrap/>
            <w:vAlign w:val="bottom"/>
            <w:hideMark/>
          </w:tcPr>
          <w:p w14:paraId="2307ACEA"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13</w:t>
            </w:r>
          </w:p>
        </w:tc>
      </w:tr>
      <w:tr w:rsidR="00CF29AB" w:rsidRPr="00E805AD" w14:paraId="04F08AEC" w14:textId="77777777" w:rsidTr="00CF29AB">
        <w:trPr>
          <w:trHeight w:val="300"/>
        </w:trPr>
        <w:tc>
          <w:tcPr>
            <w:tcW w:w="6400" w:type="dxa"/>
            <w:gridSpan w:val="4"/>
            <w:tcBorders>
              <w:top w:val="single" w:sz="4" w:space="0" w:color="auto"/>
              <w:left w:val="single" w:sz="8" w:space="0" w:color="auto"/>
              <w:bottom w:val="single" w:sz="4" w:space="0" w:color="auto"/>
              <w:right w:val="single" w:sz="4" w:space="0" w:color="auto"/>
            </w:tcBorders>
            <w:noWrap/>
            <w:vAlign w:val="bottom"/>
            <w:hideMark/>
          </w:tcPr>
          <w:p w14:paraId="16EEE009"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ARR</w:t>
            </w:r>
          </w:p>
        </w:tc>
        <w:tc>
          <w:tcPr>
            <w:tcW w:w="2680" w:type="dxa"/>
            <w:tcBorders>
              <w:top w:val="nil"/>
              <w:left w:val="nil"/>
              <w:bottom w:val="single" w:sz="4" w:space="0" w:color="auto"/>
              <w:right w:val="single" w:sz="8" w:space="0" w:color="auto"/>
            </w:tcBorders>
            <w:noWrap/>
            <w:vAlign w:val="bottom"/>
            <w:hideMark/>
          </w:tcPr>
          <w:p w14:paraId="65158086"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26</w:t>
            </w:r>
          </w:p>
        </w:tc>
      </w:tr>
      <w:tr w:rsidR="00CF29AB" w:rsidRPr="00E805AD" w14:paraId="7AD1090B" w14:textId="77777777" w:rsidTr="00CF29AB">
        <w:trPr>
          <w:trHeight w:val="300"/>
        </w:trPr>
        <w:tc>
          <w:tcPr>
            <w:tcW w:w="6400" w:type="dxa"/>
            <w:gridSpan w:val="4"/>
            <w:tcBorders>
              <w:top w:val="single" w:sz="4" w:space="0" w:color="auto"/>
              <w:left w:val="single" w:sz="8" w:space="0" w:color="auto"/>
              <w:bottom w:val="single" w:sz="4" w:space="0" w:color="auto"/>
              <w:right w:val="single" w:sz="4" w:space="0" w:color="auto"/>
            </w:tcBorders>
            <w:noWrap/>
            <w:vAlign w:val="bottom"/>
            <w:hideMark/>
          </w:tcPr>
          <w:p w14:paraId="1B0E24FA"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NPV</w:t>
            </w:r>
          </w:p>
        </w:tc>
        <w:tc>
          <w:tcPr>
            <w:tcW w:w="2680" w:type="dxa"/>
            <w:tcBorders>
              <w:top w:val="nil"/>
              <w:left w:val="nil"/>
              <w:bottom w:val="single" w:sz="4" w:space="0" w:color="auto"/>
              <w:right w:val="single" w:sz="8" w:space="0" w:color="auto"/>
            </w:tcBorders>
            <w:noWrap/>
            <w:vAlign w:val="bottom"/>
            <w:hideMark/>
          </w:tcPr>
          <w:p w14:paraId="08AD48DD"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 xml:space="preserve">$0.86 </w:t>
            </w:r>
          </w:p>
        </w:tc>
      </w:tr>
      <w:tr w:rsidR="00CF29AB" w:rsidRPr="00E805AD" w14:paraId="1FF11D84" w14:textId="77777777" w:rsidTr="00CF29AB">
        <w:trPr>
          <w:trHeight w:val="300"/>
        </w:trPr>
        <w:tc>
          <w:tcPr>
            <w:tcW w:w="6400" w:type="dxa"/>
            <w:gridSpan w:val="4"/>
            <w:tcBorders>
              <w:top w:val="single" w:sz="4" w:space="0" w:color="auto"/>
              <w:left w:val="single" w:sz="8" w:space="0" w:color="auto"/>
              <w:bottom w:val="single" w:sz="4" w:space="0" w:color="auto"/>
              <w:right w:val="single" w:sz="4" w:space="0" w:color="auto"/>
            </w:tcBorders>
            <w:noWrap/>
            <w:vAlign w:val="bottom"/>
            <w:hideMark/>
          </w:tcPr>
          <w:p w14:paraId="4054E521"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Profitability Index</w:t>
            </w:r>
          </w:p>
        </w:tc>
        <w:tc>
          <w:tcPr>
            <w:tcW w:w="2680" w:type="dxa"/>
            <w:tcBorders>
              <w:top w:val="nil"/>
              <w:left w:val="nil"/>
              <w:bottom w:val="single" w:sz="4" w:space="0" w:color="auto"/>
              <w:right w:val="single" w:sz="8" w:space="0" w:color="auto"/>
            </w:tcBorders>
            <w:noWrap/>
            <w:vAlign w:val="bottom"/>
            <w:hideMark/>
          </w:tcPr>
          <w:p w14:paraId="13E6FFD4"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1.017166499</w:t>
            </w:r>
          </w:p>
        </w:tc>
      </w:tr>
      <w:tr w:rsidR="00CF29AB" w:rsidRPr="00E805AD" w14:paraId="3D43AA8A" w14:textId="77777777" w:rsidTr="00CF29AB">
        <w:trPr>
          <w:trHeight w:val="315"/>
        </w:trPr>
        <w:tc>
          <w:tcPr>
            <w:tcW w:w="6400" w:type="dxa"/>
            <w:gridSpan w:val="4"/>
            <w:tcBorders>
              <w:top w:val="single" w:sz="4" w:space="0" w:color="auto"/>
              <w:left w:val="single" w:sz="8" w:space="0" w:color="auto"/>
              <w:bottom w:val="single" w:sz="8" w:space="0" w:color="auto"/>
              <w:right w:val="single" w:sz="4" w:space="0" w:color="auto"/>
            </w:tcBorders>
            <w:noWrap/>
            <w:vAlign w:val="bottom"/>
            <w:hideMark/>
          </w:tcPr>
          <w:p w14:paraId="00061EF5" w14:textId="77777777" w:rsidR="00CF29AB" w:rsidRPr="00E805AD" w:rsidRDefault="00CF29AB" w:rsidP="00E805AD">
            <w:pPr>
              <w:spacing w:after="240" w:line="360" w:lineRule="auto"/>
              <w:rPr>
                <w:rFonts w:eastAsia="Times New Roman"/>
                <w:color w:val="000000"/>
                <w:sz w:val="24"/>
                <w:szCs w:val="24"/>
                <w:lang w:val="en-US"/>
              </w:rPr>
            </w:pPr>
            <w:r w:rsidRPr="00E805AD">
              <w:rPr>
                <w:rFonts w:eastAsia="Times New Roman"/>
                <w:color w:val="000000"/>
                <w:sz w:val="24"/>
                <w:szCs w:val="24"/>
                <w:lang w:val="en-US"/>
              </w:rPr>
              <w:t>IRR</w:t>
            </w:r>
          </w:p>
        </w:tc>
        <w:tc>
          <w:tcPr>
            <w:tcW w:w="2680" w:type="dxa"/>
            <w:tcBorders>
              <w:top w:val="nil"/>
              <w:left w:val="nil"/>
              <w:bottom w:val="single" w:sz="8" w:space="0" w:color="auto"/>
              <w:right w:val="single" w:sz="8" w:space="0" w:color="auto"/>
            </w:tcBorders>
            <w:noWrap/>
            <w:vAlign w:val="bottom"/>
            <w:hideMark/>
          </w:tcPr>
          <w:p w14:paraId="05DE53DB" w14:textId="77777777" w:rsidR="00CF29AB" w:rsidRPr="00E805AD" w:rsidRDefault="00CF29AB" w:rsidP="00E805AD">
            <w:pPr>
              <w:spacing w:after="240" w:line="360" w:lineRule="auto"/>
              <w:jc w:val="right"/>
              <w:rPr>
                <w:rFonts w:eastAsia="Times New Roman"/>
                <w:color w:val="000000"/>
                <w:sz w:val="24"/>
                <w:szCs w:val="24"/>
                <w:lang w:val="en-US"/>
              </w:rPr>
            </w:pPr>
            <w:r w:rsidRPr="00E805AD">
              <w:rPr>
                <w:rFonts w:eastAsia="Times New Roman"/>
                <w:color w:val="000000"/>
                <w:sz w:val="24"/>
                <w:szCs w:val="24"/>
                <w:lang w:val="en-US"/>
              </w:rPr>
              <w:t>9%</w:t>
            </w:r>
          </w:p>
        </w:tc>
      </w:tr>
    </w:tbl>
    <w:p w14:paraId="49BD433D" w14:textId="77777777" w:rsidR="00CF29AB" w:rsidRPr="00E805AD" w:rsidRDefault="00CF29AB" w:rsidP="00E805AD">
      <w:pPr>
        <w:spacing w:after="200" w:line="360" w:lineRule="auto"/>
        <w:jc w:val="both"/>
        <w:rPr>
          <w:rFonts w:eastAsia="Times New Roman"/>
          <w:sz w:val="24"/>
          <w:szCs w:val="24"/>
        </w:rPr>
      </w:pPr>
    </w:p>
    <w:sectPr w:rsidR="00CF29AB" w:rsidRPr="00E805AD" w:rsidSect="00006FFA">
      <w:footerReference w:type="default" r:id="rId9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22FA77" w14:textId="77777777" w:rsidR="007E7395" w:rsidRDefault="007E7395" w:rsidP="00006FFA">
      <w:pPr>
        <w:spacing w:line="240" w:lineRule="auto"/>
      </w:pPr>
      <w:r>
        <w:separator/>
      </w:r>
    </w:p>
  </w:endnote>
  <w:endnote w:type="continuationSeparator" w:id="0">
    <w:p w14:paraId="7E90D438" w14:textId="77777777" w:rsidR="007E7395" w:rsidRDefault="007E7395" w:rsidP="00006F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57A6405-2325-4079-B828-9E9E156C9DEC}"/>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embedRegular r:id="rId2" w:fontKey="{163E226C-1372-4742-8038-9F1F355A5042}"/>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8527104"/>
      <w:docPartObj>
        <w:docPartGallery w:val="Page Numbers (Bottom of Page)"/>
        <w:docPartUnique/>
      </w:docPartObj>
    </w:sdtPr>
    <w:sdtEndPr>
      <w:rPr>
        <w:rFonts w:ascii="Times New Roman" w:hAnsi="Times New Roman" w:cs="Times New Roman"/>
        <w:noProof/>
        <w:sz w:val="20"/>
        <w:szCs w:val="20"/>
      </w:rPr>
    </w:sdtEndPr>
    <w:sdtContent>
      <w:p w14:paraId="092671E1" w14:textId="52D8C63F" w:rsidR="00006FFA" w:rsidRPr="00006FFA" w:rsidRDefault="00006FFA">
        <w:pPr>
          <w:pStyle w:val="Footer"/>
          <w:jc w:val="right"/>
          <w:rPr>
            <w:rFonts w:ascii="Times New Roman" w:hAnsi="Times New Roman" w:cs="Times New Roman"/>
            <w:sz w:val="20"/>
            <w:szCs w:val="20"/>
          </w:rPr>
        </w:pPr>
        <w:r w:rsidRPr="00006FFA">
          <w:rPr>
            <w:rFonts w:ascii="Times New Roman" w:hAnsi="Times New Roman" w:cs="Times New Roman"/>
            <w:sz w:val="20"/>
            <w:szCs w:val="20"/>
          </w:rPr>
          <w:fldChar w:fldCharType="begin"/>
        </w:r>
        <w:r w:rsidRPr="00006FFA">
          <w:rPr>
            <w:rFonts w:ascii="Times New Roman" w:hAnsi="Times New Roman" w:cs="Times New Roman"/>
            <w:sz w:val="20"/>
            <w:szCs w:val="20"/>
          </w:rPr>
          <w:instrText xml:space="preserve"> PAGE   \* MERGEFORMAT </w:instrText>
        </w:r>
        <w:r w:rsidRPr="00006FFA">
          <w:rPr>
            <w:rFonts w:ascii="Times New Roman" w:hAnsi="Times New Roman" w:cs="Times New Roman"/>
            <w:sz w:val="20"/>
            <w:szCs w:val="20"/>
          </w:rPr>
          <w:fldChar w:fldCharType="separate"/>
        </w:r>
        <w:r w:rsidR="006C6C24">
          <w:rPr>
            <w:rFonts w:ascii="Times New Roman" w:hAnsi="Times New Roman" w:cs="Times New Roman"/>
            <w:noProof/>
            <w:sz w:val="20"/>
            <w:szCs w:val="20"/>
          </w:rPr>
          <w:t>20</w:t>
        </w:r>
        <w:r w:rsidRPr="00006FFA">
          <w:rPr>
            <w:rFonts w:ascii="Times New Roman" w:hAnsi="Times New Roman" w:cs="Times New Roman"/>
            <w:noProof/>
            <w:sz w:val="20"/>
            <w:szCs w:val="20"/>
          </w:rPr>
          <w:fldChar w:fldCharType="end"/>
        </w:r>
      </w:p>
    </w:sdtContent>
  </w:sdt>
  <w:p w14:paraId="4853870C" w14:textId="77777777" w:rsidR="00006FFA" w:rsidRDefault="00006FF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1D329B" w14:textId="77777777" w:rsidR="007E7395" w:rsidRDefault="007E7395" w:rsidP="00006FFA">
      <w:pPr>
        <w:spacing w:line="240" w:lineRule="auto"/>
      </w:pPr>
      <w:r>
        <w:separator/>
      </w:r>
    </w:p>
  </w:footnote>
  <w:footnote w:type="continuationSeparator" w:id="0">
    <w:p w14:paraId="4A8B6C11" w14:textId="77777777" w:rsidR="007E7395" w:rsidRDefault="007E7395" w:rsidP="00006FFA">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B92C8C"/>
    <w:multiLevelType w:val="multilevel"/>
    <w:tmpl w:val="4FA49D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2FA"/>
    <w:rsid w:val="00006FFA"/>
    <w:rsid w:val="00123D4C"/>
    <w:rsid w:val="003E3F7A"/>
    <w:rsid w:val="003E62FA"/>
    <w:rsid w:val="00465EF1"/>
    <w:rsid w:val="0051157A"/>
    <w:rsid w:val="00537CBC"/>
    <w:rsid w:val="00650885"/>
    <w:rsid w:val="00664A03"/>
    <w:rsid w:val="006C6C24"/>
    <w:rsid w:val="00712A08"/>
    <w:rsid w:val="00794F21"/>
    <w:rsid w:val="007E7395"/>
    <w:rsid w:val="00CF29AB"/>
    <w:rsid w:val="00D31E9B"/>
    <w:rsid w:val="00E705F4"/>
    <w:rsid w:val="00E805AD"/>
    <w:rsid w:val="00E829E9"/>
    <w:rsid w:val="00F21F17"/>
    <w:rsid w:val="00FF1D47"/>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8066A"/>
  <w15:docId w15:val="{7061D5EA-E564-4AAC-AFDD-582FF7704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rsid w:val="00E805AD"/>
    <w:pPr>
      <w:keepNext/>
      <w:keepLines/>
      <w:spacing w:before="120" w:after="120" w:line="360" w:lineRule="auto"/>
      <w:jc w:val="both"/>
      <w:outlineLvl w:val="0"/>
    </w:pPr>
    <w:rPr>
      <w:b/>
      <w:sz w:val="28"/>
      <w:szCs w:val="40"/>
    </w:rPr>
  </w:style>
  <w:style w:type="paragraph" w:styleId="Heading2">
    <w:name w:val="heading 2"/>
    <w:basedOn w:val="Normal"/>
    <w:next w:val="Normal"/>
    <w:uiPriority w:val="9"/>
    <w:unhideWhenUsed/>
    <w:qFormat/>
    <w:rsid w:val="00E805AD"/>
    <w:pPr>
      <w:keepNext/>
      <w:keepLines/>
      <w:spacing w:before="120" w:after="120" w:line="360" w:lineRule="auto"/>
      <w:jc w:val="both"/>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664A0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664A03"/>
    <w:pPr>
      <w:spacing w:after="100"/>
    </w:pPr>
  </w:style>
  <w:style w:type="paragraph" w:styleId="TOC2">
    <w:name w:val="toc 2"/>
    <w:basedOn w:val="Normal"/>
    <w:next w:val="Normal"/>
    <w:autoRedefine/>
    <w:uiPriority w:val="39"/>
    <w:unhideWhenUsed/>
    <w:rsid w:val="00664A03"/>
    <w:pPr>
      <w:spacing w:after="100"/>
      <w:ind w:left="220"/>
    </w:pPr>
  </w:style>
  <w:style w:type="character" w:styleId="Hyperlink">
    <w:name w:val="Hyperlink"/>
    <w:basedOn w:val="DefaultParagraphFont"/>
    <w:uiPriority w:val="99"/>
    <w:unhideWhenUsed/>
    <w:rsid w:val="00664A03"/>
    <w:rPr>
      <w:color w:val="0000FF" w:themeColor="hyperlink"/>
      <w:u w:val="single"/>
    </w:rPr>
  </w:style>
  <w:style w:type="table" w:styleId="TableGrid">
    <w:name w:val="Table Grid"/>
    <w:basedOn w:val="TableNormal"/>
    <w:uiPriority w:val="39"/>
    <w:rsid w:val="00664A0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06FFA"/>
    <w:pPr>
      <w:tabs>
        <w:tab w:val="center" w:pos="4680"/>
        <w:tab w:val="right" w:pos="9360"/>
      </w:tabs>
      <w:spacing w:line="240" w:lineRule="auto"/>
    </w:pPr>
  </w:style>
  <w:style w:type="character" w:customStyle="1" w:styleId="HeaderChar">
    <w:name w:val="Header Char"/>
    <w:basedOn w:val="DefaultParagraphFont"/>
    <w:link w:val="Header"/>
    <w:uiPriority w:val="99"/>
    <w:rsid w:val="00006FFA"/>
  </w:style>
  <w:style w:type="paragraph" w:styleId="Footer">
    <w:name w:val="footer"/>
    <w:basedOn w:val="Normal"/>
    <w:link w:val="FooterChar"/>
    <w:uiPriority w:val="99"/>
    <w:unhideWhenUsed/>
    <w:rsid w:val="00006FFA"/>
    <w:pPr>
      <w:tabs>
        <w:tab w:val="center" w:pos="4680"/>
        <w:tab w:val="right" w:pos="9360"/>
      </w:tabs>
      <w:spacing w:line="240" w:lineRule="auto"/>
    </w:pPr>
  </w:style>
  <w:style w:type="character" w:customStyle="1" w:styleId="FooterChar">
    <w:name w:val="Footer Char"/>
    <w:basedOn w:val="DefaultParagraphFont"/>
    <w:link w:val="Footer"/>
    <w:uiPriority w:val="99"/>
    <w:rsid w:val="00006FFA"/>
  </w:style>
  <w:style w:type="paragraph" w:styleId="NormalWeb">
    <w:name w:val="Normal (Web)"/>
    <w:basedOn w:val="Normal"/>
    <w:uiPriority w:val="99"/>
    <w:semiHidden/>
    <w:unhideWhenUsed/>
    <w:rsid w:val="0065088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6C6C24"/>
    <w:pPr>
      <w:spacing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6C6C24"/>
    <w:rPr>
      <w:rFonts w:asciiTheme="minorHAnsi" w:eastAsiaTheme="minorEastAsia" w:hAnsiTheme="minorHAnsi" w:cstheme="min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737314">
      <w:bodyDiv w:val="1"/>
      <w:marLeft w:val="0"/>
      <w:marRight w:val="0"/>
      <w:marTop w:val="0"/>
      <w:marBottom w:val="0"/>
      <w:divBdr>
        <w:top w:val="none" w:sz="0" w:space="0" w:color="auto"/>
        <w:left w:val="none" w:sz="0" w:space="0" w:color="auto"/>
        <w:bottom w:val="none" w:sz="0" w:space="0" w:color="auto"/>
        <w:right w:val="none" w:sz="0" w:space="0" w:color="auto"/>
      </w:divBdr>
    </w:div>
    <w:div w:id="1703557870">
      <w:bodyDiv w:val="1"/>
      <w:marLeft w:val="0"/>
      <w:marRight w:val="0"/>
      <w:marTop w:val="0"/>
      <w:marBottom w:val="0"/>
      <w:divBdr>
        <w:top w:val="none" w:sz="0" w:space="0" w:color="auto"/>
        <w:left w:val="none" w:sz="0" w:space="0" w:color="auto"/>
        <w:bottom w:val="none" w:sz="0" w:space="0" w:color="auto"/>
        <w:right w:val="none" w:sz="0" w:space="0" w:color="auto"/>
      </w:divBdr>
    </w:div>
    <w:div w:id="19690444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elibrary.imf.org/downloadpdf/view/journals/001/2024/142/001.2024.issue-142-en.pdf" TargetMode="External"/><Relationship Id="rId21" Type="http://schemas.openxmlformats.org/officeDocument/2006/relationships/hyperlink" Target="https://www.researchgate.net/profile/Maheswar-Sethi/publication/395479418_Corporate_Borrowings/links/68c835e94eef4b024b8b89ca/Corporate-Borrowings.pdf" TargetMode="External"/><Relationship Id="rId42" Type="http://schemas.openxmlformats.org/officeDocument/2006/relationships/hyperlink" Target="https://www.researchgate.net/profile/Minar-Hossain/publication/398078708_Determinants_and_consequences_of_share_repurchases_Evidence_from_US_public_firms/links/6929d01b71855517106470b6/Determinants-and-consequences-of-share-repurchases-Evidence-from-US-public-firms.pdf" TargetMode="External"/><Relationship Id="rId47" Type="http://schemas.openxmlformats.org/officeDocument/2006/relationships/hyperlink" Target="https://www.mdpi.com/1660-4601/19/14/8617" TargetMode="External"/><Relationship Id="rId63" Type="http://schemas.openxmlformats.org/officeDocument/2006/relationships/hyperlink" Target="https://www.mdpi.com/1911-8074/17/11/519" TargetMode="External"/><Relationship Id="rId68" Type="http://schemas.openxmlformats.org/officeDocument/2006/relationships/hyperlink" Target="https://www.mdpi.com/2071-1050/14/21/14447" TargetMode="External"/><Relationship Id="rId84" Type="http://schemas.openxmlformats.org/officeDocument/2006/relationships/hyperlink" Target="https://www.mdpi.com/2071-1050/17/8/3482" TargetMode="External"/><Relationship Id="rId89" Type="http://schemas.openxmlformats.org/officeDocument/2006/relationships/chart" Target="charts/chart3.xml"/><Relationship Id="rId16" Type="http://schemas.openxmlformats.org/officeDocument/2006/relationships/hyperlink" Target="https://www.researchgate.net/profile/Saqib-Rehman-3/publication/368576638_A_Bibliometric_Analysis_of_Asset-Light_Fee-Oriented_ALFO_Strategy_Potential_Future_Implications_for_Hospitality_Industry/links/63ef6d0951d7af0540325e37/A-Bibliometric-Analysis-of-Asset-Light-Fee-Oriented-ALFO-Strategy-Potential-Future-Implications-for-Hospitality-Industry.pdf" TargetMode="External"/><Relationship Id="rId11" Type="http://schemas.openxmlformats.org/officeDocument/2006/relationships/hyperlink" Target="https://www.researchgate.net/profile/Abdul-Razzak-Alshehadeh/publication/390407034_The_Impact_of_Operating_Cash_Flows_on_IT_Investment_and_Profitability_in_Commercial_Banks/links/67eccc11e8041142a15de006/The-Impact-of-Operating-Cash-Flows-on-IT-Investment-and-Profitability-in-Commercial-Banks.pdf" TargetMode="External"/><Relationship Id="rId32" Type="http://schemas.openxmlformats.org/officeDocument/2006/relationships/hyperlink" Target="https://arxiv.org/pdf/2306.10509" TargetMode="External"/><Relationship Id="rId37" Type="http://schemas.openxmlformats.org/officeDocument/2006/relationships/hyperlink" Target="https://finance.yahoo.com/quote/MAR/financials/" TargetMode="External"/><Relationship Id="rId53" Type="http://schemas.openxmlformats.org/officeDocument/2006/relationships/hyperlink" Target="https://www.researchgate.net/profile/Marcin-Majka-2/publication/385936952_EBITDA_vs_Net_Income_Key_Differences_and_Their_Importance_in_Financial_Analysis/links/673c5be9c1b80e56164627d9/EBITDA-vs-Net-Income-Key-Differences-and-Their-Importance-in-Financial-Analysis.pdf" TargetMode="External"/><Relationship Id="rId58" Type="http://schemas.openxmlformats.org/officeDocument/2006/relationships/hyperlink" Target="https://www.marriott.com/marriott/aboutmarriott.mi" TargetMode="External"/><Relationship Id="rId74" Type="http://schemas.openxmlformats.org/officeDocument/2006/relationships/hyperlink" Target="https://www.mdpi.com/1911-8074/18/4/208" TargetMode="External"/><Relationship Id="rId79" Type="http://schemas.openxmlformats.org/officeDocument/2006/relationships/hyperlink" Target="https://books.google.com/books?hl=en&amp;lr=&amp;id=ZsOPEAAAQBAJ&amp;oi=fnd&amp;pg=PA5&amp;dq=+A+lower+DPO+indicates+cash-generating+ability+to+make+timely+investor+payments+maintaining+good+relations&amp;ots=4KH5cCJO-D&amp;sig=iY1ZhXhSaPpEtU3PerCdyuXRBl8" TargetMode="External"/><Relationship Id="rId5" Type="http://schemas.openxmlformats.org/officeDocument/2006/relationships/webSettings" Target="webSettings.xml"/><Relationship Id="rId90" Type="http://schemas.openxmlformats.org/officeDocument/2006/relationships/chart" Target="charts/chart4.xml"/><Relationship Id="rId95" Type="http://schemas.openxmlformats.org/officeDocument/2006/relationships/glossaryDocument" Target="glossary/document.xml"/><Relationship Id="rId22" Type="http://schemas.openxmlformats.org/officeDocument/2006/relationships/hyperlink" Target="https://www.mdpi.com/2227-7072/11/3/100" TargetMode="External"/><Relationship Id="rId27" Type="http://schemas.openxmlformats.org/officeDocument/2006/relationships/hyperlink" Target="https://www.elibrary.imf.org/downloadpdf/view/journals/001/2024/142/001.2024.issue-142-en.pdf" TargetMode="External"/><Relationship Id="rId43" Type="http://schemas.openxmlformats.org/officeDocument/2006/relationships/hyperlink" Target="https://www.researchgate.net/profile/Minar-Hossain/publication/398078708_Determinants_and_consequences_of_share_repurchases_Evidence_from_US_public_firms/links/6929d01b71855517106470b6/Determinants-and-consequences-of-share-repurchases-Evidence-from-US-public-firms.pdf" TargetMode="External"/><Relationship Id="rId48" Type="http://schemas.openxmlformats.org/officeDocument/2006/relationships/hyperlink" Target="https://www.tandfonline.com/doi/pdf/10.1080/23311975.2022.2097620" TargetMode="External"/><Relationship Id="rId64" Type="http://schemas.openxmlformats.org/officeDocument/2006/relationships/hyperlink" Target="https://www.mdpi.com/1911-8074/17/11/519" TargetMode="External"/><Relationship Id="rId69" Type="http://schemas.openxmlformats.org/officeDocument/2006/relationships/hyperlink" Target="https://www.sciencedirect.com/science/article/pii/S0261517725001967" TargetMode="External"/><Relationship Id="rId8" Type="http://schemas.openxmlformats.org/officeDocument/2006/relationships/image" Target="media/image1.png"/><Relationship Id="rId51" Type="http://schemas.openxmlformats.org/officeDocument/2006/relationships/hyperlink" Target="https://www.researchgate.net/profile/Chidiebere-Joshua/publication/398020195_Impact_of_Procure-to-Pay_Automation_on_Component_Manufacturers'_Working_Capital_Efficiency/links/69278f57a130337711bfa4e7/Impact-of-Procure-to-Pay-Automation-on-Component-Manufacturers-Working-Capital-Efficiency.pdf" TargetMode="External"/><Relationship Id="rId72" Type="http://schemas.openxmlformats.org/officeDocument/2006/relationships/hyperlink" Target="https://www.academia.edu/download/56425727/how_to_franchise_your_business.pdf" TargetMode="External"/><Relationship Id="rId80" Type="http://schemas.openxmlformats.org/officeDocument/2006/relationships/hyperlink" Target="https://sigmapubs.onlinelibrary.wiley.com/doi/pdfdirect/10.1111/jnu.12938" TargetMode="External"/><Relationship Id="rId85" Type="http://schemas.openxmlformats.org/officeDocument/2006/relationships/hyperlink" Target="http://166.62.7.99/assets/default/article/2023/05/01/article_1682991700.pdf" TargetMode="External"/><Relationship Id="rId93"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www.academia.edu/download/118148342/BBS_2021_04_AL-Zararee.pdf" TargetMode="External"/><Relationship Id="rId17" Type="http://schemas.openxmlformats.org/officeDocument/2006/relationships/hyperlink" Target="https://www.researchgate.net/profile/Saqib-Rehman-3/publication/368576638_A_Bibliometric_Analysis_of_Asset-Light_Fee-Oriented_ALFO_Strategy_Potential_Future_Implications_for_Hospitality_Industry/links/63ef6d0951d7af0540325e37/A-Bibliometric-Analysis-of-Asset-Light-Fee-Oriented-ALFO-Strategy-Potential-Future-Implications-for-Hospitality-Industry.pdf" TargetMode="External"/><Relationship Id="rId25" Type="http://schemas.openxmlformats.org/officeDocument/2006/relationships/hyperlink" Target="https://books.google.com/books?hl=en&amp;lr=&amp;id=b5WCEQAAQBAJ&amp;oi=fnd&amp;pg=PP1&amp;dq=an+asset-light+hospitality+business+model+whereby+its+inventory+consists+mainly+of+food,+beverage,+and+operating+supply+rather+than+merchandise+for+resale&amp;ots=qUsRa7bfO8&amp;sig=RAZrGFshBjd64wnEP34guGacCu8" TargetMode="External"/><Relationship Id="rId33" Type="http://schemas.openxmlformats.org/officeDocument/2006/relationships/hyperlink" Target="https://www.researchgate.net/profile/Esosa-Edo-Osagie/publication/389682992_International_Journal_of_Research_Publication_and_Reviews_Advanced_Budgeting_and_Dynamic_Allocation_Strategies_for_Maximizing_Financial_Resilience_Amid_Economic_Volatility_and_Market_Shifts/links/67cd0346bab3d32d844022ec/International-Journal-of-Research-Publication-and-Reviews-Advanced-Budgeting-and-Dynamic-Allocation-Strategies-for-Maximizing-Financial-Resilience-Amid-Economic-Volatility-and-Market-Shifts.pdf" TargetMode="External"/><Relationship Id="rId38" Type="http://schemas.openxmlformats.org/officeDocument/2006/relationships/hyperlink" Target="https://finance.yahoo.com/quote/MAR/financials/" TargetMode="External"/><Relationship Id="rId46" Type="http://schemas.openxmlformats.org/officeDocument/2006/relationships/hyperlink" Target="https://www.mdpi.com/1660-4601/19/14/8617" TargetMode="External"/><Relationship Id="rId59" Type="http://schemas.openxmlformats.org/officeDocument/2006/relationships/hyperlink" Target="https://www.researchgate.net/profile/Emmanuel-Ok-2/publication/388800588_Debt_vs_Equity_Financing_for_RD_Investments_in_Emerging_Markets_Trends_Challenges_and_Best_Practices/links/67a6a0c1461fb56424cdbf9d/Debt-vs-Equity-Financing-for-R-D-Investments-in-Emerging-Markets-Trends-Challenges-and-Best-Practices.pdf" TargetMode="External"/><Relationship Id="rId67" Type="http://schemas.openxmlformats.org/officeDocument/2006/relationships/hyperlink" Target="https://www.mdpi.com/2071-1050/14/21/14447" TargetMode="External"/><Relationship Id="rId20" Type="http://schemas.openxmlformats.org/officeDocument/2006/relationships/hyperlink" Target="https://www.researchgate.net/profile/Maheswar-Sethi/publication/395479418_Corporate_Borrowings/links/68c835e94eef4b024b8b89ca/Corporate-Borrowings.pdf" TargetMode="External"/><Relationship Id="rId41" Type="http://schemas.openxmlformats.org/officeDocument/2006/relationships/hyperlink" Target="https://www.jrevmeds.com/article_211431_15ee9d0df2505c6b009c48471f04f09b.pdf" TargetMode="External"/><Relationship Id="rId54" Type="http://schemas.openxmlformats.org/officeDocument/2006/relationships/hyperlink" Target="https://marriott.gcs-web.com/static-files/9cf0e9b0-bbfa-48a6-9e21-ffbdbc4b2d78" TargetMode="External"/><Relationship Id="rId62" Type="http://schemas.openxmlformats.org/officeDocument/2006/relationships/hyperlink" Target="https://www.mdpi.com/2227-7099/11/7/197" TargetMode="External"/><Relationship Id="rId70" Type="http://schemas.openxmlformats.org/officeDocument/2006/relationships/hyperlink" Target="https://www.sciencedirect.com/science/article/pii/S0261517725001967" TargetMode="External"/><Relationship Id="rId75" Type="http://schemas.openxmlformats.org/officeDocument/2006/relationships/hyperlink" Target="https://www.mdpi.com/1911-8074/18/4/208" TargetMode="External"/><Relationship Id="rId83" Type="http://schemas.openxmlformats.org/officeDocument/2006/relationships/hyperlink" Target="https://www.mdpi.com/2071-1050/17/8/3482" TargetMode="External"/><Relationship Id="rId88" Type="http://schemas.openxmlformats.org/officeDocument/2006/relationships/chart" Target="charts/chart2.xml"/><Relationship Id="rId91" Type="http://schemas.openxmlformats.org/officeDocument/2006/relationships/chart" Target="charts/chart5.xm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journals.gaftim.com/index.php/ijtop/article/download/147/65" TargetMode="External"/><Relationship Id="rId23" Type="http://schemas.openxmlformats.org/officeDocument/2006/relationships/hyperlink" Target="https://www.mdpi.com/2227-7072/11/3/100" TargetMode="External"/><Relationship Id="rId28" Type="http://schemas.openxmlformats.org/officeDocument/2006/relationships/hyperlink" Target="https://www.researchgate.net/profile/Mateo-Clement/publication/392078947_Business_Models_and_Revenue_Opportunities_for_Non-_Financial_Companies/links/6832fbe2026fee1034fb54f0/Business-Models-and-Revenue-Opportunities-for-Non-Financial-Companies.pdf" TargetMode="External"/><Relationship Id="rId36" Type="http://schemas.openxmlformats.org/officeDocument/2006/relationships/hyperlink" Target="https://www.researchgate.net/profile/Suzan-Issa/publication/397714869_Sustainable_financial_strategies_the_role_of_intellectual_capital_in_shaping_corporate_cash_holdings/links/6921db47acf4cf6385374a33/Sustainable-financial-strategies-the-role-of-intellectual-capital-in-shaping-corporate-cash-holdings.pdf" TargetMode="External"/><Relationship Id="rId49" Type="http://schemas.openxmlformats.org/officeDocument/2006/relationships/hyperlink" Target="https://www.tandfonline.com/doi/pdf/10.1080/23311975.2022.2097620" TargetMode="External"/><Relationship Id="rId57" Type="http://schemas.openxmlformats.org/officeDocument/2006/relationships/hyperlink" Target="https://marriott.gcs-web.com/annual" TargetMode="External"/><Relationship Id="rId10" Type="http://schemas.openxmlformats.org/officeDocument/2006/relationships/hyperlink" Target="https://www.researchgate.net/profile/Abdul-Razzak-Alshehadeh/publication/390407034_The_Impact_of_Operating_Cash_Flows_on_IT_Investment_and_Profitability_in_Commercial_Banks/links/67eccc11e8041142a15de006/The-Impact-of-Operating-Cash-Flows-on-IT-Investment-and-Profitability-in-Commercial-Banks.pdf" TargetMode="External"/><Relationship Id="rId31" Type="http://schemas.openxmlformats.org/officeDocument/2006/relationships/hyperlink" Target="https://www.frontiersin.org/journals/sustainable-food-systems/articles/10.3389/fsufs.2022.1028877/pdf" TargetMode="External"/><Relationship Id="rId44" Type="http://schemas.openxmlformats.org/officeDocument/2006/relationships/hyperlink" Target="https://www.researchgate.net/profile/Minar-Hossain/publication/398078708_Determinants_and_consequences_of_share_repurchases_Evidence_from_US_public_firms/links/6929d01b71855517106470b6/Determinants-and-consequences-of-share-repurchases-Evidence-from-US-public-firms.pdf" TargetMode="External"/><Relationship Id="rId52" Type="http://schemas.openxmlformats.org/officeDocument/2006/relationships/hyperlink" Target="https://www.researchgate.net/profile/Marcin-Majka-2/publication/385936952_EBITDA_vs_Net_Income_Key_Differences_and_Their_Importance_in_Financial_Analysis/links/673c5be9c1b80e56164627d9/EBITDA-vs-Net-Income-Key-Differences-and-Their-Importance-in-Financial-Analysis.pdf" TargetMode="External"/><Relationship Id="rId60" Type="http://schemas.openxmlformats.org/officeDocument/2006/relationships/hyperlink" Target="https://www.researchgate.net/profile/Emmanuel-Ok-2/publication/388800588_Debt_vs_Equity_Financing_for_RD_Investments_in_Emerging_Markets_Trends_Challenges_and_Best_Practices/links/67a6a0c1461fb56424cdbf9d/Debt-vs-Equity-Financing-for-R-D-Investments-in-Emerging-Markets-Trends-Challenges-and-Best-Practices.pdf" TargetMode="External"/><Relationship Id="rId65" Type="http://schemas.openxmlformats.org/officeDocument/2006/relationships/hyperlink" Target="https://www.rba.gov.au/mkt-operations/ex-rate-rba-role-fx-mkt.html" TargetMode="External"/><Relationship Id="rId73" Type="http://schemas.openxmlformats.org/officeDocument/2006/relationships/hyperlink" Target="https://www.academia.edu/download/56425727/how_to_franchise_your_business.pdf" TargetMode="External"/><Relationship Id="rId78" Type="http://schemas.openxmlformats.org/officeDocument/2006/relationships/hyperlink" Target="https://books.google.com/books?hl=en&amp;lr=&amp;id=ZsOPEAAAQBAJ&amp;oi=fnd&amp;pg=PA5&amp;dq=+A+lower+DPO+indicates+cash-generating+ability+to+make+timely+investor+payments+maintaining+good+relations&amp;ots=4KH5cCJO-D&amp;sig=iY1ZhXhSaPpEtU3PerCdyuXRBl8" TargetMode="External"/><Relationship Id="rId81" Type="http://schemas.openxmlformats.org/officeDocument/2006/relationships/hyperlink" Target="https://pdfs.semanticscholar.org/9e77/ef1c33760b4f935df8f6349f60af3b754496.pdf" TargetMode="External"/><Relationship Id="rId86" Type="http://schemas.openxmlformats.org/officeDocument/2006/relationships/hyperlink" Target="http://166.62.7.99/assets/default/article/2023/05/01/article_1682991700.pdf" TargetMode="External"/><Relationship Id="rId9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yperlink" Target="https://www.academia.edu/download/118148342/BBS_2021_04_AL-Zararee.pdf" TargetMode="External"/><Relationship Id="rId18" Type="http://schemas.openxmlformats.org/officeDocument/2006/relationships/hyperlink" Target="https://thecrsss.com/index.php/Journal/article/download/204/225" TargetMode="External"/><Relationship Id="rId39" Type="http://schemas.openxmlformats.org/officeDocument/2006/relationships/hyperlink" Target="https://www.researchgate.net/profile/Yetunde-Adekoya/publication/392066512_Optimizing_Debt_Capital_Markets_Through_Quantitative_Risk_Models_Enhancing_Financial_Stability_and_SME_Growth_in_the_US/links/683227d48a76251f22e7696b/Optimizing-Debt-Capital-Markets-Through-Quantitative-Risk-Models-Enhancing-Financial-Stability-and-SME-Growth-in-the-US.pdf" TargetMode="External"/><Relationship Id="rId34" Type="http://schemas.openxmlformats.org/officeDocument/2006/relationships/hyperlink" Target="https://www.researchgate.net/profile/Esosa-Edo-Osagie/publication/389682992_International_Journal_of_Research_Publication_and_Reviews_Advanced_Budgeting_and_Dynamic_Allocation_Strategies_for_Maximizing_Financial_Resilience_Amid_Economic_Volatility_and_Market_Shifts/links/67cd0346bab3d32d844022ec/International-Journal-of-Research-Publication-and-Reviews-Advanced-Budgeting-and-Dynamic-Allocation-Strategies-for-Maximizing-Financial-Resilience-Amid-Economic-Volatility-and-Market-Shifts.pdf" TargetMode="External"/><Relationship Id="rId50" Type="http://schemas.openxmlformats.org/officeDocument/2006/relationships/hyperlink" Target="https://www.researchgate.net/profile/Chidiebere-Joshua/publication/398020195_Impact_of_Procure-to-Pay_Automation_on_Component_Manufacturers'_Working_Capital_Efficiency/links/69278f57a130337711bfa4e7/Impact-of-Procure-to-Pay-Automation-on-Component-Manufacturers-Working-Capital-Efficiency.pdf" TargetMode="External"/><Relationship Id="rId55" Type="http://schemas.openxmlformats.org/officeDocument/2006/relationships/hyperlink" Target="https://marriott.gcs-web.com/static-files/9cf0e9b0-bbfa-48a6-9e21-ffbdbc4b2d78" TargetMode="External"/><Relationship Id="rId76" Type="http://schemas.openxmlformats.org/officeDocument/2006/relationships/hyperlink" Target="https://futouristic.scholasticahq.com/article/90637.pdf" TargetMode="External"/><Relationship Id="rId7" Type="http://schemas.openxmlformats.org/officeDocument/2006/relationships/endnotes" Target="endnotes.xml"/><Relationship Id="rId71" Type="http://schemas.openxmlformats.org/officeDocument/2006/relationships/hyperlink" Target="https://sarcouncil.com/download-article/SJECS-289_-2025-1330-1344.pdf" TargetMode="External"/><Relationship Id="rId92" Type="http://schemas.openxmlformats.org/officeDocument/2006/relationships/chart" Target="charts/chart6.xml"/><Relationship Id="rId2" Type="http://schemas.openxmlformats.org/officeDocument/2006/relationships/numbering" Target="numbering.xml"/><Relationship Id="rId29" Type="http://schemas.openxmlformats.org/officeDocument/2006/relationships/hyperlink" Target="https://www.researchgate.net/profile/Mateo-Clement/publication/392078947_Business_Models_and_Revenue_Opportunities_for_Non-_Financial_Companies/links/6832fbe2026fee1034fb54f0/Business-Models-and-Revenue-Opportunities-for-Non-Financial-Companies.pdf" TargetMode="External"/><Relationship Id="rId24" Type="http://schemas.openxmlformats.org/officeDocument/2006/relationships/hyperlink" Target="https://books.google.com/books?hl=en&amp;lr=&amp;id=b5WCEQAAQBAJ&amp;oi=fnd&amp;pg=PP1&amp;dq=an+asset-light+hospitality+business+model+whereby+its+inventory+consists+mainly+of+food,+beverage,+and+operating+supply+rather+than+merchandise+for+resale&amp;ots=qUsRa7bfO8&amp;sig=RAZrGFshBjd64wnEP34guGacCu8" TargetMode="External"/><Relationship Id="rId40" Type="http://schemas.openxmlformats.org/officeDocument/2006/relationships/hyperlink" Target="https://www.researchgate.net/profile/Yetunde-Adekoya/publication/392066512_Optimizing_Debt_Capital_Markets_Through_Quantitative_Risk_Models_Enhancing_Financial_Stability_and_SME_Growth_in_the_US/links/683227d48a76251f22e7696b/Optimizing-Debt-Capital-Markets-Through-Quantitative-Risk-Models-Enhancing-Financial-Stability-and-SME-Growth-in-the-US.pdf" TargetMode="External"/><Relationship Id="rId45" Type="http://schemas.openxmlformats.org/officeDocument/2006/relationships/hyperlink" Target="https://www.researchgate.net/profile/Minar-Hossain/publication/398078708_Determinants_and_consequences_of_share_repurchases_Evidence_from_US_public_firms/links/6929d01b71855517106470b6/Determinants-and-consequences-of-share-repurchases-Evidence-from-US-public-firms.pdf" TargetMode="External"/><Relationship Id="rId66" Type="http://schemas.openxmlformats.org/officeDocument/2006/relationships/hyperlink" Target="https://www.rba.gov.au/mkt-operations/ex-rate-rba-role-fx-mkt.html" TargetMode="External"/><Relationship Id="rId87" Type="http://schemas.openxmlformats.org/officeDocument/2006/relationships/chart" Target="charts/chart1.xml"/><Relationship Id="rId61" Type="http://schemas.openxmlformats.org/officeDocument/2006/relationships/hyperlink" Target="https://www.mdpi.com/2227-7099/11/7/197" TargetMode="External"/><Relationship Id="rId82" Type="http://schemas.openxmlformats.org/officeDocument/2006/relationships/hyperlink" Target="https://pdfs.semanticscholar.org/9e77/ef1c33760b4f935df8f6349f60af3b754496.pdf" TargetMode="External"/><Relationship Id="rId19" Type="http://schemas.openxmlformats.org/officeDocument/2006/relationships/hyperlink" Target="https://thecrsss.com/index.php/Journal/article/download/204/225" TargetMode="External"/><Relationship Id="rId14" Type="http://schemas.openxmlformats.org/officeDocument/2006/relationships/hyperlink" Target="https://run.unl.pt/bitstreams/4d54356a-5ab2-43be-9886-4a86a01b204e/download" TargetMode="External"/><Relationship Id="rId30" Type="http://schemas.openxmlformats.org/officeDocument/2006/relationships/hyperlink" Target="https://www.frontiersin.org/journals/sustainable-food-systems/articles/10.3389/fsufs.2022.1028877/pdf" TargetMode="External"/><Relationship Id="rId35" Type="http://schemas.openxmlformats.org/officeDocument/2006/relationships/hyperlink" Target="https://www.researchgate.net/profile/Suzan-Issa/publication/397714869_Sustainable_financial_strategies_the_role_of_intellectual_capital_in_shaping_corporate_cash_holdings/links/6921db47acf4cf6385374a33/Sustainable-financial-strategies-the-role-of-intellectual-capital-in-shaping-corporate-cash-holdings.pdf" TargetMode="External"/><Relationship Id="rId56" Type="http://schemas.openxmlformats.org/officeDocument/2006/relationships/hyperlink" Target="https://marriott.gcs-web.com/annual" TargetMode="External"/><Relationship Id="rId77" Type="http://schemas.openxmlformats.org/officeDocument/2006/relationships/hyperlink" Target="https://futouristic.scholasticahq.com/article/90637.pdf"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ocuments\Fenny.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user\Documents\Fenny.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user\Documents\Fenny.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user\Documents\Fenny.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user\Documents\Fenny.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user\Documents\Fenny.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Gross Profit Margin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Ratios!$H$2:$I$2</c:f>
              <c:strCache>
                <c:ptCount val="2"/>
                <c:pt idx="0">
                  <c:v>Gross Profit Margin</c:v>
                </c:pt>
                <c:pt idx="1">
                  <c:v>Gross Profit / Revenue</c:v>
                </c:pt>
              </c:strCache>
            </c:strRef>
          </c:tx>
          <c:spPr>
            <a:ln w="28575" cap="rnd">
              <a:solidFill>
                <a:schemeClr val="accent1"/>
              </a:solidFill>
              <a:round/>
            </a:ln>
            <a:effectLst/>
          </c:spPr>
          <c:marker>
            <c:symbol val="none"/>
          </c:marker>
          <c:cat>
            <c:numRef>
              <c:f>Ratios!$J$1:$N$1</c:f>
              <c:numCache>
                <c:formatCode>General</c:formatCode>
                <c:ptCount val="5"/>
                <c:pt idx="0">
                  <c:v>2021</c:v>
                </c:pt>
                <c:pt idx="1">
                  <c:v>2022</c:v>
                </c:pt>
                <c:pt idx="2">
                  <c:v>2023</c:v>
                </c:pt>
                <c:pt idx="3">
                  <c:v>2024</c:v>
                </c:pt>
                <c:pt idx="4">
                  <c:v>2025</c:v>
                </c:pt>
              </c:numCache>
            </c:numRef>
          </c:cat>
          <c:val>
            <c:numRef>
              <c:f>Ratios!$J$2:$N$2</c:f>
              <c:numCache>
                <c:formatCode>0.00</c:formatCode>
                <c:ptCount val="5"/>
                <c:pt idx="0">
                  <c:v>0.20213610449592265</c:v>
                </c:pt>
                <c:pt idx="1">
                  <c:v>0.21941943869445915</c:v>
                </c:pt>
                <c:pt idx="2">
                  <c:v>0.21001138615949058</c:v>
                </c:pt>
                <c:pt idx="3">
                  <c:v>0.19808764940239043</c:v>
                </c:pt>
                <c:pt idx="4">
                  <c:v>0.1994195371572596</c:v>
                </c:pt>
              </c:numCache>
            </c:numRef>
          </c:val>
          <c:smooth val="0"/>
          <c:extLst xmlns:c16r2="http://schemas.microsoft.com/office/drawing/2015/06/chart">
            <c:ext xmlns:c16="http://schemas.microsoft.com/office/drawing/2014/chart" uri="{C3380CC4-5D6E-409C-BE32-E72D297353CC}">
              <c16:uniqueId val="{00000000-78BF-4F7F-84C5-F77E651BFC1D}"/>
            </c:ext>
          </c:extLst>
        </c:ser>
        <c:dLbls>
          <c:showLegendKey val="0"/>
          <c:showVal val="0"/>
          <c:showCatName val="0"/>
          <c:showSerName val="0"/>
          <c:showPercent val="0"/>
          <c:showBubbleSize val="0"/>
        </c:dLbls>
        <c:smooth val="0"/>
        <c:axId val="782833872"/>
        <c:axId val="782836592"/>
      </c:lineChart>
      <c:catAx>
        <c:axId val="7828338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2836592"/>
        <c:crosses val="autoZero"/>
        <c:auto val="1"/>
        <c:lblAlgn val="ctr"/>
        <c:lblOffset val="100"/>
        <c:noMultiLvlLbl val="0"/>
      </c:catAx>
      <c:valAx>
        <c:axId val="78283659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28338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Current Ratio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Ratios!$H$11:$I$11</c:f>
              <c:strCache>
                <c:ptCount val="2"/>
                <c:pt idx="0">
                  <c:v>Current Ratio</c:v>
                </c:pt>
                <c:pt idx="1">
                  <c:v>Current Assets / Current Liabilities</c:v>
                </c:pt>
              </c:strCache>
            </c:strRef>
          </c:tx>
          <c:spPr>
            <a:ln w="28575" cap="rnd">
              <a:solidFill>
                <a:schemeClr val="accent1"/>
              </a:solidFill>
              <a:round/>
            </a:ln>
            <a:effectLst/>
          </c:spPr>
          <c:marker>
            <c:symbol val="none"/>
          </c:marker>
          <c:cat>
            <c:numRef>
              <c:f>Ratios!$J$10:$N$10</c:f>
              <c:numCache>
                <c:formatCode>General</c:formatCode>
                <c:ptCount val="5"/>
                <c:pt idx="0">
                  <c:v>2021</c:v>
                </c:pt>
                <c:pt idx="1">
                  <c:v>2022</c:v>
                </c:pt>
                <c:pt idx="2">
                  <c:v>2023</c:v>
                </c:pt>
                <c:pt idx="3">
                  <c:v>2024</c:v>
                </c:pt>
                <c:pt idx="4">
                  <c:v>2025</c:v>
                </c:pt>
              </c:numCache>
            </c:numRef>
          </c:cat>
          <c:val>
            <c:numRef>
              <c:f>Ratios!$J$11:$N$11</c:f>
              <c:numCache>
                <c:formatCode>0.000</c:formatCode>
                <c:ptCount val="5"/>
                <c:pt idx="0">
                  <c:v>9.8227214025750405E-3</c:v>
                </c:pt>
                <c:pt idx="1">
                  <c:v>9.4700785815031233E-3</c:v>
                </c:pt>
                <c:pt idx="2">
                  <c:v>1.0165926618368779E-2</c:v>
                </c:pt>
                <c:pt idx="3">
                  <c:v>1.1229088686884119E-2</c:v>
                </c:pt>
                <c:pt idx="4">
                  <c:v>1.1510530137981118E-2</c:v>
                </c:pt>
              </c:numCache>
            </c:numRef>
          </c:val>
          <c:smooth val="0"/>
          <c:extLst xmlns:c16r2="http://schemas.microsoft.com/office/drawing/2015/06/chart">
            <c:ext xmlns:c16="http://schemas.microsoft.com/office/drawing/2014/chart" uri="{C3380CC4-5D6E-409C-BE32-E72D297353CC}">
              <c16:uniqueId val="{00000000-0A31-4118-95F6-7E6462980845}"/>
            </c:ext>
          </c:extLst>
        </c:ser>
        <c:dLbls>
          <c:showLegendKey val="0"/>
          <c:showVal val="0"/>
          <c:showCatName val="0"/>
          <c:showSerName val="0"/>
          <c:showPercent val="0"/>
          <c:showBubbleSize val="0"/>
        </c:dLbls>
        <c:smooth val="0"/>
        <c:axId val="782835504"/>
        <c:axId val="782839312"/>
      </c:lineChart>
      <c:catAx>
        <c:axId val="7828355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2839312"/>
        <c:crosses val="autoZero"/>
        <c:auto val="1"/>
        <c:lblAlgn val="ctr"/>
        <c:lblOffset val="100"/>
        <c:noMultiLvlLbl val="0"/>
      </c:catAx>
      <c:valAx>
        <c:axId val="782839312"/>
        <c:scaling>
          <c:orientation val="minMax"/>
        </c:scaling>
        <c:delete val="0"/>
        <c:axPos val="l"/>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28355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Total Asset Turnover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Ratios!$H$16:$I$16</c:f>
              <c:strCache>
                <c:ptCount val="2"/>
                <c:pt idx="0">
                  <c:v>Total Asset Turnover</c:v>
                </c:pt>
                <c:pt idx="1">
                  <c:v>Revenue / Total Assets</c:v>
                </c:pt>
              </c:strCache>
            </c:strRef>
          </c:tx>
          <c:spPr>
            <a:ln w="28575" cap="rnd">
              <a:solidFill>
                <a:schemeClr val="accent1"/>
              </a:solidFill>
              <a:round/>
            </a:ln>
            <a:effectLst/>
          </c:spPr>
          <c:marker>
            <c:symbol val="none"/>
          </c:marker>
          <c:cat>
            <c:numRef>
              <c:f>Ratios!$J$15:$N$15</c:f>
              <c:numCache>
                <c:formatCode>General</c:formatCode>
                <c:ptCount val="5"/>
                <c:pt idx="0">
                  <c:v>2021</c:v>
                </c:pt>
                <c:pt idx="1">
                  <c:v>2022</c:v>
                </c:pt>
                <c:pt idx="2">
                  <c:v>2023</c:v>
                </c:pt>
                <c:pt idx="3">
                  <c:v>2024</c:v>
                </c:pt>
                <c:pt idx="4">
                  <c:v>2025</c:v>
                </c:pt>
              </c:numCache>
            </c:numRef>
          </c:cat>
          <c:val>
            <c:numRef>
              <c:f>Ratios!$J$16:$N$16</c:f>
              <c:numCache>
                <c:formatCode>0.00</c:formatCode>
                <c:ptCount val="5"/>
                <c:pt idx="0">
                  <c:v>0.63196059652483239</c:v>
                </c:pt>
                <c:pt idx="1">
                  <c:v>0.96609617709980466</c:v>
                </c:pt>
                <c:pt idx="2">
                  <c:v>1.0603675714349596</c:v>
                </c:pt>
                <c:pt idx="3">
                  <c:v>1.1058730228664582</c:v>
                </c:pt>
                <c:pt idx="4">
                  <c:v>1.0930873267657373</c:v>
                </c:pt>
              </c:numCache>
            </c:numRef>
          </c:val>
          <c:smooth val="0"/>
          <c:extLst xmlns:c16r2="http://schemas.microsoft.com/office/drawing/2015/06/chart">
            <c:ext xmlns:c16="http://schemas.microsoft.com/office/drawing/2014/chart" uri="{C3380CC4-5D6E-409C-BE32-E72D297353CC}">
              <c16:uniqueId val="{00000000-38D9-4A8D-BBE8-2DA62CA61FB7}"/>
            </c:ext>
          </c:extLst>
        </c:ser>
        <c:dLbls>
          <c:showLegendKey val="0"/>
          <c:showVal val="0"/>
          <c:showCatName val="0"/>
          <c:showSerName val="0"/>
          <c:showPercent val="0"/>
          <c:showBubbleSize val="0"/>
        </c:dLbls>
        <c:smooth val="0"/>
        <c:axId val="782836048"/>
        <c:axId val="782837136"/>
      </c:lineChart>
      <c:catAx>
        <c:axId val="7828360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2837136"/>
        <c:crosses val="autoZero"/>
        <c:auto val="1"/>
        <c:lblAlgn val="ctr"/>
        <c:lblOffset val="100"/>
        <c:noMultiLvlLbl val="0"/>
      </c:catAx>
      <c:valAx>
        <c:axId val="78283713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28360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Equity Ratio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Ratios!$H$22:$I$22</c:f>
              <c:strCache>
                <c:ptCount val="2"/>
                <c:pt idx="0">
                  <c:v>Equity Ratio</c:v>
                </c:pt>
                <c:pt idx="1">
                  <c:v>Equity / Total Assets</c:v>
                </c:pt>
              </c:strCache>
            </c:strRef>
          </c:tx>
          <c:spPr>
            <a:ln w="28575" cap="rnd">
              <a:solidFill>
                <a:schemeClr val="accent1"/>
              </a:solidFill>
              <a:round/>
            </a:ln>
            <a:effectLst/>
          </c:spPr>
          <c:marker>
            <c:symbol val="none"/>
          </c:marker>
          <c:cat>
            <c:numRef>
              <c:f>Ratios!$J$21:$N$21</c:f>
              <c:numCache>
                <c:formatCode>General</c:formatCode>
                <c:ptCount val="5"/>
                <c:pt idx="0">
                  <c:v>2021</c:v>
                </c:pt>
                <c:pt idx="1">
                  <c:v>2022</c:v>
                </c:pt>
                <c:pt idx="2">
                  <c:v>2023</c:v>
                </c:pt>
                <c:pt idx="3">
                  <c:v>2024</c:v>
                </c:pt>
                <c:pt idx="4">
                  <c:v>2025</c:v>
                </c:pt>
              </c:numCache>
            </c:numRef>
          </c:cat>
          <c:val>
            <c:numRef>
              <c:f>Ratios!$J$22:$N$22</c:f>
              <c:numCache>
                <c:formatCode>0.00</c:formatCode>
                <c:ptCount val="5"/>
                <c:pt idx="0">
                  <c:v>0.29219683495234189</c:v>
                </c:pt>
                <c:pt idx="1">
                  <c:v>0.34131708678262485</c:v>
                </c:pt>
                <c:pt idx="2">
                  <c:v>0.34709117739122658</c:v>
                </c:pt>
                <c:pt idx="3">
                  <c:v>0.38106357668414326</c:v>
                </c:pt>
                <c:pt idx="4">
                  <c:v>0.35055935882451161</c:v>
                </c:pt>
              </c:numCache>
            </c:numRef>
          </c:val>
          <c:smooth val="0"/>
          <c:extLst xmlns:c16r2="http://schemas.microsoft.com/office/drawing/2015/06/chart">
            <c:ext xmlns:c16="http://schemas.microsoft.com/office/drawing/2014/chart" uri="{C3380CC4-5D6E-409C-BE32-E72D297353CC}">
              <c16:uniqueId val="{00000000-0B1D-4C6A-AFF0-A282607B7C01}"/>
            </c:ext>
          </c:extLst>
        </c:ser>
        <c:dLbls>
          <c:showLegendKey val="0"/>
          <c:showVal val="0"/>
          <c:showCatName val="0"/>
          <c:showSerName val="0"/>
          <c:showPercent val="0"/>
          <c:showBubbleSize val="0"/>
        </c:dLbls>
        <c:smooth val="0"/>
        <c:axId val="782837680"/>
        <c:axId val="782838224"/>
      </c:lineChart>
      <c:catAx>
        <c:axId val="782837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2838224"/>
        <c:crosses val="autoZero"/>
        <c:auto val="1"/>
        <c:lblAlgn val="ctr"/>
        <c:lblOffset val="100"/>
        <c:noMultiLvlLbl val="0"/>
      </c:catAx>
      <c:valAx>
        <c:axId val="78283822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28376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Earnings per Share (EPS)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Ratios!$H$27:$I$27</c:f>
              <c:strCache>
                <c:ptCount val="2"/>
                <c:pt idx="0">
                  <c:v>Earnings per Share (EPS)</c:v>
                </c:pt>
                <c:pt idx="1">
                  <c:v>Net Income / Shares Outstanding</c:v>
                </c:pt>
              </c:strCache>
            </c:strRef>
          </c:tx>
          <c:spPr>
            <a:solidFill>
              <a:schemeClr val="accent1"/>
            </a:solidFill>
            <a:ln>
              <a:noFill/>
            </a:ln>
            <a:effectLst/>
          </c:spPr>
          <c:invertIfNegative val="0"/>
          <c:cat>
            <c:numRef>
              <c:f>Ratios!$J$26:$N$26</c:f>
              <c:numCache>
                <c:formatCode>General</c:formatCode>
                <c:ptCount val="5"/>
                <c:pt idx="0">
                  <c:v>2021</c:v>
                </c:pt>
                <c:pt idx="1">
                  <c:v>2022</c:v>
                </c:pt>
                <c:pt idx="2">
                  <c:v>2023</c:v>
                </c:pt>
                <c:pt idx="3">
                  <c:v>2024</c:v>
                </c:pt>
                <c:pt idx="4">
                  <c:v>2025</c:v>
                </c:pt>
              </c:numCache>
            </c:numRef>
          </c:cat>
          <c:val>
            <c:numRef>
              <c:f>Ratios!$J$27:$N$27</c:f>
              <c:numCache>
                <c:formatCode>0.00</c:formatCode>
                <c:ptCount val="5"/>
                <c:pt idx="0">
                  <c:v>0.77722772277227725</c:v>
                </c:pt>
                <c:pt idx="1">
                  <c:v>4.151408450704225</c:v>
                </c:pt>
                <c:pt idx="2">
                  <c:v>-4.5205278592375366</c:v>
                </c:pt>
                <c:pt idx="3">
                  <c:v>-0.79378342245989308</c:v>
                </c:pt>
                <c:pt idx="4">
                  <c:v>-0.68973747016706444</c:v>
                </c:pt>
              </c:numCache>
            </c:numRef>
          </c:val>
          <c:extLst xmlns:c16r2="http://schemas.microsoft.com/office/drawing/2015/06/chart">
            <c:ext xmlns:c16="http://schemas.microsoft.com/office/drawing/2014/chart" uri="{C3380CC4-5D6E-409C-BE32-E72D297353CC}">
              <c16:uniqueId val="{00000000-18E3-4A4F-A027-4D489670351A}"/>
            </c:ext>
          </c:extLst>
        </c:ser>
        <c:dLbls>
          <c:showLegendKey val="0"/>
          <c:showVal val="0"/>
          <c:showCatName val="0"/>
          <c:showSerName val="0"/>
          <c:showPercent val="0"/>
          <c:showBubbleSize val="0"/>
        </c:dLbls>
        <c:gapWidth val="219"/>
        <c:overlap val="-27"/>
        <c:axId val="782838768"/>
        <c:axId val="786652944"/>
      </c:barChart>
      <c:catAx>
        <c:axId val="7828387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6652944"/>
        <c:crosses val="autoZero"/>
        <c:auto val="1"/>
        <c:lblAlgn val="ctr"/>
        <c:lblOffset val="100"/>
        <c:noMultiLvlLbl val="0"/>
      </c:catAx>
      <c:valAx>
        <c:axId val="78665294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28387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Operating Cash Flow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Ratios!$H$30:$I$30</c:f>
              <c:strCache>
                <c:ptCount val="2"/>
                <c:pt idx="0">
                  <c:v>Operating Cash Flow Margin</c:v>
                </c:pt>
                <c:pt idx="1">
                  <c:v>CFO / Revenue</c:v>
                </c:pt>
              </c:strCache>
            </c:strRef>
          </c:tx>
          <c:spPr>
            <a:ln w="28575" cap="rnd">
              <a:solidFill>
                <a:schemeClr val="accent1"/>
              </a:solidFill>
              <a:round/>
            </a:ln>
            <a:effectLst/>
          </c:spPr>
          <c:marker>
            <c:symbol val="none"/>
          </c:marker>
          <c:cat>
            <c:numRef>
              <c:f>Ratios!$J$29:$N$29</c:f>
              <c:numCache>
                <c:formatCode>General</c:formatCode>
                <c:ptCount val="5"/>
                <c:pt idx="0">
                  <c:v>2021</c:v>
                </c:pt>
                <c:pt idx="1">
                  <c:v>2022</c:v>
                </c:pt>
                <c:pt idx="2">
                  <c:v>2023</c:v>
                </c:pt>
                <c:pt idx="3">
                  <c:v>2024</c:v>
                </c:pt>
                <c:pt idx="4">
                  <c:v>2025</c:v>
                </c:pt>
              </c:numCache>
            </c:numRef>
          </c:cat>
          <c:val>
            <c:numRef>
              <c:f>Ratios!$J$30:$N$30</c:f>
              <c:numCache>
                <c:formatCode>0.00</c:formatCode>
                <c:ptCount val="5"/>
                <c:pt idx="0">
                  <c:v>8.4939019989896808E-2</c:v>
                </c:pt>
                <c:pt idx="1">
                  <c:v>0.11375342993308622</c:v>
                </c:pt>
                <c:pt idx="2">
                  <c:v>0.13368194661156327</c:v>
                </c:pt>
                <c:pt idx="3">
                  <c:v>0.10952191235059761</c:v>
                </c:pt>
                <c:pt idx="4">
                  <c:v>0.1226609638738257</c:v>
                </c:pt>
              </c:numCache>
            </c:numRef>
          </c:val>
          <c:smooth val="0"/>
          <c:extLst xmlns:c16r2="http://schemas.microsoft.com/office/drawing/2015/06/chart">
            <c:ext xmlns:c16="http://schemas.microsoft.com/office/drawing/2014/chart" uri="{C3380CC4-5D6E-409C-BE32-E72D297353CC}">
              <c16:uniqueId val="{00000000-B33E-4DB3-9570-C982AF22213C}"/>
            </c:ext>
          </c:extLst>
        </c:ser>
        <c:dLbls>
          <c:showLegendKey val="0"/>
          <c:showVal val="0"/>
          <c:showCatName val="0"/>
          <c:showSerName val="0"/>
          <c:showPercent val="0"/>
          <c:showBubbleSize val="0"/>
        </c:dLbls>
        <c:smooth val="0"/>
        <c:axId val="786648592"/>
        <c:axId val="786653488"/>
      </c:lineChart>
      <c:catAx>
        <c:axId val="7866485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6653488"/>
        <c:crosses val="autoZero"/>
        <c:auto val="1"/>
        <c:lblAlgn val="ctr"/>
        <c:lblOffset val="100"/>
        <c:noMultiLvlLbl val="0"/>
      </c:catAx>
      <c:valAx>
        <c:axId val="78665348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66485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525FC9305804CB7B8EFD6D0301ABA1C"/>
        <w:category>
          <w:name w:val="General"/>
          <w:gallery w:val="placeholder"/>
        </w:category>
        <w:types>
          <w:type w:val="bbPlcHdr"/>
        </w:types>
        <w:behaviors>
          <w:behavior w:val="content"/>
        </w:behaviors>
        <w:guid w:val="{E5D6CDE8-D764-49F9-AEF8-2BC22DCDC315}"/>
      </w:docPartPr>
      <w:docPartBody>
        <w:p w:rsidR="00000000" w:rsidRDefault="00170343" w:rsidP="00170343">
          <w:pPr>
            <w:pStyle w:val="2525FC9305804CB7B8EFD6D0301ABA1C"/>
          </w:pPr>
          <w:r>
            <w:rPr>
              <w:rFonts w:asciiTheme="majorHAnsi" w:eastAsiaTheme="majorEastAsia" w:hAnsiTheme="majorHAnsi" w:cstheme="majorBidi"/>
              <w:caps/>
              <w:color w:val="5B9BD5"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Aptos">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0343"/>
    <w:rsid w:val="00170343"/>
    <w:rsid w:val="002A15B7"/>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lang w:val="en-IN" w:eastAsia="en-IN" w:bidi="hi-IN"/>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cs="Mang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525FC9305804CB7B8EFD6D0301ABA1C">
    <w:name w:val="2525FC9305804CB7B8EFD6D0301ABA1C"/>
    <w:rsid w:val="00170343"/>
    <w:rPr>
      <w:rFonts w:cs="Mang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90B3B0-FDD4-43CB-9F3A-704B7A54B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36</Pages>
  <Words>10170</Words>
  <Characters>57969</Characters>
  <Application>Microsoft Office Word</Application>
  <DocSecurity>0</DocSecurity>
  <Lines>483</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MANAGEMENT</dc:title>
  <dc:creator>fenny surti</dc:creator>
  <cp:lastModifiedBy>priti ramoliya</cp:lastModifiedBy>
  <cp:revision>6</cp:revision>
  <dcterms:created xsi:type="dcterms:W3CDTF">2026-07-13T14:01:00Z</dcterms:created>
  <dcterms:modified xsi:type="dcterms:W3CDTF">2026-08-12T23:44:00Z</dcterms:modified>
</cp:coreProperties>
</file>