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webextensions/webextension2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4BD4BB" w14:textId="2B1C2523" w:rsidR="00DB01E2" w:rsidRDefault="00E13AC3" w:rsidP="00E13AC3">
      <w:pPr>
        <w:pStyle w:val="Heading1"/>
      </w:pPr>
      <w:r>
        <w:t>Introduction</w:t>
      </w:r>
    </w:p>
    <w:p w14:paraId="1A4FFE2B" w14:textId="77777777" w:rsidR="003E06D6" w:rsidRPr="003E06D6" w:rsidRDefault="003E06D6" w:rsidP="003E06D6"/>
    <w:p w14:paraId="20D5F2F8" w14:textId="21B806F2" w:rsidR="00067E37" w:rsidRDefault="00F51194" w:rsidP="00755F2F">
      <w:pPr>
        <w:spacing w:line="480" w:lineRule="auto"/>
        <w:jc w:val="both"/>
      </w:pPr>
      <w:r>
        <w:t xml:space="preserve">Yusuf Al-Qardawi </w:t>
      </w:r>
      <w:r>
        <w:rPr>
          <w:rFonts w:ascii="Calibri" w:eastAsia="Times New Roman" w:hAnsi="Calibri" w:cs="Calibri"/>
          <w:color w:val="000000"/>
        </w:rPr>
        <w:t xml:space="preserve">(d.2022) </w:t>
      </w:r>
      <w:r>
        <w:t>was an al-Azhar-educated Sunni jurist who had assisted in the shaping of contemporary Islamism (Al-Qaradawi, 2009, p.224).</w:t>
      </w:r>
      <w:r w:rsidR="00A21B4D">
        <w:t xml:space="preserve"> Despite his association with the Muslim Brotherhood, his influence was </w:t>
      </w:r>
      <w:r w:rsidR="00882C74">
        <w:t>far-reaching, especially in the Middle East</w:t>
      </w:r>
      <w:r w:rsidR="00067E37">
        <w:t>. One such influence</w:t>
      </w:r>
      <w:r w:rsidR="00882C74">
        <w:t xml:space="preserve"> is</w:t>
      </w:r>
      <w:r w:rsidR="00067E37">
        <w:t xml:space="preserve"> his </w:t>
      </w:r>
      <w:r w:rsidR="00882C74">
        <w:t>understanding of the</w:t>
      </w:r>
      <w:r w:rsidR="00067E37">
        <w:t xml:space="preserve"> compatibility between Islam and democracy. However, I believe</w:t>
      </w:r>
      <w:r w:rsidR="00755F2F">
        <w:t xml:space="preserve">, having examined his </w:t>
      </w:r>
      <w:r w:rsidR="00755F2F" w:rsidRPr="00755F2F">
        <w:rPr>
          <w:i/>
          <w:iCs/>
        </w:rPr>
        <w:t>fatwa</w:t>
      </w:r>
      <w:r w:rsidR="00755F2F" w:rsidRPr="00755F2F">
        <w:t xml:space="preserve"> ‘Islam and Democracy’ (published in </w:t>
      </w:r>
      <w:proofErr w:type="spellStart"/>
      <w:r w:rsidR="00755F2F" w:rsidRPr="00755F2F">
        <w:t>Euben</w:t>
      </w:r>
      <w:proofErr w:type="spellEnd"/>
      <w:r w:rsidR="00755F2F" w:rsidRPr="00755F2F">
        <w:t xml:space="preserve"> and Zaman, Princeton Readings in Islamist Thought)</w:t>
      </w:r>
      <w:r w:rsidR="00067E37">
        <w:t xml:space="preserve"> that there are </w:t>
      </w:r>
      <w:r w:rsidR="00755F2F">
        <w:t>significant</w:t>
      </w:r>
      <w:r w:rsidR="00067E37">
        <w:t xml:space="preserve"> challenges within his understanding of democracy, more specifically relating to </w:t>
      </w:r>
      <w:r w:rsidR="00067E37">
        <w:rPr>
          <w:i/>
          <w:iCs/>
        </w:rPr>
        <w:t>Shura</w:t>
      </w:r>
      <w:r w:rsidR="00067E37">
        <w:t xml:space="preserve">. </w:t>
      </w:r>
      <w:r w:rsidR="00755F2F">
        <w:t>I will be discussing these challenges in this reaction paper.</w:t>
      </w:r>
    </w:p>
    <w:p w14:paraId="5BB587DE" w14:textId="77777777" w:rsidR="00755F2F" w:rsidRPr="00E21C6D" w:rsidRDefault="00755F2F" w:rsidP="00755F2F">
      <w:pPr>
        <w:spacing w:line="480" w:lineRule="auto"/>
        <w:jc w:val="both"/>
      </w:pPr>
    </w:p>
    <w:p w14:paraId="1B9D6796" w14:textId="2E8B81AD" w:rsidR="003505C0" w:rsidRDefault="00E13AC3" w:rsidP="006B2AAC">
      <w:pPr>
        <w:spacing w:line="480" w:lineRule="auto"/>
        <w:jc w:val="both"/>
      </w:pPr>
      <w:r>
        <w:t xml:space="preserve">The concept of </w:t>
      </w:r>
      <w:r w:rsidRPr="00787C88">
        <w:rPr>
          <w:i/>
          <w:iCs/>
        </w:rPr>
        <w:t>Shura</w:t>
      </w:r>
      <w:r w:rsidR="00C3008C">
        <w:t xml:space="preserve"> (</w:t>
      </w:r>
      <w:r>
        <w:t>consultation</w:t>
      </w:r>
      <w:r w:rsidR="00C3008C">
        <w:t>)</w:t>
      </w:r>
      <w:r>
        <w:t>,</w:t>
      </w:r>
      <w:r w:rsidR="00C3008C">
        <w:t xml:space="preserve"> i</w:t>
      </w:r>
      <w:r w:rsidR="00C3008C" w:rsidRPr="00C3008C">
        <w:t>n</w:t>
      </w:r>
      <w:r w:rsidR="00C042C9">
        <w:t xml:space="preserve"> the</w:t>
      </w:r>
      <w:r w:rsidR="00C3008C" w:rsidRPr="00C3008C">
        <w:t xml:space="preserve"> political </w:t>
      </w:r>
      <w:r w:rsidR="00AB4CE7">
        <w:t>arena,</w:t>
      </w:r>
      <w:r w:rsidR="00C3008C" w:rsidRPr="00C3008C">
        <w:t xml:space="preserve"> refers to</w:t>
      </w:r>
      <w:r w:rsidR="00AB4CE7">
        <w:t xml:space="preserve"> gather</w:t>
      </w:r>
      <w:r w:rsidR="00402B24">
        <w:t>ing</w:t>
      </w:r>
      <w:r w:rsidR="00C3008C" w:rsidRPr="00C3008C">
        <w:t xml:space="preserve"> and </w:t>
      </w:r>
      <w:r w:rsidR="00AB4CE7">
        <w:t>deliberat</w:t>
      </w:r>
      <w:r w:rsidR="00402B24">
        <w:t xml:space="preserve">ing </w:t>
      </w:r>
      <w:r w:rsidR="00C3008C" w:rsidRPr="00C3008C">
        <w:t xml:space="preserve">different opinions on a </w:t>
      </w:r>
      <w:r w:rsidR="00C042C9" w:rsidRPr="00C3008C">
        <w:t>specific</w:t>
      </w:r>
      <w:r w:rsidR="00C3008C" w:rsidRPr="00C3008C">
        <w:t xml:space="preserve"> subject to reach a decision</w:t>
      </w:r>
      <w:r w:rsidR="00596D2E">
        <w:t xml:space="preserve"> (Ashour, 2005, p.14)</w:t>
      </w:r>
      <w:r w:rsidR="00C3008C" w:rsidRPr="00C3008C">
        <w:t>.</w:t>
      </w:r>
      <w:r w:rsidR="00D56A51">
        <w:t xml:space="preserve"> This</w:t>
      </w:r>
      <w:r>
        <w:t xml:space="preserve"> is primarily based on two </w:t>
      </w:r>
      <w:r w:rsidR="006B2AAC">
        <w:t>Quranic verses</w:t>
      </w:r>
      <w:r w:rsidR="00B411C6">
        <w:t>.</w:t>
      </w:r>
      <w:r>
        <w:t xml:space="preserve"> </w:t>
      </w:r>
      <w:r w:rsidR="006B2AAC">
        <w:t>The first is Q.42:38</w:t>
      </w:r>
      <w:r>
        <w:t>,</w:t>
      </w:r>
      <w:r w:rsidR="00B411C6" w:rsidRPr="00B411C6">
        <w:t xml:space="preserve"> </w:t>
      </w:r>
      <w:r w:rsidR="00B411C6">
        <w:t>“</w:t>
      </w:r>
      <w:r w:rsidR="00B411C6" w:rsidRPr="00B411C6">
        <w:t>who (conduct) their affairs by mutual Consultation (</w:t>
      </w:r>
      <w:r w:rsidR="006B2AAC">
        <w:t>Meccan verse</w:t>
      </w:r>
      <w:r w:rsidR="00B411C6" w:rsidRPr="00B411C6">
        <w:t>)</w:t>
      </w:r>
      <w:r w:rsidR="00B411C6">
        <w:t xml:space="preserve"> and</w:t>
      </w:r>
      <w:r w:rsidR="006B2AAC">
        <w:t xml:space="preserve"> the second is Q3.159: </w:t>
      </w:r>
      <w:r w:rsidR="00B411C6">
        <w:t>“</w:t>
      </w:r>
      <w:r w:rsidR="00B411C6" w:rsidRPr="00B411C6">
        <w:t>consult them in affairs (of moment). Then, when thou hast Taken a decision put thy trust in Allah</w:t>
      </w:r>
      <w:r w:rsidR="003505C0">
        <w:t>,”</w:t>
      </w:r>
      <w:r w:rsidR="006B2AAC">
        <w:t xml:space="preserve"> (Medinan verse) (translations by </w:t>
      </w:r>
      <w:proofErr w:type="spellStart"/>
      <w:r w:rsidR="006B2AAC">
        <w:t>Benhenda</w:t>
      </w:r>
      <w:proofErr w:type="spellEnd"/>
      <w:r w:rsidR="006B2AAC">
        <w:t>, 2011, p. 17)</w:t>
      </w:r>
      <w:r w:rsidR="003505C0">
        <w:t xml:space="preserve"> the second verse being</w:t>
      </w:r>
      <w:r w:rsidR="00B411C6" w:rsidRPr="00B411C6">
        <w:t xml:space="preserve"> </w:t>
      </w:r>
      <w:r w:rsidR="00225924">
        <w:t>an</w:t>
      </w:r>
      <w:r w:rsidR="00225924" w:rsidRPr="003608BF">
        <w:t xml:space="preserve"> </w:t>
      </w:r>
      <w:r w:rsidR="00225924">
        <w:t xml:space="preserve">instruction given to the Prophet. </w:t>
      </w:r>
      <w:r w:rsidR="00402B24" w:rsidRPr="00787C88">
        <w:rPr>
          <w:i/>
          <w:iCs/>
        </w:rPr>
        <w:t>S</w:t>
      </w:r>
      <w:r w:rsidRPr="00787C88">
        <w:rPr>
          <w:i/>
          <w:iCs/>
        </w:rPr>
        <w:t>hura</w:t>
      </w:r>
      <w:r>
        <w:t xml:space="preserve"> and democracy </w:t>
      </w:r>
      <w:r w:rsidR="00225924">
        <w:t>are considered</w:t>
      </w:r>
      <w:r>
        <w:t xml:space="preserve"> key elements</w:t>
      </w:r>
      <w:r w:rsidR="003505C0">
        <w:t xml:space="preserve"> in </w:t>
      </w:r>
      <w:r w:rsidR="006B2AAC">
        <w:t xml:space="preserve">Islamic </w:t>
      </w:r>
      <w:r w:rsidR="003505C0">
        <w:t>scholarly discussions of politics</w:t>
      </w:r>
      <w:r w:rsidR="00596D2E">
        <w:t xml:space="preserve"> (Shavit, 2010, p. 350)</w:t>
      </w:r>
      <w:r>
        <w:t>.</w:t>
      </w:r>
      <w:r w:rsidR="00C3544A">
        <w:t xml:space="preserve"> </w:t>
      </w:r>
    </w:p>
    <w:p w14:paraId="5B16CEE6" w14:textId="3E352A7C" w:rsidR="00E13AC3" w:rsidRDefault="00E13AC3" w:rsidP="00E13AC3">
      <w:pPr>
        <w:pStyle w:val="Heading1"/>
      </w:pPr>
      <w:r>
        <w:t>Yusuf Al-</w:t>
      </w:r>
      <w:r w:rsidR="00EE0C0B">
        <w:t>Al-Qaradawi</w:t>
      </w:r>
      <w:r>
        <w:t xml:space="preserve"> and </w:t>
      </w:r>
      <w:r w:rsidR="00764BB2">
        <w:rPr>
          <w:i/>
          <w:iCs/>
        </w:rPr>
        <w:t>s</w:t>
      </w:r>
      <w:r w:rsidRPr="00764BB2">
        <w:rPr>
          <w:i/>
          <w:iCs/>
        </w:rPr>
        <w:t>hura</w:t>
      </w:r>
    </w:p>
    <w:p w14:paraId="0420D4DD" w14:textId="77777777" w:rsidR="00212F9F" w:rsidRDefault="00212F9F" w:rsidP="00E24A59">
      <w:pPr>
        <w:spacing w:line="480" w:lineRule="auto"/>
        <w:jc w:val="both"/>
      </w:pPr>
    </w:p>
    <w:p w14:paraId="32F3DCB6" w14:textId="119F71D0" w:rsidR="005E213D" w:rsidRPr="00E24A59" w:rsidRDefault="00C42630" w:rsidP="00E24A59">
      <w:pPr>
        <w:spacing w:line="480" w:lineRule="auto"/>
        <w:jc w:val="both"/>
      </w:pPr>
      <w:r>
        <w:t>Al-Qaradawi</w:t>
      </w:r>
      <w:r w:rsidR="00067E37">
        <w:t xml:space="preserve"> (Al-Qaradawi, 2009, p.237)</w:t>
      </w:r>
      <w:r>
        <w:t xml:space="preserve"> had an </w:t>
      </w:r>
      <w:r w:rsidR="00D00FF2">
        <w:t xml:space="preserve">Islamist </w:t>
      </w:r>
      <w:r>
        <w:t>ideological</w:t>
      </w:r>
      <w:r w:rsidR="00D00FF2">
        <w:t xml:space="preserve"> political</w:t>
      </w:r>
      <w:r>
        <w:t xml:space="preserve"> reading of the Quran, such as his understanding of the relationship between testimony and voting. He compared voting to that of a legal testimony</w:t>
      </w:r>
      <w:r w:rsidR="00E24A59">
        <w:t xml:space="preserve"> </w:t>
      </w:r>
      <w:r w:rsidR="00D00FF2">
        <w:t>citing Quran 65:2 and 2:282.</w:t>
      </w:r>
      <w:r w:rsidR="00E24A59">
        <w:t xml:space="preserve"> </w:t>
      </w:r>
      <w:r w:rsidR="00E13AC3">
        <w:t xml:space="preserve">However, a </w:t>
      </w:r>
      <w:r w:rsidR="005E213D">
        <w:lastRenderedPageBreak/>
        <w:t>distinguishing</w:t>
      </w:r>
      <w:r w:rsidR="00E13AC3">
        <w:t xml:space="preserve"> factor in </w:t>
      </w:r>
      <w:r w:rsidR="00EE0C0B">
        <w:t>Al-Qaradawi</w:t>
      </w:r>
      <w:r w:rsidR="00E13AC3">
        <w:t xml:space="preserve">’s approach is that of </w:t>
      </w:r>
      <w:r w:rsidR="00E13AC3" w:rsidRPr="00E24A59">
        <w:t>centrism or moderation</w:t>
      </w:r>
      <w:r w:rsidR="00D00FF2">
        <w:t xml:space="preserve"> (</w:t>
      </w:r>
      <w:r w:rsidR="00551EB9" w:rsidRPr="00551EB9">
        <w:rPr>
          <w:i/>
          <w:iCs/>
        </w:rPr>
        <w:t>al-</w:t>
      </w:r>
      <w:proofErr w:type="spellStart"/>
      <w:r w:rsidR="00D00FF2" w:rsidRPr="00551EB9">
        <w:rPr>
          <w:i/>
          <w:iCs/>
        </w:rPr>
        <w:t>wasitiyya</w:t>
      </w:r>
      <w:proofErr w:type="spellEnd"/>
      <w:r w:rsidR="00D00FF2">
        <w:t>)</w:t>
      </w:r>
      <w:r w:rsidR="00E24A59">
        <w:t xml:space="preserve"> (ibid, p.225)</w:t>
      </w:r>
      <w:r w:rsidR="002346F0">
        <w:t>,</w:t>
      </w:r>
      <w:r w:rsidR="00551EB9">
        <w:t xml:space="preserve"> </w:t>
      </w:r>
      <w:r w:rsidR="002346F0">
        <w:t>a</w:t>
      </w:r>
      <w:r w:rsidR="00551EB9">
        <w:t xml:space="preserve">n approach to avoid any </w:t>
      </w:r>
      <w:r w:rsidR="00882C74">
        <w:t>form</w:t>
      </w:r>
      <w:r w:rsidR="00551EB9">
        <w:t xml:space="preserve"> of extremes.</w:t>
      </w:r>
      <w:r w:rsidR="00E13AC3">
        <w:t xml:space="preserve"> </w:t>
      </w:r>
    </w:p>
    <w:p w14:paraId="6F4A5E0F" w14:textId="77777777" w:rsidR="00212F9F" w:rsidRDefault="00212F9F" w:rsidP="005E213D">
      <w:pPr>
        <w:spacing w:line="480" w:lineRule="auto"/>
        <w:jc w:val="both"/>
      </w:pPr>
    </w:p>
    <w:p w14:paraId="260BCF32" w14:textId="70734126" w:rsidR="00E13AC3" w:rsidRPr="00E21C6D" w:rsidRDefault="00E13AC3" w:rsidP="005E213D">
      <w:pPr>
        <w:spacing w:line="480" w:lineRule="auto"/>
        <w:jc w:val="both"/>
      </w:pPr>
      <w:r w:rsidRPr="00E21C6D">
        <w:t xml:space="preserve">According to </w:t>
      </w:r>
      <w:r w:rsidR="00EE0C0B">
        <w:t>Al-Qaradawi</w:t>
      </w:r>
      <w:r w:rsidR="00E24A59">
        <w:t xml:space="preserve"> (ibid, p.235)</w:t>
      </w:r>
      <w:r w:rsidRPr="00E21C6D">
        <w:t>, the concept of consultation is an essential principle of Islam. The ruler must</w:t>
      </w:r>
      <w:r w:rsidR="005E213D">
        <w:t xml:space="preserve"> seek</w:t>
      </w:r>
      <w:r w:rsidRPr="00E21C6D">
        <w:t xml:space="preserve"> consult</w:t>
      </w:r>
      <w:r w:rsidR="005E213D">
        <w:t xml:space="preserve">ation </w:t>
      </w:r>
      <w:r w:rsidRPr="00E21C6D">
        <w:t>and the community must offer advice. This advice is then binding upon the ruler</w:t>
      </w:r>
      <w:r w:rsidR="00E24A59">
        <w:t xml:space="preserve"> (ibid, p.244)</w:t>
      </w:r>
      <w:r w:rsidRPr="00E21C6D">
        <w:t xml:space="preserve">. The ruler is the representative of the people and therefore the represented </w:t>
      </w:r>
      <w:r w:rsidR="00212F9F">
        <w:t>reserves</w:t>
      </w:r>
      <w:r w:rsidRPr="00E21C6D">
        <w:t xml:space="preserve"> the right to hold him accountable</w:t>
      </w:r>
      <w:r w:rsidR="00551EB9">
        <w:t xml:space="preserve"> (ibid, p.235)</w:t>
      </w:r>
      <w:r w:rsidRPr="00E21C6D">
        <w:t>. Additionally, they may dismiss him if they believe he is failing in his duties</w:t>
      </w:r>
      <w:r w:rsidR="00551EB9">
        <w:t xml:space="preserve"> (ibid)</w:t>
      </w:r>
      <w:r w:rsidRPr="00E21C6D">
        <w:t xml:space="preserve">. The ruler, however, is </w:t>
      </w:r>
      <w:r w:rsidRPr="00E24A59">
        <w:t>fallible</w:t>
      </w:r>
      <w:r w:rsidRPr="00E21C6D">
        <w:t xml:space="preserve"> and prone to making mistakes, making it the responsibility of the Muslims to advise him </w:t>
      </w:r>
      <w:r w:rsidR="00551EB9" w:rsidRPr="00E21C6D">
        <w:t>accordingly</w:t>
      </w:r>
      <w:r w:rsidR="00551EB9">
        <w:t xml:space="preserve"> (ibid, pp. 235-236)</w:t>
      </w:r>
      <w:r w:rsidRPr="00E21C6D">
        <w:t xml:space="preserve">. This </w:t>
      </w:r>
      <w:r w:rsidR="00402B24">
        <w:t>was</w:t>
      </w:r>
      <w:r w:rsidRPr="00E21C6D">
        <w:t xml:space="preserve"> the practice of the Rightly Guided Caliphs</w:t>
      </w:r>
      <w:r w:rsidR="00091729">
        <w:t xml:space="preserve"> (ibid, p.</w:t>
      </w:r>
      <w:r w:rsidR="00551EB9">
        <w:t xml:space="preserve"> </w:t>
      </w:r>
      <w:r w:rsidR="00091729">
        <w:t>236)</w:t>
      </w:r>
      <w:r w:rsidRPr="00E21C6D">
        <w:t>.</w:t>
      </w:r>
      <w:r w:rsidR="00F16932">
        <w:t xml:space="preserve"> </w:t>
      </w:r>
    </w:p>
    <w:p w14:paraId="21C43EDC" w14:textId="77777777" w:rsidR="00E13AC3" w:rsidRDefault="00E13AC3" w:rsidP="00E13AC3"/>
    <w:p w14:paraId="41717B88" w14:textId="39E3E020" w:rsidR="00E13AC3" w:rsidRDefault="00E13AC3" w:rsidP="00E13AC3">
      <w:pPr>
        <w:pStyle w:val="Heading1"/>
      </w:pPr>
      <w:r>
        <w:t xml:space="preserve">Analysis </w:t>
      </w:r>
    </w:p>
    <w:p w14:paraId="3B6C6C09" w14:textId="77777777" w:rsidR="00D315AB" w:rsidRDefault="00D315AB" w:rsidP="00E13AC3">
      <w:pPr>
        <w:rPr>
          <w:rFonts w:ascii="Calibri" w:hAnsi="Calibri" w:cs="Calibri"/>
          <w:color w:val="000000"/>
        </w:rPr>
      </w:pPr>
    </w:p>
    <w:p w14:paraId="576E66C2" w14:textId="1932E0FB" w:rsidR="0011559B" w:rsidRDefault="0011559B" w:rsidP="0011559B">
      <w:pPr>
        <w:spacing w:line="480" w:lineRule="auto"/>
        <w:jc w:val="both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 xml:space="preserve">It is important to </w:t>
      </w:r>
      <w:r w:rsidR="00882C74">
        <w:rPr>
          <w:rFonts w:ascii="Calibri" w:hAnsi="Calibri" w:cs="Calibri"/>
          <w:color w:val="000000"/>
        </w:rPr>
        <w:t>note</w:t>
      </w:r>
      <w:r>
        <w:rPr>
          <w:rFonts w:ascii="Calibri" w:hAnsi="Calibri" w:cs="Calibri"/>
          <w:color w:val="000000"/>
        </w:rPr>
        <w:t xml:space="preserve"> that some classical jurists view the ‘seeking of </w:t>
      </w:r>
      <w:r>
        <w:rPr>
          <w:rFonts w:ascii="Calibri" w:hAnsi="Calibri" w:cs="Calibri"/>
          <w:i/>
          <w:iCs/>
          <w:color w:val="000000"/>
        </w:rPr>
        <w:t>shura</w:t>
      </w:r>
      <w:r>
        <w:rPr>
          <w:rFonts w:ascii="Calibri" w:hAnsi="Calibri" w:cs="Calibri"/>
          <w:color w:val="000000"/>
        </w:rPr>
        <w:t>’</w:t>
      </w:r>
      <w:r w:rsidRPr="00F178BA">
        <w:rPr>
          <w:rFonts w:ascii="Calibri" w:hAnsi="Calibri" w:cs="Calibri"/>
          <w:color w:val="000000"/>
        </w:rPr>
        <w:t xml:space="preserve"> </w:t>
      </w:r>
      <w:r>
        <w:rPr>
          <w:rFonts w:ascii="Calibri" w:hAnsi="Calibri" w:cs="Calibri"/>
          <w:color w:val="000000"/>
        </w:rPr>
        <w:t xml:space="preserve">as recommended, contrary to contemporary scholars who consider the ‘seeking’ element to be obligatory (Ashour, 2005, p. 14). </w:t>
      </w:r>
      <w:r>
        <w:t xml:space="preserve">Considering the obligatory nature of seeking </w:t>
      </w:r>
      <w:r>
        <w:rPr>
          <w:i/>
          <w:iCs/>
        </w:rPr>
        <w:t>shura</w:t>
      </w:r>
      <w:r>
        <w:t>, t</w:t>
      </w:r>
      <w:r w:rsidRPr="00192E1D">
        <w:t>here</w:t>
      </w:r>
      <w:r>
        <w:t xml:space="preserve"> are two opinions regarding its application: </w:t>
      </w:r>
      <w:r w:rsidRPr="00787C88">
        <w:rPr>
          <w:i/>
          <w:iCs/>
        </w:rPr>
        <w:t xml:space="preserve">Shura </w:t>
      </w:r>
      <w:proofErr w:type="spellStart"/>
      <w:r w:rsidRPr="00787C88">
        <w:rPr>
          <w:i/>
          <w:iCs/>
        </w:rPr>
        <w:t>Mu’lima</w:t>
      </w:r>
      <w:proofErr w:type="spellEnd"/>
      <w:r>
        <w:t xml:space="preserve">: The people must be consulted; however, the final decision is that of the ruler. He is not obligated to follow the advice. </w:t>
      </w:r>
      <w:r w:rsidRPr="00787C88">
        <w:rPr>
          <w:i/>
          <w:iCs/>
        </w:rPr>
        <w:t xml:space="preserve">Shura </w:t>
      </w:r>
      <w:proofErr w:type="spellStart"/>
      <w:r w:rsidRPr="00787C88">
        <w:rPr>
          <w:i/>
          <w:iCs/>
        </w:rPr>
        <w:t>Mulzima</w:t>
      </w:r>
      <w:proofErr w:type="spellEnd"/>
      <w:r>
        <w:t xml:space="preserve">: The ruler is bound by the advice of the people. </w:t>
      </w:r>
      <w:r w:rsidRPr="00787C88">
        <w:t>“Consultation and decision are not separated</w:t>
      </w:r>
      <w:r>
        <w:t>” (</w:t>
      </w:r>
      <w:proofErr w:type="spellStart"/>
      <w:r>
        <w:t>Benhenda</w:t>
      </w:r>
      <w:proofErr w:type="spellEnd"/>
      <w:r>
        <w:t>, 2011, p.104).</w:t>
      </w:r>
      <w:r>
        <w:rPr>
          <w:rFonts w:ascii="Calibri" w:hAnsi="Calibri" w:cs="Calibri"/>
          <w:color w:val="000000"/>
        </w:rPr>
        <w:t xml:space="preserve"> </w:t>
      </w:r>
      <w:proofErr w:type="gramStart"/>
      <w:r>
        <w:rPr>
          <w:rFonts w:ascii="Calibri" w:hAnsi="Calibri" w:cs="Calibri"/>
          <w:color w:val="000000"/>
        </w:rPr>
        <w:t>The majority of</w:t>
      </w:r>
      <w:proofErr w:type="gramEnd"/>
      <w:r>
        <w:rPr>
          <w:rFonts w:ascii="Calibri" w:hAnsi="Calibri" w:cs="Calibri"/>
          <w:color w:val="000000"/>
        </w:rPr>
        <w:t xml:space="preserve"> the jurists concluded that it was not binding and was therefore advisory (Abou El </w:t>
      </w:r>
      <w:proofErr w:type="spellStart"/>
      <w:r>
        <w:rPr>
          <w:rFonts w:ascii="Calibri" w:hAnsi="Calibri" w:cs="Calibri"/>
          <w:color w:val="000000"/>
        </w:rPr>
        <w:t>Fadl</w:t>
      </w:r>
      <w:proofErr w:type="spellEnd"/>
      <w:r>
        <w:rPr>
          <w:rFonts w:ascii="Calibri" w:hAnsi="Calibri" w:cs="Calibri"/>
          <w:color w:val="000000"/>
        </w:rPr>
        <w:t>, 2004, p. 17), in other words</w:t>
      </w:r>
      <w:r w:rsidR="00882C74">
        <w:rPr>
          <w:rFonts w:ascii="Calibri" w:hAnsi="Calibri" w:cs="Calibri"/>
          <w:color w:val="000000"/>
        </w:rPr>
        <w:t>,</w:t>
      </w:r>
      <w:r>
        <w:rPr>
          <w:rFonts w:ascii="Calibri" w:hAnsi="Calibri" w:cs="Calibri"/>
          <w:color w:val="000000"/>
        </w:rPr>
        <w:t xml:space="preserve"> </w:t>
      </w:r>
      <w:r>
        <w:rPr>
          <w:rFonts w:ascii="Calibri" w:hAnsi="Calibri" w:cs="Calibri"/>
          <w:i/>
          <w:iCs/>
          <w:color w:val="000000"/>
        </w:rPr>
        <w:t xml:space="preserve">Shura </w:t>
      </w:r>
      <w:proofErr w:type="spellStart"/>
      <w:r>
        <w:rPr>
          <w:rFonts w:ascii="Calibri" w:hAnsi="Calibri" w:cs="Calibri"/>
          <w:i/>
          <w:iCs/>
          <w:color w:val="000000"/>
        </w:rPr>
        <w:t>Mu’lima</w:t>
      </w:r>
      <w:proofErr w:type="spellEnd"/>
      <w:r>
        <w:rPr>
          <w:rFonts w:ascii="Calibri" w:hAnsi="Calibri" w:cs="Calibri"/>
          <w:color w:val="000000"/>
        </w:rPr>
        <w:t xml:space="preserve">. However, Ashour (2005, p. 16) has clarified that the ‘majority’ mentioned above pertains to the classical jurists, whereas many contemporary scholars have considered it to be binding. </w:t>
      </w:r>
    </w:p>
    <w:p w14:paraId="2F57EAF9" w14:textId="77777777" w:rsidR="00F16932" w:rsidRDefault="00F16932" w:rsidP="00F16932">
      <w:pPr>
        <w:spacing w:line="480" w:lineRule="auto"/>
        <w:jc w:val="both"/>
        <w:rPr>
          <w:rFonts w:ascii="Calibri" w:hAnsi="Calibri" w:cs="Calibri"/>
          <w:color w:val="000000"/>
        </w:rPr>
      </w:pPr>
    </w:p>
    <w:p w14:paraId="11276B6A" w14:textId="669CB293" w:rsidR="00AF5610" w:rsidRDefault="00EE0C0B" w:rsidP="00AF5610">
      <w:pPr>
        <w:spacing w:line="480" w:lineRule="auto"/>
        <w:jc w:val="both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lastRenderedPageBreak/>
        <w:t>Al-Qaradawi</w:t>
      </w:r>
      <w:r w:rsidR="00596D2E">
        <w:rPr>
          <w:rFonts w:ascii="Calibri" w:hAnsi="Calibri" w:cs="Calibri"/>
          <w:color w:val="000000"/>
        </w:rPr>
        <w:t xml:space="preserve"> (</w:t>
      </w:r>
      <w:r w:rsidR="002346F0">
        <w:rPr>
          <w:rFonts w:ascii="Calibri" w:eastAsia="Times New Roman" w:hAnsi="Calibri" w:cs="Calibri"/>
          <w:color w:val="000000"/>
        </w:rPr>
        <w:t>Al-Qaradawi</w:t>
      </w:r>
      <w:r w:rsidR="00416F33">
        <w:rPr>
          <w:rFonts w:ascii="Calibri" w:eastAsia="Times New Roman" w:hAnsi="Calibri" w:cs="Calibri"/>
          <w:color w:val="000000"/>
        </w:rPr>
        <w:t>,</w:t>
      </w:r>
      <w:r w:rsidR="00596D2E">
        <w:rPr>
          <w:rFonts w:ascii="Calibri" w:eastAsia="Times New Roman" w:hAnsi="Calibri" w:cs="Calibri"/>
          <w:color w:val="000000"/>
        </w:rPr>
        <w:t xml:space="preserve"> 2009, p. 236)</w:t>
      </w:r>
      <w:r w:rsidR="00191FBA">
        <w:rPr>
          <w:rFonts w:ascii="Calibri" w:hAnsi="Calibri" w:cs="Calibri"/>
          <w:color w:val="000000"/>
        </w:rPr>
        <w:t xml:space="preserve"> </w:t>
      </w:r>
      <w:r w:rsidR="00E21C6D">
        <w:rPr>
          <w:rFonts w:ascii="Calibri" w:hAnsi="Calibri" w:cs="Calibri"/>
          <w:color w:val="000000"/>
        </w:rPr>
        <w:t>cites</w:t>
      </w:r>
      <w:r w:rsidR="00E13AC3">
        <w:rPr>
          <w:rFonts w:ascii="Calibri" w:hAnsi="Calibri" w:cs="Calibri"/>
          <w:color w:val="000000"/>
        </w:rPr>
        <w:t xml:space="preserve"> the actions of the Righteous Caliphs as precedence for </w:t>
      </w:r>
      <w:r w:rsidR="00D04015">
        <w:rPr>
          <w:rFonts w:ascii="Calibri" w:hAnsi="Calibri" w:cs="Calibri"/>
          <w:color w:val="000000"/>
        </w:rPr>
        <w:t>his</w:t>
      </w:r>
      <w:r w:rsidR="00416F33">
        <w:rPr>
          <w:rFonts w:ascii="Calibri" w:hAnsi="Calibri" w:cs="Calibri"/>
          <w:color w:val="000000"/>
        </w:rPr>
        <w:t xml:space="preserve"> understanding of </w:t>
      </w:r>
      <w:r w:rsidR="00416F33">
        <w:rPr>
          <w:rFonts w:ascii="Calibri" w:hAnsi="Calibri" w:cs="Calibri"/>
          <w:i/>
          <w:iCs/>
          <w:color w:val="000000"/>
        </w:rPr>
        <w:t>Shura Mulzima</w:t>
      </w:r>
      <w:r w:rsidR="00E13AC3">
        <w:rPr>
          <w:rFonts w:ascii="Calibri" w:hAnsi="Calibri" w:cs="Calibri"/>
          <w:color w:val="000000"/>
        </w:rPr>
        <w:t xml:space="preserve">. More so, the appointment of six individuals </w:t>
      </w:r>
      <w:r w:rsidR="00D04015">
        <w:rPr>
          <w:rFonts w:ascii="Calibri" w:hAnsi="Calibri" w:cs="Calibri"/>
          <w:color w:val="000000"/>
        </w:rPr>
        <w:t>by</w:t>
      </w:r>
      <w:r w:rsidR="00E13AC3">
        <w:rPr>
          <w:rFonts w:ascii="Calibri" w:hAnsi="Calibri" w:cs="Calibri"/>
          <w:color w:val="000000"/>
        </w:rPr>
        <w:t xml:space="preserve"> Umar</w:t>
      </w:r>
      <w:r w:rsidR="00D04015">
        <w:rPr>
          <w:rFonts w:ascii="Calibri" w:hAnsi="Calibri" w:cs="Calibri"/>
          <w:color w:val="000000"/>
        </w:rPr>
        <w:t xml:space="preserve"> at the time of his</w:t>
      </w:r>
      <w:r w:rsidR="00E13AC3">
        <w:rPr>
          <w:rFonts w:ascii="Calibri" w:hAnsi="Calibri" w:cs="Calibri"/>
          <w:color w:val="000000"/>
        </w:rPr>
        <w:t xml:space="preserve"> death to form a </w:t>
      </w:r>
      <w:r w:rsidR="00E13AC3" w:rsidRPr="0097459F">
        <w:rPr>
          <w:rFonts w:ascii="Calibri" w:hAnsi="Calibri" w:cs="Calibri"/>
          <w:i/>
          <w:iCs/>
          <w:color w:val="000000"/>
        </w:rPr>
        <w:t>Shura</w:t>
      </w:r>
      <w:r w:rsidR="00E13AC3">
        <w:rPr>
          <w:rFonts w:ascii="Calibri" w:hAnsi="Calibri" w:cs="Calibri"/>
          <w:color w:val="000000"/>
        </w:rPr>
        <w:t xml:space="preserve"> </w:t>
      </w:r>
      <w:r w:rsidR="00D04015">
        <w:rPr>
          <w:rFonts w:ascii="Calibri" w:hAnsi="Calibri" w:cs="Calibri"/>
          <w:color w:val="000000"/>
        </w:rPr>
        <w:t>council</w:t>
      </w:r>
      <w:r w:rsidR="00E13AC3">
        <w:rPr>
          <w:rFonts w:ascii="Calibri" w:hAnsi="Calibri" w:cs="Calibri"/>
          <w:color w:val="000000"/>
        </w:rPr>
        <w:t xml:space="preserve"> </w:t>
      </w:r>
      <w:r w:rsidR="00D04015">
        <w:rPr>
          <w:rFonts w:ascii="Calibri" w:hAnsi="Calibri" w:cs="Calibri"/>
          <w:color w:val="000000"/>
        </w:rPr>
        <w:t xml:space="preserve">to </w:t>
      </w:r>
      <w:r w:rsidR="00E13AC3">
        <w:rPr>
          <w:rFonts w:ascii="Calibri" w:hAnsi="Calibri" w:cs="Calibri"/>
          <w:color w:val="000000"/>
        </w:rPr>
        <w:t>select</w:t>
      </w:r>
      <w:r w:rsidR="00D04015">
        <w:rPr>
          <w:rFonts w:ascii="Calibri" w:hAnsi="Calibri" w:cs="Calibri"/>
          <w:color w:val="000000"/>
        </w:rPr>
        <w:t xml:space="preserve"> </w:t>
      </w:r>
      <w:r w:rsidR="00E13AC3">
        <w:rPr>
          <w:rFonts w:ascii="Calibri" w:hAnsi="Calibri" w:cs="Calibri"/>
          <w:color w:val="000000"/>
        </w:rPr>
        <w:t>the next Caliph</w:t>
      </w:r>
      <w:r w:rsidR="0097459F">
        <w:rPr>
          <w:rFonts w:ascii="Calibri" w:hAnsi="Calibri" w:cs="Calibri"/>
          <w:color w:val="000000"/>
        </w:rPr>
        <w:t xml:space="preserve"> (ibid, p.242)</w:t>
      </w:r>
      <w:r w:rsidR="00E13AC3">
        <w:rPr>
          <w:rFonts w:ascii="Calibri" w:hAnsi="Calibri" w:cs="Calibri"/>
          <w:color w:val="000000"/>
        </w:rPr>
        <w:t>.</w:t>
      </w:r>
      <w:r w:rsidR="0097459F">
        <w:rPr>
          <w:rFonts w:ascii="Calibri" w:hAnsi="Calibri" w:cs="Calibri"/>
          <w:color w:val="000000"/>
        </w:rPr>
        <w:t xml:space="preserve"> </w:t>
      </w:r>
      <w:r w:rsidR="00A81B0E">
        <w:rPr>
          <w:rFonts w:ascii="Calibri" w:hAnsi="Calibri" w:cs="Calibri"/>
          <w:color w:val="000000"/>
        </w:rPr>
        <w:t>The</w:t>
      </w:r>
      <w:r w:rsidR="00D04015">
        <w:rPr>
          <w:rFonts w:ascii="Calibri" w:hAnsi="Calibri" w:cs="Calibri"/>
          <w:color w:val="000000"/>
        </w:rPr>
        <w:t xml:space="preserve"> </w:t>
      </w:r>
      <w:r w:rsidR="00212F9F">
        <w:rPr>
          <w:rFonts w:ascii="Calibri" w:hAnsi="Calibri" w:cs="Calibri"/>
          <w:color w:val="000000"/>
        </w:rPr>
        <w:t>selection</w:t>
      </w:r>
      <w:r w:rsidR="00D04015">
        <w:rPr>
          <w:rFonts w:ascii="Calibri" w:hAnsi="Calibri" w:cs="Calibri"/>
          <w:color w:val="000000"/>
        </w:rPr>
        <w:t xml:space="preserve"> of </w:t>
      </w:r>
      <w:r w:rsidR="00160989">
        <w:rPr>
          <w:rFonts w:ascii="Calibri" w:hAnsi="Calibri" w:cs="Calibri"/>
          <w:color w:val="000000"/>
        </w:rPr>
        <w:t xml:space="preserve">the six by </w:t>
      </w:r>
      <w:r w:rsidR="00D04015">
        <w:rPr>
          <w:rFonts w:ascii="Calibri" w:hAnsi="Calibri" w:cs="Calibri"/>
          <w:color w:val="000000"/>
        </w:rPr>
        <w:t xml:space="preserve">Umar is fundamentally different </w:t>
      </w:r>
      <w:r w:rsidR="00212F9F">
        <w:rPr>
          <w:rFonts w:ascii="Calibri" w:hAnsi="Calibri" w:cs="Calibri"/>
          <w:color w:val="000000"/>
        </w:rPr>
        <w:t>from</w:t>
      </w:r>
      <w:r w:rsidR="00D04015">
        <w:rPr>
          <w:rFonts w:ascii="Calibri" w:hAnsi="Calibri" w:cs="Calibri"/>
          <w:color w:val="000000"/>
        </w:rPr>
        <w:t xml:space="preserve"> Al-Qaradawi’s understanding of </w:t>
      </w:r>
      <w:r w:rsidR="00D04015">
        <w:rPr>
          <w:rFonts w:ascii="Calibri" w:hAnsi="Calibri" w:cs="Calibri"/>
          <w:i/>
          <w:iCs/>
          <w:color w:val="000000"/>
        </w:rPr>
        <w:t>Shura</w:t>
      </w:r>
      <w:r w:rsidR="00D04015">
        <w:rPr>
          <w:rFonts w:ascii="Calibri" w:hAnsi="Calibri" w:cs="Calibri"/>
          <w:color w:val="000000"/>
        </w:rPr>
        <w:t xml:space="preserve">. </w:t>
      </w:r>
      <w:r w:rsidR="00160989">
        <w:rPr>
          <w:rFonts w:ascii="Calibri" w:hAnsi="Calibri" w:cs="Calibri"/>
          <w:color w:val="000000"/>
        </w:rPr>
        <w:t xml:space="preserve">By selecting the six, </w:t>
      </w:r>
      <w:r w:rsidR="00A81B0E">
        <w:rPr>
          <w:rFonts w:ascii="Calibri" w:hAnsi="Calibri" w:cs="Calibri"/>
          <w:color w:val="000000"/>
        </w:rPr>
        <w:t xml:space="preserve">Umar had essentially </w:t>
      </w:r>
      <w:r w:rsidR="00160989">
        <w:rPr>
          <w:rFonts w:ascii="Calibri" w:hAnsi="Calibri" w:cs="Calibri"/>
          <w:color w:val="000000"/>
        </w:rPr>
        <w:t xml:space="preserve">excluded the wider Muslim community </w:t>
      </w:r>
      <w:r w:rsidR="00212F9F">
        <w:rPr>
          <w:rFonts w:ascii="Calibri" w:hAnsi="Calibri" w:cs="Calibri"/>
          <w:color w:val="000000"/>
        </w:rPr>
        <w:t>from</w:t>
      </w:r>
      <w:r w:rsidR="00160989">
        <w:rPr>
          <w:rFonts w:ascii="Calibri" w:hAnsi="Calibri" w:cs="Calibri"/>
          <w:color w:val="000000"/>
        </w:rPr>
        <w:t xml:space="preserve"> the new caliph selection process.</w:t>
      </w:r>
      <w:r w:rsidR="00A81B0E">
        <w:rPr>
          <w:rFonts w:ascii="Calibri" w:hAnsi="Calibri" w:cs="Calibri"/>
          <w:color w:val="000000"/>
        </w:rPr>
        <w:t xml:space="preserve"> </w:t>
      </w:r>
      <w:r w:rsidR="00160989">
        <w:rPr>
          <w:rFonts w:ascii="Calibri" w:hAnsi="Calibri" w:cs="Calibri"/>
          <w:color w:val="000000"/>
        </w:rPr>
        <w:t>Whereas Al-Qaradawi</w:t>
      </w:r>
      <w:r w:rsidR="00A81B0E">
        <w:rPr>
          <w:rFonts w:ascii="Calibri" w:hAnsi="Calibri" w:cs="Calibri"/>
          <w:color w:val="000000"/>
        </w:rPr>
        <w:t>’s</w:t>
      </w:r>
      <w:r w:rsidR="00160989">
        <w:rPr>
          <w:rFonts w:ascii="Calibri" w:hAnsi="Calibri" w:cs="Calibri"/>
          <w:color w:val="000000"/>
        </w:rPr>
        <w:t xml:space="preserve"> (ibid, p. 238) understanding is that it is the people who should elect the leader. </w:t>
      </w:r>
      <w:r w:rsidR="00AF5610">
        <w:rPr>
          <w:rFonts w:ascii="Calibri" w:hAnsi="Calibri" w:cs="Calibri"/>
          <w:color w:val="000000"/>
        </w:rPr>
        <w:t>Hence, this would be a misreading of history.</w:t>
      </w:r>
    </w:p>
    <w:p w14:paraId="1CBE1587" w14:textId="77777777" w:rsidR="00AF5610" w:rsidRDefault="00AF5610" w:rsidP="00AF5610">
      <w:pPr>
        <w:spacing w:line="480" w:lineRule="auto"/>
        <w:jc w:val="both"/>
        <w:rPr>
          <w:rFonts w:ascii="Calibri" w:hAnsi="Calibri" w:cs="Calibri"/>
          <w:color w:val="000000"/>
        </w:rPr>
      </w:pPr>
    </w:p>
    <w:p w14:paraId="0E0527C6" w14:textId="032CE69B" w:rsidR="00D56A51" w:rsidRPr="00212F9F" w:rsidRDefault="005E213D" w:rsidP="00A80D4E">
      <w:pPr>
        <w:spacing w:line="480" w:lineRule="auto"/>
        <w:jc w:val="both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Conversely</w:t>
      </w:r>
      <w:r w:rsidR="00E13AC3">
        <w:rPr>
          <w:rFonts w:ascii="Calibri" w:hAnsi="Calibri" w:cs="Calibri"/>
          <w:color w:val="000000"/>
        </w:rPr>
        <w:t xml:space="preserve">, what </w:t>
      </w:r>
      <w:r w:rsidR="00F16932">
        <w:rPr>
          <w:rFonts w:ascii="Calibri" w:hAnsi="Calibri" w:cs="Calibri"/>
          <w:color w:val="000000"/>
        </w:rPr>
        <w:t>seems</w:t>
      </w:r>
      <w:r w:rsidR="00E13AC3">
        <w:rPr>
          <w:rFonts w:ascii="Calibri" w:hAnsi="Calibri" w:cs="Calibri"/>
          <w:color w:val="000000"/>
        </w:rPr>
        <w:t xml:space="preserve"> to </w:t>
      </w:r>
      <w:r w:rsidR="00F16932">
        <w:rPr>
          <w:rFonts w:ascii="Calibri" w:hAnsi="Calibri" w:cs="Calibri"/>
          <w:color w:val="000000"/>
        </w:rPr>
        <w:t>have been</w:t>
      </w:r>
      <w:r w:rsidR="00E13AC3">
        <w:rPr>
          <w:rFonts w:ascii="Calibri" w:hAnsi="Calibri" w:cs="Calibri"/>
          <w:color w:val="000000"/>
        </w:rPr>
        <w:t xml:space="preserve"> left out are the occasions where the </w:t>
      </w:r>
      <w:r w:rsidR="00E13AC3" w:rsidRPr="00D63C8B">
        <w:rPr>
          <w:rFonts w:ascii="Calibri" w:hAnsi="Calibri" w:cs="Calibri"/>
          <w:i/>
          <w:iCs/>
          <w:color w:val="000000"/>
        </w:rPr>
        <w:t>Shura</w:t>
      </w:r>
      <w:r w:rsidR="00E13AC3">
        <w:rPr>
          <w:rFonts w:ascii="Calibri" w:hAnsi="Calibri" w:cs="Calibri"/>
          <w:color w:val="000000"/>
        </w:rPr>
        <w:t xml:space="preserve"> was not adhered to by the Caliphs. For example</w:t>
      </w:r>
      <w:r w:rsidR="00AF5610">
        <w:rPr>
          <w:rFonts w:ascii="Calibri" w:hAnsi="Calibri" w:cs="Calibri"/>
          <w:color w:val="000000"/>
        </w:rPr>
        <w:t xml:space="preserve"> (</w:t>
      </w:r>
      <w:r w:rsidR="00AF5610">
        <w:rPr>
          <w:rFonts w:ascii="Calibri" w:eastAsia="Times New Roman" w:hAnsi="Calibri" w:cs="Calibri"/>
          <w:color w:val="000000"/>
        </w:rPr>
        <w:t xml:space="preserve">Abou El </w:t>
      </w:r>
      <w:proofErr w:type="spellStart"/>
      <w:r w:rsidR="00AF5610">
        <w:rPr>
          <w:rFonts w:ascii="Calibri" w:eastAsia="Times New Roman" w:hAnsi="Calibri" w:cs="Calibri"/>
          <w:color w:val="000000"/>
        </w:rPr>
        <w:t>Fadl</w:t>
      </w:r>
      <w:proofErr w:type="spellEnd"/>
      <w:r w:rsidR="00AF5610">
        <w:rPr>
          <w:rFonts w:ascii="Calibri" w:eastAsia="Times New Roman" w:hAnsi="Calibri" w:cs="Calibri"/>
          <w:color w:val="000000"/>
        </w:rPr>
        <w:t>, 2004, p.17)</w:t>
      </w:r>
      <w:r w:rsidR="00E13AC3">
        <w:rPr>
          <w:rFonts w:ascii="Calibri" w:hAnsi="Calibri" w:cs="Calibri"/>
          <w:color w:val="000000"/>
        </w:rPr>
        <w:t>, when Ali, reprimanded Abu Bakr, and Umar for not adhering to the Shura when electing Abu Bakr as the caliph</w:t>
      </w:r>
      <w:r w:rsidR="00A957BB">
        <w:rPr>
          <w:rFonts w:ascii="Calibri" w:hAnsi="Calibri" w:cs="Calibri"/>
          <w:color w:val="000000"/>
        </w:rPr>
        <w:t>,</w:t>
      </w:r>
      <w:r w:rsidR="00E13AC3">
        <w:rPr>
          <w:rFonts w:ascii="Calibri" w:hAnsi="Calibri" w:cs="Calibri"/>
          <w:color w:val="000000"/>
        </w:rPr>
        <w:t xml:space="preserve"> shortly after the Prophet's death</w:t>
      </w:r>
      <w:r w:rsidR="00416F33">
        <w:rPr>
          <w:rFonts w:ascii="Calibri" w:hAnsi="Calibri" w:cs="Calibri"/>
          <w:color w:val="000000"/>
        </w:rPr>
        <w:t xml:space="preserve">. </w:t>
      </w:r>
      <w:r w:rsidR="00E13AC3">
        <w:rPr>
          <w:rFonts w:ascii="Calibri" w:hAnsi="Calibri" w:cs="Calibri"/>
          <w:color w:val="000000"/>
        </w:rPr>
        <w:t xml:space="preserve">Also, Ali’s disapproval of Uthman, when he alleged that </w:t>
      </w:r>
      <w:r w:rsidR="00A957BB">
        <w:rPr>
          <w:rFonts w:ascii="Calibri" w:hAnsi="Calibri" w:cs="Calibri"/>
          <w:color w:val="000000"/>
        </w:rPr>
        <w:t>Uthman</w:t>
      </w:r>
      <w:r w:rsidR="00E13AC3">
        <w:rPr>
          <w:rFonts w:ascii="Calibri" w:hAnsi="Calibri" w:cs="Calibri"/>
          <w:color w:val="000000"/>
        </w:rPr>
        <w:t xml:space="preserve"> was discarding the rules of Shura due to his policies being “nepotistic and autocratic</w:t>
      </w:r>
      <w:r w:rsidR="002346F0">
        <w:rPr>
          <w:rFonts w:ascii="Calibri" w:hAnsi="Calibri" w:cs="Calibri"/>
          <w:color w:val="000000"/>
        </w:rPr>
        <w:t>”</w:t>
      </w:r>
      <w:r w:rsidR="00D04015">
        <w:rPr>
          <w:rFonts w:ascii="Calibri" w:hAnsi="Calibri" w:cs="Calibri"/>
          <w:color w:val="000000"/>
        </w:rPr>
        <w:t xml:space="preserve"> (ibid)</w:t>
      </w:r>
      <w:r w:rsidR="00E13AC3">
        <w:rPr>
          <w:rFonts w:ascii="Calibri" w:hAnsi="Calibri" w:cs="Calibri"/>
          <w:color w:val="000000"/>
        </w:rPr>
        <w:t xml:space="preserve">. </w:t>
      </w:r>
      <w:r w:rsidR="00AF5610">
        <w:rPr>
          <w:rFonts w:ascii="Calibri" w:hAnsi="Calibri" w:cs="Calibri"/>
          <w:color w:val="000000"/>
        </w:rPr>
        <w:t xml:space="preserve">This </w:t>
      </w:r>
      <w:r w:rsidR="00A80D4E">
        <w:rPr>
          <w:rFonts w:ascii="Calibri" w:hAnsi="Calibri" w:cs="Calibri"/>
          <w:color w:val="000000"/>
        </w:rPr>
        <w:t>would be an example of</w:t>
      </w:r>
      <w:r w:rsidR="003E06D6">
        <w:rPr>
          <w:rFonts w:ascii="Calibri" w:hAnsi="Calibri" w:cs="Calibri"/>
          <w:color w:val="000000"/>
        </w:rPr>
        <w:t xml:space="preserve"> the</w:t>
      </w:r>
      <w:r w:rsidR="002346F0">
        <w:rPr>
          <w:rFonts w:ascii="Calibri" w:hAnsi="Calibri" w:cs="Calibri"/>
          <w:color w:val="000000"/>
        </w:rPr>
        <w:t xml:space="preserve"> early Muslim community</w:t>
      </w:r>
      <w:r w:rsidR="003E06D6">
        <w:rPr>
          <w:rFonts w:ascii="Calibri" w:hAnsi="Calibri" w:cs="Calibri"/>
          <w:color w:val="000000"/>
        </w:rPr>
        <w:t xml:space="preserve"> </w:t>
      </w:r>
      <w:r w:rsidR="00D96732">
        <w:rPr>
          <w:rFonts w:ascii="Calibri" w:hAnsi="Calibri" w:cs="Calibri"/>
          <w:color w:val="000000"/>
        </w:rPr>
        <w:t xml:space="preserve">not </w:t>
      </w:r>
      <w:r w:rsidR="00A80D4E">
        <w:rPr>
          <w:rFonts w:ascii="Calibri" w:hAnsi="Calibri" w:cs="Calibri"/>
          <w:color w:val="000000"/>
        </w:rPr>
        <w:t>viewing</w:t>
      </w:r>
      <w:r w:rsidR="002346F0">
        <w:rPr>
          <w:rFonts w:ascii="Calibri" w:hAnsi="Calibri" w:cs="Calibri"/>
          <w:color w:val="000000"/>
        </w:rPr>
        <w:t xml:space="preserve"> the </w:t>
      </w:r>
      <w:r w:rsidR="00A80D4E">
        <w:rPr>
          <w:rFonts w:ascii="Calibri" w:hAnsi="Calibri" w:cs="Calibri"/>
          <w:color w:val="000000"/>
        </w:rPr>
        <w:t>‘</w:t>
      </w:r>
      <w:r w:rsidR="002346F0">
        <w:rPr>
          <w:rFonts w:ascii="Calibri" w:hAnsi="Calibri" w:cs="Calibri"/>
          <w:color w:val="000000"/>
        </w:rPr>
        <w:t>seeking of</w:t>
      </w:r>
      <w:r w:rsidR="003E06D6">
        <w:rPr>
          <w:rFonts w:ascii="Calibri" w:hAnsi="Calibri" w:cs="Calibri"/>
          <w:color w:val="000000"/>
        </w:rPr>
        <w:t xml:space="preserve"> </w:t>
      </w:r>
      <w:r w:rsidR="00AF5610">
        <w:rPr>
          <w:rFonts w:ascii="Calibri" w:hAnsi="Calibri" w:cs="Calibri"/>
          <w:i/>
          <w:iCs/>
          <w:color w:val="000000"/>
        </w:rPr>
        <w:t>Shura</w:t>
      </w:r>
      <w:r w:rsidR="00A80D4E">
        <w:rPr>
          <w:rFonts w:ascii="Calibri" w:hAnsi="Calibri" w:cs="Calibri"/>
          <w:color w:val="000000"/>
        </w:rPr>
        <w:t xml:space="preserve">’ as an obligation, </w:t>
      </w:r>
      <w:r w:rsidR="00882C74">
        <w:rPr>
          <w:rFonts w:ascii="Calibri" w:hAnsi="Calibri" w:cs="Calibri"/>
          <w:color w:val="000000"/>
        </w:rPr>
        <w:t xml:space="preserve">beyond the discussion of </w:t>
      </w:r>
      <w:r w:rsidR="00882C74">
        <w:rPr>
          <w:rFonts w:ascii="Calibri" w:hAnsi="Calibri" w:cs="Calibri"/>
          <w:i/>
          <w:iCs/>
          <w:color w:val="000000"/>
        </w:rPr>
        <w:t xml:space="preserve">shura </w:t>
      </w:r>
      <w:proofErr w:type="spellStart"/>
      <w:r w:rsidR="00882C74">
        <w:rPr>
          <w:rFonts w:ascii="Calibri" w:hAnsi="Calibri" w:cs="Calibri"/>
          <w:i/>
          <w:iCs/>
          <w:color w:val="000000"/>
        </w:rPr>
        <w:t>mulzima</w:t>
      </w:r>
      <w:proofErr w:type="spellEnd"/>
      <w:r w:rsidR="00882C74">
        <w:rPr>
          <w:rFonts w:ascii="Calibri" w:hAnsi="Calibri" w:cs="Calibri"/>
          <w:i/>
          <w:iCs/>
          <w:color w:val="000000"/>
        </w:rPr>
        <w:t xml:space="preserve"> </w:t>
      </w:r>
      <w:r w:rsidR="00882C74">
        <w:rPr>
          <w:rFonts w:ascii="Calibri" w:hAnsi="Calibri" w:cs="Calibri"/>
          <w:color w:val="000000"/>
        </w:rPr>
        <w:t xml:space="preserve">and </w:t>
      </w:r>
      <w:proofErr w:type="spellStart"/>
      <w:r w:rsidR="00882C74">
        <w:rPr>
          <w:rFonts w:ascii="Calibri" w:hAnsi="Calibri" w:cs="Calibri"/>
          <w:i/>
          <w:iCs/>
          <w:color w:val="000000"/>
        </w:rPr>
        <w:t>mu’lima</w:t>
      </w:r>
      <w:proofErr w:type="spellEnd"/>
      <w:r w:rsidR="00A80D4E">
        <w:rPr>
          <w:rFonts w:ascii="Calibri" w:hAnsi="Calibri" w:cs="Calibri"/>
          <w:color w:val="000000"/>
        </w:rPr>
        <w:t>.</w:t>
      </w:r>
      <w:r w:rsidR="00882C74">
        <w:rPr>
          <w:rFonts w:ascii="Calibri" w:hAnsi="Calibri" w:cs="Calibri"/>
          <w:color w:val="000000"/>
        </w:rPr>
        <w:t xml:space="preserve"> </w:t>
      </w:r>
    </w:p>
    <w:p w14:paraId="1B63C560" w14:textId="77777777" w:rsidR="003E06D6" w:rsidRDefault="003E06D6" w:rsidP="00D56A51">
      <w:pPr>
        <w:spacing w:line="480" w:lineRule="auto"/>
        <w:jc w:val="both"/>
        <w:rPr>
          <w:rFonts w:ascii="Calibri" w:hAnsi="Calibri" w:cs="Calibri"/>
          <w:color w:val="000000"/>
        </w:rPr>
      </w:pPr>
    </w:p>
    <w:p w14:paraId="2E70B84B" w14:textId="33242A78" w:rsidR="0003728E" w:rsidRDefault="00D315AB" w:rsidP="00882C74">
      <w:pPr>
        <w:spacing w:line="480" w:lineRule="auto"/>
        <w:jc w:val="both"/>
        <w:rPr>
          <w:rFonts w:ascii="Calibri" w:hAnsi="Calibri" w:cs="Calibri"/>
          <w:color w:val="000000"/>
        </w:rPr>
      </w:pPr>
      <w:r w:rsidRPr="00E21C6D">
        <w:rPr>
          <w:rFonts w:ascii="Calibri" w:hAnsi="Calibri" w:cs="Calibri"/>
          <w:color w:val="000000"/>
        </w:rPr>
        <w:t>Shavit</w:t>
      </w:r>
      <w:r w:rsidR="00AF5610">
        <w:rPr>
          <w:rFonts w:ascii="Calibri" w:hAnsi="Calibri" w:cs="Calibri"/>
          <w:color w:val="000000"/>
        </w:rPr>
        <w:t xml:space="preserve"> (2010, p.356)</w:t>
      </w:r>
      <w:r w:rsidRPr="00E21C6D">
        <w:rPr>
          <w:rFonts w:ascii="Calibri" w:hAnsi="Calibri" w:cs="Calibri"/>
          <w:color w:val="000000"/>
        </w:rPr>
        <w:t xml:space="preserve">, points out, that although </w:t>
      </w:r>
      <w:r w:rsidR="00EE0C0B">
        <w:rPr>
          <w:rFonts w:ascii="Calibri" w:hAnsi="Calibri" w:cs="Calibri"/>
          <w:color w:val="000000"/>
        </w:rPr>
        <w:t>Al-Qaradawi</w:t>
      </w:r>
      <w:r w:rsidRPr="00E21C6D">
        <w:rPr>
          <w:rFonts w:ascii="Calibri" w:hAnsi="Calibri" w:cs="Calibri"/>
          <w:color w:val="000000"/>
        </w:rPr>
        <w:t xml:space="preserve"> and contemporary Islamists seek a </w:t>
      </w:r>
      <w:r w:rsidRPr="00D63C8B">
        <w:rPr>
          <w:rFonts w:ascii="Calibri" w:hAnsi="Calibri" w:cs="Calibri"/>
          <w:i/>
          <w:iCs/>
          <w:color w:val="000000"/>
        </w:rPr>
        <w:t>Shura</w:t>
      </w:r>
      <w:r w:rsidRPr="00E21C6D">
        <w:rPr>
          <w:rFonts w:ascii="Calibri" w:hAnsi="Calibri" w:cs="Calibri"/>
          <w:color w:val="000000"/>
        </w:rPr>
        <w:t>-based democracy, they</w:t>
      </w:r>
      <w:r w:rsidR="00815953">
        <w:rPr>
          <w:rFonts w:ascii="Calibri" w:hAnsi="Calibri" w:cs="Calibri"/>
          <w:color w:val="000000"/>
        </w:rPr>
        <w:t xml:space="preserve"> either</w:t>
      </w:r>
      <w:r w:rsidRPr="00E21C6D">
        <w:rPr>
          <w:rFonts w:ascii="Calibri" w:hAnsi="Calibri" w:cs="Calibri"/>
          <w:color w:val="000000"/>
        </w:rPr>
        <w:t xml:space="preserve"> fail,</w:t>
      </w:r>
      <w:r w:rsidR="00815953">
        <w:rPr>
          <w:rFonts w:ascii="Calibri" w:hAnsi="Calibri" w:cs="Calibri"/>
          <w:color w:val="000000"/>
        </w:rPr>
        <w:t xml:space="preserve"> </w:t>
      </w:r>
      <w:r w:rsidRPr="00E21C6D">
        <w:rPr>
          <w:rFonts w:ascii="Calibri" w:hAnsi="Calibri" w:cs="Calibri"/>
          <w:color w:val="000000"/>
        </w:rPr>
        <w:t xml:space="preserve">avoid, or answer with ambiguity crucial questions regarding its application, structure, and practices. What shape is the body of the </w:t>
      </w:r>
      <w:r w:rsidRPr="00D63C8B">
        <w:rPr>
          <w:rFonts w:ascii="Calibri" w:hAnsi="Calibri" w:cs="Calibri"/>
          <w:i/>
          <w:iCs/>
          <w:color w:val="000000"/>
        </w:rPr>
        <w:t>Shura</w:t>
      </w:r>
      <w:r w:rsidRPr="00E21C6D">
        <w:rPr>
          <w:rFonts w:ascii="Calibri" w:hAnsi="Calibri" w:cs="Calibri"/>
          <w:color w:val="000000"/>
        </w:rPr>
        <w:t xml:space="preserve"> to take</w:t>
      </w:r>
      <w:r w:rsidR="00AF5610">
        <w:rPr>
          <w:rFonts w:ascii="Calibri" w:hAnsi="Calibri" w:cs="Calibri"/>
          <w:color w:val="000000"/>
        </w:rPr>
        <w:t xml:space="preserve"> and</w:t>
      </w:r>
      <w:r w:rsidRPr="00E21C6D">
        <w:rPr>
          <w:rFonts w:ascii="Calibri" w:hAnsi="Calibri" w:cs="Calibri"/>
          <w:color w:val="000000"/>
        </w:rPr>
        <w:t xml:space="preserve"> is </w:t>
      </w:r>
      <w:r w:rsidR="00212F9F">
        <w:rPr>
          <w:rFonts w:ascii="Calibri" w:hAnsi="Calibri" w:cs="Calibri"/>
          <w:color w:val="000000"/>
        </w:rPr>
        <w:t xml:space="preserve">it </w:t>
      </w:r>
      <w:r w:rsidRPr="00E21C6D">
        <w:rPr>
          <w:rFonts w:ascii="Calibri" w:hAnsi="Calibri" w:cs="Calibri"/>
          <w:color w:val="000000"/>
        </w:rPr>
        <w:t>to be included in the body</w:t>
      </w:r>
      <w:r w:rsidR="00AF5610">
        <w:rPr>
          <w:rFonts w:ascii="Calibri" w:hAnsi="Calibri" w:cs="Calibri"/>
          <w:color w:val="000000"/>
        </w:rPr>
        <w:t xml:space="preserve"> (ibid)</w:t>
      </w:r>
      <w:r w:rsidRPr="00E21C6D">
        <w:rPr>
          <w:rFonts w:ascii="Calibri" w:hAnsi="Calibri" w:cs="Calibri"/>
          <w:color w:val="000000"/>
        </w:rPr>
        <w:t xml:space="preserve">? Regarding </w:t>
      </w:r>
      <w:r w:rsidR="0003728E">
        <w:rPr>
          <w:rFonts w:ascii="Calibri" w:hAnsi="Calibri" w:cs="Calibri"/>
          <w:color w:val="000000"/>
        </w:rPr>
        <w:t>political</w:t>
      </w:r>
      <w:r w:rsidRPr="00E21C6D">
        <w:rPr>
          <w:rFonts w:ascii="Calibri" w:hAnsi="Calibri" w:cs="Calibri"/>
          <w:color w:val="000000"/>
        </w:rPr>
        <w:t xml:space="preserve"> pluralit</w:t>
      </w:r>
      <w:r w:rsidR="0003728E">
        <w:rPr>
          <w:rFonts w:ascii="Calibri" w:hAnsi="Calibri" w:cs="Calibri"/>
          <w:color w:val="000000"/>
        </w:rPr>
        <w:t>ies</w:t>
      </w:r>
      <w:r w:rsidRPr="00E21C6D">
        <w:rPr>
          <w:rFonts w:ascii="Calibri" w:hAnsi="Calibri" w:cs="Calibri"/>
          <w:color w:val="000000"/>
        </w:rPr>
        <w:t xml:space="preserve">, </w:t>
      </w:r>
      <w:r w:rsidR="00EE0C0B">
        <w:rPr>
          <w:rFonts w:ascii="Calibri" w:hAnsi="Calibri" w:cs="Calibri"/>
          <w:color w:val="000000"/>
        </w:rPr>
        <w:t>Al-Qaradawi</w:t>
      </w:r>
      <w:r w:rsidRPr="00E21C6D">
        <w:rPr>
          <w:rFonts w:ascii="Calibri" w:hAnsi="Calibri" w:cs="Calibri"/>
          <w:color w:val="000000"/>
        </w:rPr>
        <w:t>,</w:t>
      </w:r>
      <w:r w:rsidR="00AF5610">
        <w:rPr>
          <w:rFonts w:ascii="Calibri" w:hAnsi="Calibri" w:cs="Calibri"/>
          <w:color w:val="000000"/>
        </w:rPr>
        <w:t xml:space="preserve"> a</w:t>
      </w:r>
      <w:r w:rsidR="0003728E">
        <w:rPr>
          <w:rFonts w:ascii="Calibri" w:hAnsi="Calibri" w:cs="Calibri"/>
          <w:color w:val="000000"/>
        </w:rPr>
        <w:t>n advocator for plurality</w:t>
      </w:r>
      <w:r w:rsidR="00AF5610">
        <w:rPr>
          <w:rFonts w:ascii="Calibri" w:hAnsi="Calibri" w:cs="Calibri"/>
          <w:color w:val="000000"/>
        </w:rPr>
        <w:t xml:space="preserve"> </w:t>
      </w:r>
      <w:r w:rsidRPr="00E21C6D">
        <w:rPr>
          <w:rFonts w:ascii="Calibri" w:hAnsi="Calibri" w:cs="Calibri"/>
          <w:color w:val="000000"/>
        </w:rPr>
        <w:t>has remained silent and has not provided a framework for distinguishing between the welcomed and unwelcomed pluralities</w:t>
      </w:r>
      <w:r w:rsidR="0003728E">
        <w:rPr>
          <w:rFonts w:ascii="Calibri" w:hAnsi="Calibri" w:cs="Calibri"/>
          <w:color w:val="000000"/>
        </w:rPr>
        <w:t xml:space="preserve"> (ibid)</w:t>
      </w:r>
      <w:r w:rsidRPr="00E21C6D">
        <w:rPr>
          <w:rFonts w:ascii="Calibri" w:hAnsi="Calibri" w:cs="Calibri"/>
          <w:color w:val="000000"/>
        </w:rPr>
        <w:t xml:space="preserve">. </w:t>
      </w:r>
      <w:r w:rsidR="0003728E">
        <w:rPr>
          <w:rFonts w:ascii="Calibri" w:hAnsi="Calibri" w:cs="Calibri"/>
          <w:color w:val="000000"/>
        </w:rPr>
        <w:t>Further clarification is required</w:t>
      </w:r>
      <w:r w:rsidR="006E73AB">
        <w:rPr>
          <w:rFonts w:ascii="Calibri" w:hAnsi="Calibri" w:cs="Calibri"/>
          <w:color w:val="000000"/>
        </w:rPr>
        <w:t xml:space="preserve"> by contemporary Islamists</w:t>
      </w:r>
      <w:r w:rsidR="0003728E">
        <w:rPr>
          <w:rFonts w:ascii="Calibri" w:hAnsi="Calibri" w:cs="Calibri"/>
          <w:color w:val="000000"/>
        </w:rPr>
        <w:t xml:space="preserve"> for </w:t>
      </w:r>
      <w:r w:rsidR="006E73AB">
        <w:rPr>
          <w:rFonts w:ascii="Calibri" w:hAnsi="Calibri" w:cs="Calibri"/>
          <w:color w:val="000000"/>
        </w:rPr>
        <w:t>the</w:t>
      </w:r>
      <w:r w:rsidR="0003728E">
        <w:rPr>
          <w:rFonts w:ascii="Calibri" w:hAnsi="Calibri" w:cs="Calibri"/>
          <w:color w:val="000000"/>
        </w:rPr>
        <w:t xml:space="preserve"> questions posed by </w:t>
      </w:r>
      <w:r w:rsidR="006E73AB">
        <w:rPr>
          <w:rFonts w:ascii="Calibri" w:hAnsi="Calibri" w:cs="Calibri"/>
          <w:color w:val="000000"/>
        </w:rPr>
        <w:t>Shavit (ibid, pp.356-357).</w:t>
      </w:r>
    </w:p>
    <w:p w14:paraId="5134A621" w14:textId="6BC77EC3" w:rsidR="00D315AB" w:rsidRDefault="003D03F1" w:rsidP="00882C74">
      <w:pPr>
        <w:spacing w:line="480" w:lineRule="auto"/>
        <w:jc w:val="both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lastRenderedPageBreak/>
        <w:t>T</w:t>
      </w:r>
      <w:r w:rsidR="00D315AB" w:rsidRPr="00E21C6D">
        <w:rPr>
          <w:rFonts w:ascii="Calibri" w:hAnsi="Calibri" w:cs="Calibri"/>
          <w:color w:val="000000"/>
        </w:rPr>
        <w:t xml:space="preserve">he moderate Islamists </w:t>
      </w:r>
      <w:r w:rsidR="00BC7144">
        <w:rPr>
          <w:rFonts w:ascii="Calibri" w:hAnsi="Calibri" w:cs="Calibri"/>
          <w:color w:val="000000"/>
        </w:rPr>
        <w:t>view</w:t>
      </w:r>
      <w:r w:rsidR="00D315AB" w:rsidRPr="00E21C6D">
        <w:rPr>
          <w:rFonts w:ascii="Calibri" w:hAnsi="Calibri" w:cs="Calibri"/>
          <w:color w:val="000000"/>
        </w:rPr>
        <w:t xml:space="preserve"> </w:t>
      </w:r>
      <w:r w:rsidR="00D315AB" w:rsidRPr="00D63C8B">
        <w:rPr>
          <w:rFonts w:ascii="Calibri" w:hAnsi="Calibri" w:cs="Calibri"/>
          <w:i/>
          <w:iCs/>
          <w:color w:val="000000"/>
        </w:rPr>
        <w:t>Shura</w:t>
      </w:r>
      <w:r w:rsidR="00D315AB" w:rsidRPr="00E21C6D">
        <w:rPr>
          <w:rFonts w:ascii="Calibri" w:hAnsi="Calibri" w:cs="Calibri"/>
          <w:color w:val="000000"/>
        </w:rPr>
        <w:t xml:space="preserve"> </w:t>
      </w:r>
      <w:r>
        <w:rPr>
          <w:rFonts w:ascii="Calibri" w:hAnsi="Calibri" w:cs="Calibri"/>
          <w:color w:val="000000"/>
        </w:rPr>
        <w:t>as</w:t>
      </w:r>
      <w:r w:rsidR="00D315AB" w:rsidRPr="00E21C6D">
        <w:rPr>
          <w:rFonts w:ascii="Calibri" w:hAnsi="Calibri" w:cs="Calibri"/>
          <w:color w:val="000000"/>
        </w:rPr>
        <w:t xml:space="preserve"> compatible with democracy,</w:t>
      </w:r>
      <w:r>
        <w:rPr>
          <w:rFonts w:ascii="Calibri" w:hAnsi="Calibri" w:cs="Calibri"/>
          <w:color w:val="000000"/>
        </w:rPr>
        <w:t xml:space="preserve"> however,</w:t>
      </w:r>
      <w:r w:rsidR="00D315AB" w:rsidRPr="00E21C6D">
        <w:rPr>
          <w:rFonts w:ascii="Calibri" w:hAnsi="Calibri" w:cs="Calibri"/>
          <w:color w:val="000000"/>
        </w:rPr>
        <w:t xml:space="preserve"> others reject this notion. </w:t>
      </w:r>
      <w:r w:rsidR="00507D15">
        <w:rPr>
          <w:rFonts w:ascii="Calibri" w:hAnsi="Calibri" w:cs="Calibri"/>
          <w:color w:val="000000"/>
        </w:rPr>
        <w:t>Sayyid Qutb, for example, rejected any compatibility between the two</w:t>
      </w:r>
      <w:r w:rsidR="006E73AB">
        <w:rPr>
          <w:rFonts w:ascii="Calibri" w:hAnsi="Calibri" w:cs="Calibri"/>
          <w:color w:val="000000"/>
        </w:rPr>
        <w:t xml:space="preserve"> (ibid, p. 351)</w:t>
      </w:r>
      <w:r w:rsidR="00507D15">
        <w:rPr>
          <w:rFonts w:ascii="Calibri" w:hAnsi="Calibri" w:cs="Calibri"/>
          <w:color w:val="000000"/>
        </w:rPr>
        <w:t xml:space="preserve">. </w:t>
      </w:r>
      <w:r w:rsidR="00C3008C" w:rsidRPr="00D63C8B">
        <w:rPr>
          <w:rFonts w:ascii="Calibri" w:hAnsi="Calibri" w:cs="Calibri"/>
          <w:color w:val="000000"/>
        </w:rPr>
        <w:t xml:space="preserve">Commenting </w:t>
      </w:r>
      <w:r w:rsidR="00AB4CE7" w:rsidRPr="00D63C8B">
        <w:rPr>
          <w:rFonts w:ascii="Calibri" w:hAnsi="Calibri" w:cs="Calibri"/>
          <w:color w:val="000000"/>
        </w:rPr>
        <w:t>on</w:t>
      </w:r>
      <w:r w:rsidR="00C3008C" w:rsidRPr="00D63C8B">
        <w:rPr>
          <w:rFonts w:ascii="Calibri" w:hAnsi="Calibri" w:cs="Calibri"/>
          <w:color w:val="000000"/>
        </w:rPr>
        <w:t xml:space="preserve"> the Quranic verses above</w:t>
      </w:r>
      <w:r w:rsidR="00D315AB" w:rsidRPr="00D63C8B">
        <w:rPr>
          <w:rFonts w:ascii="Calibri" w:hAnsi="Calibri" w:cs="Calibri"/>
          <w:color w:val="000000"/>
        </w:rPr>
        <w:t>, Taha</w:t>
      </w:r>
      <w:r w:rsidR="003B2410">
        <w:rPr>
          <w:rFonts w:ascii="Calibri" w:hAnsi="Calibri" w:cs="Calibri"/>
          <w:color w:val="000000"/>
        </w:rPr>
        <w:t>, a non-Islamist scholar</w:t>
      </w:r>
      <w:r w:rsidR="00D63C8B" w:rsidRPr="00D63C8B">
        <w:rPr>
          <w:rFonts w:ascii="Calibri" w:hAnsi="Calibri" w:cs="Calibri"/>
          <w:color w:val="000000"/>
        </w:rPr>
        <w:t xml:space="preserve"> (</w:t>
      </w:r>
      <w:r w:rsidR="00126978">
        <w:rPr>
          <w:rFonts w:ascii="Calibri" w:hAnsi="Calibri" w:cs="Calibri"/>
          <w:color w:val="000000"/>
        </w:rPr>
        <w:t>Taha &amp; An-</w:t>
      </w:r>
      <w:proofErr w:type="spellStart"/>
      <w:r w:rsidR="00126978">
        <w:rPr>
          <w:rFonts w:ascii="Calibri" w:hAnsi="Calibri" w:cs="Calibri"/>
          <w:color w:val="000000"/>
        </w:rPr>
        <w:t>Naim</w:t>
      </w:r>
      <w:proofErr w:type="spellEnd"/>
      <w:r w:rsidR="00126978">
        <w:rPr>
          <w:rFonts w:ascii="Calibri" w:hAnsi="Calibri" w:cs="Calibri"/>
          <w:color w:val="000000"/>
        </w:rPr>
        <w:t>, 1987, p. 160</w:t>
      </w:r>
      <w:r w:rsidR="00D63C8B" w:rsidRPr="00D63C8B">
        <w:rPr>
          <w:rFonts w:ascii="Calibri" w:hAnsi="Calibri" w:cs="Calibri"/>
          <w:color w:val="000000"/>
        </w:rPr>
        <w:t>)</w:t>
      </w:r>
      <w:r w:rsidR="00D315AB" w:rsidRPr="00D63C8B">
        <w:rPr>
          <w:rFonts w:ascii="Calibri" w:hAnsi="Calibri" w:cs="Calibri"/>
          <w:color w:val="000000"/>
        </w:rPr>
        <w:t xml:space="preserve"> believes that </w:t>
      </w:r>
      <w:r w:rsidR="00225924" w:rsidRPr="00D63C8B">
        <w:rPr>
          <w:rFonts w:ascii="Calibri" w:hAnsi="Calibri" w:cs="Calibri"/>
          <w:color w:val="000000"/>
        </w:rPr>
        <w:t>these</w:t>
      </w:r>
      <w:r w:rsidR="00882C74">
        <w:rPr>
          <w:rFonts w:ascii="Calibri" w:hAnsi="Calibri" w:cs="Calibri"/>
          <w:color w:val="000000"/>
        </w:rPr>
        <w:t xml:space="preserve"> verses</w:t>
      </w:r>
      <w:r w:rsidR="00D315AB" w:rsidRPr="00D63C8B">
        <w:rPr>
          <w:rFonts w:ascii="Calibri" w:hAnsi="Calibri" w:cs="Calibri"/>
          <w:color w:val="000000"/>
        </w:rPr>
        <w:t xml:space="preserve"> </w:t>
      </w:r>
      <w:r w:rsidR="00882C74">
        <w:rPr>
          <w:rFonts w:ascii="Calibri" w:hAnsi="Calibri" w:cs="Calibri"/>
          <w:color w:val="000000"/>
        </w:rPr>
        <w:t>are not about</w:t>
      </w:r>
      <w:r w:rsidR="00D315AB" w:rsidRPr="00D63C8B">
        <w:rPr>
          <w:rFonts w:ascii="Calibri" w:hAnsi="Calibri" w:cs="Calibri"/>
          <w:color w:val="000000"/>
        </w:rPr>
        <w:t xml:space="preserve"> democracy.</w:t>
      </w:r>
      <w:r w:rsidR="00D315AB">
        <w:rPr>
          <w:rFonts w:ascii="Calibri" w:hAnsi="Calibri" w:cs="Calibri"/>
          <w:color w:val="000000"/>
        </w:rPr>
        <w:t xml:space="preserve"> </w:t>
      </w:r>
      <w:r w:rsidR="00225924">
        <w:rPr>
          <w:rFonts w:ascii="Calibri" w:hAnsi="Calibri" w:cs="Calibri"/>
          <w:color w:val="000000"/>
        </w:rPr>
        <w:t>T</w:t>
      </w:r>
      <w:r w:rsidR="00D315AB">
        <w:rPr>
          <w:rFonts w:ascii="Calibri" w:hAnsi="Calibri" w:cs="Calibri"/>
          <w:color w:val="000000"/>
        </w:rPr>
        <w:t xml:space="preserve">he process of </w:t>
      </w:r>
      <w:r w:rsidR="00D315AB" w:rsidRPr="00D63C8B">
        <w:rPr>
          <w:rFonts w:ascii="Calibri" w:hAnsi="Calibri" w:cs="Calibri"/>
          <w:i/>
          <w:iCs/>
          <w:color w:val="000000"/>
        </w:rPr>
        <w:t>Shura</w:t>
      </w:r>
      <w:r w:rsidR="00D315AB">
        <w:rPr>
          <w:rFonts w:ascii="Calibri" w:hAnsi="Calibri" w:cs="Calibri"/>
          <w:color w:val="000000"/>
        </w:rPr>
        <w:t xml:space="preserve"> was a precursor to paving the way towards democracy</w:t>
      </w:r>
      <w:r w:rsidR="00D63C8B">
        <w:rPr>
          <w:rFonts w:ascii="Calibri" w:hAnsi="Calibri" w:cs="Calibri"/>
          <w:color w:val="000000"/>
        </w:rPr>
        <w:t>, a</w:t>
      </w:r>
      <w:r w:rsidR="00D315AB">
        <w:rPr>
          <w:rFonts w:ascii="Calibri" w:hAnsi="Calibri" w:cs="Calibri"/>
          <w:color w:val="000000"/>
        </w:rPr>
        <w:t xml:space="preserve"> political state that the Prophet was preparing the </w:t>
      </w:r>
      <w:r w:rsidR="00D315AB" w:rsidRPr="00D63C8B">
        <w:rPr>
          <w:rFonts w:ascii="Calibri" w:hAnsi="Calibri" w:cs="Calibri"/>
          <w:i/>
          <w:iCs/>
          <w:color w:val="000000"/>
        </w:rPr>
        <w:t>al-</w:t>
      </w:r>
      <w:proofErr w:type="spellStart"/>
      <w:r w:rsidR="00D315AB" w:rsidRPr="00D63C8B">
        <w:rPr>
          <w:rFonts w:ascii="Calibri" w:hAnsi="Calibri" w:cs="Calibri"/>
          <w:i/>
          <w:iCs/>
          <w:color w:val="000000"/>
        </w:rPr>
        <w:t>mu’minin</w:t>
      </w:r>
      <w:proofErr w:type="spellEnd"/>
      <w:r w:rsidR="00D63C8B">
        <w:rPr>
          <w:rFonts w:ascii="Calibri" w:hAnsi="Calibri" w:cs="Calibri"/>
          <w:i/>
          <w:iCs/>
          <w:color w:val="000000"/>
        </w:rPr>
        <w:t xml:space="preserve"> </w:t>
      </w:r>
      <w:r w:rsidR="00D63C8B">
        <w:rPr>
          <w:rFonts w:ascii="Calibri" w:hAnsi="Calibri" w:cs="Calibri"/>
          <w:color w:val="000000"/>
        </w:rPr>
        <w:t>for (ibid).</w:t>
      </w:r>
      <w:r w:rsidR="00D315AB">
        <w:rPr>
          <w:rFonts w:ascii="Calibri" w:hAnsi="Calibri" w:cs="Calibri"/>
          <w:color w:val="000000"/>
        </w:rPr>
        <w:t xml:space="preserve"> </w:t>
      </w:r>
      <w:r w:rsidR="003B2410">
        <w:rPr>
          <w:rFonts w:ascii="Calibri" w:hAnsi="Calibri" w:cs="Calibri"/>
          <w:color w:val="000000"/>
        </w:rPr>
        <w:t xml:space="preserve">For Taha, democracy is the original Quranic percept embedded in the Meccan verse Q.88:21-22, not </w:t>
      </w:r>
      <w:r w:rsidR="003B2410">
        <w:rPr>
          <w:rFonts w:ascii="Calibri" w:hAnsi="Calibri" w:cs="Calibri"/>
          <w:i/>
          <w:iCs/>
          <w:color w:val="000000"/>
        </w:rPr>
        <w:t>shura</w:t>
      </w:r>
      <w:r w:rsidR="00D63C8B">
        <w:rPr>
          <w:rFonts w:ascii="Calibri" w:hAnsi="Calibri" w:cs="Calibri"/>
          <w:color w:val="000000"/>
        </w:rPr>
        <w:t xml:space="preserve"> (ibid, p.161)</w:t>
      </w:r>
      <w:r w:rsidR="00D315AB">
        <w:rPr>
          <w:rFonts w:ascii="Calibri" w:hAnsi="Calibri" w:cs="Calibri"/>
          <w:color w:val="000000"/>
        </w:rPr>
        <w:t>.</w:t>
      </w:r>
    </w:p>
    <w:p w14:paraId="6AA4D411" w14:textId="77777777" w:rsidR="00E13AC3" w:rsidRDefault="00E13AC3" w:rsidP="00E13AC3"/>
    <w:p w14:paraId="49479E02" w14:textId="39BAD85F" w:rsidR="00E13AC3" w:rsidRDefault="00E13AC3" w:rsidP="00E13AC3">
      <w:pPr>
        <w:pStyle w:val="Heading1"/>
      </w:pPr>
      <w:r>
        <w:t>Conclusion</w:t>
      </w:r>
    </w:p>
    <w:p w14:paraId="483D1116" w14:textId="77777777" w:rsidR="00A957BB" w:rsidRDefault="00A957BB" w:rsidP="00A957BB">
      <w:pPr>
        <w:spacing w:line="480" w:lineRule="auto"/>
        <w:jc w:val="both"/>
        <w:divId w:val="1475560107"/>
        <w:rPr>
          <w:rFonts w:ascii="Calibri" w:hAnsi="Calibri" w:cs="Calibri"/>
          <w:color w:val="000000"/>
        </w:rPr>
      </w:pPr>
    </w:p>
    <w:p w14:paraId="61672D12" w14:textId="27C537B2" w:rsidR="00271259" w:rsidRDefault="00B9383B" w:rsidP="00B9383B">
      <w:pPr>
        <w:spacing w:line="480" w:lineRule="auto"/>
        <w:jc w:val="both"/>
        <w:divId w:val="1475560107"/>
      </w:pPr>
      <w:r w:rsidRPr="00271259">
        <w:t>Al-Qaradawi</w:t>
      </w:r>
      <w:r w:rsidR="00503FAD">
        <w:t xml:space="preserve"> appears to have</w:t>
      </w:r>
      <w:r w:rsidRPr="00271259">
        <w:t xml:space="preserve"> misread </w:t>
      </w:r>
      <w:r w:rsidR="00212F9F">
        <w:t>historical</w:t>
      </w:r>
      <w:r w:rsidRPr="00271259">
        <w:t xml:space="preserve"> events when he</w:t>
      </w:r>
      <w:r w:rsidR="003B2410">
        <w:t xml:space="preserve"> projects his understanding </w:t>
      </w:r>
      <w:r w:rsidR="00882C74">
        <w:t>onto</w:t>
      </w:r>
      <w:r w:rsidR="003B2410">
        <w:t xml:space="preserve"> early Islamic </w:t>
      </w:r>
      <w:r w:rsidRPr="00271259">
        <w:t>history. He</w:t>
      </w:r>
      <w:r w:rsidR="00494257" w:rsidRPr="00271259">
        <w:t xml:space="preserve"> has taken </w:t>
      </w:r>
      <w:r w:rsidR="00271259" w:rsidRPr="00271259">
        <w:t>an</w:t>
      </w:r>
      <w:r w:rsidRPr="00271259">
        <w:t xml:space="preserve"> Islamist ideological </w:t>
      </w:r>
      <w:r w:rsidR="00494257" w:rsidRPr="00271259">
        <w:t>approach</w:t>
      </w:r>
      <w:r w:rsidRPr="00271259">
        <w:t xml:space="preserve"> regarding the obligatory nature of seeking and applying the outcome of </w:t>
      </w:r>
      <w:r w:rsidRPr="00271259">
        <w:rPr>
          <w:i/>
          <w:iCs/>
        </w:rPr>
        <w:t>Shura</w:t>
      </w:r>
      <w:r w:rsidR="00494257" w:rsidRPr="00271259">
        <w:t xml:space="preserve">. Additionally, there remains much vagueness </w:t>
      </w:r>
      <w:r w:rsidR="003D03F1" w:rsidRPr="00271259">
        <w:t xml:space="preserve">about the application of </w:t>
      </w:r>
      <w:r w:rsidR="003D03F1" w:rsidRPr="00271259">
        <w:rPr>
          <w:i/>
          <w:iCs/>
        </w:rPr>
        <w:t>Shura</w:t>
      </w:r>
      <w:r w:rsidR="003D03F1" w:rsidRPr="00271259">
        <w:t xml:space="preserve"> although</w:t>
      </w:r>
      <w:r w:rsidR="00494257" w:rsidRPr="00271259">
        <w:t xml:space="preserve"> it may be argued </w:t>
      </w:r>
      <w:r w:rsidR="00212F9F">
        <w:t>he intended</w:t>
      </w:r>
      <w:r w:rsidR="00494257" w:rsidRPr="00271259">
        <w:t xml:space="preserve"> to keep the </w:t>
      </w:r>
      <w:r w:rsidR="00271259" w:rsidRPr="00271259">
        <w:rPr>
          <w:i/>
          <w:iCs/>
        </w:rPr>
        <w:t>fatwa</w:t>
      </w:r>
      <w:r w:rsidR="00494257" w:rsidRPr="00271259">
        <w:t xml:space="preserve"> concise.</w:t>
      </w:r>
      <w:r w:rsidR="00494257">
        <w:t xml:space="preserve"> </w:t>
      </w:r>
    </w:p>
    <w:p w14:paraId="60140FE1" w14:textId="6BD361BA" w:rsidR="00126978" w:rsidRDefault="00271259" w:rsidP="003B2410">
      <w:pPr>
        <w:spacing w:line="480" w:lineRule="auto"/>
        <w:jc w:val="both"/>
        <w:divId w:val="1475560107"/>
      </w:pPr>
      <w:r>
        <w:t xml:space="preserve">According to </w:t>
      </w:r>
      <w:r w:rsidR="00494257">
        <w:t xml:space="preserve">Shavit </w:t>
      </w:r>
      <w:r>
        <w:rPr>
          <w:rFonts w:ascii="Calibri" w:hAnsi="Calibri" w:cs="Calibri"/>
          <w:color w:val="000000"/>
        </w:rPr>
        <w:t>(2010, p.356)</w:t>
      </w:r>
      <w:r w:rsidR="00212F9F">
        <w:rPr>
          <w:rFonts w:ascii="Calibri" w:hAnsi="Calibri" w:cs="Calibri"/>
          <w:color w:val="000000"/>
        </w:rPr>
        <w:t>,</w:t>
      </w:r>
      <w:r>
        <w:t xml:space="preserve"> there remains much ambiguity amongst the Islamists in the application of </w:t>
      </w:r>
      <w:r>
        <w:rPr>
          <w:i/>
          <w:iCs/>
        </w:rPr>
        <w:t xml:space="preserve">Shura. </w:t>
      </w:r>
      <w:r w:rsidR="003D03F1" w:rsidRPr="00E21C6D">
        <w:rPr>
          <w:rFonts w:ascii="Calibri" w:hAnsi="Calibri" w:cs="Calibri"/>
          <w:color w:val="000000"/>
        </w:rPr>
        <w:t>Though</w:t>
      </w:r>
      <w:r w:rsidR="007262F0" w:rsidRPr="00E21C6D">
        <w:rPr>
          <w:rFonts w:ascii="Calibri" w:hAnsi="Calibri" w:cs="Calibri"/>
          <w:color w:val="000000"/>
        </w:rPr>
        <w:t xml:space="preserve"> Shavit has posited a few possible reasons for this</w:t>
      </w:r>
      <w:r>
        <w:rPr>
          <w:rFonts w:ascii="Calibri" w:hAnsi="Calibri" w:cs="Calibri"/>
          <w:color w:val="000000"/>
        </w:rPr>
        <w:t xml:space="preserve"> ambiguity</w:t>
      </w:r>
      <w:r w:rsidR="007262F0" w:rsidRPr="00E21C6D">
        <w:rPr>
          <w:rFonts w:ascii="Calibri" w:hAnsi="Calibri" w:cs="Calibri"/>
          <w:color w:val="000000"/>
        </w:rPr>
        <w:t xml:space="preserve">, one cannot help but think, </w:t>
      </w:r>
      <w:r w:rsidRPr="00271259">
        <w:rPr>
          <w:rFonts w:ascii="Calibri" w:hAnsi="Calibri" w:cs="Calibri"/>
          <w:color w:val="000000"/>
        </w:rPr>
        <w:t xml:space="preserve">have the </w:t>
      </w:r>
      <w:r w:rsidR="00212F9F">
        <w:rPr>
          <w:rFonts w:ascii="Calibri" w:hAnsi="Calibri" w:cs="Calibri"/>
          <w:color w:val="000000"/>
        </w:rPr>
        <w:t>Islamists</w:t>
      </w:r>
      <w:r w:rsidRPr="00271259">
        <w:rPr>
          <w:rFonts w:ascii="Calibri" w:hAnsi="Calibri" w:cs="Calibri"/>
          <w:color w:val="000000"/>
        </w:rPr>
        <w:t xml:space="preserve"> done this intentionally to overlook potential challenges to the application of </w:t>
      </w:r>
      <w:r w:rsidRPr="00271259">
        <w:rPr>
          <w:rFonts w:ascii="Calibri" w:hAnsi="Calibri" w:cs="Calibri"/>
          <w:i/>
          <w:iCs/>
          <w:color w:val="000000"/>
        </w:rPr>
        <w:t>Shura</w:t>
      </w:r>
      <w:r w:rsidR="007262F0" w:rsidRPr="00271259">
        <w:rPr>
          <w:rFonts w:ascii="Calibri" w:hAnsi="Calibri" w:cs="Calibri"/>
          <w:color w:val="000000"/>
        </w:rPr>
        <w:t>?</w:t>
      </w:r>
      <w:r w:rsidR="007262F0">
        <w:t xml:space="preserve"> </w:t>
      </w:r>
      <w:r w:rsidR="00EE0C0B">
        <w:t>Al-Qaradawi</w:t>
      </w:r>
      <w:r w:rsidR="007262F0">
        <w:t>’s politically influenced biases are evident in his readings and selection of the texts</w:t>
      </w:r>
      <w:r w:rsidR="003D03F1">
        <w:t xml:space="preserve"> to fit a specific narrative</w:t>
      </w:r>
      <w:r w:rsidR="001F0A56">
        <w:t xml:space="preserve"> as no </w:t>
      </w:r>
      <w:r w:rsidR="00BC7144">
        <w:t>alternative</w:t>
      </w:r>
      <w:r w:rsidR="001F0A56">
        <w:t xml:space="preserve"> understandings are </w:t>
      </w:r>
      <w:r w:rsidR="00BC7144">
        <w:t>entertained</w:t>
      </w:r>
      <w:r w:rsidR="007262F0">
        <w:t>.</w:t>
      </w:r>
      <w:r w:rsidR="00126978">
        <w:t xml:space="preserve">  </w:t>
      </w:r>
    </w:p>
    <w:p w14:paraId="072BA2D4" w14:textId="77777777" w:rsidR="00882C74" w:rsidRDefault="00882C74" w:rsidP="003B2410">
      <w:pPr>
        <w:spacing w:line="480" w:lineRule="auto"/>
        <w:jc w:val="both"/>
        <w:divId w:val="1475560107"/>
      </w:pPr>
    </w:p>
    <w:p w14:paraId="47D435E3" w14:textId="77777777" w:rsidR="00882C74" w:rsidRDefault="00882C74" w:rsidP="003B2410">
      <w:pPr>
        <w:spacing w:line="480" w:lineRule="auto"/>
        <w:jc w:val="both"/>
        <w:divId w:val="1475560107"/>
      </w:pPr>
    </w:p>
    <w:p w14:paraId="387B58D3" w14:textId="77777777" w:rsidR="00882C74" w:rsidRPr="00D63C8B" w:rsidRDefault="00882C74" w:rsidP="003B2410">
      <w:pPr>
        <w:spacing w:line="480" w:lineRule="auto"/>
        <w:jc w:val="both"/>
        <w:divId w:val="1475560107"/>
      </w:pPr>
    </w:p>
    <w:sdt>
      <w:sdtPr>
        <w:rPr>
          <w:rFonts w:asciiTheme="majorHAnsi" w:eastAsiaTheme="majorEastAsia" w:hAnsiTheme="majorHAnsi" w:cstheme="majorBidi"/>
          <w:color w:val="2F5496" w:themeColor="accent1" w:themeShade="BF"/>
          <w:kern w:val="2"/>
          <w:sz w:val="32"/>
          <w:szCs w:val="32"/>
          <w:lang w:eastAsia="en-US"/>
          <w14:ligatures w14:val="standardContextual"/>
        </w:rPr>
        <w:tag w:val="rw.bWnCOutputStyleIdiblio"/>
        <w:id w:val="962458349"/>
        <w:placeholder>
          <w:docPart w:val="2703453AEA373047B33205960078D1BC"/>
        </w:placeholder>
      </w:sdtPr>
      <w:sdtContent>
        <w:p w14:paraId="073E5FB3" w14:textId="77777777" w:rsidR="00A3497C" w:rsidRDefault="00A3497C">
          <w:pPr>
            <w:pStyle w:val="NormalWeb"/>
            <w:spacing w:line="480" w:lineRule="auto"/>
            <w:jc w:val="center"/>
            <w:divId w:val="2006084799"/>
            <w:rPr>
              <w:rFonts w:ascii="Calibri" w:hAnsi="Calibri" w:cs="Calibri"/>
              <w:color w:val="000000"/>
            </w:rPr>
          </w:pPr>
          <w:r>
            <w:rPr>
              <w:rFonts w:ascii="Calibri" w:hAnsi="Calibri" w:cs="Calibri"/>
              <w:color w:val="000000"/>
            </w:rPr>
            <w:t>References</w:t>
          </w:r>
        </w:p>
        <w:p w14:paraId="7EEA138A" w14:textId="77777777" w:rsidR="00A3497C" w:rsidRDefault="00A3497C">
          <w:pPr>
            <w:pStyle w:val="NormalWeb"/>
            <w:spacing w:line="480" w:lineRule="auto"/>
            <w:ind w:left="450" w:hanging="450"/>
            <w:divId w:val="2006084799"/>
            <w:rPr>
              <w:rFonts w:ascii="Calibri" w:hAnsi="Calibri" w:cs="Calibri"/>
              <w:color w:val="000000"/>
            </w:rPr>
          </w:pPr>
          <w:r>
            <w:rPr>
              <w:rFonts w:ascii="Calibri" w:hAnsi="Calibri" w:cs="Calibri"/>
              <w:color w:val="000000"/>
            </w:rPr>
            <w:t xml:space="preserve">Abou El </w:t>
          </w:r>
          <w:proofErr w:type="spellStart"/>
          <w:r>
            <w:rPr>
              <w:rFonts w:ascii="Calibri" w:hAnsi="Calibri" w:cs="Calibri"/>
              <w:color w:val="000000"/>
            </w:rPr>
            <w:t>Fadl</w:t>
          </w:r>
          <w:proofErr w:type="spellEnd"/>
          <w:r>
            <w:rPr>
              <w:rFonts w:ascii="Calibri" w:hAnsi="Calibri" w:cs="Calibri"/>
              <w:color w:val="000000"/>
            </w:rPr>
            <w:t xml:space="preserve">, K. (2004). </w:t>
          </w:r>
          <w:r>
            <w:rPr>
              <w:rFonts w:ascii="Calibri" w:hAnsi="Calibri" w:cs="Calibri"/>
              <w:i/>
              <w:iCs/>
              <w:color w:val="000000"/>
            </w:rPr>
            <w:t>Islam and the Challenge of Democracy: A" Boston Review" Book</w:t>
          </w:r>
          <w:r>
            <w:rPr>
              <w:rFonts w:ascii="Calibri" w:hAnsi="Calibri" w:cs="Calibri"/>
              <w:color w:val="000000"/>
            </w:rPr>
            <w:t xml:space="preserve">. Princeton University Press. </w:t>
          </w:r>
        </w:p>
        <w:p w14:paraId="74FC9A34" w14:textId="00CBF7E1" w:rsidR="00A3497C" w:rsidRDefault="00A3497C">
          <w:pPr>
            <w:pStyle w:val="NormalWeb"/>
            <w:spacing w:line="480" w:lineRule="auto"/>
            <w:ind w:left="450" w:hanging="450"/>
            <w:divId w:val="2006084799"/>
            <w:rPr>
              <w:rFonts w:ascii="Calibri" w:hAnsi="Calibri" w:cs="Calibri"/>
              <w:color w:val="000000"/>
            </w:rPr>
          </w:pPr>
          <w:r>
            <w:rPr>
              <w:rFonts w:ascii="Calibri" w:hAnsi="Calibri" w:cs="Calibri"/>
              <w:color w:val="000000"/>
            </w:rPr>
            <w:t xml:space="preserve">Ashour, O. (2005). </w:t>
          </w:r>
          <w:r w:rsidR="00EA440C">
            <w:rPr>
              <w:rFonts w:ascii="Calibri" w:hAnsi="Calibri" w:cs="Calibri"/>
              <w:color w:val="000000"/>
            </w:rPr>
            <w:t>‘</w:t>
          </w:r>
          <w:r>
            <w:rPr>
              <w:rFonts w:ascii="Calibri" w:hAnsi="Calibri" w:cs="Calibri"/>
              <w:color w:val="000000"/>
            </w:rPr>
            <w:t>Democratic Islam? Assessing the Bases of Democracy in Islamic Political Thought.</w:t>
          </w:r>
          <w:r w:rsidR="00EA440C">
            <w:rPr>
              <w:rFonts w:ascii="Calibri" w:hAnsi="Calibri" w:cs="Calibri"/>
              <w:color w:val="000000"/>
            </w:rPr>
            <w:t>’</w:t>
          </w:r>
          <w:r>
            <w:rPr>
              <w:rFonts w:ascii="Calibri" w:hAnsi="Calibri" w:cs="Calibri"/>
              <w:i/>
              <w:iCs/>
              <w:color w:val="000000"/>
            </w:rPr>
            <w:t xml:space="preserve"> McGill Journal of Middle East Studies, 9</w:t>
          </w:r>
          <w:r>
            <w:rPr>
              <w:rFonts w:ascii="Calibri" w:hAnsi="Calibri" w:cs="Calibri"/>
              <w:color w:val="000000"/>
            </w:rPr>
            <w:t xml:space="preserve">(1), 7-30. </w:t>
          </w:r>
        </w:p>
        <w:p w14:paraId="19B4AD83" w14:textId="1728CC55" w:rsidR="00A3497C" w:rsidRDefault="00A3497C">
          <w:pPr>
            <w:pStyle w:val="NormalWeb"/>
            <w:spacing w:line="480" w:lineRule="auto"/>
            <w:ind w:left="450" w:hanging="450"/>
            <w:divId w:val="2006084799"/>
            <w:rPr>
              <w:rFonts w:ascii="Calibri" w:hAnsi="Calibri" w:cs="Calibri"/>
              <w:color w:val="000000"/>
            </w:rPr>
          </w:pPr>
          <w:proofErr w:type="spellStart"/>
          <w:r>
            <w:rPr>
              <w:rFonts w:ascii="Calibri" w:hAnsi="Calibri" w:cs="Calibri"/>
              <w:color w:val="000000"/>
            </w:rPr>
            <w:t>Benhenda</w:t>
          </w:r>
          <w:proofErr w:type="spellEnd"/>
          <w:r>
            <w:rPr>
              <w:rFonts w:ascii="Calibri" w:hAnsi="Calibri" w:cs="Calibri"/>
              <w:color w:val="000000"/>
            </w:rPr>
            <w:t xml:space="preserve">, M. (2011). </w:t>
          </w:r>
          <w:r w:rsidR="00EA440C">
            <w:rPr>
              <w:rFonts w:ascii="Calibri" w:hAnsi="Calibri" w:cs="Calibri"/>
              <w:color w:val="000000"/>
            </w:rPr>
            <w:t>‘</w:t>
          </w:r>
          <w:r>
            <w:rPr>
              <w:rFonts w:ascii="Calibri" w:hAnsi="Calibri" w:cs="Calibri"/>
              <w:color w:val="000000"/>
            </w:rPr>
            <w:t>Liberal democracy and political Islam: The search for common ground.</w:t>
          </w:r>
          <w:r w:rsidR="00EA440C">
            <w:rPr>
              <w:rFonts w:ascii="Calibri" w:hAnsi="Calibri" w:cs="Calibri"/>
              <w:color w:val="000000"/>
            </w:rPr>
            <w:t>’</w:t>
          </w:r>
          <w:r>
            <w:rPr>
              <w:rFonts w:ascii="Calibri" w:hAnsi="Calibri" w:cs="Calibri"/>
              <w:i/>
              <w:iCs/>
              <w:color w:val="000000"/>
            </w:rPr>
            <w:t xml:space="preserve"> Politics, Philosophy &amp;amp; Economics, 10</w:t>
          </w:r>
          <w:r>
            <w:rPr>
              <w:rFonts w:ascii="Calibri" w:hAnsi="Calibri" w:cs="Calibri"/>
              <w:color w:val="000000"/>
            </w:rPr>
            <w:t xml:space="preserve">(1), 88-115. </w:t>
          </w:r>
        </w:p>
        <w:p w14:paraId="43712E5E" w14:textId="5BDC49FD" w:rsidR="00A3497C" w:rsidRDefault="00A3497C" w:rsidP="003B2410">
          <w:pPr>
            <w:pStyle w:val="NormalWeb"/>
            <w:spacing w:line="480" w:lineRule="auto"/>
            <w:ind w:left="450" w:hanging="450"/>
            <w:divId w:val="2006084799"/>
            <w:rPr>
              <w:rFonts w:ascii="Calibri" w:hAnsi="Calibri" w:cs="Calibri"/>
              <w:color w:val="000000"/>
            </w:rPr>
          </w:pPr>
          <w:r>
            <w:rPr>
              <w:rFonts w:ascii="Calibri" w:hAnsi="Calibri" w:cs="Calibri"/>
              <w:color w:val="000000"/>
            </w:rPr>
            <w:t xml:space="preserve">Shavit, U. (2010). </w:t>
          </w:r>
          <w:r w:rsidR="00EA440C">
            <w:rPr>
              <w:rFonts w:ascii="Calibri" w:hAnsi="Calibri" w:cs="Calibri"/>
              <w:color w:val="000000"/>
            </w:rPr>
            <w:t>‘</w:t>
          </w:r>
          <w:r>
            <w:rPr>
              <w:rFonts w:ascii="Calibri" w:hAnsi="Calibri" w:cs="Calibri"/>
              <w:color w:val="000000"/>
            </w:rPr>
            <w:t>Is Shura a Muslim Form of Democracy? Roots and Systemization of a Polemic.</w:t>
          </w:r>
          <w:r w:rsidR="00EA440C">
            <w:rPr>
              <w:rFonts w:ascii="Calibri" w:hAnsi="Calibri" w:cs="Calibri"/>
              <w:color w:val="000000"/>
            </w:rPr>
            <w:t>’</w:t>
          </w:r>
          <w:r>
            <w:rPr>
              <w:rFonts w:ascii="Calibri" w:hAnsi="Calibri" w:cs="Calibri"/>
              <w:i/>
              <w:iCs/>
              <w:color w:val="000000"/>
            </w:rPr>
            <w:t xml:space="preserve"> Middle Eastern Studies, 46</w:t>
          </w:r>
          <w:r>
            <w:rPr>
              <w:rFonts w:ascii="Calibri" w:hAnsi="Calibri" w:cs="Calibri"/>
              <w:color w:val="000000"/>
            </w:rPr>
            <w:t xml:space="preserve">(3), 349-374. </w:t>
          </w:r>
        </w:p>
        <w:p w14:paraId="1ECC3EEF" w14:textId="66321CD2" w:rsidR="00126978" w:rsidRDefault="00126978" w:rsidP="00126978">
          <w:pPr>
            <w:pStyle w:val="NormalWeb"/>
            <w:spacing w:line="480" w:lineRule="auto"/>
            <w:ind w:left="450" w:hanging="450"/>
            <w:divId w:val="2006084799"/>
            <w:rPr>
              <w:rFonts w:ascii="Calibri" w:hAnsi="Calibri" w:cs="Calibri"/>
              <w:color w:val="000000"/>
            </w:rPr>
          </w:pPr>
          <w:r>
            <w:rPr>
              <w:rFonts w:ascii="Calibri" w:hAnsi="Calibri" w:cs="Calibri"/>
              <w:color w:val="000000"/>
            </w:rPr>
            <w:t>Taha, M. M., &amp; An-</w:t>
          </w:r>
          <w:proofErr w:type="gramStart"/>
          <w:r>
            <w:rPr>
              <w:rFonts w:ascii="Calibri" w:hAnsi="Calibri" w:cs="Calibri"/>
              <w:color w:val="000000"/>
            </w:rPr>
            <w:t>Na‘</w:t>
          </w:r>
          <w:proofErr w:type="gramEnd"/>
          <w:r>
            <w:rPr>
              <w:rFonts w:ascii="Calibri" w:hAnsi="Calibri" w:cs="Calibri"/>
              <w:color w:val="000000"/>
            </w:rPr>
            <w:t xml:space="preserve">im, A. A. (1987). </w:t>
          </w:r>
          <w:r>
            <w:rPr>
              <w:rFonts w:ascii="Calibri" w:hAnsi="Calibri" w:cs="Calibri"/>
              <w:i/>
              <w:iCs/>
              <w:color w:val="000000"/>
            </w:rPr>
            <w:t>The Second Message of Islam</w:t>
          </w:r>
          <w:r>
            <w:rPr>
              <w:rFonts w:ascii="Calibri" w:hAnsi="Calibri" w:cs="Calibri"/>
              <w:color w:val="000000"/>
            </w:rPr>
            <w:t xml:space="preserve">. Syracuse University Press. </w:t>
          </w:r>
        </w:p>
        <w:p w14:paraId="457CECC9" w14:textId="7AD6CB43" w:rsidR="00A3497C" w:rsidRDefault="003B2410" w:rsidP="003B2410">
          <w:pPr>
            <w:pStyle w:val="NormalWeb"/>
            <w:spacing w:line="480" w:lineRule="auto"/>
            <w:ind w:left="450" w:hanging="450"/>
            <w:divId w:val="2006084799"/>
            <w:rPr>
              <w:rFonts w:ascii="Calibri" w:hAnsi="Calibri" w:cs="Calibri"/>
              <w:color w:val="000000"/>
            </w:rPr>
          </w:pPr>
          <w:r>
            <w:rPr>
              <w:rFonts w:ascii="Calibri" w:hAnsi="Calibri" w:cs="Calibri"/>
              <w:color w:val="000000"/>
            </w:rPr>
            <w:t>Al-Qaradawi, Y</w:t>
          </w:r>
          <w:r w:rsidR="00A3497C">
            <w:rPr>
              <w:rFonts w:ascii="Calibri" w:hAnsi="Calibri" w:cs="Calibri"/>
              <w:color w:val="000000"/>
            </w:rPr>
            <w:t>.</w:t>
          </w:r>
          <w:r w:rsidR="00EA440C">
            <w:rPr>
              <w:rFonts w:ascii="Calibri" w:hAnsi="Calibri" w:cs="Calibri"/>
              <w:color w:val="000000"/>
            </w:rPr>
            <w:t xml:space="preserve"> </w:t>
          </w:r>
          <w:r w:rsidR="00EA440C">
            <w:rPr>
              <w:rFonts w:ascii="Calibri" w:hAnsi="Calibri" w:cs="Calibri"/>
              <w:color w:val="000000"/>
            </w:rPr>
            <w:t>(2009).</w:t>
          </w:r>
          <w:r w:rsidR="00EA440C">
            <w:rPr>
              <w:rFonts w:ascii="Calibri" w:hAnsi="Calibri" w:cs="Calibri"/>
              <w:color w:val="000000"/>
            </w:rPr>
            <w:t xml:space="preserve"> ‘</w:t>
          </w:r>
          <w:r w:rsidR="00EA440C">
            <w:rPr>
              <w:rFonts w:ascii="Calibri" w:hAnsi="Calibri" w:cs="Calibri"/>
              <w:color w:val="000000"/>
            </w:rPr>
            <w:t>YUSUF AL-QARADAWI; 1926–.</w:t>
          </w:r>
          <w:r w:rsidR="00EA440C">
            <w:rPr>
              <w:rFonts w:ascii="Calibri" w:hAnsi="Calibri" w:cs="Calibri"/>
              <w:color w:val="000000"/>
            </w:rPr>
            <w:t>’</w:t>
          </w:r>
          <w:r w:rsidR="00A3497C">
            <w:rPr>
              <w:rFonts w:ascii="Calibri" w:hAnsi="Calibri" w:cs="Calibri"/>
              <w:color w:val="000000"/>
            </w:rPr>
            <w:t xml:space="preserve"> In R. L. </w:t>
          </w:r>
          <w:proofErr w:type="spellStart"/>
          <w:r w:rsidR="00A3497C">
            <w:rPr>
              <w:rFonts w:ascii="Calibri" w:hAnsi="Calibri" w:cs="Calibri"/>
              <w:color w:val="000000"/>
            </w:rPr>
            <w:t>Euben</w:t>
          </w:r>
          <w:proofErr w:type="spellEnd"/>
          <w:r w:rsidR="00A3497C">
            <w:rPr>
              <w:rFonts w:ascii="Calibri" w:hAnsi="Calibri" w:cs="Calibri"/>
              <w:color w:val="000000"/>
            </w:rPr>
            <w:t xml:space="preserve">, &amp; M. Q. Zaman (Eds.), </w:t>
          </w:r>
          <w:r w:rsidR="00A3497C">
            <w:rPr>
              <w:rFonts w:ascii="Calibri" w:hAnsi="Calibri" w:cs="Calibri"/>
              <w:i/>
              <w:iCs/>
              <w:color w:val="000000"/>
            </w:rPr>
            <w:t>Princeton Readings in Islamist Thought</w:t>
          </w:r>
          <w:r w:rsidR="00A3497C">
            <w:rPr>
              <w:rFonts w:ascii="Calibri" w:hAnsi="Calibri" w:cs="Calibri"/>
              <w:color w:val="000000"/>
            </w:rPr>
            <w:t xml:space="preserve"> (pp. 224-246). Princeton University Press. </w:t>
          </w:r>
        </w:p>
        <w:p w14:paraId="39FD453E" w14:textId="6494AABE" w:rsidR="00E13AC3" w:rsidRPr="00E13AC3" w:rsidRDefault="00000000" w:rsidP="00E13AC3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</w:rPr>
          </w:pPr>
        </w:p>
      </w:sdtContent>
    </w:sdt>
    <w:p w14:paraId="54838CE0" w14:textId="17ABEF05" w:rsidR="00E13AC3" w:rsidRDefault="00E13AC3" w:rsidP="00E13AC3"/>
    <w:sectPr w:rsidR="00E13A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F401D4"/>
    <w:multiLevelType w:val="hybridMultilevel"/>
    <w:tmpl w:val="828EEA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979689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3AC3"/>
    <w:rsid w:val="0003728E"/>
    <w:rsid w:val="00067E37"/>
    <w:rsid w:val="00091729"/>
    <w:rsid w:val="000C1FB2"/>
    <w:rsid w:val="000D127F"/>
    <w:rsid w:val="0011559B"/>
    <w:rsid w:val="00126978"/>
    <w:rsid w:val="00160989"/>
    <w:rsid w:val="00191FBA"/>
    <w:rsid w:val="00192E1D"/>
    <w:rsid w:val="001F0A56"/>
    <w:rsid w:val="00212F9F"/>
    <w:rsid w:val="00225924"/>
    <w:rsid w:val="002346F0"/>
    <w:rsid w:val="00271259"/>
    <w:rsid w:val="002C7C27"/>
    <w:rsid w:val="003505C0"/>
    <w:rsid w:val="003B2410"/>
    <w:rsid w:val="003D03F1"/>
    <w:rsid w:val="003D18EA"/>
    <w:rsid w:val="003E06D6"/>
    <w:rsid w:val="00402B24"/>
    <w:rsid w:val="00416F33"/>
    <w:rsid w:val="00494257"/>
    <w:rsid w:val="004F3A73"/>
    <w:rsid w:val="00503FAD"/>
    <w:rsid w:val="00507D15"/>
    <w:rsid w:val="005233AF"/>
    <w:rsid w:val="00551EB9"/>
    <w:rsid w:val="005947F1"/>
    <w:rsid w:val="00596D2E"/>
    <w:rsid w:val="005E213D"/>
    <w:rsid w:val="006036F2"/>
    <w:rsid w:val="006B2AAC"/>
    <w:rsid w:val="006E73AB"/>
    <w:rsid w:val="007262F0"/>
    <w:rsid w:val="00755F2F"/>
    <w:rsid w:val="00764BB2"/>
    <w:rsid w:val="007746AF"/>
    <w:rsid w:val="00787C88"/>
    <w:rsid w:val="007C3387"/>
    <w:rsid w:val="00815953"/>
    <w:rsid w:val="00882C74"/>
    <w:rsid w:val="008D26BF"/>
    <w:rsid w:val="008E0F5B"/>
    <w:rsid w:val="00952BD0"/>
    <w:rsid w:val="0097459F"/>
    <w:rsid w:val="00992725"/>
    <w:rsid w:val="009A3848"/>
    <w:rsid w:val="00A14DB8"/>
    <w:rsid w:val="00A21B4D"/>
    <w:rsid w:val="00A3497C"/>
    <w:rsid w:val="00A80D4E"/>
    <w:rsid w:val="00A81B0E"/>
    <w:rsid w:val="00A957BB"/>
    <w:rsid w:val="00AB4CE7"/>
    <w:rsid w:val="00AF5610"/>
    <w:rsid w:val="00B411C6"/>
    <w:rsid w:val="00B9383B"/>
    <w:rsid w:val="00BC7144"/>
    <w:rsid w:val="00C042C9"/>
    <w:rsid w:val="00C3008C"/>
    <w:rsid w:val="00C30FA5"/>
    <w:rsid w:val="00C3544A"/>
    <w:rsid w:val="00C42630"/>
    <w:rsid w:val="00CB632E"/>
    <w:rsid w:val="00D00FF2"/>
    <w:rsid w:val="00D04015"/>
    <w:rsid w:val="00D315AB"/>
    <w:rsid w:val="00D552AE"/>
    <w:rsid w:val="00D56A51"/>
    <w:rsid w:val="00D63C8B"/>
    <w:rsid w:val="00D96732"/>
    <w:rsid w:val="00DB01E2"/>
    <w:rsid w:val="00E13AC3"/>
    <w:rsid w:val="00E21C6D"/>
    <w:rsid w:val="00E24A59"/>
    <w:rsid w:val="00EA440C"/>
    <w:rsid w:val="00EE0C0B"/>
    <w:rsid w:val="00F16932"/>
    <w:rsid w:val="00F178BA"/>
    <w:rsid w:val="00F35037"/>
    <w:rsid w:val="00F511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AF1178"/>
  <w15:chartTrackingRefBased/>
  <w15:docId w15:val="{7940207A-7840-FA4B-86BE-F650D33FE5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3AC3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3AC3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13AC3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13AC3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E13AC3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E13AC3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E13AC3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E13AC3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E13AC3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13AC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13AC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E13AC3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rsid w:val="00E13AC3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E13AC3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E13AC3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sid w:val="00E13AC3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rsid w:val="00E13AC3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rsid w:val="00E13AC3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ListParagraph">
    <w:name w:val="List Paragraph"/>
    <w:basedOn w:val="Normal"/>
    <w:uiPriority w:val="34"/>
    <w:qFormat/>
    <w:rsid w:val="00E13AC3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E13AC3"/>
    <w:rPr>
      <w:color w:val="666666"/>
    </w:rPr>
  </w:style>
  <w:style w:type="paragraph" w:styleId="NormalWeb">
    <w:name w:val="Normal (Web)"/>
    <w:basedOn w:val="Normal"/>
    <w:uiPriority w:val="99"/>
    <w:unhideWhenUsed/>
    <w:rsid w:val="00E13AC3"/>
    <w:pPr>
      <w:spacing w:before="100" w:beforeAutospacing="1" w:after="100" w:afterAutospacing="1"/>
    </w:pPr>
    <w:rPr>
      <w:rFonts w:ascii="Times New Roman" w:eastAsiaTheme="minorEastAsia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19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33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70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0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0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12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0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16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00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30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64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28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5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46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3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28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64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73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7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330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594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374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415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390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57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573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010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56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026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389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929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07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224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81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88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977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601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393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004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508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304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529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756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608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074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196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173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534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414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07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1098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0183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3800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6892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71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846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776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340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90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502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481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151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318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944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83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16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140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273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683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349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73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015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475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594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869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044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39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631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424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809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850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327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723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994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122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711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67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870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948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138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528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5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83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145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224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34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766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542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177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334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172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26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384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095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181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981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887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136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116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493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586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171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039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257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077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511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56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385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897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366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786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512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415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884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770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738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329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5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319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51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048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935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449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100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207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926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560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3351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055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726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437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53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784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807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23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791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315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742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842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113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111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268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284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796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120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270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542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890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05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150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235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214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771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086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112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76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28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507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98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50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263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8592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3550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85805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59192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46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526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72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113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057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411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127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559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941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062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189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084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34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594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926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969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353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754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076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534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239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6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7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366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2703453AEA373047B33205960078D1B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F266E7B-E6BC-7E43-BC82-AF1A285B72C0}"/>
      </w:docPartPr>
      <w:docPartBody>
        <w:p w:rsidR="00D35234" w:rsidRDefault="007031E2">
          <w:r w:rsidRPr="00C946AF">
            <w:rPr>
              <w:rStyle w:val="PlaceholderText"/>
            </w:rPr>
            <w:t>Formatting Bibliography...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31E2"/>
    <w:rsid w:val="003F134C"/>
    <w:rsid w:val="00531FB5"/>
    <w:rsid w:val="00593BBE"/>
    <w:rsid w:val="005F2CBC"/>
    <w:rsid w:val="007031E2"/>
    <w:rsid w:val="00727E91"/>
    <w:rsid w:val="007D5763"/>
    <w:rsid w:val="008963F8"/>
    <w:rsid w:val="009503D1"/>
    <w:rsid w:val="00975378"/>
    <w:rsid w:val="00C34F64"/>
    <w:rsid w:val="00CB6560"/>
    <w:rsid w:val="00D35234"/>
    <w:rsid w:val="00D63072"/>
    <w:rsid w:val="00DC4A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727E91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2" Type="http://schemas.microsoft.com/office/2011/relationships/webextension" Target="webextension2.xml"/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  <wetp:taskpane dockstate="right" visibility="0" width="350" row="0">
    <wetp:webextensionref xmlns:r="http://schemas.openxmlformats.org/officeDocument/2006/relationships" r:id="rId2"/>
  </wetp:taskpane>
</wetp:taskpanes>
</file>

<file path=word/webextensions/webextension1.xml><?xml version="1.0" encoding="utf-8"?>
<we:webextension xmlns:we="http://schemas.microsoft.com/office/webextensions/webextension/2010/11" id="{397D7697-2C91-6A44-BBEB-9928973BCDB3}">
  <we:reference id="wa104380122" version="2.1.0.1" store="en-GB" storeType="OMEX"/>
  <we:alternateReferences>
    <we:reference id="wa104380122" version="2.1.0.1" store="WA104380122" storeType="OMEX"/>
  </we:alternateReferences>
  <we:properties>
    <we:property name="bibliographyEnabled" value="&quot;bibliographyEnabled&quot;"/>
    <we:property name="citations" value="{&quot;2018103645&quot;:{&quot;referencesIds&quot;:[&quot;doc:65788aea81eb503778180062&quot;],&quot;referencesOptions&quot;:{&quot;doc:65788aea81eb50377818006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018103645,&quot;citationText&quot;:&quot;&lt;span style=\&quot;font-family:Calibri;font-size:16px;color:#000000\&quot;&gt;(YUSUF AL-QARADAWI; 1926–. 2009)&lt;/span&gt;&quot;}}"/>
    <we:property name="currentStyle" value="{&quot;id&quot;:&quot;4376&quot;,&quot;styleType&quot;:&quot;refworks&quot;,&quot;name&quot;:&quot;APA 7th (basic) - No Case Changes (No Title Casing), DOI: empty&quot;,&quot;isInstitutional&quot;:false,&quot;citeStyle&quot;:&quot;INTEXT_ONLY&quot;,&quot;isSorted&quot;:true,&quot;usesNumbers&quot;:false,&quot;authorDisambiguation&quot;:&quot;surname_firstname&quot;}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word/webextensions/webextension2.xml><?xml version="1.0" encoding="utf-8"?>
<we:webextension xmlns:we="http://schemas.microsoft.com/office/webextensions/webextension/2010/11" id="{31E07CD3-1FAB-C740-ACA2-3F41A98C6DF0}">
  <we:reference id="wa200001011" version="1.2.0.0" store="en-GB" storeType="OMEX"/>
  <we:alternateReferences>
    <we:reference id="wa200001011" version="1.2.0.0" store="WA200001011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B8395F8F-489E-CD41-B683-3FE9D8CE6D5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564</TotalTime>
  <Pages>5</Pages>
  <Words>1177</Words>
  <Characters>6486</Characters>
  <Application>Microsoft Office Word</Application>
  <DocSecurity>0</DocSecurity>
  <Lines>113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Eunus Ali</dc:creator>
  <cp:keywords/>
  <dc:description/>
  <cp:lastModifiedBy>Eunus Ali</cp:lastModifiedBy>
  <cp:revision>24</cp:revision>
  <dcterms:created xsi:type="dcterms:W3CDTF">2023-12-10T23:40:00Z</dcterms:created>
  <dcterms:modified xsi:type="dcterms:W3CDTF">2023-12-15T18:48:00Z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_documentId">
    <vt:lpwstr>documentId_2028</vt:lpwstr>
  </property>
  <property fmtid="{D5CDD505-2E9C-101B-9397-08002B2CF9AE}" pid="3" name="grammarly_documentContext">
    <vt:lpwstr>{"goals":[],"domain":"general","emotions":[],"dialect":"american"}</vt:lpwstr>
  </property>
</Properties>
</file>