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04047" w14:textId="77777777" w:rsidR="00DE3992" w:rsidRDefault="00000000">
      <w:pPr>
        <w:spacing w:line="360" w:lineRule="auto"/>
        <w:jc w:val="both"/>
        <w:rPr>
          <w:b/>
          <w:bCs/>
        </w:rPr>
      </w:pPr>
      <w:r>
        <w:rPr>
          <w:b/>
          <w:bCs/>
          <w:noProof/>
        </w:rPr>
        <w:drawing>
          <wp:inline distT="114300" distB="114300" distL="114300" distR="114300" wp14:anchorId="78DAC19A" wp14:editId="7B4238A3">
            <wp:extent cx="2505075" cy="1019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505075" cy="1019175"/>
                    </a:xfrm>
                    <a:prstGeom prst="rect">
                      <a:avLst/>
                    </a:prstGeom>
                    <a:ln/>
                  </pic:spPr>
                </pic:pic>
              </a:graphicData>
            </a:graphic>
          </wp:inline>
        </w:drawing>
      </w:r>
    </w:p>
    <w:p w14:paraId="14AEA715" w14:textId="77777777" w:rsidR="00DE3992" w:rsidRDefault="00000000">
      <w:pPr>
        <w:spacing w:line="360" w:lineRule="auto"/>
        <w:jc w:val="both"/>
        <w:rPr>
          <w:b/>
          <w:bCs/>
        </w:rPr>
      </w:pPr>
      <w:proofErr w:type="spellStart"/>
      <w:r>
        <w:rPr>
          <w:b/>
          <w:bCs/>
        </w:rPr>
        <w:t>Programme</w:t>
      </w:r>
      <w:proofErr w:type="spellEnd"/>
      <w:r>
        <w:rPr>
          <w:b/>
          <w:bCs/>
        </w:rPr>
        <w:t>: Certificate of Higher Education Skills for the Workplace (Health &amp; Social Care)</w:t>
      </w:r>
    </w:p>
    <w:p w14:paraId="0B4C8874" w14:textId="77777777" w:rsidR="00DE3992" w:rsidRDefault="00000000">
      <w:pPr>
        <w:spacing w:line="360" w:lineRule="auto"/>
        <w:jc w:val="both"/>
        <w:rPr>
          <w:b/>
          <w:bCs/>
        </w:rPr>
      </w:pPr>
      <w:r>
        <w:rPr>
          <w:b/>
          <w:bCs/>
        </w:rPr>
        <w:t>Module: Introduction to Health and Social Care</w:t>
      </w:r>
    </w:p>
    <w:p w14:paraId="121B89FC" w14:textId="77777777" w:rsidR="00DE3992" w:rsidRDefault="00000000">
      <w:pPr>
        <w:spacing w:line="360" w:lineRule="auto"/>
        <w:jc w:val="both"/>
        <w:rPr>
          <w:b/>
          <w:bCs/>
        </w:rPr>
      </w:pPr>
      <w:r>
        <w:rPr>
          <w:b/>
          <w:bCs/>
        </w:rPr>
        <w:t>Module code: LCHS4003</w:t>
      </w:r>
    </w:p>
    <w:p w14:paraId="5140548A" w14:textId="77777777" w:rsidR="006D4504" w:rsidRDefault="00000000">
      <w:pPr>
        <w:spacing w:line="360" w:lineRule="auto"/>
        <w:jc w:val="both"/>
        <w:rPr>
          <w:b/>
          <w:bCs/>
        </w:rPr>
      </w:pPr>
      <w:r>
        <w:rPr>
          <w:b/>
          <w:bCs/>
        </w:rPr>
        <w:t>Assignment Title: Portfolio – Two Tasks</w:t>
      </w:r>
    </w:p>
    <w:p w14:paraId="065273B9" w14:textId="77777777" w:rsidR="006D4504" w:rsidRDefault="006D4504">
      <w:pPr>
        <w:spacing w:line="360" w:lineRule="auto"/>
        <w:jc w:val="both"/>
        <w:rPr>
          <w:b/>
          <w:bCs/>
        </w:rPr>
      </w:pPr>
      <w:r>
        <w:rPr>
          <w:b/>
          <w:bCs/>
        </w:rPr>
        <w:t xml:space="preserve">Student Name: </w:t>
      </w:r>
      <w:proofErr w:type="spellStart"/>
      <w:r w:rsidRPr="006D4504">
        <w:rPr>
          <w:b/>
          <w:bCs/>
        </w:rPr>
        <w:t>Wilaiwan</w:t>
      </w:r>
      <w:proofErr w:type="spellEnd"/>
      <w:r w:rsidRPr="006D4504">
        <w:rPr>
          <w:b/>
          <w:bCs/>
        </w:rPr>
        <w:t xml:space="preserve"> </w:t>
      </w:r>
      <w:proofErr w:type="spellStart"/>
      <w:r w:rsidRPr="006D4504">
        <w:rPr>
          <w:b/>
          <w:bCs/>
        </w:rPr>
        <w:t>Omnok</w:t>
      </w:r>
      <w:proofErr w:type="spellEnd"/>
    </w:p>
    <w:p w14:paraId="458932BB" w14:textId="5AE618BF" w:rsidR="00DE3992" w:rsidRDefault="006D4504">
      <w:pPr>
        <w:spacing w:line="360" w:lineRule="auto"/>
        <w:jc w:val="both"/>
        <w:rPr>
          <w:b/>
          <w:bCs/>
        </w:rPr>
      </w:pPr>
      <w:r>
        <w:rPr>
          <w:b/>
          <w:bCs/>
        </w:rPr>
        <w:t xml:space="preserve">Student ID: </w:t>
      </w:r>
      <w:r w:rsidRPr="006D4504">
        <w:rPr>
          <w:b/>
          <w:bCs/>
        </w:rPr>
        <w:t>2309239</w:t>
      </w:r>
      <w:r w:rsidR="00000000">
        <w:br w:type="page"/>
      </w:r>
    </w:p>
    <w:p w14:paraId="3B6C13E3" w14:textId="77777777" w:rsidR="00DE3992" w:rsidRDefault="00000000">
      <w:pPr>
        <w:spacing w:line="360" w:lineRule="auto"/>
        <w:jc w:val="both"/>
        <w:rPr>
          <w:b/>
          <w:bCs/>
        </w:rPr>
      </w:pPr>
      <w:r>
        <w:rPr>
          <w:b/>
          <w:bCs/>
        </w:rPr>
        <w:lastRenderedPageBreak/>
        <w:t xml:space="preserve">TASK 1 – OFFICIAL LETTER </w:t>
      </w:r>
    </w:p>
    <w:p w14:paraId="3C43D125" w14:textId="77777777" w:rsidR="00DE3992" w:rsidRDefault="00000000">
      <w:pPr>
        <w:spacing w:line="360" w:lineRule="auto"/>
        <w:jc w:val="both"/>
      </w:pPr>
      <w:r>
        <w:t xml:space="preserve">To, </w:t>
      </w:r>
    </w:p>
    <w:p w14:paraId="10BB3E94" w14:textId="77777777" w:rsidR="00DE3992" w:rsidRDefault="00000000">
      <w:pPr>
        <w:spacing w:line="360" w:lineRule="auto"/>
        <w:jc w:val="both"/>
      </w:pPr>
      <w:r>
        <w:t xml:space="preserve">The </w:t>
      </w:r>
      <w:proofErr w:type="spellStart"/>
      <w:r>
        <w:t>Councillor</w:t>
      </w:r>
      <w:proofErr w:type="spellEnd"/>
      <w:r>
        <w:t xml:space="preserve"> </w:t>
      </w:r>
    </w:p>
    <w:p w14:paraId="7A5C67D6" w14:textId="77777777" w:rsidR="00DE3992" w:rsidRDefault="00000000">
      <w:pPr>
        <w:spacing w:line="360" w:lineRule="auto"/>
        <w:jc w:val="both"/>
      </w:pPr>
      <w:r>
        <w:t>Wales, UK</w:t>
      </w:r>
    </w:p>
    <w:p w14:paraId="46088629" w14:textId="77777777" w:rsidR="00DE3992" w:rsidRDefault="00000000">
      <w:pPr>
        <w:spacing w:line="360" w:lineRule="auto"/>
        <w:jc w:val="both"/>
      </w:pPr>
      <w:r>
        <w:rPr>
          <w:b/>
          <w:bCs/>
        </w:rPr>
        <w:t>Subject</w:t>
      </w:r>
      <w:r>
        <w:t xml:space="preserve">: Current status of the domiciliary care services within the community in Wales and the need to revamp the existing system </w:t>
      </w:r>
    </w:p>
    <w:p w14:paraId="500FB1D4" w14:textId="77777777" w:rsidR="00DE3992" w:rsidRDefault="00000000">
      <w:pPr>
        <w:spacing w:line="360" w:lineRule="auto"/>
        <w:jc w:val="both"/>
      </w:pPr>
      <w:r>
        <w:t xml:space="preserve">Respected Sir, </w:t>
      </w:r>
    </w:p>
    <w:p w14:paraId="0525F12E" w14:textId="77777777" w:rsidR="00DE3992" w:rsidRDefault="00000000">
      <w:pPr>
        <w:spacing w:line="360" w:lineRule="auto"/>
        <w:jc w:val="both"/>
      </w:pPr>
      <w:r>
        <w:t xml:space="preserve">I am writing this letter to convey my worries about the poor domiciliary care services provided to the local communities of Wales and their long-term consequences on their health and well-being. In-house healthcare services act as a major benchmark of integrated care approaches and are governed by a community-driven spirit to </w:t>
      </w:r>
      <w:proofErr w:type="spellStart"/>
      <w:r>
        <w:t>prioritise</w:t>
      </w:r>
      <w:proofErr w:type="spellEnd"/>
      <w:r>
        <w:t xml:space="preserve"> the safety and wellness of the disabled and older population (</w:t>
      </w:r>
      <w:proofErr w:type="spellStart"/>
      <w:r>
        <w:t>Repková</w:t>
      </w:r>
      <w:proofErr w:type="spellEnd"/>
      <w:r>
        <w:t xml:space="preserve">, 2021). As you must be aware, around 21.1% of the total population of Wales is physically challenged. This percentile is estimated for 670,000 individuals (ONS, 2023). Conversely, in terms of ageing, nearly 3.3 million people are over 65 years of age (ONS, 2023). This population account highlights the urgency of forming a robust domiciliary care provision (DCP) in this zone. However, the looming shortage of care providers for home-based services and lack of sufficient visits causes healthcare delays, poor living conditions and unfulfilled needs. According to the current health census of Wales, approximately 67% of the population above 65 years of age are experiencing chronic health ailments such as CVD, musculoskeletal diseases and blood-related challenges. Despite this acute situation, 41% of them are deprived of primary care services (UK Parliament, 2024). Additionally, the current healthcare infrastructure of Wales lacks adequate support in providing critical domiciliary services and thereby has been ranked the lowest among other European countries. Amidst this backdrop, I urge you, Sir, to consider proactive responses for outpacing these challenges. </w:t>
      </w:r>
    </w:p>
    <w:p w14:paraId="1BA2190D" w14:textId="77777777" w:rsidR="00DE3992" w:rsidRDefault="00000000">
      <w:pPr>
        <w:spacing w:line="360" w:lineRule="auto"/>
        <w:jc w:val="both"/>
      </w:pPr>
      <w:r>
        <w:t xml:space="preserve">Further, I have seen that the present structure of payment of the carers could be a major reason behind the lethargic and non-aligned performance of the caregivers. As of 2024, around 131,000 carers have resigned from the domiciliary services for underpayment as well as the overwhelming work burdens (Williams, 2024). In contrast to this huge pressure, the salary they receive is £151 for/care visit. This has consequently increased the number of job switches. On the other hand, in a recent survey, ONS has revealed that the total number of people above 65 will rise by 27% in the upcoming 50 years, and this will fourfold the demands for domiciliary care (Williams, 2024). At present, nearly 28,596 individuals seek these services, whereas in contrast to these demands, only 397 agencies facilitate these services (Williams, 2024). In reciprocity of this troubling situation, the morbidity rates owing to insufficiencies in home-care have intensified twofold </w:t>
      </w:r>
      <w:r>
        <w:lastRenderedPageBreak/>
        <w:t xml:space="preserve">between the disabled and the death rates of the normal population (The Health Foundation, 2025). Furthermore, I have also witnessed that all these conditions have together contributed to the delayed and poor accessibility to domiciliary healthcare. Nearly 400,000 elderly individuals are waiting for their turns to get a proper medical review and follow-ups, which simultaneously contributes to the fragmentation of their health conditions (Williams, 2024). Another issue to which I want to bring your attention is the hurried discharges from the hospitals, which compelled a hike of 45% home-based care services (Williams, 2024). </w:t>
      </w:r>
    </w:p>
    <w:p w14:paraId="34A7C910" w14:textId="77777777" w:rsidR="00DE3992" w:rsidRDefault="00000000">
      <w:pPr>
        <w:spacing w:line="360" w:lineRule="auto"/>
        <w:jc w:val="both"/>
      </w:pPr>
      <w:r>
        <w:t xml:space="preserve">Despite the enactment of the ‘Domiciliary Care Agencies (DCA)’ Act of 2004 by the local bodies of Wales, improper monitoring and governance have led to such harassment. On the contrary, an infringement of the Care Provisions of 2014 has also exacerbated the lack of trust amongst the older and disabled people of Wales. Thus, I urge you to conduct a systematic investigation to unveil root causes and responsive strategies to eliminate such conditions. According to my observation, setting a contingent body comprising the CIW of Wales and other notable medical professionals to govern Section 2 of the Care Act 2014 will be suitable. This provision compiles a detailed analysis of the prohibition of delayed or unmet necessities of care (Department of Health and Social Care, 2021). Additionally, concerning surpassing staff shortage, skill development and payment improvement should be </w:t>
      </w:r>
      <w:proofErr w:type="spellStart"/>
      <w:r>
        <w:t>prioritised</w:t>
      </w:r>
      <w:proofErr w:type="spellEnd"/>
      <w:r>
        <w:t xml:space="preserve"> in addition to acknowledging additional hiring and flexible rotation. The integration of section 6 for evaluating the eligibility of administering these provisions can be regulated. Finally, improved supervision for proper discharge, more supply of care beds and regular reporting are advised. Your kind consideration and implementation of </w:t>
      </w:r>
      <w:proofErr w:type="spellStart"/>
      <w:r>
        <w:t>favourable</w:t>
      </w:r>
      <w:proofErr w:type="spellEnd"/>
      <w:r>
        <w:t xml:space="preserve"> responses will be highly appreciated.</w:t>
      </w:r>
    </w:p>
    <w:p w14:paraId="23D92D47" w14:textId="77777777" w:rsidR="00DE3992" w:rsidRDefault="00000000">
      <w:pPr>
        <w:spacing w:line="360" w:lineRule="auto"/>
        <w:jc w:val="both"/>
      </w:pPr>
      <w:r>
        <w:t>Thanking you,</w:t>
      </w:r>
    </w:p>
    <w:p w14:paraId="5DAAB4B0" w14:textId="77777777" w:rsidR="00DE3992" w:rsidRDefault="00000000">
      <w:pPr>
        <w:spacing w:line="360" w:lineRule="auto"/>
        <w:jc w:val="both"/>
      </w:pPr>
      <w:r>
        <w:t xml:space="preserve">Yours faithfully, </w:t>
      </w:r>
    </w:p>
    <w:p w14:paraId="78E2B11B" w14:textId="77777777" w:rsidR="00DE3992" w:rsidRDefault="00000000">
      <w:pPr>
        <w:spacing w:line="360" w:lineRule="auto"/>
        <w:jc w:val="both"/>
      </w:pPr>
      <w:r>
        <w:t>XYZ.</w:t>
      </w:r>
    </w:p>
    <w:p w14:paraId="2BB14B9A" w14:textId="77777777" w:rsidR="00DE3992" w:rsidRDefault="00000000">
      <w:pPr>
        <w:spacing w:line="360" w:lineRule="auto"/>
        <w:jc w:val="both"/>
        <w:rPr>
          <w:b/>
          <w:bCs/>
        </w:rPr>
      </w:pPr>
      <w:r>
        <w:rPr>
          <w:b/>
          <w:bCs/>
        </w:rPr>
        <w:t xml:space="preserve">TASK 2 – ESSAY </w:t>
      </w:r>
    </w:p>
    <w:p w14:paraId="4BAE10E9" w14:textId="77777777" w:rsidR="00DE3992" w:rsidRDefault="00000000">
      <w:pPr>
        <w:spacing w:line="360" w:lineRule="auto"/>
        <w:jc w:val="both"/>
        <w:rPr>
          <w:b/>
          <w:bCs/>
        </w:rPr>
      </w:pPr>
      <w:r>
        <w:rPr>
          <w:b/>
          <w:bCs/>
        </w:rPr>
        <w:t xml:space="preserve">Introduction </w:t>
      </w:r>
    </w:p>
    <w:p w14:paraId="6FCB9CCC" w14:textId="77777777" w:rsidR="00DE3992" w:rsidRDefault="00000000">
      <w:pPr>
        <w:spacing w:line="360" w:lineRule="auto"/>
        <w:jc w:val="both"/>
        <w:rPr>
          <w:color w:val="0E101A"/>
        </w:rPr>
      </w:pPr>
      <w:r>
        <w:rPr>
          <w:color w:val="0E101A"/>
        </w:rPr>
        <w:t xml:space="preserve">Ambulance services to meet medical exigencies are an indispensable part of healthcare accessibility, as they meet the unanticipated health challenges. Given the insurmountable pressures to undertake urgent actions, these services have gained currency as a fundamental construct of concentrated care (Evans et al., 2024). This essay, anticipating the superlative roles of ambulances in safeguarding Britishers from morbidities, will provide a </w:t>
      </w:r>
      <w:proofErr w:type="gramStart"/>
      <w:r>
        <w:rPr>
          <w:color w:val="0E101A"/>
        </w:rPr>
        <w:t>critical underpinnings</w:t>
      </w:r>
      <w:proofErr w:type="gramEnd"/>
      <w:r>
        <w:rPr>
          <w:color w:val="0E101A"/>
        </w:rPr>
        <w:t xml:space="preserve"> for providing a comprehensive assessment. The purpose behind this is to evaluate the origin of ambulance-based contingent medical services to highlight two pivotal threats faced by the NHS presently, and to feature some actionable suggestions to prevail over these concerns. </w:t>
      </w:r>
    </w:p>
    <w:p w14:paraId="714B3C5C" w14:textId="77777777" w:rsidR="00DE3992" w:rsidRDefault="00000000">
      <w:pPr>
        <w:spacing w:line="360" w:lineRule="auto"/>
        <w:jc w:val="both"/>
        <w:rPr>
          <w:b/>
          <w:bCs/>
          <w:color w:val="0E101A"/>
        </w:rPr>
      </w:pPr>
      <w:r>
        <w:rPr>
          <w:b/>
          <w:bCs/>
          <w:color w:val="0E101A"/>
        </w:rPr>
        <w:lastRenderedPageBreak/>
        <w:t>Discussion</w:t>
      </w:r>
    </w:p>
    <w:p w14:paraId="6E57982B" w14:textId="77777777" w:rsidR="00DE3992" w:rsidRDefault="00000000">
      <w:pPr>
        <w:spacing w:line="360" w:lineRule="auto"/>
        <w:jc w:val="both"/>
        <w:rPr>
          <w:color w:val="0E101A"/>
        </w:rPr>
      </w:pPr>
      <w:r>
        <w:rPr>
          <w:color w:val="0E101A"/>
        </w:rPr>
        <w:t xml:space="preserve">The </w:t>
      </w:r>
      <w:r>
        <w:rPr>
          <w:b/>
          <w:bCs/>
          <w:color w:val="0E101A"/>
        </w:rPr>
        <w:t>origin of ambulances</w:t>
      </w:r>
      <w:r>
        <w:rPr>
          <w:color w:val="0E101A"/>
        </w:rPr>
        <w:t xml:space="preserve"> for healthcare emergencies can be traced back to the period of St. John, the famous knight of Europe. In order to prevent the lives of the injured from the crusade war, doctors from Greece and Arab countries were hired to act as the caregivers in this emergency service. However, with the advent of the NHS between 1948 and 1991, the transformation of these contingent services was recorded (The History of the Ambulance Service, 2023). Conversely, during 1970-1980, modern forms of bike and air ambulance were launched for intensifying responsiveness to care needs, whereas from 1990 onwards, necessary training and development (T&amp;D) were initiated for paramedical skill growth (The History of the Ambulance Service, 2023). Further, the emergence of </w:t>
      </w:r>
      <w:proofErr w:type="spellStart"/>
      <w:r>
        <w:rPr>
          <w:color w:val="0E101A"/>
        </w:rPr>
        <w:t>Digitalisation</w:t>
      </w:r>
      <w:proofErr w:type="spellEnd"/>
      <w:r>
        <w:rPr>
          <w:color w:val="0E101A"/>
        </w:rPr>
        <w:t xml:space="preserve"> has led to the expansion of the paramedic profession and a broader emphasis on community-based healthcare. The integration of the ‘Ambulance </w:t>
      </w:r>
      <w:proofErr w:type="spellStart"/>
      <w:r>
        <w:rPr>
          <w:color w:val="0E101A"/>
        </w:rPr>
        <w:t>Datasets’</w:t>
      </w:r>
      <w:proofErr w:type="spellEnd"/>
      <w:r>
        <w:rPr>
          <w:color w:val="0E101A"/>
        </w:rPr>
        <w:t xml:space="preserve"> (ADS) technology, an AI-Powered, in addition to the flexible integration of 5G services and telemedicine, is an example of such digital transitions. Concomitantly, £20 million has been invested in the consistent evolution of the emergency responsiveness to address the community needs and overcome challenges like delayed care (</w:t>
      </w:r>
      <w:proofErr w:type="gramStart"/>
      <w:r>
        <w:rPr>
          <w:color w:val="0E101A"/>
        </w:rPr>
        <w:t>England,  2025</w:t>
      </w:r>
      <w:proofErr w:type="gramEnd"/>
      <w:r>
        <w:rPr>
          <w:color w:val="0E101A"/>
        </w:rPr>
        <w:t xml:space="preserve">). </w:t>
      </w:r>
    </w:p>
    <w:p w14:paraId="3175A87A" w14:textId="77777777" w:rsidR="00DE3992" w:rsidRDefault="00000000">
      <w:pPr>
        <w:spacing w:line="360" w:lineRule="auto"/>
        <w:jc w:val="both"/>
        <w:rPr>
          <w:color w:val="0E101A"/>
        </w:rPr>
      </w:pPr>
      <w:r>
        <w:rPr>
          <w:color w:val="0E101A"/>
        </w:rPr>
        <w:t xml:space="preserve">Ambulances are considered the foundational enabler of meeting crisis health situations (Bowling and de Jong, 2025). However, with the </w:t>
      </w:r>
      <w:r>
        <w:rPr>
          <w:b/>
          <w:bCs/>
          <w:color w:val="0E101A"/>
        </w:rPr>
        <w:t xml:space="preserve">explosion of the ageing population and other fatalities, the pressure to effect rapid help has evolved as a major challenge. </w:t>
      </w:r>
      <w:r>
        <w:rPr>
          <w:color w:val="0E101A"/>
        </w:rPr>
        <w:t xml:space="preserve">As of 2024, nearly 828,345 monthly calls to the emergency number 999 had been answered, exceeding by 22% the number in earlier years (NHS, 2025). Consequently, the vulnerable population dealing with acute health challenges has induced such pressure on calls. According to the Health Foundation of the UK, in the upcoming 25 years, the age group above 85 years will be summed up to 2.6 million (‌The Health Foundation, 2023). Consequently, morality challenges because of prolonged risks like cardiovascular ailments, diabetes, falling, slipping and dementia related care will jump up. Currently, 2 out of 3 elderly individuals above 80 years have been found with the experiences of complex challenges that necessitate calls for the contingency ambulance services (CAS) (Age UK, 2025). Further, as per the Care Regulations of 2014, the mean response period for Categories 1 to 4 is between 7 minutes and 180 minutes (Baker et al., 2025). </w:t>
      </w:r>
    </w:p>
    <w:p w14:paraId="09CD17BB" w14:textId="77777777" w:rsidR="00DE3992" w:rsidRDefault="00000000">
      <w:pPr>
        <w:spacing w:line="360" w:lineRule="auto"/>
        <w:jc w:val="both"/>
        <w:rPr>
          <w:b/>
          <w:bCs/>
        </w:rPr>
      </w:pPr>
      <w:r>
        <w:rPr>
          <w:color w:val="0E101A"/>
        </w:rPr>
        <w:t xml:space="preserve">However, in </w:t>
      </w:r>
      <w:r>
        <w:rPr>
          <w:b/>
          <w:bCs/>
          <w:color w:val="0E101A"/>
        </w:rPr>
        <w:t xml:space="preserve">reality, 90% of the responses were given late, up to 41 minutes and 18 seconds, </w:t>
      </w:r>
      <w:r>
        <w:rPr>
          <w:color w:val="0E101A"/>
        </w:rPr>
        <w:t xml:space="preserve">whereas the average time scheduled was 18 minutes for the intensive care that necessitates quick actions for cases like heart pains or stroke (The Health Foundation, 2023). This eventually deteriorates the average life expectancy of the patients. The underlying reasons behind this are rising absenteeism and job switching among the paramedical staff. For example, in 2022, absenteeism rose by 9% among the ambulance care providers, and work fatigue has majorly </w:t>
      </w:r>
      <w:r>
        <w:rPr>
          <w:color w:val="0E101A"/>
        </w:rPr>
        <w:lastRenderedPageBreak/>
        <w:t xml:space="preserve">contributed to such conditions (The Health Foundation, 2023). Additionally, the increased spending of time for up to 15 extra minutes to switch ambulance duties has also resulted in delayed responses (The Health Foundation, 2023). </w:t>
      </w:r>
    </w:p>
    <w:p w14:paraId="1C141862" w14:textId="77777777" w:rsidR="00DE3992" w:rsidRDefault="00000000">
      <w:pPr>
        <w:spacing w:line="360" w:lineRule="auto"/>
        <w:jc w:val="both"/>
        <w:rPr>
          <w:color w:val="0E101A"/>
        </w:rPr>
      </w:pPr>
      <w:r>
        <w:rPr>
          <w:b/>
          <w:bCs/>
          <w:color w:val="0E101A"/>
        </w:rPr>
        <w:t>Retention of paramedical workers has advanced as a prominent challenge</w:t>
      </w:r>
      <w:r>
        <w:rPr>
          <w:color w:val="0E101A"/>
        </w:rPr>
        <w:t xml:space="preserve"> in emergency care response services using ambulances (Beldon and Garside, 2022). According to medical studies, nearly 7000 staff associated with these services have resigned from their posts and contributed to the proliferation of vacancies by 51%. The consistent pressure for huge workloads, prolonged shifts and lengthy working hours without breaks has possibly accelerated the shortage. Concomitantly, around 51% of the paramedic staff have experienced extreme stress and pressure owing to the ruthless work dynamics (NHS, 2024). This condition is further propelled by wage disparities as well as a lack of health and safety training. Between 2022 and 2024, Gender-based wage discrimination rose by 9.8% and a 4% decline in the net payment rates overall (NWAS, 2025). Additionally, the increased health challenges, like mental and physical unwellness, have impacted the delivery of services. </w:t>
      </w:r>
    </w:p>
    <w:p w14:paraId="49F82AF6" w14:textId="77777777" w:rsidR="00DE3992" w:rsidRDefault="00000000">
      <w:pPr>
        <w:spacing w:line="360" w:lineRule="auto"/>
        <w:jc w:val="both"/>
        <w:rPr>
          <w:b/>
          <w:bCs/>
          <w:color w:val="0E101A"/>
        </w:rPr>
      </w:pPr>
      <w:r>
        <w:rPr>
          <w:b/>
          <w:bCs/>
          <w:color w:val="0E101A"/>
        </w:rPr>
        <w:t xml:space="preserve">Conclusion </w:t>
      </w:r>
    </w:p>
    <w:p w14:paraId="50950485" w14:textId="77777777" w:rsidR="00DE3992" w:rsidRDefault="00000000">
      <w:pPr>
        <w:spacing w:line="360" w:lineRule="auto"/>
        <w:jc w:val="both"/>
        <w:rPr>
          <w:color w:val="0E101A"/>
        </w:rPr>
      </w:pPr>
      <w:r>
        <w:rPr>
          <w:color w:val="0E101A"/>
        </w:rPr>
        <w:t xml:space="preserve">In conclusion, it can be stated that the current conditions of the ambulance services in the UK are undergoing a series of dynamic and deep-rooted challenges. These, in combination, are contributing to the overall negative experiences of the patients, such as delayed delivery of patient services, lengthy waiting time, poor responses and high mortality. Amidst overcoming this condition, adherence to the following actions is highly recommended. </w:t>
      </w:r>
    </w:p>
    <w:p w14:paraId="7FDB4465" w14:textId="77777777" w:rsidR="00DE3992" w:rsidRDefault="00000000">
      <w:pPr>
        <w:spacing w:line="360" w:lineRule="auto"/>
        <w:rPr>
          <w:color w:val="0E101A"/>
        </w:rPr>
      </w:pPr>
      <w:r>
        <w:rPr>
          <w:b/>
          <w:bCs/>
          <w:color w:val="0E101A"/>
        </w:rPr>
        <w:t xml:space="preserve">Increased investment into skill development and talent management should be done and </w:t>
      </w:r>
      <w:r>
        <w:rPr>
          <w:color w:val="0E101A"/>
        </w:rPr>
        <w:t xml:space="preserve">NHS should </w:t>
      </w:r>
      <w:proofErr w:type="spellStart"/>
      <w:r>
        <w:rPr>
          <w:color w:val="0E101A"/>
        </w:rPr>
        <w:t>emphasise</w:t>
      </w:r>
      <w:proofErr w:type="spellEnd"/>
      <w:r>
        <w:rPr>
          <w:color w:val="0E101A"/>
        </w:rPr>
        <w:t xml:space="preserve"> a structured allocation of resources in providing necessary skill development initiatives such as health and safety, emergency response, quick care and so on. Additionally, focusing on regular counselling sessions for safeguarding the emotional health of the staff should be </w:t>
      </w:r>
      <w:proofErr w:type="spellStart"/>
      <w:r>
        <w:rPr>
          <w:color w:val="0E101A"/>
        </w:rPr>
        <w:t>prioritised</w:t>
      </w:r>
      <w:proofErr w:type="spellEnd"/>
      <w:r>
        <w:rPr>
          <w:color w:val="0E101A"/>
        </w:rPr>
        <w:t xml:space="preserve"> for the elimination of stress, burnout and weariness. </w:t>
      </w:r>
    </w:p>
    <w:p w14:paraId="19DBCDFB" w14:textId="77777777" w:rsidR="00DE3992" w:rsidRDefault="00000000">
      <w:pPr>
        <w:spacing w:line="360" w:lineRule="auto"/>
        <w:rPr>
          <w:color w:val="0E101A"/>
        </w:rPr>
      </w:pPr>
      <w:r>
        <w:rPr>
          <w:b/>
          <w:bCs/>
          <w:color w:val="0E101A"/>
        </w:rPr>
        <w:t xml:space="preserve">Improving flexible rotations: </w:t>
      </w:r>
      <w:r>
        <w:rPr>
          <w:color w:val="0E101A"/>
        </w:rPr>
        <w:t>Preparation of an agile shift schedule is another pioneering solution that the NHS should be delving into. It will help the paramedical staff to perform their duties and enhance work-life balance (WLB).</w:t>
      </w:r>
    </w:p>
    <w:p w14:paraId="2079D041" w14:textId="77777777" w:rsidR="00DE3992" w:rsidRDefault="00000000">
      <w:pPr>
        <w:spacing w:line="360" w:lineRule="auto"/>
        <w:rPr>
          <w:color w:val="0E101A"/>
        </w:rPr>
      </w:pPr>
      <w:r>
        <w:rPr>
          <w:b/>
          <w:bCs/>
          <w:color w:val="0E101A"/>
        </w:rPr>
        <w:t xml:space="preserve">Focusing on community-based paramedical practices: </w:t>
      </w:r>
      <w:r>
        <w:rPr>
          <w:color w:val="0E101A"/>
        </w:rPr>
        <w:t xml:space="preserve">A clear alignment between the community care providers and the NHS should be strengthened to drive primary care. This will reduce dependence on </w:t>
      </w:r>
      <w:proofErr w:type="spellStart"/>
      <w:r>
        <w:rPr>
          <w:color w:val="0E101A"/>
        </w:rPr>
        <w:t>hospitalisation</w:t>
      </w:r>
      <w:proofErr w:type="spellEnd"/>
      <w:r>
        <w:rPr>
          <w:color w:val="0E101A"/>
        </w:rPr>
        <w:t xml:space="preserve">. </w:t>
      </w:r>
    </w:p>
    <w:p w14:paraId="7C371EAF" w14:textId="77777777" w:rsidR="00DE3992" w:rsidRDefault="00000000">
      <w:pPr>
        <w:spacing w:line="360" w:lineRule="auto"/>
        <w:jc w:val="both"/>
      </w:pPr>
      <w:r>
        <w:br w:type="page"/>
      </w:r>
    </w:p>
    <w:p w14:paraId="69A10DF1" w14:textId="77777777" w:rsidR="00DE3992" w:rsidRDefault="00DE3992">
      <w:pPr>
        <w:spacing w:line="360" w:lineRule="auto"/>
        <w:jc w:val="both"/>
      </w:pPr>
    </w:p>
    <w:p w14:paraId="62A0C5D1" w14:textId="77777777" w:rsidR="00DE3992" w:rsidRDefault="00000000">
      <w:pPr>
        <w:spacing w:line="360" w:lineRule="auto"/>
        <w:jc w:val="both"/>
        <w:rPr>
          <w:b/>
          <w:bCs/>
        </w:rPr>
      </w:pPr>
      <w:r>
        <w:rPr>
          <w:b/>
          <w:bCs/>
        </w:rPr>
        <w:t>REFERENCE LIST</w:t>
      </w:r>
    </w:p>
    <w:p w14:paraId="4CD1D903" w14:textId="77777777" w:rsidR="00DE3992" w:rsidRDefault="00DE3992">
      <w:pPr>
        <w:spacing w:line="360" w:lineRule="auto"/>
        <w:jc w:val="both"/>
      </w:pPr>
    </w:p>
    <w:p w14:paraId="297F2C1F" w14:textId="77777777" w:rsidR="00DE3992" w:rsidRDefault="00000000">
      <w:pPr>
        <w:spacing w:line="360" w:lineRule="auto"/>
        <w:jc w:val="both"/>
      </w:pPr>
      <w:r>
        <w:t xml:space="preserve">The Health Foundation. (2025) Inequalities in mortality rates by disability. [online] Available from: </w:t>
      </w:r>
      <w:hyperlink r:id="rId5">
        <w:r>
          <w:rPr>
            <w:color w:val="1155CC"/>
            <w:u w:val="single"/>
          </w:rPr>
          <w:t>https://www.health.org.uk/evidence-hub/health-inequalities/inequalities-in-mortality-rates-by-disability</w:t>
        </w:r>
      </w:hyperlink>
      <w:r>
        <w:t>. (Accessed 27 November 2025)</w:t>
      </w:r>
    </w:p>
    <w:p w14:paraId="0ECC678C" w14:textId="77777777" w:rsidR="00DE3992" w:rsidRDefault="00000000">
      <w:pPr>
        <w:spacing w:line="360" w:lineRule="auto"/>
        <w:jc w:val="both"/>
      </w:pPr>
      <w:r>
        <w:t xml:space="preserve">Department of Health and Social Care. (2021) List of changes made to the Care Act guidance. [online] GOV.UK. Available from: </w:t>
      </w:r>
      <w:hyperlink r:id="rId6">
        <w:r>
          <w:rPr>
            <w:color w:val="1155CC"/>
            <w:u w:val="single"/>
          </w:rPr>
          <w:t>https://www.gov.uk/government/publications/care-act-statutory-guidance/list-of-changes-made-to-the-care-act-guidance</w:t>
        </w:r>
      </w:hyperlink>
      <w:r>
        <w:t>. . (Accessed 27 November 2025)</w:t>
      </w:r>
    </w:p>
    <w:p w14:paraId="52AD27DF" w14:textId="77777777" w:rsidR="00DE3992" w:rsidRDefault="00000000">
      <w:pPr>
        <w:spacing w:line="360" w:lineRule="auto"/>
        <w:jc w:val="both"/>
      </w:pPr>
      <w:r>
        <w:t xml:space="preserve">Williams, A. (2024) UK domiciliary care statistics 2024. [online] </w:t>
      </w:r>
      <w:proofErr w:type="spellStart"/>
      <w:r>
        <w:t>PolicyBee</w:t>
      </w:r>
      <w:proofErr w:type="spellEnd"/>
      <w:r>
        <w:t xml:space="preserve"> news and risk advice. Available from: </w:t>
      </w:r>
      <w:hyperlink r:id="rId7">
        <w:r>
          <w:rPr>
            <w:color w:val="1155CC"/>
            <w:u w:val="single"/>
          </w:rPr>
          <w:t>https://www.policybee.co.uk/blog/domiciliary-care-statistics</w:t>
        </w:r>
      </w:hyperlink>
      <w:proofErr w:type="gramStart"/>
      <w:r>
        <w:t>. .</w:t>
      </w:r>
      <w:proofErr w:type="gramEnd"/>
      <w:r>
        <w:t xml:space="preserve"> (Accessed 27 November 2025)</w:t>
      </w:r>
    </w:p>
    <w:p w14:paraId="57DF70D3" w14:textId="77777777" w:rsidR="00DE3992" w:rsidRDefault="00000000">
      <w:pPr>
        <w:spacing w:line="360" w:lineRule="auto"/>
        <w:jc w:val="both"/>
      </w:pPr>
      <w:r>
        <w:t xml:space="preserve">ONS. (2023) Profile of the older population living in England and Wales in 2021 and changes since 2011. [online] www.ons.gov.uk. Available from: </w:t>
      </w:r>
      <w:hyperlink r:id="rId8">
        <w:r>
          <w:rPr>
            <w:color w:val="1155CC"/>
            <w:u w:val="single"/>
          </w:rPr>
          <w:t>https://www.ons.gov.uk/peoplepopulationandcommunity/birthsdeathsandmarriages/ageing/articles/profileoftheolderpopulationlivinginenglandandwalesin2021andchangessince2011/2023-04-03</w:t>
        </w:r>
      </w:hyperlink>
      <w:r>
        <w:t xml:space="preserve"> . (Accessed 27 November 2025)</w:t>
      </w:r>
    </w:p>
    <w:p w14:paraId="31F82E30" w14:textId="77777777" w:rsidR="00DE3992" w:rsidRDefault="00000000">
      <w:pPr>
        <w:spacing w:line="360" w:lineRule="auto"/>
        <w:jc w:val="both"/>
      </w:pPr>
      <w:r>
        <w:t xml:space="preserve">UK Parliament. (2024) Adult Social Care Reform: the cost of inaction. [online] Parliament.uk. </w:t>
      </w:r>
    </w:p>
    <w:p w14:paraId="1910B19F" w14:textId="77777777" w:rsidR="00DE3992" w:rsidRDefault="00000000">
      <w:pPr>
        <w:spacing w:line="360" w:lineRule="auto"/>
        <w:jc w:val="both"/>
      </w:pPr>
      <w:r>
        <w:t xml:space="preserve">Available from: </w:t>
      </w:r>
      <w:hyperlink r:id="rId9">
        <w:r>
          <w:rPr>
            <w:color w:val="1155CC"/>
            <w:u w:val="single"/>
          </w:rPr>
          <w:t>https://publications.parliament.uk/pa/cm5901/cmselect/cmhealth/368/report.html</w:t>
        </w:r>
      </w:hyperlink>
      <w:proofErr w:type="gramStart"/>
      <w:r>
        <w:t>. .</w:t>
      </w:r>
      <w:proofErr w:type="gramEnd"/>
      <w:r>
        <w:t xml:space="preserve"> (Accessed 27 November 2025)</w:t>
      </w:r>
    </w:p>
    <w:p w14:paraId="307ACD7F" w14:textId="77777777" w:rsidR="00DE3992" w:rsidRDefault="00000000">
      <w:pPr>
        <w:spacing w:line="360" w:lineRule="auto"/>
        <w:jc w:val="both"/>
      </w:pPr>
      <w:proofErr w:type="spellStart"/>
      <w:r>
        <w:t>Repková</w:t>
      </w:r>
      <w:proofErr w:type="spellEnd"/>
      <w:r>
        <w:t xml:space="preserve">, K. (2021) Social construction of social work in domiciliary care service. ERIS Journal–Winter 2021–Forced Migration and Minority Groups, p.90. </w:t>
      </w:r>
      <w:hyperlink r:id="rId10" w:anchor="page=92">
        <w:r>
          <w:rPr>
            <w:color w:val="1155CC"/>
            <w:u w:val="single"/>
          </w:rPr>
          <w:t>https://new.socialniprace.cz/wp-content/uploads/2021/03/SP1_2021web.pdf#page=92</w:t>
        </w:r>
      </w:hyperlink>
      <w:r>
        <w:t xml:space="preserve"> </w:t>
      </w:r>
    </w:p>
    <w:p w14:paraId="722A4578" w14:textId="77777777" w:rsidR="00DE3992" w:rsidRDefault="00000000">
      <w:pPr>
        <w:spacing w:line="360" w:lineRule="auto"/>
        <w:jc w:val="both"/>
      </w:pPr>
      <w:r>
        <w:t xml:space="preserve">Evans, B.A., Khanom, A., Edwards, A., Edwards, B., Farr, A., Foster, T., Fothergill, R., Gripper, P., Gunson, I., Porter, A. and Rees, N. (2024) Experiences and views of people who frequently call emergency ambulance services: A qualitative study of UK service users. Health Expectations, 27(1), p.e13856. </w:t>
      </w:r>
      <w:hyperlink r:id="rId11">
        <w:r>
          <w:rPr>
            <w:color w:val="1155CC"/>
            <w:u w:val="single"/>
          </w:rPr>
          <w:t>https://onlinelibrary.wiley.com/doi/pdfdirect/10.1111/hex.13856</w:t>
        </w:r>
      </w:hyperlink>
      <w:r>
        <w:t xml:space="preserve"> </w:t>
      </w:r>
    </w:p>
    <w:p w14:paraId="5AB7FF9B" w14:textId="77777777" w:rsidR="00DE3992" w:rsidRDefault="00000000">
      <w:pPr>
        <w:spacing w:line="360" w:lineRule="auto"/>
        <w:jc w:val="both"/>
      </w:pPr>
      <w:r>
        <w:t xml:space="preserve">England, N. (2025) NHS England» New ambulances and faster emergency care for patients next winter. [online] England.nhs.uk. Available from: </w:t>
      </w:r>
      <w:hyperlink r:id="rId12">
        <w:r>
          <w:rPr>
            <w:color w:val="1155CC"/>
            <w:u w:val="single"/>
          </w:rPr>
          <w:t>https://www.england.nhs.uk/2025/06/new-ambulances-and-faster-emergency-care-for-patients-next-winter/</w:t>
        </w:r>
      </w:hyperlink>
      <w:r>
        <w:t>.  (Accessed 27 November 2025)</w:t>
      </w:r>
    </w:p>
    <w:p w14:paraId="5FD5D69E" w14:textId="77777777" w:rsidR="00DE3992" w:rsidRDefault="00DE3992">
      <w:pPr>
        <w:spacing w:line="360" w:lineRule="auto"/>
        <w:jc w:val="both"/>
      </w:pPr>
    </w:p>
    <w:p w14:paraId="29974829" w14:textId="77777777" w:rsidR="00DE3992" w:rsidRDefault="00000000">
      <w:pPr>
        <w:spacing w:line="360" w:lineRule="auto"/>
        <w:jc w:val="both"/>
      </w:pPr>
      <w:r>
        <w:lastRenderedPageBreak/>
        <w:t xml:space="preserve">The History of the Ambulance Service. (2023) Available from: </w:t>
      </w:r>
      <w:hyperlink r:id="rId13">
        <w:r>
          <w:rPr>
            <w:color w:val="1155CC"/>
            <w:u w:val="single"/>
          </w:rPr>
          <w:t>https://www.northamptongeneral.nhs.uk/About/OurHistory/History-of-Ambulance.pdf</w:t>
        </w:r>
      </w:hyperlink>
      <w:r>
        <w:t>.  (Accessed 27 November 2025)</w:t>
      </w:r>
    </w:p>
    <w:p w14:paraId="2BB821CA" w14:textId="77777777" w:rsidR="00DE3992" w:rsidRDefault="00000000">
      <w:pPr>
        <w:spacing w:line="360" w:lineRule="auto"/>
        <w:jc w:val="both"/>
      </w:pPr>
      <w:r>
        <w:t xml:space="preserve">The Health Foundation. (2023) Why Have Ambulance Waiting Times Been Getting worse? [online] The Health Foundation. Available from: </w:t>
      </w:r>
      <w:hyperlink r:id="rId14">
        <w:r>
          <w:rPr>
            <w:color w:val="1155CC"/>
            <w:u w:val="single"/>
          </w:rPr>
          <w:t>https://www.health.org.uk/reports-and-analysis/analysis/why-have-ambulance-waiting-times-been-getting-worse</w:t>
        </w:r>
      </w:hyperlink>
      <w:r>
        <w:t>.  (Accessed 27 November 2025)</w:t>
      </w:r>
    </w:p>
    <w:p w14:paraId="51F51481" w14:textId="77777777" w:rsidR="00DE3992" w:rsidRDefault="00000000">
      <w:pPr>
        <w:spacing w:line="360" w:lineRule="auto"/>
        <w:jc w:val="both"/>
      </w:pPr>
      <w:r>
        <w:t xml:space="preserve">Baker, C., Garratt, K. and Wilson, S. (2025) Ambulance service response times. [online] House of Commons Library. Available from: </w:t>
      </w:r>
      <w:hyperlink r:id="rId15">
        <w:r>
          <w:rPr>
            <w:color w:val="1155CC"/>
            <w:u w:val="single"/>
          </w:rPr>
          <w:t>https://commonslibrary.parliament.uk/research-briefings/cdp-2025-0042/</w:t>
        </w:r>
      </w:hyperlink>
      <w:r>
        <w:t>.  (Accessed 27 November 2025)</w:t>
      </w:r>
    </w:p>
    <w:p w14:paraId="422075B3" w14:textId="77777777" w:rsidR="00DE3992" w:rsidRDefault="00000000">
      <w:pPr>
        <w:spacing w:line="360" w:lineRule="auto"/>
        <w:jc w:val="both"/>
      </w:pPr>
      <w:r>
        <w:t xml:space="preserve">Age UK. (2025) Available from: </w:t>
      </w:r>
      <w:hyperlink r:id="rId16">
        <w:r>
          <w:rPr>
            <w:color w:val="1155CC"/>
            <w:u w:val="single"/>
          </w:rPr>
          <w:t>https://www.ageuk.org.uk/discover/2025/september/state-of-health-and-care-of-older-people-in-england-2025/</w:t>
        </w:r>
      </w:hyperlink>
      <w:r>
        <w:t>.   (Accessed 27 November 2025)</w:t>
      </w:r>
    </w:p>
    <w:p w14:paraId="72502FE3" w14:textId="77777777" w:rsidR="00DE3992" w:rsidRDefault="00000000">
      <w:pPr>
        <w:spacing w:line="360" w:lineRule="auto"/>
        <w:jc w:val="both"/>
      </w:pPr>
      <w:r>
        <w:t xml:space="preserve">NHS. (2025) NHS England» Monthly operational statistics – February 2024. [online] Available from: </w:t>
      </w:r>
      <w:hyperlink r:id="rId17">
        <w:r>
          <w:rPr>
            <w:color w:val="1155CC"/>
            <w:u w:val="single"/>
          </w:rPr>
          <w:t>https://www.england.nhs.uk/long-read/monthly-operational-statistics-february-2024/</w:t>
        </w:r>
      </w:hyperlink>
      <w:r>
        <w:t xml:space="preserve">  (Accessed 27 November 2025)</w:t>
      </w:r>
    </w:p>
    <w:p w14:paraId="094A0BD5" w14:textId="77777777" w:rsidR="00DE3992" w:rsidRDefault="00000000">
      <w:pPr>
        <w:spacing w:line="360" w:lineRule="auto"/>
        <w:jc w:val="both"/>
      </w:pPr>
      <w:r>
        <w:t xml:space="preserve">‌The Health Foundation. (2023) Our ageing population. [online] The Health Foundation. Available from: </w:t>
      </w:r>
      <w:hyperlink r:id="rId18">
        <w:r>
          <w:rPr>
            <w:color w:val="1155CC"/>
            <w:u w:val="single"/>
          </w:rPr>
          <w:t>https://www.health.org.uk/reports-and-analysis/reports/our-ageing-population</w:t>
        </w:r>
      </w:hyperlink>
      <w:r>
        <w:t>.  (Accessed 27 November 2025)</w:t>
      </w:r>
    </w:p>
    <w:p w14:paraId="78B4A14C" w14:textId="77777777" w:rsidR="00DE3992" w:rsidRDefault="00000000">
      <w:pPr>
        <w:spacing w:line="360" w:lineRule="auto"/>
        <w:jc w:val="both"/>
      </w:pPr>
      <w:r>
        <w:t xml:space="preserve">Bowling, P. and de Jong, G. (2025) Patients’ experiences of community care after ambulance assessment: A scoping review’. International Emergency Nursing, 81, p.101635. </w:t>
      </w:r>
      <w:hyperlink r:id="rId19">
        <w:r>
          <w:rPr>
            <w:color w:val="1155CC"/>
            <w:u w:val="single"/>
          </w:rPr>
          <w:t>https://doi.org/10.1016/j.ienj.2025.101635</w:t>
        </w:r>
      </w:hyperlink>
      <w:r>
        <w:t xml:space="preserve"> </w:t>
      </w:r>
    </w:p>
    <w:p w14:paraId="449CE648" w14:textId="77777777" w:rsidR="00DE3992" w:rsidRDefault="00000000">
      <w:pPr>
        <w:spacing w:line="360" w:lineRule="auto"/>
        <w:jc w:val="both"/>
      </w:pPr>
      <w:r>
        <w:t xml:space="preserve">NWAS. (2025) Gender </w:t>
      </w:r>
      <w:proofErr w:type="gramStart"/>
      <w:r>
        <w:t>pay</w:t>
      </w:r>
      <w:proofErr w:type="gramEnd"/>
      <w:r>
        <w:t xml:space="preserve"> gap. [online] Available from: </w:t>
      </w:r>
      <w:hyperlink r:id="rId20">
        <w:r>
          <w:rPr>
            <w:color w:val="1155CC"/>
            <w:u w:val="single"/>
          </w:rPr>
          <w:t>https://www.nwas.nhs.uk/gender-pay-gap/</w:t>
        </w:r>
      </w:hyperlink>
      <w:r>
        <w:t>.    (Accessed 27 November 2025)</w:t>
      </w:r>
    </w:p>
    <w:p w14:paraId="523B33CB" w14:textId="77777777" w:rsidR="00DE3992" w:rsidRDefault="00000000">
      <w:pPr>
        <w:spacing w:line="360" w:lineRule="auto"/>
        <w:jc w:val="both"/>
      </w:pPr>
      <w:r>
        <w:t xml:space="preserve">NHS. (2024) Examining the Occupational Stress Experienced by Ambulance Staff: A Mixed-Methods Stress Audit (OCSAS) - BNSSG Healthier Together. [online] BNSSG Healthier Together. Available from: </w:t>
      </w:r>
      <w:hyperlink r:id="rId21">
        <w:r>
          <w:rPr>
            <w:color w:val="1155CC"/>
            <w:u w:val="single"/>
          </w:rPr>
          <w:t>https://bnssg.icb.nhs.uk/research-and-evidence/our-research-portfolio/type-2-rcf-funded-projects/examining-the-occupational-stress-experienced-by-ambulance-staff-a-mixed-methods-stress-audit-ocsas/</w:t>
        </w:r>
      </w:hyperlink>
      <w:r>
        <w:t>.    (Accessed 27 November 2025)</w:t>
      </w:r>
    </w:p>
    <w:p w14:paraId="443ED234" w14:textId="77777777" w:rsidR="00DE3992" w:rsidRDefault="00000000">
      <w:pPr>
        <w:spacing w:line="360" w:lineRule="auto"/>
        <w:jc w:val="both"/>
      </w:pPr>
      <w:r>
        <w:t xml:space="preserve">Beldon, R. and Garside, J. (2022) Burnout in frontline ambulance staff. Journal of Paramedic Practice, 14(1), pp.6-14. </w:t>
      </w:r>
      <w:hyperlink r:id="rId22">
        <w:r>
          <w:rPr>
            <w:color w:val="1155CC"/>
            <w:u w:val="single"/>
          </w:rPr>
          <w:t>https://pure.hud.ac.uk/ws/files/41835370/Accepted_manuscript.pdf</w:t>
        </w:r>
      </w:hyperlink>
      <w:r>
        <w:t xml:space="preserve"> </w:t>
      </w:r>
    </w:p>
    <w:p w14:paraId="3912FE77" w14:textId="77777777" w:rsidR="00DE3992" w:rsidRDefault="00DE3992">
      <w:pPr>
        <w:spacing w:line="360" w:lineRule="auto"/>
        <w:jc w:val="both"/>
      </w:pPr>
    </w:p>
    <w:p w14:paraId="28B8F273" w14:textId="77777777" w:rsidR="00DE3992" w:rsidRDefault="00000000">
      <w:pPr>
        <w:spacing w:line="360" w:lineRule="auto"/>
        <w:jc w:val="both"/>
      </w:pPr>
      <w:r>
        <w:t>‌</w:t>
      </w:r>
    </w:p>
    <w:p w14:paraId="5A39E9BC" w14:textId="77777777" w:rsidR="00DE3992" w:rsidRDefault="00000000">
      <w:pPr>
        <w:spacing w:line="360" w:lineRule="auto"/>
        <w:jc w:val="both"/>
      </w:pPr>
      <w:r>
        <w:t xml:space="preserve">‌ </w:t>
      </w:r>
    </w:p>
    <w:p w14:paraId="7AC8C7D5" w14:textId="77777777" w:rsidR="00DE3992" w:rsidRDefault="00DE3992">
      <w:pPr>
        <w:spacing w:line="360" w:lineRule="auto"/>
        <w:jc w:val="both"/>
      </w:pPr>
    </w:p>
    <w:p w14:paraId="03A71DDC" w14:textId="77777777" w:rsidR="00DE3992" w:rsidRDefault="00000000">
      <w:pPr>
        <w:spacing w:line="360" w:lineRule="auto"/>
        <w:jc w:val="both"/>
      </w:pPr>
      <w:r>
        <w:lastRenderedPageBreak/>
        <w:t>‌</w:t>
      </w:r>
    </w:p>
    <w:p w14:paraId="3D312E8E" w14:textId="77777777" w:rsidR="00DE3992" w:rsidRDefault="00000000">
      <w:pPr>
        <w:spacing w:line="360" w:lineRule="auto"/>
        <w:jc w:val="both"/>
      </w:pPr>
      <w:r>
        <w:t>‌</w:t>
      </w:r>
    </w:p>
    <w:p w14:paraId="22D3C8D1" w14:textId="77777777" w:rsidR="00DE3992" w:rsidRDefault="00000000">
      <w:pPr>
        <w:spacing w:line="360" w:lineRule="auto"/>
        <w:jc w:val="both"/>
      </w:pPr>
      <w:r>
        <w:t>‌</w:t>
      </w:r>
    </w:p>
    <w:p w14:paraId="31CBBB7D" w14:textId="77777777" w:rsidR="00DE3992" w:rsidRDefault="00000000">
      <w:pPr>
        <w:spacing w:line="360" w:lineRule="auto"/>
        <w:jc w:val="both"/>
      </w:pPr>
      <w:r>
        <w:t>‌</w:t>
      </w:r>
    </w:p>
    <w:p w14:paraId="6FE481C6" w14:textId="77777777" w:rsidR="00DE3992" w:rsidRDefault="00DE3992">
      <w:pPr>
        <w:spacing w:line="360" w:lineRule="auto"/>
        <w:jc w:val="both"/>
      </w:pPr>
    </w:p>
    <w:p w14:paraId="2C538131" w14:textId="77777777" w:rsidR="00DE3992" w:rsidRDefault="00000000">
      <w:pPr>
        <w:spacing w:line="360" w:lineRule="auto"/>
        <w:jc w:val="both"/>
      </w:pPr>
      <w:r>
        <w:t xml:space="preserve"> </w:t>
      </w:r>
    </w:p>
    <w:p w14:paraId="1A8FFCCF" w14:textId="77777777" w:rsidR="00DE3992" w:rsidRDefault="00000000">
      <w:pPr>
        <w:spacing w:line="360" w:lineRule="auto"/>
        <w:jc w:val="both"/>
      </w:pPr>
      <w:r>
        <w:t>‌</w:t>
      </w:r>
    </w:p>
    <w:p w14:paraId="20E25A08" w14:textId="77777777" w:rsidR="00DE3992" w:rsidRDefault="00000000">
      <w:pPr>
        <w:spacing w:line="360" w:lineRule="auto"/>
        <w:jc w:val="both"/>
      </w:pPr>
      <w:r>
        <w:t xml:space="preserve">‌ </w:t>
      </w:r>
    </w:p>
    <w:p w14:paraId="26A4ADAA" w14:textId="77777777" w:rsidR="00DE3992" w:rsidRDefault="00DE3992">
      <w:pPr>
        <w:spacing w:line="360" w:lineRule="auto"/>
        <w:jc w:val="both"/>
      </w:pPr>
    </w:p>
    <w:p w14:paraId="16A7148C" w14:textId="77777777" w:rsidR="00DE3992" w:rsidRDefault="00DE3992">
      <w:pPr>
        <w:spacing w:line="360" w:lineRule="auto"/>
        <w:jc w:val="both"/>
      </w:pPr>
    </w:p>
    <w:p w14:paraId="22CC04C5" w14:textId="77777777" w:rsidR="00DE3992" w:rsidRDefault="00000000">
      <w:pPr>
        <w:spacing w:line="360" w:lineRule="auto"/>
        <w:jc w:val="both"/>
      </w:pPr>
      <w:r>
        <w:t>‌</w:t>
      </w:r>
    </w:p>
    <w:p w14:paraId="07DFBF1B" w14:textId="77777777" w:rsidR="00DE3992" w:rsidRDefault="00DE3992">
      <w:pPr>
        <w:spacing w:line="360" w:lineRule="auto"/>
        <w:jc w:val="both"/>
      </w:pPr>
    </w:p>
    <w:p w14:paraId="2DB31180" w14:textId="77777777" w:rsidR="00DE3992" w:rsidRDefault="00000000">
      <w:pPr>
        <w:spacing w:line="360" w:lineRule="auto"/>
        <w:jc w:val="both"/>
      </w:pPr>
      <w:r>
        <w:t>‌</w:t>
      </w:r>
    </w:p>
    <w:p w14:paraId="49B33929" w14:textId="77777777" w:rsidR="00DE3992" w:rsidRDefault="00DE3992">
      <w:pPr>
        <w:spacing w:line="360" w:lineRule="auto"/>
        <w:jc w:val="both"/>
        <w:rPr>
          <w:b/>
          <w:bCs/>
        </w:rPr>
      </w:pPr>
    </w:p>
    <w:p w14:paraId="7BA4B5AE" w14:textId="77777777" w:rsidR="00DE3992" w:rsidRDefault="00DE3992">
      <w:pPr>
        <w:spacing w:line="360" w:lineRule="auto"/>
        <w:jc w:val="both"/>
        <w:rPr>
          <w:b/>
          <w:bCs/>
        </w:rPr>
      </w:pPr>
    </w:p>
    <w:sectPr w:rsidR="00DE399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BAA2F14-247B-427E-AF91-635F36433405}"/>
  </w:font>
  <w:font w:name="Cambria">
    <w:panose1 w:val="02040503050406030204"/>
    <w:charset w:val="00"/>
    <w:family w:val="roman"/>
    <w:pitch w:val="variable"/>
    <w:sig w:usb0="E00006FF" w:usb1="420024FF" w:usb2="02000000" w:usb3="00000000" w:csb0="0000019F" w:csb1="00000000"/>
    <w:embedRegular r:id="rId2" w:fontKey="{A6C44D23-67FE-4013-8A7B-B62F75F5454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992"/>
    <w:rsid w:val="003C087E"/>
    <w:rsid w:val="006D4504"/>
    <w:rsid w:val="00DE3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B93DD"/>
  <w15:docId w15:val="{47DCEA06-4002-42D9-81FC-16D172087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13" Type="http://schemas.openxmlformats.org/officeDocument/2006/relationships/hyperlink" Target="https://www.northamptongeneral.nhs.uk/About/OurHistory/History-of-Ambulance.pdf" TargetMode="External"/><Relationship Id="rId18" Type="http://schemas.openxmlformats.org/officeDocument/2006/relationships/hyperlink" Target="https://www.health.org.uk/reports-and-analysis/reports/our-ageing-population" TargetMode="External"/><Relationship Id="rId3" Type="http://schemas.openxmlformats.org/officeDocument/2006/relationships/webSettings" Target="webSettings.xml"/><Relationship Id="rId21" Type="http://schemas.openxmlformats.org/officeDocument/2006/relationships/hyperlink" Target="https://bnssg.icb.nhs.uk/research-and-evidence/our-research-portfolio/type-2-rcf-funded-projects/examining-the-occupational-stress-experienced-by-ambulance-staff-a-mixed-methods-stress-audit-ocsas/" TargetMode="External"/><Relationship Id="rId7" Type="http://schemas.openxmlformats.org/officeDocument/2006/relationships/hyperlink" Target="https://www.policybee.co.uk/blog/domiciliary-care-statistics" TargetMode="External"/><Relationship Id="rId12" Type="http://schemas.openxmlformats.org/officeDocument/2006/relationships/hyperlink" Target="https://www.england.nhs.uk/2025/06/new-ambulances-and-faster-emergency-care-for-patients-next-winter/" TargetMode="External"/><Relationship Id="rId17" Type="http://schemas.openxmlformats.org/officeDocument/2006/relationships/hyperlink" Target="https://www.england.nhs.uk/long-read/monthly-operational-statistics-february-2024/" TargetMode="External"/><Relationship Id="rId2" Type="http://schemas.openxmlformats.org/officeDocument/2006/relationships/settings" Target="settings.xml"/><Relationship Id="rId16" Type="http://schemas.openxmlformats.org/officeDocument/2006/relationships/hyperlink" Target="https://www.ageuk.org.uk/discover/2025/september/state-of-health-and-care-of-older-people-in-england-2025/" TargetMode="External"/><Relationship Id="rId20" Type="http://schemas.openxmlformats.org/officeDocument/2006/relationships/hyperlink" Target="https://www.nwas.nhs.uk/gender-pay-gap/" TargetMode="External"/><Relationship Id="rId1" Type="http://schemas.openxmlformats.org/officeDocument/2006/relationships/styles" Target="styles.xml"/><Relationship Id="rId6" Type="http://schemas.openxmlformats.org/officeDocument/2006/relationships/hyperlink" Target="https://www.gov.uk/government/publications/care-act-statutory-guidance/list-of-changes-made-to-the-care-act-guidance" TargetMode="External"/><Relationship Id="rId11" Type="http://schemas.openxmlformats.org/officeDocument/2006/relationships/hyperlink" Target="https://onlinelibrary.wiley.com/doi/pdfdirect/10.1111/hex.13856" TargetMode="External"/><Relationship Id="rId24" Type="http://schemas.openxmlformats.org/officeDocument/2006/relationships/theme" Target="theme/theme1.xml"/><Relationship Id="rId5" Type="http://schemas.openxmlformats.org/officeDocument/2006/relationships/hyperlink" Target="https://www.health.org.uk/evidence-hub/health-inequalities/inequalities-in-mortality-rates-by-disability" TargetMode="External"/><Relationship Id="rId15" Type="http://schemas.openxmlformats.org/officeDocument/2006/relationships/hyperlink" Target="https://commonslibrary.parliament.uk/research-briefings/cdp-2025-0042/" TargetMode="External"/><Relationship Id="rId23" Type="http://schemas.openxmlformats.org/officeDocument/2006/relationships/fontTable" Target="fontTable.xml"/><Relationship Id="rId10" Type="http://schemas.openxmlformats.org/officeDocument/2006/relationships/hyperlink" Target="https://new.socialniprace.cz/wp-content/uploads/2021/03/SP1_2021web.pdf" TargetMode="External"/><Relationship Id="rId19" Type="http://schemas.openxmlformats.org/officeDocument/2006/relationships/hyperlink" Target="https://doi.org/10.1016/j.ienj.2025.101635" TargetMode="External"/><Relationship Id="rId4" Type="http://schemas.openxmlformats.org/officeDocument/2006/relationships/image" Target="media/image1.png"/><Relationship Id="rId9" Type="http://schemas.openxmlformats.org/officeDocument/2006/relationships/hyperlink" Target="https://publications.parliament.uk/pa/cm5901/cmselect/cmhealth/368/report.html" TargetMode="External"/><Relationship Id="rId14" Type="http://schemas.openxmlformats.org/officeDocument/2006/relationships/hyperlink" Target="https://www.health.org.uk/reports-and-analysis/analysis/why-have-ambulance-waiting-times-been-getting-worse" TargetMode="External"/><Relationship Id="rId22" Type="http://schemas.openxmlformats.org/officeDocument/2006/relationships/hyperlink" Target="https://pure.hud.ac.uk/ws/files/41835370/Accepted_manuscript.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2648</Words>
  <Characters>15099</Characters>
  <Application>Microsoft Office Word</Application>
  <DocSecurity>0</DocSecurity>
  <Lines>125</Lines>
  <Paragraphs>35</Paragraphs>
  <ScaleCrop>false</ScaleCrop>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Gabi</cp:lastModifiedBy>
  <cp:revision>2</cp:revision>
  <dcterms:created xsi:type="dcterms:W3CDTF">2025-11-27T11:19:00Z</dcterms:created>
  <dcterms:modified xsi:type="dcterms:W3CDTF">2025-11-27T11:19:00Z</dcterms:modified>
</cp:coreProperties>
</file>