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6E6" w:rsidRDefault="00E53A67" w:rsidP="009A207C">
      <w:pPr>
        <w:pStyle w:val="Heading1"/>
        <w:spacing w:line="360" w:lineRule="auto"/>
      </w:pPr>
      <w:bookmarkStart w:id="0" w:name="_Toc100620242"/>
      <w:r>
        <w:t xml:space="preserve">   </w:t>
      </w:r>
    </w:p>
    <w:p w:rsidR="00AE06E6" w:rsidRDefault="00E53A67" w:rsidP="00AE06E6">
      <w:pPr>
        <w:pStyle w:val="Normal1"/>
        <w:rPr>
          <w:rFonts w:asciiTheme="minorHAnsi" w:hAnsiTheme="minorHAnsi" w:cstheme="minorHAnsi"/>
          <w:b/>
          <w:sz w:val="28"/>
          <w:szCs w:val="28"/>
        </w:rPr>
      </w:pPr>
      <w:r>
        <w:rPr>
          <w:rFonts w:asciiTheme="minorHAnsi" w:hAnsiTheme="minorHAnsi" w:cstheme="minorHAnsi"/>
          <w:b/>
          <w:sz w:val="28"/>
          <w:szCs w:val="28"/>
        </w:rPr>
        <w:t xml:space="preserve">         Student Name: </w:t>
      </w:r>
      <w:r w:rsidR="00AE06E6" w:rsidRPr="00E53A67">
        <w:rPr>
          <w:rFonts w:asciiTheme="minorHAnsi" w:hAnsiTheme="minorHAnsi" w:cstheme="minorHAnsi"/>
          <w:b/>
          <w:sz w:val="28"/>
          <w:szCs w:val="28"/>
        </w:rPr>
        <w:t>Valentina Vasileva</w:t>
      </w:r>
    </w:p>
    <w:p w:rsidR="00E53A67" w:rsidRPr="00E53A67" w:rsidRDefault="00E53A67" w:rsidP="00AE06E6">
      <w:pPr>
        <w:pStyle w:val="Normal1"/>
        <w:rPr>
          <w:rFonts w:asciiTheme="minorHAnsi" w:hAnsiTheme="minorHAnsi" w:cstheme="minorHAnsi"/>
          <w:b/>
          <w:sz w:val="28"/>
          <w:szCs w:val="28"/>
        </w:rPr>
      </w:pPr>
    </w:p>
    <w:p w:rsidR="00AE06E6" w:rsidRPr="00E53A67" w:rsidRDefault="00E53A67" w:rsidP="00AE06E6">
      <w:pPr>
        <w:pStyle w:val="Normal1"/>
        <w:rPr>
          <w:rFonts w:asciiTheme="minorHAnsi" w:hAnsiTheme="minorHAnsi" w:cstheme="minorHAnsi"/>
          <w:b/>
          <w:sz w:val="28"/>
          <w:szCs w:val="28"/>
        </w:rPr>
      </w:pPr>
      <w:r>
        <w:t xml:space="preserve">         </w:t>
      </w:r>
      <w:r w:rsidRPr="00E53A67">
        <w:rPr>
          <w:rFonts w:asciiTheme="minorHAnsi" w:hAnsiTheme="minorHAnsi" w:cstheme="minorHAnsi"/>
          <w:b/>
          <w:sz w:val="28"/>
          <w:szCs w:val="28"/>
        </w:rPr>
        <w:t>Student Number:</w:t>
      </w:r>
      <w:r w:rsidR="00AE06E6" w:rsidRPr="00E53A67">
        <w:rPr>
          <w:rFonts w:asciiTheme="minorHAnsi" w:hAnsiTheme="minorHAnsi" w:cstheme="minorHAnsi"/>
          <w:b/>
          <w:sz w:val="28"/>
          <w:szCs w:val="28"/>
        </w:rPr>
        <w:t>1909485</w:t>
      </w:r>
    </w:p>
    <w:p w:rsidR="00E53A67" w:rsidRPr="00E53A67" w:rsidRDefault="00E53A67" w:rsidP="00AE06E6">
      <w:pPr>
        <w:pStyle w:val="Normal1"/>
        <w:rPr>
          <w:rFonts w:asciiTheme="minorHAnsi" w:hAnsiTheme="minorHAnsi" w:cstheme="minorHAnsi"/>
          <w:b/>
          <w:sz w:val="28"/>
          <w:szCs w:val="28"/>
        </w:rPr>
      </w:pPr>
    </w:p>
    <w:p w:rsidR="00E53A67" w:rsidRPr="00E53A67" w:rsidRDefault="00E53A67" w:rsidP="00AE06E6">
      <w:pPr>
        <w:pStyle w:val="Normal1"/>
        <w:rPr>
          <w:rFonts w:asciiTheme="minorHAnsi" w:hAnsiTheme="minorHAnsi" w:cstheme="minorHAnsi"/>
          <w:b/>
          <w:sz w:val="28"/>
          <w:szCs w:val="28"/>
        </w:rPr>
      </w:pPr>
      <w:r>
        <w:rPr>
          <w:rFonts w:asciiTheme="minorHAnsi" w:hAnsiTheme="minorHAnsi" w:cstheme="minorHAnsi"/>
          <w:b/>
          <w:sz w:val="28"/>
          <w:szCs w:val="28"/>
        </w:rPr>
        <w:t xml:space="preserve">        </w:t>
      </w:r>
      <w:r w:rsidRPr="00E53A67">
        <w:rPr>
          <w:rFonts w:asciiTheme="minorHAnsi" w:hAnsiTheme="minorHAnsi" w:cstheme="minorHAnsi"/>
          <w:b/>
          <w:sz w:val="28"/>
          <w:szCs w:val="28"/>
        </w:rPr>
        <w:t xml:space="preserve"> Module Name: International Financial Management</w:t>
      </w:r>
    </w:p>
    <w:p w:rsidR="00E53A67" w:rsidRPr="00E53A67" w:rsidRDefault="00E53A67" w:rsidP="00AE06E6">
      <w:pPr>
        <w:pStyle w:val="Normal1"/>
        <w:rPr>
          <w:rFonts w:asciiTheme="minorHAnsi" w:hAnsiTheme="minorHAnsi" w:cstheme="minorHAnsi"/>
          <w:b/>
          <w:sz w:val="28"/>
          <w:szCs w:val="28"/>
        </w:rPr>
      </w:pPr>
      <w:r>
        <w:rPr>
          <w:rFonts w:asciiTheme="minorHAnsi" w:hAnsiTheme="minorHAnsi" w:cstheme="minorHAnsi"/>
          <w:b/>
          <w:sz w:val="28"/>
          <w:szCs w:val="28"/>
        </w:rPr>
        <w:t xml:space="preserve">         </w:t>
      </w:r>
      <w:r w:rsidRPr="00E53A67">
        <w:rPr>
          <w:rFonts w:asciiTheme="minorHAnsi" w:hAnsiTheme="minorHAnsi" w:cstheme="minorHAnsi"/>
          <w:b/>
          <w:sz w:val="28"/>
          <w:szCs w:val="28"/>
        </w:rPr>
        <w:t>LCBB:6002</w:t>
      </w:r>
    </w:p>
    <w:p w:rsidR="00E53A67" w:rsidRPr="00E53A67" w:rsidRDefault="00E53A67" w:rsidP="00AE06E6">
      <w:pPr>
        <w:pStyle w:val="Normal1"/>
        <w:rPr>
          <w:rFonts w:asciiTheme="minorHAnsi" w:hAnsiTheme="minorHAnsi" w:cstheme="minorHAnsi"/>
          <w:b/>
          <w:sz w:val="28"/>
          <w:szCs w:val="28"/>
        </w:rPr>
      </w:pPr>
    </w:p>
    <w:p w:rsidR="00E53A67" w:rsidRDefault="00E53A67" w:rsidP="00AE06E6">
      <w:pPr>
        <w:pStyle w:val="Normal1"/>
        <w:rPr>
          <w:rFonts w:asciiTheme="minorHAnsi" w:hAnsiTheme="minorHAnsi" w:cstheme="minorHAnsi"/>
          <w:b/>
          <w:sz w:val="28"/>
          <w:szCs w:val="28"/>
        </w:rPr>
      </w:pPr>
      <w:r>
        <w:rPr>
          <w:rFonts w:asciiTheme="minorHAnsi" w:hAnsiTheme="minorHAnsi" w:cstheme="minorHAnsi"/>
          <w:b/>
          <w:sz w:val="28"/>
          <w:szCs w:val="28"/>
        </w:rPr>
        <w:t xml:space="preserve">         </w:t>
      </w:r>
      <w:r w:rsidRPr="00E53A67">
        <w:rPr>
          <w:rFonts w:asciiTheme="minorHAnsi" w:hAnsiTheme="minorHAnsi" w:cstheme="minorHAnsi"/>
          <w:b/>
          <w:sz w:val="28"/>
          <w:szCs w:val="28"/>
        </w:rPr>
        <w:t>Lecturer Name: Dr. Taye Timothy Osadiya</w:t>
      </w:r>
    </w:p>
    <w:p w:rsidR="00E53A67" w:rsidRDefault="00E53A67" w:rsidP="00AE06E6">
      <w:pPr>
        <w:pStyle w:val="Normal1"/>
        <w:rPr>
          <w:rFonts w:asciiTheme="minorHAnsi" w:hAnsiTheme="minorHAnsi" w:cstheme="minorHAnsi"/>
          <w:b/>
          <w:sz w:val="28"/>
          <w:szCs w:val="28"/>
        </w:rPr>
      </w:pPr>
    </w:p>
    <w:p w:rsidR="00E53A67" w:rsidRPr="00E53A67" w:rsidRDefault="00E53A67" w:rsidP="00AE06E6">
      <w:pPr>
        <w:pStyle w:val="Normal1"/>
        <w:rPr>
          <w:rFonts w:asciiTheme="minorHAnsi" w:hAnsiTheme="minorHAnsi" w:cstheme="minorHAnsi"/>
          <w:b/>
          <w:sz w:val="28"/>
          <w:szCs w:val="28"/>
        </w:rPr>
      </w:pPr>
      <w:r>
        <w:rPr>
          <w:rFonts w:asciiTheme="minorHAnsi" w:hAnsiTheme="minorHAnsi" w:cstheme="minorHAnsi"/>
          <w:b/>
          <w:sz w:val="28"/>
          <w:szCs w:val="28"/>
        </w:rPr>
        <w:t xml:space="preserve">         Assessment 1</w:t>
      </w:r>
    </w:p>
    <w:p w:rsidR="00AE06E6" w:rsidRPr="00E53A67" w:rsidRDefault="00AE06E6" w:rsidP="00AE06E6">
      <w:pPr>
        <w:pStyle w:val="Normal1"/>
        <w:rPr>
          <w:rFonts w:asciiTheme="minorHAnsi" w:eastAsia="Times New Roman" w:hAnsiTheme="minorHAnsi" w:cstheme="minorHAnsi"/>
          <w:sz w:val="28"/>
          <w:szCs w:val="24"/>
        </w:rPr>
      </w:pPr>
      <w:r w:rsidRPr="00E53A67">
        <w:rPr>
          <w:rFonts w:asciiTheme="minorHAnsi" w:hAnsiTheme="minorHAnsi" w:cstheme="minorHAnsi"/>
        </w:rPr>
        <w:br w:type="page"/>
      </w:r>
    </w:p>
    <w:p w:rsidR="009A207C" w:rsidRPr="000D6B46" w:rsidRDefault="009A207C" w:rsidP="009A207C">
      <w:pPr>
        <w:pStyle w:val="Heading1"/>
        <w:spacing w:line="360" w:lineRule="auto"/>
        <w:rPr>
          <w:rFonts w:asciiTheme="minorHAnsi" w:hAnsiTheme="minorHAnsi" w:cstheme="minorHAnsi"/>
        </w:rPr>
      </w:pPr>
      <w:r w:rsidRPr="000D6B46">
        <w:rPr>
          <w:rFonts w:asciiTheme="minorHAnsi" w:hAnsiTheme="minorHAnsi" w:cstheme="minorHAnsi"/>
        </w:rPr>
        <w:lastRenderedPageBreak/>
        <w:t>Introduction</w:t>
      </w:r>
      <w:bookmarkEnd w:id="0"/>
    </w:p>
    <w:p w:rsidR="009A207C" w:rsidRPr="00AF76A4" w:rsidRDefault="009A207C" w:rsidP="009A207C">
      <w:pPr>
        <w:pStyle w:val="Normal1"/>
        <w:spacing w:line="360" w:lineRule="auto"/>
        <w:jc w:val="both"/>
        <w:rPr>
          <w:rFonts w:asciiTheme="minorHAnsi" w:eastAsia="Times New Roman" w:hAnsiTheme="minorHAnsi" w:cstheme="minorHAnsi"/>
          <w:sz w:val="24"/>
          <w:szCs w:val="24"/>
        </w:rPr>
      </w:pPr>
      <w:r w:rsidRPr="00AF76A4">
        <w:rPr>
          <w:rFonts w:asciiTheme="minorHAnsi" w:eastAsia="Times New Roman" w:hAnsiTheme="minorHAnsi" w:cstheme="minorHAnsi"/>
          <w:sz w:val="24"/>
          <w:szCs w:val="24"/>
        </w:rPr>
        <w:t xml:space="preserve">International financial management is an important factor in the decision-making process of companies. Financial management is a process of evaluating the financial performance of the company and taking strategic decisions based on performance. Financial performance is measured by a number of statistical data such as business revenue, operating margin, profit margin, profit without tax and discounts, cost of production, cost of labor, and many others. Therefore, financial management refers to all kinds of economic activity and makes decisions such as asset selection, raising funds, deploying funds, central banks dealing with foreign exchange services, financial crises, and asset-liability decisions. </w:t>
      </w:r>
    </w:p>
    <w:p w:rsidR="009A207C" w:rsidRPr="00AF76A4" w:rsidRDefault="009A207C" w:rsidP="009A207C">
      <w:pPr>
        <w:pStyle w:val="Normal1"/>
        <w:spacing w:line="360" w:lineRule="auto"/>
        <w:jc w:val="both"/>
        <w:rPr>
          <w:rFonts w:asciiTheme="minorHAnsi" w:eastAsia="Times New Roman" w:hAnsiTheme="minorHAnsi" w:cstheme="minorHAnsi"/>
          <w:sz w:val="24"/>
          <w:szCs w:val="24"/>
        </w:rPr>
      </w:pPr>
      <w:r w:rsidRPr="00AF76A4">
        <w:rPr>
          <w:rFonts w:asciiTheme="minorHAnsi" w:eastAsia="Times New Roman" w:hAnsiTheme="minorHAnsi" w:cstheme="minorHAnsi"/>
          <w:sz w:val="24"/>
          <w:szCs w:val="24"/>
        </w:rPr>
        <w:t xml:space="preserve">International financial management of a multinational organization can be defined in simple terms as the business is taking strategic decisions to enter two or more countries and gain insight into the consistent increase in international trade over the years. This essay discusses the importance of international financial management to the corporation and the challenges faced by choosing a corporation. In this essay, it is Samsung Electronics Limited, a South Korean Multinational corporation. This essay is also constructed with key relevant theories of international financial management which are related to strategies taken by the company and challenges faced in different financial markets. </w:t>
      </w:r>
    </w:p>
    <w:p w:rsidR="009A207C" w:rsidRPr="000D6B46" w:rsidRDefault="009A207C" w:rsidP="009A207C">
      <w:pPr>
        <w:pStyle w:val="Heading1"/>
        <w:spacing w:line="360" w:lineRule="auto"/>
        <w:rPr>
          <w:rFonts w:asciiTheme="minorHAnsi" w:hAnsiTheme="minorHAnsi" w:cstheme="minorHAnsi"/>
        </w:rPr>
      </w:pPr>
      <w:bookmarkStart w:id="1" w:name="_Toc100620243"/>
      <w:r w:rsidRPr="000D6B46">
        <w:rPr>
          <w:rFonts w:asciiTheme="minorHAnsi" w:hAnsiTheme="minorHAnsi" w:cstheme="minorHAnsi"/>
        </w:rPr>
        <w:t>Discussion</w:t>
      </w:r>
      <w:bookmarkEnd w:id="1"/>
    </w:p>
    <w:p w:rsidR="009A207C" w:rsidRDefault="009A207C" w:rsidP="009A207C">
      <w:pPr>
        <w:pStyle w:val="Normal1"/>
        <w:spacing w:line="360" w:lineRule="auto"/>
        <w:jc w:val="both"/>
        <w:rPr>
          <w:rFonts w:ascii="Times New Roman" w:eastAsia="Times New Roman" w:hAnsi="Times New Roman" w:cs="Times New Roman"/>
          <w:sz w:val="24"/>
          <w:szCs w:val="24"/>
        </w:rPr>
      </w:pPr>
      <w:r w:rsidRPr="00AF76A4">
        <w:rPr>
          <w:rFonts w:asciiTheme="minorHAnsi" w:eastAsia="Times New Roman" w:hAnsiTheme="minorHAnsi" w:cstheme="minorHAnsi"/>
          <w:b/>
          <w:sz w:val="24"/>
          <w:szCs w:val="24"/>
        </w:rPr>
        <w:t>Samsung</w:t>
      </w:r>
      <w:r w:rsidRPr="00AF76A4">
        <w:rPr>
          <w:rFonts w:asciiTheme="minorHAnsi" w:eastAsia="Times New Roman" w:hAnsiTheme="minorHAnsi" w:cstheme="minorHAnsi"/>
          <w:sz w:val="24"/>
          <w:szCs w:val="24"/>
        </w:rPr>
        <w:t xml:space="preserve"> is a multinational electronics manufacturing corporation that was involved in trading before becoming the electric giant. The company has become well established with the passage of time and takes strategic decisions based on the financial performance of both the market and the company. The company has been on complex and diverse roads in the electric industry and its foundation has become a humble beginning towards establishing a famous name in the electric industry. The company now operates in more than 84 countries around the world. The international financial environment is dependent on international business phenomena and takes place between two or more countries (Moșteanu, 2019). Therefore, international business activities such as trading goods and services as well as international production of electronic goods and services requires good financial management to checkout or monitor the financial performance of an organization</w:t>
      </w:r>
      <w:r>
        <w:rPr>
          <w:rFonts w:ascii="Times New Roman" w:eastAsia="Times New Roman" w:hAnsi="Times New Roman" w:cs="Times New Roman"/>
          <w:sz w:val="24"/>
          <w:szCs w:val="24"/>
        </w:rPr>
        <w:t xml:space="preserve">. </w:t>
      </w:r>
    </w:p>
    <w:p w:rsidR="009A207C" w:rsidRPr="00E85B5E" w:rsidRDefault="009A207C" w:rsidP="009A207C">
      <w:pPr>
        <w:pStyle w:val="Normal1"/>
        <w:spacing w:line="360" w:lineRule="auto"/>
        <w:jc w:val="both"/>
        <w:rPr>
          <w:rFonts w:asciiTheme="minorHAnsi" w:eastAsia="Times New Roman" w:hAnsiTheme="minorHAnsi" w:cstheme="minorHAnsi"/>
          <w:sz w:val="24"/>
          <w:szCs w:val="24"/>
        </w:rPr>
      </w:pPr>
      <w:r w:rsidRPr="00E85B5E">
        <w:rPr>
          <w:rFonts w:asciiTheme="minorHAnsi" w:eastAsia="Times New Roman" w:hAnsiTheme="minorHAnsi" w:cstheme="minorHAnsi"/>
          <w:sz w:val="24"/>
          <w:szCs w:val="24"/>
        </w:rPr>
        <w:lastRenderedPageBreak/>
        <w:t>In this way, the global business of Samsung can be conducted in the form of international trade, management contracts, foreign investment, franchising, licensing, foreign institutional investment, foreign direct investment, and contractual modes such as contract management. The significance of the international financial management of Samsung corporation in each of these modes is very high (Kim et al</w:t>
      </w:r>
      <w:r w:rsidRPr="00E85B5E">
        <w:rPr>
          <w:rFonts w:asciiTheme="minorHAnsi" w:eastAsia="Times New Roman" w:hAnsiTheme="minorHAnsi" w:cstheme="minorHAnsi"/>
          <w:i/>
          <w:sz w:val="24"/>
          <w:szCs w:val="24"/>
        </w:rPr>
        <w:t xml:space="preserve">. </w:t>
      </w:r>
      <w:r w:rsidRPr="00E85B5E">
        <w:rPr>
          <w:rFonts w:asciiTheme="minorHAnsi" w:eastAsia="Times New Roman" w:hAnsiTheme="minorHAnsi" w:cstheme="minorHAnsi"/>
          <w:sz w:val="24"/>
          <w:szCs w:val="24"/>
        </w:rPr>
        <w:t>2019). The importance can be mostly found in the transformation of electronic goods and services of Samsung corporation. Transaction of commodities from one country to another means a simultaneous transaction of money. Samsung, as well as many other countries, is going to merge its business and acquire international markets (Chang et al</w:t>
      </w:r>
      <w:r w:rsidRPr="00E85B5E">
        <w:rPr>
          <w:rFonts w:asciiTheme="minorHAnsi" w:eastAsia="Times New Roman" w:hAnsiTheme="minorHAnsi" w:cstheme="minorHAnsi"/>
          <w:i/>
          <w:sz w:val="24"/>
          <w:szCs w:val="24"/>
        </w:rPr>
        <w:t xml:space="preserve">. </w:t>
      </w:r>
      <w:r w:rsidRPr="00E85B5E">
        <w:rPr>
          <w:rFonts w:asciiTheme="minorHAnsi" w:eastAsia="Times New Roman" w:hAnsiTheme="minorHAnsi" w:cstheme="minorHAnsi"/>
          <w:sz w:val="24"/>
          <w:szCs w:val="24"/>
        </w:rPr>
        <w:t xml:space="preserve">2019). Therefore, international financial management acts as a host of financial activities for Samsung. International finance of Samsung is related to the transaction of different types of currencies in the form of products sold between different countries. As a part of their overall business transaction, international financial management may vary from country to country and place to place. </w:t>
      </w:r>
    </w:p>
    <w:p w:rsidR="009A207C" w:rsidRPr="00E85B5E" w:rsidRDefault="009A207C" w:rsidP="009A207C">
      <w:pPr>
        <w:pStyle w:val="Normal1"/>
        <w:spacing w:line="360" w:lineRule="auto"/>
        <w:jc w:val="both"/>
        <w:rPr>
          <w:rFonts w:asciiTheme="minorHAnsi" w:eastAsia="Times New Roman" w:hAnsiTheme="minorHAnsi" w:cstheme="minorHAnsi"/>
          <w:sz w:val="24"/>
          <w:szCs w:val="24"/>
        </w:rPr>
      </w:pPr>
      <w:r w:rsidRPr="00E85B5E">
        <w:rPr>
          <w:rFonts w:asciiTheme="minorHAnsi" w:eastAsia="Times New Roman" w:hAnsiTheme="minorHAnsi" w:cstheme="minorHAnsi"/>
          <w:sz w:val="24"/>
          <w:szCs w:val="24"/>
        </w:rPr>
        <w:t>Several reasons can be found that led to fluctuations in exchange rates between two different places and between two points in time. The reason for fluctuation in the exchange rate is the same reason for giving different prices of a product in two different countries. However, the theory between the exchange rate and product rate is slightly different. The currency of different countries also fluctuates. This is the reason that the fluctuation of the exchange rate in day-to-day business processes does not lead to commodity price changes regularly. The price of commodities of Samsung electronics fluctuates in various countries but it is not changed regularly as the exchange rate fluctuates (Serzhena, 2019). The financial statement of Samsung offers a wide range of information from the sales revenue to the cost of production and labor. In the financial statements of the company, it has been shown that the total current assets of the company in 2020 were 156,644,978 USD 2020 which has increased from 152,153,414 in 2019. The total assets of the company in 2019 were 295,745,596 USD which has been increased to 299,850,077 USD in 2020 (Müller, 2020</w:t>
      </w:r>
      <w:r w:rsidR="004A2BA9" w:rsidRPr="00E85B5E">
        <w:rPr>
          <w:rFonts w:asciiTheme="minorHAnsi" w:eastAsia="Times New Roman" w:hAnsiTheme="minorHAnsi" w:cstheme="minorHAnsi"/>
          <w:sz w:val="24"/>
          <w:szCs w:val="24"/>
        </w:rPr>
        <w:t>)</w:t>
      </w:r>
      <w:r w:rsidRPr="00E85B5E">
        <w:rPr>
          <w:rFonts w:asciiTheme="minorHAnsi" w:eastAsia="Times New Roman" w:hAnsiTheme="minorHAnsi" w:cstheme="minorHAnsi"/>
          <w:sz w:val="24"/>
          <w:szCs w:val="24"/>
        </w:rPr>
        <w:t xml:space="preserve"> </w:t>
      </w:r>
      <w:r w:rsidR="008F074C" w:rsidRPr="00E85B5E">
        <w:rPr>
          <w:rFonts w:asciiTheme="minorHAnsi" w:eastAsia="Times New Roman" w:hAnsiTheme="minorHAnsi" w:cstheme="minorHAnsi"/>
          <w:sz w:val="24"/>
          <w:szCs w:val="24"/>
        </w:rPr>
        <w:t xml:space="preserve">The company's net cash outflow from investing activities in 2020 was 7,154,645 USD, which included a net decrease in short-term financial instruments, a net decrease in short-term financial assets at amortised cost, a net decrease in </w:t>
      </w:r>
      <w:r w:rsidR="008F074C" w:rsidRPr="00E85B5E">
        <w:rPr>
          <w:rFonts w:asciiTheme="minorHAnsi" w:eastAsia="Times New Roman" w:hAnsiTheme="minorHAnsi" w:cstheme="minorHAnsi"/>
          <w:sz w:val="24"/>
          <w:szCs w:val="24"/>
        </w:rPr>
        <w:lastRenderedPageBreak/>
        <w:t>short-term financial assets at fair value through profit and loss, acquisition of long-term financial instruments, and disposal of long-term financial instruments.</w:t>
      </w:r>
    </w:p>
    <w:p w:rsidR="009A207C" w:rsidRPr="000D6B46" w:rsidRDefault="009A207C" w:rsidP="009A207C">
      <w:pPr>
        <w:pStyle w:val="Normal1"/>
        <w:spacing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The net increase in short term borrowing in 2020 is 2,316,854 thousand USD which is added with another cash outflow such as repayment of debentures, a dividend paid, and net increase in non-controlling interests. International finance is associated with all these activities and other activities that tend to focus on international transactions. The international transaction-related activities conducted by Samsung Electronics are such as the foreign exchange transactions between the two subsidiaries, and the financial transactions with the government. The transaction with different banks is also included within the financial management of the company. The increased growth of multinational corporations has led to an increase in financial management. Samsung forms a major part of the international financial environment (Ruiz et al</w:t>
      </w:r>
      <w:r w:rsidRPr="000D6B46">
        <w:rPr>
          <w:rFonts w:asciiTheme="minorHAnsi" w:eastAsia="Times New Roman" w:hAnsiTheme="minorHAnsi" w:cstheme="minorHAnsi"/>
          <w:i/>
          <w:sz w:val="24"/>
          <w:szCs w:val="24"/>
        </w:rPr>
        <w:t xml:space="preserve">. </w:t>
      </w:r>
      <w:r w:rsidRPr="000D6B46">
        <w:rPr>
          <w:rFonts w:asciiTheme="minorHAnsi" w:eastAsia="Times New Roman" w:hAnsiTheme="minorHAnsi" w:cstheme="minorHAnsi"/>
          <w:sz w:val="24"/>
          <w:szCs w:val="24"/>
        </w:rPr>
        <w:t xml:space="preserve">2020). The company operates in international financial operations and gains advantages from the customized environmental conditions. </w:t>
      </w:r>
    </w:p>
    <w:p w:rsidR="009A207C" w:rsidRPr="000D6B46" w:rsidRDefault="009A207C" w:rsidP="009A207C">
      <w:pPr>
        <w:pStyle w:val="Normal1"/>
        <w:spacing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The overall environment is also supportive of the company and thus the global financial department consists of very small, large enterprises. There are also some classical and traditional theories that can help to explain the process of international trade. During the import and export of commodities, the payment is considered. In different areas of decisions, the company has faced challenges such as financing decisions and investment decisions. The financial decision of the company is concerned with the creation of funds from internal and external sources (Malo-Alain et al</w:t>
      </w:r>
      <w:r w:rsidRPr="000D6B46">
        <w:rPr>
          <w:rFonts w:asciiTheme="minorHAnsi" w:eastAsia="Times New Roman" w:hAnsiTheme="minorHAnsi" w:cstheme="minorHAnsi"/>
          <w:i/>
          <w:sz w:val="24"/>
          <w:szCs w:val="24"/>
        </w:rPr>
        <w:t xml:space="preserve">. </w:t>
      </w:r>
      <w:r w:rsidRPr="000D6B46">
        <w:rPr>
          <w:rFonts w:asciiTheme="minorHAnsi" w:eastAsia="Times New Roman" w:hAnsiTheme="minorHAnsi" w:cstheme="minorHAnsi"/>
          <w:sz w:val="24"/>
          <w:szCs w:val="24"/>
        </w:rPr>
        <w:t xml:space="preserve">2021). The investment decision is another factor that determines the distribution of funds in such a way that shareholders can be satisfied with the primary clears. The company has faced problems in the company as it is concerned with distribution. The company has not only developed to boost itself. The long-term decisions are made with the longer operations and decision techniques. The investment decision of the firm includes the evaluation of the prospective profitability, the capital expenditure and in the long term development and other issues of the company can be raised. </w:t>
      </w:r>
    </w:p>
    <w:p w:rsidR="009A207C" w:rsidRPr="000D6B46" w:rsidRDefault="009A207C" w:rsidP="009A207C">
      <w:pPr>
        <w:pStyle w:val="Normal1"/>
        <w:spacing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 xml:space="preserve">The financing decision is the second important function that can be performed. The appropriate proportion of equity and debt can be determined with the appropriate financing decision. On the other hand, the return of shareholders is equal to the firm's return. The risks of </w:t>
      </w:r>
      <w:r w:rsidRPr="000D6B46">
        <w:rPr>
          <w:rFonts w:asciiTheme="minorHAnsi" w:eastAsia="Times New Roman" w:hAnsiTheme="minorHAnsi" w:cstheme="minorHAnsi"/>
          <w:sz w:val="24"/>
          <w:szCs w:val="24"/>
        </w:rPr>
        <w:lastRenderedPageBreak/>
        <w:t>shareholders and the return can be affected by the financial development strategies of the company. The change in the return of shareholders is caused by the change in the profits. It is the role of financial</w:t>
      </w:r>
      <w:r>
        <w:rPr>
          <w:rFonts w:ascii="Times New Roman" w:eastAsia="Times New Roman" w:hAnsi="Times New Roman" w:cs="Times New Roman"/>
          <w:sz w:val="24"/>
          <w:szCs w:val="24"/>
        </w:rPr>
        <w:t xml:space="preserve"> </w:t>
      </w:r>
      <w:r w:rsidRPr="000D6B46">
        <w:rPr>
          <w:rFonts w:asciiTheme="minorHAnsi" w:eastAsia="Times New Roman" w:hAnsiTheme="minorHAnsi" w:cstheme="minorHAnsi"/>
          <w:sz w:val="24"/>
          <w:szCs w:val="24"/>
        </w:rPr>
        <w:t>managers to raise the financial state of the company appropriately. The significant execution of the finance functions</w:t>
      </w:r>
      <w:r w:rsidR="00F15144" w:rsidRPr="000D6B46">
        <w:rPr>
          <w:rFonts w:asciiTheme="minorHAnsi" w:eastAsia="Times New Roman" w:hAnsiTheme="minorHAnsi" w:cstheme="minorHAnsi"/>
          <w:sz w:val="24"/>
          <w:szCs w:val="24"/>
        </w:rPr>
        <w:t xml:space="preserve"> </w:t>
      </w:r>
      <w:r w:rsidRPr="000D6B46">
        <w:rPr>
          <w:rFonts w:asciiTheme="minorHAnsi" w:eastAsia="Times New Roman" w:hAnsiTheme="minorHAnsi" w:cstheme="minorHAnsi"/>
          <w:sz w:val="24"/>
          <w:szCs w:val="24"/>
        </w:rPr>
        <w:t>needs to be evaluated with an effective international financial management procedure. However, the financial decisions are ahead of certain other functions for the company. A number of decisions are also made by following the financial procedures and systems. Financial management provides a number of routines such as supervision of cash receipts (Pavithran</w:t>
      </w:r>
      <w:r w:rsidR="00F15144" w:rsidRPr="000D6B46">
        <w:rPr>
          <w:rFonts w:asciiTheme="minorHAnsi" w:eastAsia="Times New Roman" w:hAnsiTheme="minorHAnsi" w:cstheme="minorHAnsi"/>
          <w:sz w:val="24"/>
          <w:szCs w:val="24"/>
        </w:rPr>
        <w:t xml:space="preserve"> </w:t>
      </w:r>
      <w:r w:rsidRPr="000D6B46">
        <w:rPr>
          <w:rFonts w:asciiTheme="minorHAnsi" w:eastAsia="Times New Roman" w:hAnsiTheme="minorHAnsi" w:cstheme="minorHAnsi"/>
          <w:sz w:val="24"/>
          <w:szCs w:val="24"/>
        </w:rPr>
        <w:t>et al</w:t>
      </w:r>
      <w:r w:rsidRPr="000D6B46">
        <w:rPr>
          <w:rFonts w:asciiTheme="minorHAnsi" w:eastAsia="Times New Roman" w:hAnsiTheme="minorHAnsi" w:cstheme="minorHAnsi"/>
          <w:i/>
          <w:sz w:val="24"/>
          <w:szCs w:val="24"/>
        </w:rPr>
        <w:t xml:space="preserve">. </w:t>
      </w:r>
      <w:r w:rsidRPr="000D6B46">
        <w:rPr>
          <w:rFonts w:asciiTheme="minorHAnsi" w:eastAsia="Times New Roman" w:hAnsiTheme="minorHAnsi" w:cstheme="minorHAnsi"/>
          <w:sz w:val="24"/>
          <w:szCs w:val="24"/>
        </w:rPr>
        <w:t xml:space="preserve">2018). The study comprises supervision, custody and safeguarding, taking care of the medical details. </w:t>
      </w:r>
    </w:p>
    <w:p w:rsidR="009A207C" w:rsidRPr="000D6B46" w:rsidRDefault="009A207C" w:rsidP="009A207C">
      <w:pPr>
        <w:pStyle w:val="Normal1"/>
        <w:spacing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 xml:space="preserve">There are different financial models that can be applied to explain the above-written context. These financial models are such as the discounted cash flows, initial public offering, consolidation model, and some of the parts model. </w:t>
      </w:r>
      <w:r w:rsidRPr="000D6B46">
        <w:rPr>
          <w:rFonts w:asciiTheme="minorHAnsi" w:eastAsia="Times New Roman" w:hAnsiTheme="minorHAnsi" w:cstheme="minorHAnsi"/>
          <w:b/>
          <w:sz w:val="24"/>
          <w:szCs w:val="24"/>
        </w:rPr>
        <w:t>The three statement model</w:t>
      </w:r>
      <w:r w:rsidRPr="000D6B46">
        <w:rPr>
          <w:rFonts w:asciiTheme="minorHAnsi" w:eastAsia="Times New Roman" w:hAnsiTheme="minorHAnsi" w:cstheme="minorHAnsi"/>
          <w:b/>
          <w:i/>
          <w:sz w:val="24"/>
          <w:szCs w:val="24"/>
        </w:rPr>
        <w:t xml:space="preserve"> </w:t>
      </w:r>
      <w:r w:rsidRPr="000D6B46">
        <w:rPr>
          <w:rFonts w:asciiTheme="minorHAnsi" w:eastAsia="Times New Roman" w:hAnsiTheme="minorHAnsi" w:cstheme="minorHAnsi"/>
          <w:sz w:val="24"/>
          <w:szCs w:val="24"/>
        </w:rPr>
        <w:t xml:space="preserve">is one of the basic financial models where the three statements such as balance sheet, cash flow and income statement are presented. </w:t>
      </w:r>
      <w:r w:rsidRPr="000D6B46">
        <w:rPr>
          <w:rFonts w:asciiTheme="minorHAnsi" w:eastAsia="Times New Roman" w:hAnsiTheme="minorHAnsi" w:cstheme="minorHAnsi"/>
          <w:b/>
          <w:sz w:val="24"/>
          <w:szCs w:val="24"/>
        </w:rPr>
        <w:t>The equilibrium theory</w:t>
      </w:r>
      <w:r w:rsidRPr="000D6B46">
        <w:rPr>
          <w:rFonts w:asciiTheme="minorHAnsi" w:eastAsia="Times New Roman" w:hAnsiTheme="minorHAnsi" w:cstheme="minorHAnsi"/>
          <w:b/>
          <w:i/>
          <w:sz w:val="24"/>
          <w:szCs w:val="24"/>
        </w:rPr>
        <w:t xml:space="preserve"> </w:t>
      </w:r>
      <w:r w:rsidRPr="000D6B46">
        <w:rPr>
          <w:rFonts w:asciiTheme="minorHAnsi" w:eastAsia="Times New Roman" w:hAnsiTheme="minorHAnsi" w:cstheme="minorHAnsi"/>
          <w:sz w:val="24"/>
          <w:szCs w:val="24"/>
        </w:rPr>
        <w:t xml:space="preserve">is another theory under macroeconomics where it has been stated that the supply and demand of an economy with the interaction of many markets dynamically culminates in the equilibrium of prices (McColl </w:t>
      </w:r>
      <w:r w:rsidR="00942B52" w:rsidRPr="000D6B46">
        <w:rPr>
          <w:rFonts w:asciiTheme="minorHAnsi" w:eastAsia="Times New Roman" w:hAnsiTheme="minorHAnsi" w:cstheme="minorHAnsi"/>
          <w:sz w:val="24"/>
          <w:szCs w:val="24"/>
        </w:rPr>
        <w:t xml:space="preserve">et </w:t>
      </w:r>
      <w:r w:rsidRPr="000D6B46">
        <w:rPr>
          <w:rFonts w:asciiTheme="minorHAnsi" w:eastAsia="Times New Roman" w:hAnsiTheme="minorHAnsi" w:cstheme="minorHAnsi"/>
          <w:sz w:val="24"/>
          <w:szCs w:val="24"/>
        </w:rPr>
        <w:t>al</w:t>
      </w:r>
      <w:r w:rsidRPr="000D6B46">
        <w:rPr>
          <w:rFonts w:asciiTheme="minorHAnsi" w:eastAsia="Times New Roman" w:hAnsiTheme="minorHAnsi" w:cstheme="minorHAnsi"/>
          <w:i/>
          <w:sz w:val="24"/>
          <w:szCs w:val="24"/>
        </w:rPr>
        <w:t xml:space="preserve">. </w:t>
      </w:r>
      <w:r w:rsidRPr="000D6B46">
        <w:rPr>
          <w:rFonts w:asciiTheme="minorHAnsi" w:eastAsia="Times New Roman" w:hAnsiTheme="minorHAnsi" w:cstheme="minorHAnsi"/>
          <w:sz w:val="24"/>
          <w:szCs w:val="24"/>
        </w:rPr>
        <w:t xml:space="preserve">2019). The consumers responding to the price of a good in the market can be evaluated and promoted with equilibrium theory. </w:t>
      </w:r>
      <w:r w:rsidRPr="000D6B46">
        <w:rPr>
          <w:rFonts w:asciiTheme="minorHAnsi" w:eastAsia="Times New Roman" w:hAnsiTheme="minorHAnsi" w:cstheme="minorHAnsi"/>
          <w:b/>
          <w:sz w:val="24"/>
          <w:szCs w:val="24"/>
        </w:rPr>
        <w:t>Arbitrage pricing theory</w:t>
      </w:r>
      <w:r w:rsidRPr="000D6B46">
        <w:rPr>
          <w:rFonts w:asciiTheme="minorHAnsi" w:eastAsia="Times New Roman" w:hAnsiTheme="minorHAnsi" w:cstheme="minorHAnsi"/>
          <w:b/>
          <w:i/>
          <w:sz w:val="24"/>
          <w:szCs w:val="24"/>
        </w:rPr>
        <w:t xml:space="preserve"> </w:t>
      </w:r>
      <w:r w:rsidRPr="000D6B46">
        <w:rPr>
          <w:rFonts w:asciiTheme="minorHAnsi" w:eastAsia="Times New Roman" w:hAnsiTheme="minorHAnsi" w:cstheme="minorHAnsi"/>
          <w:sz w:val="24"/>
          <w:szCs w:val="24"/>
        </w:rPr>
        <w:t>is another multi-factor asset pricing theory that can be included in financial management theory (Burzoni</w:t>
      </w:r>
      <w:r w:rsidR="00BB63A5" w:rsidRPr="000D6B46">
        <w:rPr>
          <w:rFonts w:asciiTheme="minorHAnsi" w:eastAsia="Times New Roman" w:hAnsiTheme="minorHAnsi" w:cstheme="minorHAnsi"/>
          <w:sz w:val="24"/>
          <w:szCs w:val="24"/>
        </w:rPr>
        <w:t xml:space="preserve"> </w:t>
      </w:r>
      <w:r w:rsidRPr="000D6B46">
        <w:rPr>
          <w:rFonts w:asciiTheme="minorHAnsi" w:eastAsia="Times New Roman" w:hAnsiTheme="minorHAnsi" w:cstheme="minorHAnsi"/>
          <w:sz w:val="24"/>
          <w:szCs w:val="24"/>
        </w:rPr>
        <w:t>et al</w:t>
      </w:r>
      <w:r w:rsidRPr="000D6B46">
        <w:rPr>
          <w:rFonts w:asciiTheme="minorHAnsi" w:eastAsia="Times New Roman" w:hAnsiTheme="minorHAnsi" w:cstheme="minorHAnsi"/>
          <w:i/>
          <w:sz w:val="24"/>
          <w:szCs w:val="24"/>
        </w:rPr>
        <w:t xml:space="preserve">. </w:t>
      </w:r>
      <w:r w:rsidRPr="000D6B46">
        <w:rPr>
          <w:rFonts w:asciiTheme="minorHAnsi" w:eastAsia="Times New Roman" w:hAnsiTheme="minorHAnsi" w:cstheme="minorHAnsi"/>
          <w:sz w:val="24"/>
          <w:szCs w:val="24"/>
        </w:rPr>
        <w:t xml:space="preserve">2019). The return of the assets can be predicted with the linear relationship. This theory has been developed to show that the capital asset pricing model is not only a substitute for financial management. The newly developed theory is not the same as the CAPM theory. </w:t>
      </w:r>
    </w:p>
    <w:p w:rsidR="009A207C" w:rsidRPr="000D6B46" w:rsidRDefault="009A207C" w:rsidP="009A207C">
      <w:pPr>
        <w:pStyle w:val="Heading1"/>
        <w:spacing w:line="360" w:lineRule="auto"/>
        <w:rPr>
          <w:rFonts w:asciiTheme="minorHAnsi" w:hAnsiTheme="minorHAnsi" w:cstheme="minorHAnsi"/>
        </w:rPr>
      </w:pPr>
      <w:bookmarkStart w:id="2" w:name="_Toc100620244"/>
      <w:r w:rsidRPr="000D6B46">
        <w:rPr>
          <w:rFonts w:asciiTheme="minorHAnsi" w:hAnsiTheme="minorHAnsi" w:cstheme="minorHAnsi"/>
        </w:rPr>
        <w:t>Conclusion</w:t>
      </w:r>
      <w:bookmarkEnd w:id="2"/>
    </w:p>
    <w:p w:rsidR="009A207C" w:rsidRDefault="009A207C" w:rsidP="009A207C">
      <w:pPr>
        <w:pStyle w:val="Normal1"/>
        <w:spacing w:line="360" w:lineRule="auto"/>
        <w:jc w:val="both"/>
        <w:rPr>
          <w:rFonts w:ascii="Times New Roman" w:eastAsia="Times New Roman" w:hAnsi="Times New Roman" w:cs="Times New Roman"/>
          <w:sz w:val="24"/>
          <w:szCs w:val="24"/>
        </w:rPr>
      </w:pPr>
      <w:r w:rsidRPr="000D6B46">
        <w:rPr>
          <w:rFonts w:asciiTheme="minorHAnsi" w:eastAsia="Times New Roman" w:hAnsiTheme="minorHAnsi" w:cstheme="minorHAnsi"/>
          <w:sz w:val="24"/>
          <w:szCs w:val="24"/>
        </w:rPr>
        <w:t>International finance is an important factor in the decision making process such as financial decisions, dividend decisions, operating decision. Every aspect of economic activity is affected by the financial management strategies and decisions taken in the market. International corporations are focusing on financial management to take strategic decisions. The different theories of financial management such as the equilibrium theory and arbitrage pricing theory have been evaluated to understand the presentation of international financial management</w:t>
      </w:r>
      <w:r>
        <w:rPr>
          <w:rFonts w:ascii="Times New Roman" w:eastAsia="Times New Roman" w:hAnsi="Times New Roman" w:cs="Times New Roman"/>
          <w:sz w:val="24"/>
          <w:szCs w:val="24"/>
        </w:rPr>
        <w:t xml:space="preserve">. </w:t>
      </w:r>
      <w:r>
        <w:br w:type="page"/>
      </w:r>
    </w:p>
    <w:p w:rsidR="009A207C" w:rsidRPr="000D6B46" w:rsidRDefault="009A207C" w:rsidP="009A207C">
      <w:pPr>
        <w:pStyle w:val="Heading1"/>
        <w:spacing w:line="360" w:lineRule="auto"/>
        <w:rPr>
          <w:rFonts w:asciiTheme="minorHAnsi" w:hAnsiTheme="minorHAnsi" w:cstheme="minorHAnsi"/>
        </w:rPr>
      </w:pPr>
      <w:bookmarkStart w:id="3" w:name="_Toc100620245"/>
      <w:r w:rsidRPr="000D6B46">
        <w:rPr>
          <w:rFonts w:asciiTheme="minorHAnsi" w:hAnsiTheme="minorHAnsi" w:cstheme="minorHAnsi"/>
        </w:rPr>
        <w:lastRenderedPageBreak/>
        <w:t>Reference List</w:t>
      </w:r>
      <w:bookmarkEnd w:id="3"/>
    </w:p>
    <w:p w:rsidR="009A207C" w:rsidRPr="000D6B46" w:rsidRDefault="009A207C" w:rsidP="009A207C">
      <w:pPr>
        <w:pStyle w:val="Normal1"/>
        <w:spacing w:before="200"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 xml:space="preserve">Burzoni, M., Frittelli, M., Hou, Z., Maggis, M. and Obłój, J., 2019. Pointwise arbitrage pricing theory in discrete time. </w:t>
      </w:r>
      <w:r w:rsidRPr="000D6B46">
        <w:rPr>
          <w:rFonts w:asciiTheme="minorHAnsi" w:eastAsia="Times New Roman" w:hAnsiTheme="minorHAnsi" w:cstheme="minorHAnsi"/>
          <w:i/>
          <w:sz w:val="24"/>
          <w:szCs w:val="24"/>
        </w:rPr>
        <w:t>Mathematics of Operations Research</w:t>
      </w:r>
      <w:r w:rsidRPr="000D6B46">
        <w:rPr>
          <w:rFonts w:asciiTheme="minorHAnsi" w:eastAsia="Times New Roman" w:hAnsiTheme="minorHAnsi" w:cstheme="minorHAnsi"/>
          <w:sz w:val="24"/>
          <w:szCs w:val="24"/>
        </w:rPr>
        <w:t xml:space="preserve">, </w:t>
      </w:r>
      <w:r w:rsidRPr="000D6B46">
        <w:rPr>
          <w:rFonts w:asciiTheme="minorHAnsi" w:eastAsia="Times New Roman" w:hAnsiTheme="minorHAnsi" w:cstheme="minorHAnsi"/>
          <w:i/>
          <w:sz w:val="24"/>
          <w:szCs w:val="24"/>
        </w:rPr>
        <w:t>44</w:t>
      </w:r>
      <w:r w:rsidRPr="000D6B46">
        <w:rPr>
          <w:rFonts w:asciiTheme="minorHAnsi" w:eastAsia="Times New Roman" w:hAnsiTheme="minorHAnsi" w:cstheme="minorHAnsi"/>
          <w:sz w:val="24"/>
          <w:szCs w:val="24"/>
        </w:rPr>
        <w:t>(3), pp.1034-1057.</w:t>
      </w:r>
    </w:p>
    <w:p w:rsidR="009A207C" w:rsidRPr="000D6B46" w:rsidRDefault="009A207C" w:rsidP="009A207C">
      <w:pPr>
        <w:pStyle w:val="Normal1"/>
        <w:spacing w:before="200"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 xml:space="preserve">Chang, V., Zhang, W. and Xiong, C., 2019. The strategic view and development of corporate social responsibility: the case study of Samsung. </w:t>
      </w:r>
      <w:r w:rsidRPr="000D6B46">
        <w:rPr>
          <w:rFonts w:asciiTheme="minorHAnsi" w:eastAsia="Times New Roman" w:hAnsiTheme="minorHAnsi" w:cstheme="minorHAnsi"/>
          <w:i/>
          <w:sz w:val="24"/>
          <w:szCs w:val="24"/>
        </w:rPr>
        <w:t>International Journal of Strategic Decision Sciences (IJSDS)</w:t>
      </w:r>
      <w:r w:rsidRPr="000D6B46">
        <w:rPr>
          <w:rFonts w:asciiTheme="minorHAnsi" w:eastAsia="Times New Roman" w:hAnsiTheme="minorHAnsi" w:cstheme="minorHAnsi"/>
          <w:sz w:val="24"/>
          <w:szCs w:val="24"/>
        </w:rPr>
        <w:t xml:space="preserve">, </w:t>
      </w:r>
      <w:r w:rsidRPr="000D6B46">
        <w:rPr>
          <w:rFonts w:asciiTheme="minorHAnsi" w:eastAsia="Times New Roman" w:hAnsiTheme="minorHAnsi" w:cstheme="minorHAnsi"/>
          <w:i/>
          <w:sz w:val="24"/>
          <w:szCs w:val="24"/>
        </w:rPr>
        <w:t>10</w:t>
      </w:r>
      <w:r w:rsidRPr="000D6B46">
        <w:rPr>
          <w:rFonts w:asciiTheme="minorHAnsi" w:eastAsia="Times New Roman" w:hAnsiTheme="minorHAnsi" w:cstheme="minorHAnsi"/>
          <w:sz w:val="24"/>
          <w:szCs w:val="24"/>
        </w:rPr>
        <w:t>(1), pp.105-130.</w:t>
      </w:r>
    </w:p>
    <w:p w:rsidR="009A207C" w:rsidRPr="000D6B46" w:rsidRDefault="009A207C" w:rsidP="009A207C">
      <w:pPr>
        <w:pStyle w:val="Normal1"/>
        <w:spacing w:before="200"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 xml:space="preserve">Kim, J.H., Chun, M.Y.S., Nhung, D.T.H. and Lee, J., 2019. The transition of Samsung electronics through its M&amp;A with harman international. </w:t>
      </w:r>
      <w:r w:rsidRPr="000D6B46">
        <w:rPr>
          <w:rFonts w:asciiTheme="minorHAnsi" w:eastAsia="Times New Roman" w:hAnsiTheme="minorHAnsi" w:cstheme="minorHAnsi"/>
          <w:i/>
          <w:sz w:val="24"/>
          <w:szCs w:val="24"/>
        </w:rPr>
        <w:t>Journal of Open Innovation: Technology, Market, and Complexity</w:t>
      </w:r>
      <w:r w:rsidRPr="000D6B46">
        <w:rPr>
          <w:rFonts w:asciiTheme="minorHAnsi" w:eastAsia="Times New Roman" w:hAnsiTheme="minorHAnsi" w:cstheme="minorHAnsi"/>
          <w:sz w:val="24"/>
          <w:szCs w:val="24"/>
        </w:rPr>
        <w:t xml:space="preserve">, </w:t>
      </w:r>
      <w:r w:rsidRPr="000D6B46">
        <w:rPr>
          <w:rFonts w:asciiTheme="minorHAnsi" w:eastAsia="Times New Roman" w:hAnsiTheme="minorHAnsi" w:cstheme="minorHAnsi"/>
          <w:i/>
          <w:sz w:val="24"/>
          <w:szCs w:val="24"/>
        </w:rPr>
        <w:t>5</w:t>
      </w:r>
      <w:r w:rsidRPr="000D6B46">
        <w:rPr>
          <w:rFonts w:asciiTheme="minorHAnsi" w:eastAsia="Times New Roman" w:hAnsiTheme="minorHAnsi" w:cstheme="minorHAnsi"/>
          <w:sz w:val="24"/>
          <w:szCs w:val="24"/>
        </w:rPr>
        <w:t>(3), p.51.</w:t>
      </w:r>
    </w:p>
    <w:p w:rsidR="009A207C" w:rsidRPr="000D6B46" w:rsidRDefault="009A207C" w:rsidP="009A207C">
      <w:pPr>
        <w:pStyle w:val="Normal1"/>
        <w:spacing w:before="200"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 xml:space="preserve">Malo-Alain, A., Aldoseri, M. and Melegy, M., 2021. Measuring the effect of international financial reporting standards on quality of accounting performance and efficiency of investment decisions. </w:t>
      </w:r>
      <w:r w:rsidRPr="000D6B46">
        <w:rPr>
          <w:rFonts w:asciiTheme="minorHAnsi" w:eastAsia="Times New Roman" w:hAnsiTheme="minorHAnsi" w:cstheme="minorHAnsi"/>
          <w:i/>
          <w:sz w:val="24"/>
          <w:szCs w:val="24"/>
        </w:rPr>
        <w:t>Accounting</w:t>
      </w:r>
      <w:r w:rsidRPr="000D6B46">
        <w:rPr>
          <w:rFonts w:asciiTheme="minorHAnsi" w:eastAsia="Times New Roman" w:hAnsiTheme="minorHAnsi" w:cstheme="minorHAnsi"/>
          <w:sz w:val="24"/>
          <w:szCs w:val="24"/>
        </w:rPr>
        <w:t xml:space="preserve">, </w:t>
      </w:r>
      <w:r w:rsidRPr="000D6B46">
        <w:rPr>
          <w:rFonts w:asciiTheme="minorHAnsi" w:eastAsia="Times New Roman" w:hAnsiTheme="minorHAnsi" w:cstheme="minorHAnsi"/>
          <w:i/>
          <w:sz w:val="24"/>
          <w:szCs w:val="24"/>
        </w:rPr>
        <w:t>7</w:t>
      </w:r>
      <w:r w:rsidRPr="000D6B46">
        <w:rPr>
          <w:rFonts w:asciiTheme="minorHAnsi" w:eastAsia="Times New Roman" w:hAnsiTheme="minorHAnsi" w:cstheme="minorHAnsi"/>
          <w:sz w:val="24"/>
          <w:szCs w:val="24"/>
        </w:rPr>
        <w:t>(1), pp.249-256.</w:t>
      </w:r>
    </w:p>
    <w:p w:rsidR="009A207C" w:rsidRPr="000D6B46" w:rsidRDefault="009A207C" w:rsidP="009A207C">
      <w:pPr>
        <w:pStyle w:val="Normal1"/>
        <w:spacing w:before="200"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 xml:space="preserve">McColl, K.A., Salvucci, G.D. and Gentine, P., 2019. Surface flux equilibrium theory explains an empirical estimate of water‐limited daily evapotranspiration. </w:t>
      </w:r>
      <w:r w:rsidRPr="000D6B46">
        <w:rPr>
          <w:rFonts w:asciiTheme="minorHAnsi" w:eastAsia="Times New Roman" w:hAnsiTheme="minorHAnsi" w:cstheme="minorHAnsi"/>
          <w:i/>
          <w:sz w:val="24"/>
          <w:szCs w:val="24"/>
        </w:rPr>
        <w:t>Journal of Advances in Modeling Earth Systems</w:t>
      </w:r>
      <w:r w:rsidRPr="000D6B46">
        <w:rPr>
          <w:rFonts w:asciiTheme="minorHAnsi" w:eastAsia="Times New Roman" w:hAnsiTheme="minorHAnsi" w:cstheme="minorHAnsi"/>
          <w:sz w:val="24"/>
          <w:szCs w:val="24"/>
        </w:rPr>
        <w:t xml:space="preserve">, </w:t>
      </w:r>
      <w:r w:rsidRPr="000D6B46">
        <w:rPr>
          <w:rFonts w:asciiTheme="minorHAnsi" w:eastAsia="Times New Roman" w:hAnsiTheme="minorHAnsi" w:cstheme="minorHAnsi"/>
          <w:i/>
          <w:sz w:val="24"/>
          <w:szCs w:val="24"/>
        </w:rPr>
        <w:t>11</w:t>
      </w:r>
      <w:r w:rsidRPr="000D6B46">
        <w:rPr>
          <w:rFonts w:asciiTheme="minorHAnsi" w:eastAsia="Times New Roman" w:hAnsiTheme="minorHAnsi" w:cstheme="minorHAnsi"/>
          <w:sz w:val="24"/>
          <w:szCs w:val="24"/>
        </w:rPr>
        <w:t>(7), pp.2036-2049.</w:t>
      </w:r>
    </w:p>
    <w:p w:rsidR="009A207C" w:rsidRPr="000D6B46" w:rsidRDefault="009A207C" w:rsidP="009A207C">
      <w:pPr>
        <w:pStyle w:val="Normal1"/>
        <w:spacing w:before="200"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 xml:space="preserve">Moșteanu, N.R., 2019. International Financial Markets face to face with Artificial Intelligence and Digital Era. </w:t>
      </w:r>
      <w:r w:rsidRPr="000D6B46">
        <w:rPr>
          <w:rFonts w:asciiTheme="minorHAnsi" w:eastAsia="Times New Roman" w:hAnsiTheme="minorHAnsi" w:cstheme="minorHAnsi"/>
          <w:i/>
          <w:sz w:val="24"/>
          <w:szCs w:val="24"/>
        </w:rPr>
        <w:t>Theoretical &amp; Applied Economics</w:t>
      </w:r>
      <w:r w:rsidRPr="000D6B46">
        <w:rPr>
          <w:rFonts w:asciiTheme="minorHAnsi" w:eastAsia="Times New Roman" w:hAnsiTheme="minorHAnsi" w:cstheme="minorHAnsi"/>
          <w:sz w:val="24"/>
          <w:szCs w:val="24"/>
        </w:rPr>
        <w:t xml:space="preserve">, </w:t>
      </w:r>
      <w:r w:rsidRPr="000D6B46">
        <w:rPr>
          <w:rFonts w:asciiTheme="minorHAnsi" w:eastAsia="Times New Roman" w:hAnsiTheme="minorHAnsi" w:cstheme="minorHAnsi"/>
          <w:i/>
          <w:sz w:val="24"/>
          <w:szCs w:val="24"/>
        </w:rPr>
        <w:t>26</w:t>
      </w:r>
      <w:r w:rsidRPr="000D6B46">
        <w:rPr>
          <w:rFonts w:asciiTheme="minorHAnsi" w:eastAsia="Times New Roman" w:hAnsiTheme="minorHAnsi" w:cstheme="minorHAnsi"/>
          <w:sz w:val="24"/>
          <w:szCs w:val="24"/>
        </w:rPr>
        <w:t>(3).</w:t>
      </w:r>
    </w:p>
    <w:p w:rsidR="009A207C" w:rsidRPr="000D6B46" w:rsidRDefault="009A207C" w:rsidP="009A207C">
      <w:pPr>
        <w:pStyle w:val="Normal1"/>
        <w:spacing w:before="200"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 xml:space="preserve">Müller, J., 2020. Labelling, packaging, scanning: paths and diversions of mobile phones in the Andes. </w:t>
      </w:r>
      <w:r w:rsidRPr="000D6B46">
        <w:rPr>
          <w:rFonts w:asciiTheme="minorHAnsi" w:eastAsia="Times New Roman" w:hAnsiTheme="minorHAnsi" w:cstheme="minorHAnsi"/>
          <w:i/>
          <w:sz w:val="24"/>
          <w:szCs w:val="24"/>
        </w:rPr>
        <w:t>Exploring Materiality and Connectivity in Anthropology and Beyond</w:t>
      </w:r>
      <w:r w:rsidRPr="000D6B46">
        <w:rPr>
          <w:rFonts w:asciiTheme="minorHAnsi" w:eastAsia="Times New Roman" w:hAnsiTheme="minorHAnsi" w:cstheme="minorHAnsi"/>
          <w:sz w:val="24"/>
          <w:szCs w:val="24"/>
        </w:rPr>
        <w:t>, p.116.</w:t>
      </w:r>
    </w:p>
    <w:p w:rsidR="009A207C" w:rsidRPr="000D6B46" w:rsidRDefault="009A207C" w:rsidP="009A207C">
      <w:pPr>
        <w:pStyle w:val="Normal1"/>
        <w:spacing w:before="200"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 xml:space="preserve">Pavithran, A., Selvam, M., Gopinath, R. and Kathiravan, C., 2018. Effects of Adopting International Financial Reporting Standards: An Empirical Evidence from selected Indian companies. </w:t>
      </w:r>
      <w:r w:rsidRPr="000D6B46">
        <w:rPr>
          <w:rFonts w:asciiTheme="minorHAnsi" w:eastAsia="Times New Roman" w:hAnsiTheme="minorHAnsi" w:cstheme="minorHAnsi"/>
          <w:i/>
          <w:sz w:val="24"/>
          <w:szCs w:val="24"/>
        </w:rPr>
        <w:t>Management</w:t>
      </w:r>
      <w:r w:rsidRPr="000D6B46">
        <w:rPr>
          <w:rFonts w:asciiTheme="minorHAnsi" w:eastAsia="Times New Roman" w:hAnsiTheme="minorHAnsi" w:cstheme="minorHAnsi"/>
          <w:sz w:val="24"/>
          <w:szCs w:val="24"/>
        </w:rPr>
        <w:t xml:space="preserve">, </w:t>
      </w:r>
      <w:r w:rsidRPr="000D6B46">
        <w:rPr>
          <w:rFonts w:asciiTheme="minorHAnsi" w:eastAsia="Times New Roman" w:hAnsiTheme="minorHAnsi" w:cstheme="minorHAnsi"/>
          <w:i/>
          <w:sz w:val="24"/>
          <w:szCs w:val="24"/>
        </w:rPr>
        <w:t>5</w:t>
      </w:r>
      <w:r w:rsidRPr="000D6B46">
        <w:rPr>
          <w:rFonts w:asciiTheme="minorHAnsi" w:eastAsia="Times New Roman" w:hAnsiTheme="minorHAnsi" w:cstheme="minorHAnsi"/>
          <w:sz w:val="24"/>
          <w:szCs w:val="24"/>
        </w:rPr>
        <w:t>(4), pp.137-147.</w:t>
      </w:r>
    </w:p>
    <w:p w:rsidR="009A207C" w:rsidRPr="000D6B46" w:rsidRDefault="009A207C" w:rsidP="009A207C">
      <w:pPr>
        <w:pStyle w:val="Normal1"/>
        <w:spacing w:before="200"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t xml:space="preserve">Ruiz, E.H., Restrepo, C.A.P., Lopez, C.A. and Kee, D.M.H., 2020. Samsung: Customer loyalty strategy in Malaysia and Colombia. </w:t>
      </w:r>
      <w:r w:rsidRPr="000D6B46">
        <w:rPr>
          <w:rFonts w:asciiTheme="minorHAnsi" w:eastAsia="Times New Roman" w:hAnsiTheme="minorHAnsi" w:cstheme="minorHAnsi"/>
          <w:i/>
          <w:sz w:val="24"/>
          <w:szCs w:val="24"/>
        </w:rPr>
        <w:t>International Journal of Accounting &amp; Finance in Asia Pasific (IJAFAP)</w:t>
      </w:r>
      <w:r w:rsidRPr="000D6B46">
        <w:rPr>
          <w:rFonts w:asciiTheme="minorHAnsi" w:eastAsia="Times New Roman" w:hAnsiTheme="minorHAnsi" w:cstheme="minorHAnsi"/>
          <w:sz w:val="24"/>
          <w:szCs w:val="24"/>
        </w:rPr>
        <w:t xml:space="preserve">, </w:t>
      </w:r>
      <w:r w:rsidRPr="000D6B46">
        <w:rPr>
          <w:rFonts w:asciiTheme="minorHAnsi" w:eastAsia="Times New Roman" w:hAnsiTheme="minorHAnsi" w:cstheme="minorHAnsi"/>
          <w:i/>
          <w:sz w:val="24"/>
          <w:szCs w:val="24"/>
        </w:rPr>
        <w:t>3</w:t>
      </w:r>
      <w:r w:rsidRPr="000D6B46">
        <w:rPr>
          <w:rFonts w:asciiTheme="minorHAnsi" w:eastAsia="Times New Roman" w:hAnsiTheme="minorHAnsi" w:cstheme="minorHAnsi"/>
          <w:sz w:val="24"/>
          <w:szCs w:val="24"/>
        </w:rPr>
        <w:t>(2), pp.57-67.</w:t>
      </w:r>
    </w:p>
    <w:p w:rsidR="009A207C" w:rsidRPr="000D6B46" w:rsidRDefault="009A207C" w:rsidP="009A207C">
      <w:pPr>
        <w:pStyle w:val="Normal1"/>
        <w:spacing w:before="200" w:line="360" w:lineRule="auto"/>
        <w:jc w:val="both"/>
        <w:rPr>
          <w:rFonts w:asciiTheme="minorHAnsi" w:eastAsia="Times New Roman" w:hAnsiTheme="minorHAnsi" w:cstheme="minorHAnsi"/>
          <w:sz w:val="24"/>
          <w:szCs w:val="24"/>
        </w:rPr>
      </w:pPr>
      <w:r w:rsidRPr="000D6B46">
        <w:rPr>
          <w:rFonts w:asciiTheme="minorHAnsi" w:eastAsia="Times New Roman" w:hAnsiTheme="minorHAnsi" w:cstheme="minorHAnsi"/>
          <w:sz w:val="24"/>
          <w:szCs w:val="24"/>
        </w:rPr>
        <w:lastRenderedPageBreak/>
        <w:t xml:space="preserve">Serzhena, T., 2019. The circular economy on South Korea. The case of Samsung. </w:t>
      </w:r>
      <w:r w:rsidRPr="000D6B46">
        <w:rPr>
          <w:rFonts w:asciiTheme="minorHAnsi" w:eastAsia="Times New Roman" w:hAnsiTheme="minorHAnsi" w:cstheme="minorHAnsi"/>
          <w:i/>
          <w:sz w:val="24"/>
          <w:szCs w:val="24"/>
        </w:rPr>
        <w:t>Hungarian Agricultural Engineering</w:t>
      </w:r>
      <w:r w:rsidRPr="000D6B46">
        <w:rPr>
          <w:rFonts w:asciiTheme="minorHAnsi" w:eastAsia="Times New Roman" w:hAnsiTheme="minorHAnsi" w:cstheme="minorHAnsi"/>
          <w:sz w:val="24"/>
          <w:szCs w:val="24"/>
        </w:rPr>
        <w:t xml:space="preserve">, </w:t>
      </w:r>
      <w:r w:rsidRPr="000D6B46">
        <w:rPr>
          <w:rFonts w:asciiTheme="minorHAnsi" w:eastAsia="Times New Roman" w:hAnsiTheme="minorHAnsi" w:cstheme="minorHAnsi"/>
          <w:i/>
          <w:sz w:val="24"/>
          <w:szCs w:val="24"/>
        </w:rPr>
        <w:t>36</w:t>
      </w:r>
      <w:r w:rsidRPr="000D6B46">
        <w:rPr>
          <w:rFonts w:asciiTheme="minorHAnsi" w:eastAsia="Times New Roman" w:hAnsiTheme="minorHAnsi" w:cstheme="minorHAnsi"/>
          <w:sz w:val="24"/>
          <w:szCs w:val="24"/>
        </w:rPr>
        <w:t>, pp.75-80.</w:t>
      </w:r>
    </w:p>
    <w:p w:rsidR="009A207C" w:rsidRDefault="009A207C" w:rsidP="009A207C">
      <w:pPr>
        <w:pStyle w:val="Normal1"/>
        <w:spacing w:line="360" w:lineRule="auto"/>
        <w:jc w:val="both"/>
        <w:rPr>
          <w:rFonts w:ascii="Times New Roman" w:eastAsia="Times New Roman" w:hAnsi="Times New Roman" w:cs="Times New Roman"/>
          <w:sz w:val="24"/>
          <w:szCs w:val="24"/>
        </w:rPr>
      </w:pPr>
    </w:p>
    <w:p w:rsidR="00F22E03" w:rsidRDefault="00F22E03"/>
    <w:sectPr w:rsidR="00F22E03" w:rsidSect="006B4470">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01E8" w:rsidRDefault="002901E8" w:rsidP="000D40EC">
      <w:pPr>
        <w:spacing w:line="240" w:lineRule="auto"/>
      </w:pPr>
      <w:r>
        <w:separator/>
      </w:r>
    </w:p>
  </w:endnote>
  <w:endnote w:type="continuationSeparator" w:id="1">
    <w:p w:rsidR="002901E8" w:rsidRDefault="002901E8" w:rsidP="000D40E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7687094"/>
      <w:docPartObj>
        <w:docPartGallery w:val="Page Numbers (Bottom of Page)"/>
        <w:docPartUnique/>
      </w:docPartObj>
    </w:sdtPr>
    <w:sdtContent>
      <w:p w:rsidR="006B4470" w:rsidRDefault="00CA7135">
        <w:pPr>
          <w:pStyle w:val="Footer"/>
          <w:jc w:val="right"/>
        </w:pPr>
        <w:r>
          <w:fldChar w:fldCharType="begin"/>
        </w:r>
        <w:r w:rsidR="009A207C">
          <w:instrText xml:space="preserve"> PAGE   \* MERGEFORMAT </w:instrText>
        </w:r>
        <w:r>
          <w:fldChar w:fldCharType="separate"/>
        </w:r>
        <w:r w:rsidR="000D6B46">
          <w:rPr>
            <w:noProof/>
          </w:rPr>
          <w:t>2</w:t>
        </w:r>
        <w:r>
          <w:rPr>
            <w:noProof/>
          </w:rPr>
          <w:fldChar w:fldCharType="end"/>
        </w:r>
      </w:p>
    </w:sdtContent>
  </w:sdt>
  <w:p w:rsidR="006B4470" w:rsidRDefault="002901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01E8" w:rsidRDefault="002901E8" w:rsidP="000D40EC">
      <w:pPr>
        <w:spacing w:line="240" w:lineRule="auto"/>
      </w:pPr>
      <w:r>
        <w:separator/>
      </w:r>
    </w:p>
  </w:footnote>
  <w:footnote w:type="continuationSeparator" w:id="1">
    <w:p w:rsidR="002901E8" w:rsidRDefault="002901E8" w:rsidP="000D40EC">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A207C"/>
    <w:rsid w:val="000D40EC"/>
    <w:rsid w:val="000D6B46"/>
    <w:rsid w:val="00201878"/>
    <w:rsid w:val="00270321"/>
    <w:rsid w:val="00285890"/>
    <w:rsid w:val="002901E8"/>
    <w:rsid w:val="003F0EE7"/>
    <w:rsid w:val="004A2BA9"/>
    <w:rsid w:val="004F4147"/>
    <w:rsid w:val="005A2F77"/>
    <w:rsid w:val="005A7F3B"/>
    <w:rsid w:val="00773F05"/>
    <w:rsid w:val="008F074C"/>
    <w:rsid w:val="00942B52"/>
    <w:rsid w:val="00992F5A"/>
    <w:rsid w:val="009A207C"/>
    <w:rsid w:val="00A957CF"/>
    <w:rsid w:val="00AE06E6"/>
    <w:rsid w:val="00AF76A4"/>
    <w:rsid w:val="00B86AF3"/>
    <w:rsid w:val="00BB63A5"/>
    <w:rsid w:val="00CA51EA"/>
    <w:rsid w:val="00CA7135"/>
    <w:rsid w:val="00CF706D"/>
    <w:rsid w:val="00D5460C"/>
    <w:rsid w:val="00E53A67"/>
    <w:rsid w:val="00E85B5E"/>
    <w:rsid w:val="00F15144"/>
    <w:rsid w:val="00F22E0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07C"/>
    <w:pPr>
      <w:spacing w:after="0" w:line="276" w:lineRule="auto"/>
    </w:pPr>
    <w:rPr>
      <w:rFonts w:ascii="Arial" w:eastAsia="Arial" w:hAnsi="Arial" w:cs="Arial"/>
      <w:lang w:val="en-US"/>
    </w:rPr>
  </w:style>
  <w:style w:type="paragraph" w:styleId="Heading1">
    <w:name w:val="heading 1"/>
    <w:basedOn w:val="Normal1"/>
    <w:next w:val="Normal1"/>
    <w:link w:val="Heading1Char"/>
    <w:rsid w:val="009A207C"/>
    <w:pPr>
      <w:jc w:val="both"/>
      <w:outlineLvl w:val="0"/>
    </w:pPr>
    <w:rPr>
      <w:rFonts w:ascii="Times New Roman" w:eastAsia="Times New Roman" w:hAnsi="Times New Roman" w:cs="Times New Roman"/>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207C"/>
    <w:rPr>
      <w:rFonts w:ascii="Times New Roman" w:eastAsia="Times New Roman" w:hAnsi="Times New Roman" w:cs="Times New Roman"/>
      <w:b/>
      <w:sz w:val="28"/>
      <w:szCs w:val="24"/>
      <w:lang w:val="en-US"/>
    </w:rPr>
  </w:style>
  <w:style w:type="paragraph" w:customStyle="1" w:styleId="Normal1">
    <w:name w:val="Normal1"/>
    <w:rsid w:val="009A207C"/>
    <w:pPr>
      <w:spacing w:after="0" w:line="276" w:lineRule="auto"/>
    </w:pPr>
    <w:rPr>
      <w:rFonts w:ascii="Arial" w:eastAsia="Arial" w:hAnsi="Arial" w:cs="Arial"/>
      <w:lang w:val="en-US"/>
    </w:rPr>
  </w:style>
  <w:style w:type="paragraph" w:styleId="Footer">
    <w:name w:val="footer"/>
    <w:basedOn w:val="Normal"/>
    <w:link w:val="FooterChar"/>
    <w:uiPriority w:val="99"/>
    <w:unhideWhenUsed/>
    <w:rsid w:val="009A207C"/>
    <w:pPr>
      <w:tabs>
        <w:tab w:val="center" w:pos="4680"/>
        <w:tab w:val="right" w:pos="9360"/>
      </w:tabs>
      <w:spacing w:line="240" w:lineRule="auto"/>
    </w:pPr>
  </w:style>
  <w:style w:type="character" w:customStyle="1" w:styleId="FooterChar">
    <w:name w:val="Footer Char"/>
    <w:basedOn w:val="DefaultParagraphFont"/>
    <w:link w:val="Footer"/>
    <w:uiPriority w:val="99"/>
    <w:rsid w:val="009A207C"/>
    <w:rPr>
      <w:rFonts w:ascii="Arial" w:eastAsia="Arial" w:hAnsi="Arial" w:cs="Arial"/>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7</Pages>
  <Words>1825</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dc:creator>
  <cp:lastModifiedBy>vasil</cp:lastModifiedBy>
  <cp:revision>16</cp:revision>
  <dcterms:created xsi:type="dcterms:W3CDTF">2022-04-21T14:27:00Z</dcterms:created>
  <dcterms:modified xsi:type="dcterms:W3CDTF">2022-05-02T16:00:00Z</dcterms:modified>
</cp:coreProperties>
</file>