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The welsh National Curriculum</w:t>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Over the years, the national Welsh curriculum has undergone a number of modifications, resulting in an improvement towards a more holistic approach to learning, particularly in the foundation phase (ages 3-7) . The 2022 curriculum concentrates on individual growth rather than set criterias (Welsh Government,2020).  Emphasising not only academics but the child as a whole, including wellbeing, physical literacy, and outdoor learning (Donaldson,2015) has been heavily influenced by global frameworks such as Reggio Emilia in Italy and other pedagogical approaches from countries such as Scotland, Australia, and New Zealand, fostering teacher autonomy to meet the needs of each individual  (Chapman,2020). The importance of physical literacy has been highlighted and why the foundation phase is an ideal time to promote a positive attitude towards movement. </w:t>
      </w:r>
      <w:r w:rsidDel="00000000" w:rsidR="00000000" w:rsidRPr="00000000">
        <w:rPr>
          <w:rFonts w:ascii="Times New Roman" w:cs="Times New Roman" w:eastAsia="Times New Roman" w:hAnsi="Times New Roman"/>
          <w:sz w:val="24"/>
          <w:szCs w:val="24"/>
          <w:highlight w:val="white"/>
          <w:rtl w:val="0"/>
        </w:rPr>
        <w:t xml:space="preserve">The covid 19 pandemic </w:t>
      </w:r>
      <w:r w:rsidDel="00000000" w:rsidR="00000000" w:rsidRPr="00000000">
        <w:rPr>
          <w:rFonts w:ascii="Times New Roman" w:cs="Times New Roman" w:eastAsia="Times New Roman" w:hAnsi="Times New Roman"/>
          <w:sz w:val="24"/>
          <w:szCs w:val="24"/>
          <w:highlight w:val="white"/>
          <w:rtl w:val="0"/>
        </w:rPr>
        <w:t xml:space="preserve">had </w:t>
      </w:r>
      <w:r w:rsidDel="00000000" w:rsidR="00000000" w:rsidRPr="00000000">
        <w:rPr>
          <w:rFonts w:ascii="Times New Roman" w:cs="Times New Roman" w:eastAsia="Times New Roman" w:hAnsi="Times New Roman"/>
          <w:sz w:val="24"/>
          <w:szCs w:val="24"/>
          <w:highlight w:val="white"/>
          <w:rtl w:val="0"/>
        </w:rPr>
        <w:t xml:space="preserve">a </w:t>
      </w:r>
      <w:r w:rsidDel="00000000" w:rsidR="00000000" w:rsidRPr="00000000">
        <w:rPr>
          <w:rFonts w:ascii="Times New Roman" w:cs="Times New Roman" w:eastAsia="Times New Roman" w:hAnsi="Times New Roman"/>
          <w:sz w:val="24"/>
          <w:szCs w:val="24"/>
          <w:highlight w:val="white"/>
          <w:rtl w:val="0"/>
        </w:rPr>
        <w:t xml:space="preserve">profound </w:t>
      </w:r>
      <w:r w:rsidDel="00000000" w:rsidR="00000000" w:rsidRPr="00000000">
        <w:rPr>
          <w:rFonts w:ascii="Times New Roman" w:cs="Times New Roman" w:eastAsia="Times New Roman" w:hAnsi="Times New Roman"/>
          <w:sz w:val="24"/>
          <w:szCs w:val="24"/>
          <w:highlight w:val="white"/>
          <w:rtl w:val="0"/>
        </w:rPr>
        <w:t xml:space="preserve">impact on the 2022 curriculum </w:t>
      </w:r>
      <w:r w:rsidDel="00000000" w:rsidR="00000000" w:rsidRPr="00000000">
        <w:rPr>
          <w:rFonts w:ascii="Times New Roman" w:cs="Times New Roman" w:eastAsia="Times New Roman" w:hAnsi="Times New Roman"/>
          <w:sz w:val="24"/>
          <w:szCs w:val="24"/>
          <w:highlight w:val="white"/>
          <w:rtl w:val="0"/>
        </w:rPr>
        <w:t xml:space="preserve">since </w:t>
      </w:r>
      <w:r w:rsidDel="00000000" w:rsidR="00000000" w:rsidRPr="00000000">
        <w:rPr>
          <w:rFonts w:ascii="Times New Roman" w:cs="Times New Roman" w:eastAsia="Times New Roman" w:hAnsi="Times New Roman"/>
          <w:sz w:val="24"/>
          <w:szCs w:val="24"/>
          <w:highlight w:val="white"/>
          <w:rtl w:val="0"/>
        </w:rPr>
        <w:t xml:space="preserve">children's cognitive and physical development </w:t>
      </w:r>
      <w:r w:rsidDel="00000000" w:rsidR="00000000" w:rsidRPr="00000000">
        <w:rPr>
          <w:rFonts w:ascii="Times New Roman" w:cs="Times New Roman" w:eastAsia="Times New Roman" w:hAnsi="Times New Roman"/>
          <w:sz w:val="24"/>
          <w:szCs w:val="24"/>
          <w:highlight w:val="white"/>
          <w:rtl w:val="0"/>
        </w:rPr>
        <w:t xml:space="preserve">declined </w:t>
      </w:r>
      <w:r w:rsidDel="00000000" w:rsidR="00000000" w:rsidRPr="00000000">
        <w:rPr>
          <w:rFonts w:ascii="Times New Roman" w:cs="Times New Roman" w:eastAsia="Times New Roman" w:hAnsi="Times New Roman"/>
          <w:sz w:val="24"/>
          <w:szCs w:val="24"/>
          <w:highlight w:val="white"/>
          <w:rtl w:val="0"/>
        </w:rPr>
        <w:t xml:space="preserve">as a </w:t>
      </w:r>
      <w:r w:rsidDel="00000000" w:rsidR="00000000" w:rsidRPr="00000000">
        <w:rPr>
          <w:rFonts w:ascii="Times New Roman" w:cs="Times New Roman" w:eastAsia="Times New Roman" w:hAnsi="Times New Roman"/>
          <w:sz w:val="24"/>
          <w:szCs w:val="24"/>
          <w:highlight w:val="white"/>
          <w:rtl w:val="0"/>
        </w:rPr>
        <w:t xml:space="preserve">result of </w:t>
      </w:r>
      <w:r w:rsidDel="00000000" w:rsidR="00000000" w:rsidRPr="00000000">
        <w:rPr>
          <w:rFonts w:ascii="Times New Roman" w:cs="Times New Roman" w:eastAsia="Times New Roman" w:hAnsi="Times New Roman"/>
          <w:sz w:val="24"/>
          <w:szCs w:val="24"/>
          <w:highlight w:val="white"/>
          <w:rtl w:val="0"/>
        </w:rPr>
        <w:t xml:space="preserve">isolation, limited social </w:t>
      </w:r>
      <w:r w:rsidDel="00000000" w:rsidR="00000000" w:rsidRPr="00000000">
        <w:rPr>
          <w:rFonts w:ascii="Times New Roman" w:cs="Times New Roman" w:eastAsia="Times New Roman" w:hAnsi="Times New Roman"/>
          <w:sz w:val="24"/>
          <w:szCs w:val="24"/>
          <w:highlight w:val="white"/>
          <w:rtl w:val="0"/>
        </w:rPr>
        <w:t xml:space="preserve">engagement, </w:t>
      </w:r>
      <w:r w:rsidDel="00000000" w:rsidR="00000000" w:rsidRPr="00000000">
        <w:rPr>
          <w:rFonts w:ascii="Times New Roman" w:cs="Times New Roman" w:eastAsia="Times New Roman" w:hAnsi="Times New Roman"/>
          <w:sz w:val="24"/>
          <w:szCs w:val="24"/>
          <w:highlight w:val="white"/>
          <w:rtl w:val="0"/>
        </w:rPr>
        <w:t xml:space="preserve">and quarantine </w:t>
      </w:r>
      <w:r w:rsidDel="00000000" w:rsidR="00000000" w:rsidRPr="00000000">
        <w:rPr>
          <w:rFonts w:ascii="Times New Roman" w:cs="Times New Roman" w:eastAsia="Times New Roman" w:hAnsi="Times New Roman"/>
          <w:sz w:val="24"/>
          <w:szCs w:val="24"/>
          <w:highlight w:val="white"/>
          <w:rtl w:val="0"/>
        </w:rPr>
        <w:t xml:space="preserve">measures (French et al.,2022).</w:t>
      </w:r>
      <w:r w:rsidDel="00000000" w:rsidR="00000000" w:rsidRPr="00000000">
        <w:rPr>
          <w:rFonts w:ascii="Times New Roman" w:cs="Times New Roman" w:eastAsia="Times New Roman" w:hAnsi="Times New Roman"/>
          <w:sz w:val="24"/>
          <w:szCs w:val="24"/>
          <w:highlight w:val="white"/>
          <w:rtl w:val="0"/>
        </w:rPr>
        <w:t xml:space="preserve"> The pandemic highlighted </w:t>
      </w:r>
      <w:r w:rsidDel="00000000" w:rsidR="00000000" w:rsidRPr="00000000">
        <w:rPr>
          <w:rFonts w:ascii="Times New Roman" w:cs="Times New Roman" w:eastAsia="Times New Roman" w:hAnsi="Times New Roman"/>
          <w:sz w:val="24"/>
          <w:szCs w:val="24"/>
          <w:highlight w:val="white"/>
          <w:rtl w:val="0"/>
        </w:rPr>
        <w:t xml:space="preserve">problems </w:t>
      </w:r>
      <w:r w:rsidDel="00000000" w:rsidR="00000000" w:rsidRPr="00000000">
        <w:rPr>
          <w:rFonts w:ascii="Times New Roman" w:cs="Times New Roman" w:eastAsia="Times New Roman" w:hAnsi="Times New Roman"/>
          <w:sz w:val="24"/>
          <w:szCs w:val="24"/>
          <w:highlight w:val="white"/>
          <w:rtl w:val="0"/>
        </w:rPr>
        <w:t xml:space="preserve">in </w:t>
      </w:r>
      <w:r w:rsidDel="00000000" w:rsidR="00000000" w:rsidRPr="00000000">
        <w:rPr>
          <w:rFonts w:ascii="Times New Roman" w:cs="Times New Roman" w:eastAsia="Times New Roman" w:hAnsi="Times New Roman"/>
          <w:sz w:val="24"/>
          <w:szCs w:val="24"/>
          <w:highlight w:val="white"/>
          <w:rtl w:val="0"/>
        </w:rPr>
        <w:t xml:space="preserve">household </w:t>
      </w:r>
      <w:r w:rsidDel="00000000" w:rsidR="00000000" w:rsidRPr="00000000">
        <w:rPr>
          <w:rFonts w:ascii="Times New Roman" w:cs="Times New Roman" w:eastAsia="Times New Roman" w:hAnsi="Times New Roman"/>
          <w:sz w:val="24"/>
          <w:szCs w:val="24"/>
          <w:highlight w:val="white"/>
          <w:rtl w:val="0"/>
        </w:rPr>
        <w:t xml:space="preserve">resources, </w:t>
      </w:r>
      <w:r w:rsidDel="00000000" w:rsidR="00000000" w:rsidRPr="00000000">
        <w:rPr>
          <w:rFonts w:ascii="Times New Roman" w:cs="Times New Roman" w:eastAsia="Times New Roman" w:hAnsi="Times New Roman"/>
          <w:sz w:val="24"/>
          <w:szCs w:val="24"/>
          <w:highlight w:val="white"/>
          <w:rtl w:val="0"/>
        </w:rPr>
        <w:t xml:space="preserve">such as access to a rich outdoor </w:t>
      </w:r>
      <w:r w:rsidDel="00000000" w:rsidR="00000000" w:rsidRPr="00000000">
        <w:rPr>
          <w:rFonts w:ascii="Times New Roman" w:cs="Times New Roman" w:eastAsia="Times New Roman" w:hAnsi="Times New Roman"/>
          <w:sz w:val="24"/>
          <w:szCs w:val="24"/>
          <w:highlight w:val="white"/>
          <w:rtl w:val="0"/>
        </w:rPr>
        <w:t xml:space="preserve">environment, which </w:t>
      </w:r>
      <w:r w:rsidDel="00000000" w:rsidR="00000000" w:rsidRPr="00000000">
        <w:rPr>
          <w:rFonts w:ascii="Times New Roman" w:cs="Times New Roman" w:eastAsia="Times New Roman" w:hAnsi="Times New Roman"/>
          <w:sz w:val="24"/>
          <w:szCs w:val="24"/>
          <w:highlight w:val="white"/>
          <w:rtl w:val="0"/>
        </w:rPr>
        <w:t xml:space="preserve">disadvantaged </w:t>
      </w:r>
      <w:r w:rsidDel="00000000" w:rsidR="00000000" w:rsidRPr="00000000">
        <w:rPr>
          <w:rFonts w:ascii="Times New Roman" w:cs="Times New Roman" w:eastAsia="Times New Roman" w:hAnsi="Times New Roman"/>
          <w:sz w:val="24"/>
          <w:szCs w:val="24"/>
          <w:highlight w:val="white"/>
          <w:rtl w:val="0"/>
        </w:rPr>
        <w:t xml:space="preserve">some individuals more than others which impacted children's motor skills and fundamental movements (Ayubi, et al 2021)  As a consequence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the national Welsh curriculum </w:t>
      </w:r>
      <w:r w:rsidDel="00000000" w:rsidR="00000000" w:rsidRPr="00000000">
        <w:rPr>
          <w:rFonts w:ascii="Times New Roman" w:cs="Times New Roman" w:eastAsia="Times New Roman" w:hAnsi="Times New Roman"/>
          <w:sz w:val="24"/>
          <w:szCs w:val="24"/>
          <w:highlight w:val="white"/>
          <w:rtl w:val="0"/>
        </w:rPr>
        <w:t xml:space="preserve">places </w:t>
      </w:r>
      <w:r w:rsidDel="00000000" w:rsidR="00000000" w:rsidRPr="00000000">
        <w:rPr>
          <w:rFonts w:ascii="Times New Roman" w:cs="Times New Roman" w:eastAsia="Times New Roman" w:hAnsi="Times New Roman"/>
          <w:sz w:val="24"/>
          <w:szCs w:val="24"/>
          <w:highlight w:val="white"/>
          <w:rtl w:val="0"/>
        </w:rPr>
        <w:t xml:space="preserve">an emphasis on outdoor learning (welsh, government 2020) to </w:t>
      </w:r>
      <w:r w:rsidDel="00000000" w:rsidR="00000000" w:rsidRPr="00000000">
        <w:rPr>
          <w:rFonts w:ascii="Times New Roman" w:cs="Times New Roman" w:eastAsia="Times New Roman" w:hAnsi="Times New Roman"/>
          <w:sz w:val="24"/>
          <w:szCs w:val="24"/>
          <w:highlight w:val="white"/>
          <w:rtl w:val="0"/>
        </w:rPr>
        <w:t xml:space="preserve">assist </w:t>
      </w:r>
      <w:r w:rsidDel="00000000" w:rsidR="00000000" w:rsidRPr="00000000">
        <w:rPr>
          <w:rFonts w:ascii="Times New Roman" w:cs="Times New Roman" w:eastAsia="Times New Roman" w:hAnsi="Times New Roman"/>
          <w:sz w:val="24"/>
          <w:szCs w:val="24"/>
          <w:highlight w:val="white"/>
          <w:rtl w:val="0"/>
        </w:rPr>
        <w:t xml:space="preserve">in </w:t>
      </w:r>
      <w:r w:rsidDel="00000000" w:rsidR="00000000" w:rsidRPr="00000000">
        <w:rPr>
          <w:rFonts w:ascii="Times New Roman" w:cs="Times New Roman" w:eastAsia="Times New Roman" w:hAnsi="Times New Roman"/>
          <w:sz w:val="24"/>
          <w:szCs w:val="24"/>
          <w:highlight w:val="white"/>
          <w:rtl w:val="0"/>
        </w:rPr>
        <w:t xml:space="preserve">addressing these issues </w:t>
      </w:r>
      <w:r w:rsidDel="00000000" w:rsidR="00000000" w:rsidRPr="00000000">
        <w:rPr>
          <w:rFonts w:ascii="Times New Roman" w:cs="Times New Roman" w:eastAsia="Times New Roman" w:hAnsi="Times New Roman"/>
          <w:sz w:val="24"/>
          <w:szCs w:val="24"/>
          <w:highlight w:val="white"/>
          <w:rtl w:val="0"/>
        </w:rPr>
        <w:t xml:space="preserve">and support </w:t>
      </w:r>
      <w:r w:rsidDel="00000000" w:rsidR="00000000" w:rsidRPr="00000000">
        <w:rPr>
          <w:rFonts w:ascii="Times New Roman" w:cs="Times New Roman" w:eastAsia="Times New Roman" w:hAnsi="Times New Roman"/>
          <w:sz w:val="24"/>
          <w:szCs w:val="24"/>
          <w:highlight w:val="white"/>
          <w:rtl w:val="0"/>
        </w:rPr>
        <w:t xml:space="preserve">children's overall </w:t>
      </w:r>
      <w:r w:rsidDel="00000000" w:rsidR="00000000" w:rsidRPr="00000000">
        <w:rPr>
          <w:rFonts w:ascii="Times New Roman" w:cs="Times New Roman" w:eastAsia="Times New Roman" w:hAnsi="Times New Roman"/>
          <w:sz w:val="24"/>
          <w:szCs w:val="24"/>
          <w:highlight w:val="white"/>
          <w:rtl w:val="0"/>
        </w:rPr>
        <w:t xml:space="preserve">development (Grindheim et al., 2021). </w:t>
      </w:r>
    </w:p>
    <w:p w:rsidR="00000000" w:rsidDel="00000000" w:rsidP="00000000" w:rsidRDefault="00000000" w:rsidRPr="00000000" w14:paraId="00000004">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Along with the Welsh National Curriculum, other international influences have adopted various pedagogical approaches, some of which are comparable to the Welsh National curriculum,while others differ. </w:t>
      </w:r>
      <w:r w:rsidDel="00000000" w:rsidR="00000000" w:rsidRPr="00000000">
        <w:rPr>
          <w:rFonts w:ascii="Times New Roman" w:cs="Times New Roman" w:eastAsia="Times New Roman" w:hAnsi="Times New Roman"/>
          <w:sz w:val="24"/>
          <w:szCs w:val="24"/>
          <w:highlight w:val="white"/>
          <w:rtl w:val="0"/>
        </w:rPr>
        <w:t xml:space="preserve">The Te Whariki model has had a considerable impact on the Welsh national curriculum, which shares a strong emphasis on holistic development (Ministry of education,2017) The Te Whakari’s framework describes its curriculum in terms of principles, strands, goals and learning outcomes . Te whakari’s” five strands of well-being, belonging, contribution, communication, and discovery” (Peters,2013) resonate strongly with the six areas of learning in the national Welsh curriculum (Welsh government ,2020). Along with New zealand, the national welsh curriculum has been influenced by other global influences. </w:t>
      </w:r>
      <w:r w:rsidDel="00000000" w:rsidR="00000000" w:rsidRPr="00000000">
        <w:rPr>
          <w:rFonts w:ascii="Times New Roman" w:cs="Times New Roman" w:eastAsia="Times New Roman" w:hAnsi="Times New Roman"/>
          <w:sz w:val="24"/>
          <w:szCs w:val="24"/>
          <w:rtl w:val="0"/>
        </w:rPr>
        <w:t xml:space="preserve">Reggio Emilia Italy, for example, regards the child as the protagonist of their early year childhood education using the term “all thinking is research” (Hewett, 2001, p.97). The teacher is deemed as a facilitator of the child's learning on the basis of the child's inquisitiveness, requirements and understanding (Hewett,2001 p.95) They believe in a child who has a fundamental right to ‘realise and expand their potential’ “ (Valentine, 2006) .This pedagogical methodology is consistent with Vygotsky's idea of Zone of Proximal Development, which states that a child's cognitive development and learning ability can be influenced  by social interactions (Vygotsky, 1978). </w:t>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Vygotsky's Theory (ZPD) emphasises on the difference between what children can do on their own and what they can do with the support of adults or in collaboration with more capable peers (Vygotsky,1978). Jerome Burner (1960), an educational theorist who shares similar viewpoints to Vygotsky highlights the significance of social interactions. Burner introduced the idea of a ‘spiral curriculum’ where learners repeat activities but increase the complexity overtime (Burner,1960).</w:t>
      </w:r>
    </w:p>
    <w:p w:rsidR="00000000" w:rsidDel="00000000" w:rsidP="00000000" w:rsidRDefault="00000000" w:rsidRPr="00000000" w14:paraId="0000000C">
      <w:pPr>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Vgotsky’s theory highlights the developmental importance of play  Aligning with the role of playful pedagogy in the national welsh curriculum especially in the foundation phase where play based learning is essential as it is believed that learning through play motivates and keeps learners interested (Wainwright,2020).  Play based pedagogy creates a stimulant for curiosity and independence (Moyles,2010), creating autonomy in lessons allowing the children to explore the affordances in their environment around them (Wood,2014). “Greek philosopher Plato (427-347 BC) suggested that an hour of play can reveal more characteristics of an individual than a year of conversion” emphasising on the importance of play (Moyles,2010).</w:t>
      </w:r>
    </w:p>
    <w:p w:rsidR="00000000" w:rsidDel="00000000" w:rsidP="00000000" w:rsidRDefault="00000000" w:rsidRPr="00000000" w14:paraId="0000000D">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color w:val="172b4d"/>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 Play is an essential approach to develop a young child's physical literacy; it is the foundation of keeping a child physically active for life. </w:t>
      </w:r>
      <w:r w:rsidDel="00000000" w:rsidR="00000000" w:rsidRPr="00000000">
        <w:rPr>
          <w:rFonts w:ascii="Times New Roman" w:cs="Times New Roman" w:eastAsia="Times New Roman" w:hAnsi="Times New Roman"/>
          <w:sz w:val="24"/>
          <w:szCs w:val="24"/>
          <w:highlight w:val="white"/>
          <w:rtl w:val="0"/>
        </w:rPr>
        <w:t xml:space="preserve">Play pedagogy in the outdoors has been </w:t>
      </w:r>
      <w:r w:rsidDel="00000000" w:rsidR="00000000" w:rsidRPr="00000000">
        <w:rPr>
          <w:rFonts w:ascii="Times New Roman" w:cs="Times New Roman" w:eastAsia="Times New Roman" w:hAnsi="Times New Roman"/>
          <w:sz w:val="24"/>
          <w:szCs w:val="24"/>
          <w:highlight w:val="white"/>
          <w:rtl w:val="0"/>
        </w:rPr>
        <w:t xml:space="preserve">incorporated </w:t>
      </w:r>
      <w:r w:rsidDel="00000000" w:rsidR="00000000" w:rsidRPr="00000000">
        <w:rPr>
          <w:rFonts w:ascii="Times New Roman" w:cs="Times New Roman" w:eastAsia="Times New Roman" w:hAnsi="Times New Roman"/>
          <w:sz w:val="24"/>
          <w:szCs w:val="24"/>
          <w:highlight w:val="white"/>
          <w:rtl w:val="0"/>
        </w:rPr>
        <w:t xml:space="preserve">into the Welsh </w:t>
      </w:r>
      <w:r w:rsidDel="00000000" w:rsidR="00000000" w:rsidRPr="00000000">
        <w:rPr>
          <w:rFonts w:ascii="Times New Roman" w:cs="Times New Roman" w:eastAsia="Times New Roman" w:hAnsi="Times New Roman"/>
          <w:sz w:val="24"/>
          <w:szCs w:val="24"/>
          <w:highlight w:val="white"/>
          <w:rtl w:val="0"/>
        </w:rPr>
        <w:t xml:space="preserve">curriculum, </w:t>
      </w:r>
      <w:r w:rsidDel="00000000" w:rsidR="00000000" w:rsidRPr="00000000">
        <w:rPr>
          <w:rFonts w:ascii="Times New Roman" w:cs="Times New Roman" w:eastAsia="Times New Roman" w:hAnsi="Times New Roman"/>
          <w:sz w:val="24"/>
          <w:szCs w:val="24"/>
          <w:highlight w:val="white"/>
          <w:rtl w:val="0"/>
        </w:rPr>
        <w:t xml:space="preserve">particularly </w:t>
      </w:r>
      <w:r w:rsidDel="00000000" w:rsidR="00000000" w:rsidRPr="00000000">
        <w:rPr>
          <w:rFonts w:ascii="Times New Roman" w:cs="Times New Roman" w:eastAsia="Times New Roman" w:hAnsi="Times New Roman"/>
          <w:sz w:val="24"/>
          <w:szCs w:val="24"/>
          <w:highlight w:val="white"/>
          <w:rtl w:val="0"/>
        </w:rPr>
        <w:t xml:space="preserve">the foundation phase. The outdoors provides </w:t>
      </w:r>
      <w:r w:rsidDel="00000000" w:rsidR="00000000" w:rsidRPr="00000000">
        <w:rPr>
          <w:rFonts w:ascii="Times New Roman" w:cs="Times New Roman" w:eastAsia="Times New Roman" w:hAnsi="Times New Roman"/>
          <w:sz w:val="24"/>
          <w:szCs w:val="24"/>
          <w:highlight w:val="white"/>
          <w:rtl w:val="0"/>
        </w:rPr>
        <w:t xml:space="preserve">possibilities </w:t>
      </w:r>
      <w:r w:rsidDel="00000000" w:rsidR="00000000" w:rsidRPr="00000000">
        <w:rPr>
          <w:rFonts w:ascii="Times New Roman" w:cs="Times New Roman" w:eastAsia="Times New Roman" w:hAnsi="Times New Roman"/>
          <w:sz w:val="24"/>
          <w:szCs w:val="24"/>
          <w:highlight w:val="white"/>
          <w:rtl w:val="0"/>
        </w:rPr>
        <w:t xml:space="preserve">for a </w:t>
      </w:r>
      <w:r w:rsidDel="00000000" w:rsidR="00000000" w:rsidRPr="00000000">
        <w:rPr>
          <w:rFonts w:ascii="Times New Roman" w:cs="Times New Roman" w:eastAsia="Times New Roman" w:hAnsi="Times New Roman"/>
          <w:sz w:val="24"/>
          <w:szCs w:val="24"/>
          <w:highlight w:val="white"/>
          <w:rtl w:val="0"/>
        </w:rPr>
        <w:t xml:space="preserve">wide </w:t>
      </w:r>
      <w:r w:rsidDel="00000000" w:rsidR="00000000" w:rsidRPr="00000000">
        <w:rPr>
          <w:rFonts w:ascii="Times New Roman" w:cs="Times New Roman" w:eastAsia="Times New Roman" w:hAnsi="Times New Roman"/>
          <w:sz w:val="24"/>
          <w:szCs w:val="24"/>
          <w:highlight w:val="white"/>
          <w:rtl w:val="0"/>
        </w:rPr>
        <w:t xml:space="preserve">range of movement such as running, jumping, climbing, </w:t>
      </w:r>
      <w:r w:rsidDel="00000000" w:rsidR="00000000" w:rsidRPr="00000000">
        <w:rPr>
          <w:rFonts w:ascii="Times New Roman" w:cs="Times New Roman" w:eastAsia="Times New Roman" w:hAnsi="Times New Roman"/>
          <w:sz w:val="24"/>
          <w:szCs w:val="24"/>
          <w:highlight w:val="white"/>
          <w:rtl w:val="0"/>
        </w:rPr>
        <w:t xml:space="preserve">and </w:t>
      </w:r>
      <w:r w:rsidDel="00000000" w:rsidR="00000000" w:rsidRPr="00000000">
        <w:rPr>
          <w:rFonts w:ascii="Times New Roman" w:cs="Times New Roman" w:eastAsia="Times New Roman" w:hAnsi="Times New Roman"/>
          <w:sz w:val="24"/>
          <w:szCs w:val="24"/>
          <w:highlight w:val="white"/>
          <w:rtl w:val="0"/>
        </w:rPr>
        <w:t xml:space="preserve">so on. These movements </w:t>
      </w:r>
      <w:r w:rsidDel="00000000" w:rsidR="00000000" w:rsidRPr="00000000">
        <w:rPr>
          <w:rFonts w:ascii="Times New Roman" w:cs="Times New Roman" w:eastAsia="Times New Roman" w:hAnsi="Times New Roman"/>
          <w:sz w:val="24"/>
          <w:szCs w:val="24"/>
          <w:highlight w:val="white"/>
          <w:rtl w:val="0"/>
        </w:rPr>
        <w:t xml:space="preserve">teach </w:t>
      </w:r>
      <w:r w:rsidDel="00000000" w:rsidR="00000000" w:rsidRPr="00000000">
        <w:rPr>
          <w:rFonts w:ascii="Times New Roman" w:cs="Times New Roman" w:eastAsia="Times New Roman" w:hAnsi="Times New Roman"/>
          <w:sz w:val="24"/>
          <w:szCs w:val="24"/>
          <w:highlight w:val="white"/>
          <w:rtl w:val="0"/>
        </w:rPr>
        <w:t xml:space="preserve">children </w:t>
      </w:r>
      <w:r w:rsidDel="00000000" w:rsidR="00000000" w:rsidRPr="00000000">
        <w:rPr>
          <w:rFonts w:ascii="Times New Roman" w:cs="Times New Roman" w:eastAsia="Times New Roman" w:hAnsi="Times New Roman"/>
          <w:sz w:val="24"/>
          <w:szCs w:val="24"/>
          <w:highlight w:val="white"/>
          <w:rtl w:val="0"/>
        </w:rPr>
        <w:t xml:space="preserve">fundamental movement skills, motor </w:t>
      </w:r>
      <w:r w:rsidDel="00000000" w:rsidR="00000000" w:rsidRPr="00000000">
        <w:rPr>
          <w:rFonts w:ascii="Times New Roman" w:cs="Times New Roman" w:eastAsia="Times New Roman" w:hAnsi="Times New Roman"/>
          <w:sz w:val="24"/>
          <w:szCs w:val="24"/>
          <w:highlight w:val="white"/>
          <w:rtl w:val="0"/>
        </w:rPr>
        <w:t xml:space="preserve">skills  (Fjort,2004) , all </w:t>
      </w:r>
      <w:r w:rsidDel="00000000" w:rsidR="00000000" w:rsidRPr="00000000">
        <w:rPr>
          <w:rFonts w:ascii="Times New Roman" w:cs="Times New Roman" w:eastAsia="Times New Roman" w:hAnsi="Times New Roman"/>
          <w:sz w:val="24"/>
          <w:szCs w:val="24"/>
          <w:highlight w:val="white"/>
          <w:rtl w:val="0"/>
        </w:rPr>
        <w:t xml:space="preserve">of </w:t>
      </w:r>
      <w:r w:rsidDel="00000000" w:rsidR="00000000" w:rsidRPr="00000000">
        <w:rPr>
          <w:rFonts w:ascii="Times New Roman" w:cs="Times New Roman" w:eastAsia="Times New Roman" w:hAnsi="Times New Roman"/>
          <w:sz w:val="24"/>
          <w:szCs w:val="24"/>
          <w:highlight w:val="white"/>
          <w:rtl w:val="0"/>
        </w:rPr>
        <w:t xml:space="preserve">which are </w:t>
      </w:r>
      <w:r w:rsidDel="00000000" w:rsidR="00000000" w:rsidRPr="00000000">
        <w:rPr>
          <w:rFonts w:ascii="Times New Roman" w:cs="Times New Roman" w:eastAsia="Times New Roman" w:hAnsi="Times New Roman"/>
          <w:sz w:val="24"/>
          <w:szCs w:val="24"/>
          <w:highlight w:val="white"/>
          <w:rtl w:val="0"/>
        </w:rPr>
        <w:t xml:space="preserve">crucial </w:t>
      </w:r>
      <w:r w:rsidDel="00000000" w:rsidR="00000000" w:rsidRPr="00000000">
        <w:rPr>
          <w:rFonts w:ascii="Times New Roman" w:cs="Times New Roman" w:eastAsia="Times New Roman" w:hAnsi="Times New Roman"/>
          <w:sz w:val="24"/>
          <w:szCs w:val="24"/>
          <w:highlight w:val="white"/>
          <w:rtl w:val="0"/>
        </w:rPr>
        <w:t xml:space="preserve">to support an individual's physical literacy journey</w:t>
      </w:r>
      <w:r w:rsidDel="00000000" w:rsidR="00000000" w:rsidRPr="00000000">
        <w:rPr>
          <w:rFonts w:ascii="Times New Roman" w:cs="Times New Roman" w:eastAsia="Times New Roman" w:hAnsi="Times New Roman"/>
          <w:color w:val="172b4d"/>
          <w:sz w:val="24"/>
          <w:szCs w:val="24"/>
          <w:highlight w:val="white"/>
          <w:rtl w:val="0"/>
        </w:rPr>
        <w:t xml:space="preserve">.</w:t>
      </w:r>
    </w:p>
    <w:p w:rsidR="00000000" w:rsidDel="00000000" w:rsidP="00000000" w:rsidRDefault="00000000" w:rsidRPr="00000000" w14:paraId="0000000F">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 Welsh curriculum places a major focus on physical literacy in the outdoors, reflecting on global change in educational priorities (Courtois et al, 2024) This curriculum is inspired by both the Scottish and Australian curriculum . Professor Graham Donaldson has influenced all three curriculums, expressing that each curriculum should not be predetermined and should focus not just on academic accomplishment but also on the progression of each individual's well-being, physical abilities, and outdoor learning. Following on from Scotland's "curriculum of excellence," which incorporates outdoor learning across all areas to facilitate experiential learning.</w:t>
      </w:r>
      <w:r w:rsidDel="00000000" w:rsidR="00000000" w:rsidRPr="00000000">
        <w:rPr>
          <w:rFonts w:ascii="Times New Roman" w:cs="Times New Roman" w:eastAsia="Times New Roman" w:hAnsi="Times New Roman"/>
          <w:sz w:val="24"/>
          <w:szCs w:val="24"/>
          <w:rtl w:val="0"/>
        </w:rPr>
        <w:t xml:space="preserve"> (Scottish government,2016). </w:t>
      </w:r>
      <w:r w:rsidDel="00000000" w:rsidR="00000000" w:rsidRPr="00000000">
        <w:rPr>
          <w:rFonts w:ascii="Times New Roman" w:cs="Times New Roman" w:eastAsia="Times New Roman" w:hAnsi="Times New Roman"/>
          <w:sz w:val="24"/>
          <w:szCs w:val="24"/>
          <w:highlight w:val="white"/>
          <w:rtl w:val="0"/>
        </w:rPr>
        <w:t xml:space="preserve">The Australian, Scottish, and Welsh </w:t>
      </w:r>
      <w:r w:rsidDel="00000000" w:rsidR="00000000" w:rsidRPr="00000000">
        <w:rPr>
          <w:rFonts w:ascii="Times New Roman" w:cs="Times New Roman" w:eastAsia="Times New Roman" w:hAnsi="Times New Roman"/>
          <w:sz w:val="24"/>
          <w:szCs w:val="24"/>
          <w:highlight w:val="white"/>
          <w:rtl w:val="0"/>
        </w:rPr>
        <w:t xml:space="preserve">curriculum share several similarities.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All three</w:t>
      </w:r>
      <w:r w:rsidDel="00000000" w:rsidR="00000000" w:rsidRPr="00000000">
        <w:rPr>
          <w:rFonts w:ascii="Times New Roman" w:cs="Times New Roman" w:eastAsia="Times New Roman" w:hAnsi="Times New Roman"/>
          <w:sz w:val="24"/>
          <w:szCs w:val="24"/>
          <w:highlight w:val="white"/>
          <w:rtl w:val="0"/>
        </w:rPr>
        <w:t xml:space="preserve"> have </w:t>
      </w:r>
      <w:r w:rsidDel="00000000" w:rsidR="00000000" w:rsidRPr="00000000">
        <w:rPr>
          <w:rFonts w:ascii="Times New Roman" w:cs="Times New Roman" w:eastAsia="Times New Roman" w:hAnsi="Times New Roman"/>
          <w:sz w:val="24"/>
          <w:szCs w:val="24"/>
          <w:highlight w:val="white"/>
          <w:rtl w:val="0"/>
        </w:rPr>
        <w:t xml:space="preserve">a </w:t>
      </w:r>
      <w:r w:rsidDel="00000000" w:rsidR="00000000" w:rsidRPr="00000000">
        <w:rPr>
          <w:rFonts w:ascii="Times New Roman" w:cs="Times New Roman" w:eastAsia="Times New Roman" w:hAnsi="Times New Roman"/>
          <w:sz w:val="24"/>
          <w:szCs w:val="24"/>
          <w:highlight w:val="white"/>
          <w:rtl w:val="0"/>
        </w:rPr>
        <w:t xml:space="preserve">focus on </w:t>
      </w:r>
      <w:r w:rsidDel="00000000" w:rsidR="00000000" w:rsidRPr="00000000">
        <w:rPr>
          <w:rFonts w:ascii="Times New Roman" w:cs="Times New Roman" w:eastAsia="Times New Roman" w:hAnsi="Times New Roman"/>
          <w:sz w:val="24"/>
          <w:szCs w:val="24"/>
          <w:highlight w:val="white"/>
          <w:rtl w:val="0"/>
        </w:rPr>
        <w:t xml:space="preserve">promoting a holistic approach to learning </w:t>
      </w:r>
      <w:r w:rsidDel="00000000" w:rsidR="00000000" w:rsidRPr="00000000">
        <w:rPr>
          <w:rFonts w:ascii="Times New Roman" w:cs="Times New Roman" w:eastAsia="Times New Roman" w:hAnsi="Times New Roman"/>
          <w:sz w:val="24"/>
          <w:szCs w:val="24"/>
          <w:highlight w:val="white"/>
          <w:rtl w:val="0"/>
        </w:rPr>
        <w:t xml:space="preserve">and </w:t>
      </w:r>
      <w:r w:rsidDel="00000000" w:rsidR="00000000" w:rsidRPr="00000000">
        <w:rPr>
          <w:rFonts w:ascii="Times New Roman" w:cs="Times New Roman" w:eastAsia="Times New Roman" w:hAnsi="Times New Roman"/>
          <w:sz w:val="24"/>
          <w:szCs w:val="24"/>
          <w:highlight w:val="white"/>
          <w:rtl w:val="0"/>
        </w:rPr>
        <w:t xml:space="preserve">individuals' well-being in </w:t>
      </w:r>
      <w:r w:rsidDel="00000000" w:rsidR="00000000" w:rsidRPr="00000000">
        <w:rPr>
          <w:rFonts w:ascii="Times New Roman" w:cs="Times New Roman" w:eastAsia="Times New Roman" w:hAnsi="Times New Roman"/>
          <w:sz w:val="24"/>
          <w:szCs w:val="24"/>
          <w:highlight w:val="white"/>
          <w:rtl w:val="0"/>
        </w:rPr>
        <w:t xml:space="preserve">order for them </w:t>
      </w:r>
      <w:r w:rsidDel="00000000" w:rsidR="00000000" w:rsidRPr="00000000">
        <w:rPr>
          <w:rFonts w:ascii="Times New Roman" w:cs="Times New Roman" w:eastAsia="Times New Roman" w:hAnsi="Times New Roman"/>
          <w:sz w:val="24"/>
          <w:szCs w:val="24"/>
          <w:highlight w:val="white"/>
          <w:rtl w:val="0"/>
        </w:rPr>
        <w:t xml:space="preserve">to become </w:t>
      </w:r>
      <w:r w:rsidDel="00000000" w:rsidR="00000000" w:rsidRPr="00000000">
        <w:rPr>
          <w:rFonts w:ascii="Times New Roman" w:cs="Times New Roman" w:eastAsia="Times New Roman" w:hAnsi="Times New Roman"/>
          <w:sz w:val="24"/>
          <w:szCs w:val="24"/>
          <w:highlight w:val="white"/>
          <w:rtl w:val="0"/>
        </w:rPr>
        <w:t xml:space="preserve">effective </w:t>
      </w:r>
      <w:r w:rsidDel="00000000" w:rsidR="00000000" w:rsidRPr="00000000">
        <w:rPr>
          <w:rFonts w:ascii="Times New Roman" w:cs="Times New Roman" w:eastAsia="Times New Roman" w:hAnsi="Times New Roman"/>
          <w:sz w:val="24"/>
          <w:szCs w:val="24"/>
          <w:highlight w:val="white"/>
          <w:rtl w:val="0"/>
        </w:rPr>
        <w:t xml:space="preserve">learners in Wales (Welsh government,2019) . This focus is </w:t>
      </w:r>
      <w:r w:rsidDel="00000000" w:rsidR="00000000" w:rsidRPr="00000000">
        <w:rPr>
          <w:rFonts w:ascii="Times New Roman" w:cs="Times New Roman" w:eastAsia="Times New Roman" w:hAnsi="Times New Roman"/>
          <w:sz w:val="24"/>
          <w:szCs w:val="24"/>
          <w:highlight w:val="white"/>
          <w:rtl w:val="0"/>
        </w:rPr>
        <w:t xml:space="preserve">aligned </w:t>
      </w:r>
      <w:r w:rsidDel="00000000" w:rsidR="00000000" w:rsidRPr="00000000">
        <w:rPr>
          <w:rFonts w:ascii="Times New Roman" w:cs="Times New Roman" w:eastAsia="Times New Roman" w:hAnsi="Times New Roman"/>
          <w:sz w:val="24"/>
          <w:szCs w:val="24"/>
          <w:highlight w:val="white"/>
          <w:rtl w:val="0"/>
        </w:rPr>
        <w:t xml:space="preserve">with the Well-being of Future Generations Act 2015 (Wales), </w:t>
      </w:r>
      <w:r w:rsidDel="00000000" w:rsidR="00000000" w:rsidRPr="00000000">
        <w:rPr>
          <w:rFonts w:ascii="Times New Roman" w:cs="Times New Roman" w:eastAsia="Times New Roman" w:hAnsi="Times New Roman"/>
          <w:sz w:val="24"/>
          <w:szCs w:val="24"/>
          <w:highlight w:val="white"/>
          <w:rtl w:val="0"/>
        </w:rPr>
        <w:t xml:space="preserve">which </w:t>
      </w:r>
      <w:r w:rsidDel="00000000" w:rsidR="00000000" w:rsidRPr="00000000">
        <w:rPr>
          <w:rFonts w:ascii="Times New Roman" w:cs="Times New Roman" w:eastAsia="Times New Roman" w:hAnsi="Times New Roman"/>
          <w:sz w:val="24"/>
          <w:szCs w:val="24"/>
          <w:highlight w:val="white"/>
          <w:rtl w:val="0"/>
        </w:rPr>
        <w:t xml:space="preserve">places </w:t>
      </w:r>
      <w:r w:rsidDel="00000000" w:rsidR="00000000" w:rsidRPr="00000000">
        <w:rPr>
          <w:rFonts w:ascii="Times New Roman" w:cs="Times New Roman" w:eastAsia="Times New Roman" w:hAnsi="Times New Roman"/>
          <w:sz w:val="24"/>
          <w:szCs w:val="24"/>
          <w:highlight w:val="white"/>
          <w:rtl w:val="0"/>
        </w:rPr>
        <w:t xml:space="preserve">well-being at the core of the curriculum. </w:t>
      </w: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Physical literacy is founded on the phenomenology concept that each individual has a unique and personal way of experiencing the world through their own experiences (Whitehead,2010) .</w:t>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Whitehead (2010), indicates through existentialism that individuals develop themselves by their</w:t>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interactions with the environment around them. The more extensive their experience, the more likely they are to achieve their maximum potential. According to Whitehead (2010), individuals build themselves through "physical embodiment" when they interact with the environment around them. This theory corresponds to Clarke and Metcalfe's (2002) mountain of motor development. Clarke and metcalfe suggest that a wider spectrum of experiences and skills leads to better outcomes and can promote lifetime participation in physical activity. Physical literacy plays an important role in the welsh curriculum because it supports holistic development,  fostering healthy habits  and positive outcomes in children (sport wales,2024). By immersing physical literacy in the curriculum it leads to individuals becoming confident and competent learners.</w:t>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physical literacy journey begins from a young age, and with today's societal changes, infrastructure and the growing impact of technology it has become too easy for children to move less, leading to sedentary behaviour (Neville et al, 2024) .  However, the welsh curriculum emphasising on physical literacy in the foundation phase (age 3-7) , gives children the opportunity to develop their motivation, confidence,  physical competence, knowledge and understanding (Whitehead,2010). Early exposure to a broad range of movement is essential to develop  crucial  motor skills and also it is a key time to instil positive attitudes towards movement, Wainwright suggests that strong  physical literacy from a young age is essential for fostering lifelong engagement in physical activity (Wainwright,2018). Furthermore, from the age of seven, children become more aware of their abilities, developing more complex emotions (PBS,2024) and potentially begin to compare themselves to more capable peers. For facilitators, it becomes challenging to maintain a child's confidence if they aren't physically literate.</w:t>
      </w:r>
    </w:p>
    <w:p w:rsidR="00000000" w:rsidDel="00000000" w:rsidP="00000000" w:rsidRDefault="00000000" w:rsidRPr="00000000" w14:paraId="0000001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Although, “Every learner will be in a different place in their physical literacy journey and learning must be individualised “(Pot et al  whitehead and Durden-Myres, 2018).  This is why the 2022 curriculum has been highly effective by </w:t>
      </w:r>
      <w:r w:rsidDel="00000000" w:rsidR="00000000" w:rsidRPr="00000000">
        <w:rPr>
          <w:rFonts w:ascii="Times New Roman" w:cs="Times New Roman" w:eastAsia="Times New Roman" w:hAnsi="Times New Roman"/>
          <w:sz w:val="24"/>
          <w:szCs w:val="24"/>
          <w:highlight w:val="white"/>
          <w:rtl w:val="0"/>
        </w:rPr>
        <w:t xml:space="preserve">g</w:t>
      </w:r>
      <w:r w:rsidDel="00000000" w:rsidR="00000000" w:rsidRPr="00000000">
        <w:rPr>
          <w:rFonts w:ascii="Times New Roman" w:cs="Times New Roman" w:eastAsia="Times New Roman" w:hAnsi="Times New Roman"/>
          <w:sz w:val="24"/>
          <w:szCs w:val="24"/>
          <w:highlight w:val="white"/>
          <w:rtl w:val="0"/>
        </w:rPr>
        <w:t xml:space="preserve">iving teachers autonomy within the curriculum allowing</w:t>
      </w:r>
      <w:r w:rsidDel="00000000" w:rsidR="00000000" w:rsidRPr="00000000">
        <w:rPr>
          <w:rFonts w:ascii="Times New Roman" w:cs="Times New Roman" w:eastAsia="Times New Roman" w:hAnsi="Times New Roman"/>
          <w:sz w:val="24"/>
          <w:szCs w:val="24"/>
          <w:highlight w:val="white"/>
          <w:rtl w:val="0"/>
        </w:rPr>
        <w:t xml:space="preserve"> them </w:t>
      </w:r>
      <w:r w:rsidDel="00000000" w:rsidR="00000000" w:rsidRPr="00000000">
        <w:rPr>
          <w:rFonts w:ascii="Times New Roman" w:cs="Times New Roman" w:eastAsia="Times New Roman" w:hAnsi="Times New Roman"/>
          <w:sz w:val="24"/>
          <w:szCs w:val="24"/>
          <w:highlight w:val="white"/>
          <w:rtl w:val="0"/>
        </w:rPr>
        <w:t xml:space="preserve">to adapt </w:t>
      </w:r>
      <w:r w:rsidDel="00000000" w:rsidR="00000000" w:rsidRPr="00000000">
        <w:rPr>
          <w:rFonts w:ascii="Times New Roman" w:cs="Times New Roman" w:eastAsia="Times New Roman" w:hAnsi="Times New Roman"/>
          <w:sz w:val="24"/>
          <w:szCs w:val="24"/>
          <w:highlight w:val="white"/>
          <w:rtl w:val="0"/>
        </w:rPr>
        <w:t xml:space="preserve">their lessons </w:t>
      </w:r>
      <w:r w:rsidDel="00000000" w:rsidR="00000000" w:rsidRPr="00000000">
        <w:rPr>
          <w:rFonts w:ascii="Times New Roman" w:cs="Times New Roman" w:eastAsia="Times New Roman" w:hAnsi="Times New Roman"/>
          <w:sz w:val="24"/>
          <w:szCs w:val="24"/>
          <w:highlight w:val="white"/>
          <w:rtl w:val="0"/>
        </w:rPr>
        <w:t xml:space="preserve">to each child's </w:t>
      </w:r>
      <w:r w:rsidDel="00000000" w:rsidR="00000000" w:rsidRPr="00000000">
        <w:rPr>
          <w:rFonts w:ascii="Times New Roman" w:cs="Times New Roman" w:eastAsia="Times New Roman" w:hAnsi="Times New Roman"/>
          <w:sz w:val="24"/>
          <w:szCs w:val="24"/>
          <w:highlight w:val="white"/>
          <w:rtl w:val="0"/>
        </w:rPr>
        <w:t xml:space="preserve">specific needs (Welsh government,2019), which aligns </w:t>
      </w:r>
      <w:r w:rsidDel="00000000" w:rsidR="00000000" w:rsidRPr="00000000">
        <w:rPr>
          <w:rFonts w:ascii="Times New Roman" w:cs="Times New Roman" w:eastAsia="Times New Roman" w:hAnsi="Times New Roman"/>
          <w:sz w:val="24"/>
          <w:szCs w:val="24"/>
          <w:highlight w:val="white"/>
          <w:rtl w:val="0"/>
        </w:rPr>
        <w:t xml:space="preserve">with Morton and Atsworth's </w:t>
      </w:r>
      <w:r w:rsidDel="00000000" w:rsidR="00000000" w:rsidRPr="00000000">
        <w:rPr>
          <w:rFonts w:ascii="Times New Roman" w:cs="Times New Roman" w:eastAsia="Times New Roman" w:hAnsi="Times New Roman"/>
          <w:sz w:val="24"/>
          <w:szCs w:val="24"/>
          <w:highlight w:val="white"/>
          <w:rtl w:val="0"/>
        </w:rPr>
        <w:t xml:space="preserve">(2008) findings on the importance of inclusivity in </w:t>
      </w:r>
      <w:r w:rsidDel="00000000" w:rsidR="00000000" w:rsidRPr="00000000">
        <w:rPr>
          <w:rFonts w:ascii="Times New Roman" w:cs="Times New Roman" w:eastAsia="Times New Roman" w:hAnsi="Times New Roman"/>
          <w:sz w:val="24"/>
          <w:szCs w:val="24"/>
          <w:highlight w:val="white"/>
          <w:rtl w:val="0"/>
        </w:rPr>
        <w:t xml:space="preserve">education. The inclusive approach </w:t>
      </w:r>
      <w:r w:rsidDel="00000000" w:rsidR="00000000" w:rsidRPr="00000000">
        <w:rPr>
          <w:rFonts w:ascii="Times New Roman" w:cs="Times New Roman" w:eastAsia="Times New Roman" w:hAnsi="Times New Roman"/>
          <w:sz w:val="24"/>
          <w:szCs w:val="24"/>
          <w:highlight w:val="white"/>
          <w:rtl w:val="0"/>
        </w:rPr>
        <w:t xml:space="preserve">promotes </w:t>
      </w:r>
      <w:r w:rsidDel="00000000" w:rsidR="00000000" w:rsidRPr="00000000">
        <w:rPr>
          <w:rFonts w:ascii="Times New Roman" w:cs="Times New Roman" w:eastAsia="Times New Roman" w:hAnsi="Times New Roman"/>
          <w:sz w:val="24"/>
          <w:szCs w:val="24"/>
          <w:highlight w:val="white"/>
          <w:rtl w:val="0"/>
        </w:rPr>
        <w:t xml:space="preserve">a school culture in </w:t>
      </w:r>
      <w:r w:rsidDel="00000000" w:rsidR="00000000" w:rsidRPr="00000000">
        <w:rPr>
          <w:rFonts w:ascii="Times New Roman" w:cs="Times New Roman" w:eastAsia="Times New Roman" w:hAnsi="Times New Roman"/>
          <w:sz w:val="24"/>
          <w:szCs w:val="24"/>
          <w:highlight w:val="white"/>
          <w:rtl w:val="0"/>
        </w:rPr>
        <w:t xml:space="preserve">which </w:t>
      </w:r>
      <w:r w:rsidDel="00000000" w:rsidR="00000000" w:rsidRPr="00000000">
        <w:rPr>
          <w:rFonts w:ascii="Times New Roman" w:cs="Times New Roman" w:eastAsia="Times New Roman" w:hAnsi="Times New Roman"/>
          <w:sz w:val="24"/>
          <w:szCs w:val="24"/>
          <w:highlight w:val="white"/>
          <w:rtl w:val="0"/>
        </w:rPr>
        <w:t xml:space="preserve">children feel respected and supported. Vgotsky (1896) states that “inclusive education is a process of enhancing the capacity of the education system”  which is reflected in the 2022 National welsh  curriculums decision for educators autonomy in lessons (Bera,2020). </w:t>
      </w:r>
    </w:p>
    <w:p w:rsidR="00000000" w:rsidDel="00000000" w:rsidP="00000000" w:rsidRDefault="00000000" w:rsidRPr="00000000" w14:paraId="0000001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E">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Outdoor learning has been widely recognised for its significant health and wellbeing benefits and is considered  as a key pedagogical approach (Welsh government,2022). In the foundation phase outdoor play is a core component, allowing children to learn through exploration and interact with their environment. The curriculum is designed to support children's cognitive and physical development through experiential learning and playful pedagogy (Hamilton et al, 2020) . Gibson (1979)  states that the outdoor environment offers endless features that are a natural stimuli for individuals . The latest National welsh curriculum (2022), has emphasised on playful pedagogy with autonomy  in outdoor spaces, this gives children a wide range of affordances. The topography and vegetation of the outdoors gives individuals  endless opportunities to develop more complex movement skills due to the different terrain, trees and the sensory engaging environment (Fjortoft,2004).  The diverse range of movement the outdoors brings, outweighs indoor learning .</w:t>
      </w:r>
    </w:p>
    <w:p w:rsidR="00000000" w:rsidDel="00000000" w:rsidP="00000000" w:rsidRDefault="00000000" w:rsidRPr="00000000" w14:paraId="00000022">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However, it is important to recognise that not all schools have these affordances and resources. An example of this is urban schools may have limited access to a rich outdoor environment, while a rural school potentially has a spacious and diverse  outdoor area to exploit these skills (Patchen et al.,2022).</w:t>
      </w:r>
    </w:p>
    <w:p w:rsidR="00000000" w:rsidDel="00000000" w:rsidP="00000000" w:rsidRDefault="00000000" w:rsidRPr="00000000" w14:paraId="00000024">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internationally, forest schools and Scandinavian outdoor learning practices have greatly influenced this approach. Research shows that outdoor learning offers great benefits compared to indoor learning settings. Studies from Norway (Fjort,2004) show that children that spend time in diverse outdoor landscapes build an all around stronger skill set.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Scandinavian countries have embraced </w:t>
      </w:r>
      <w:r w:rsidDel="00000000" w:rsidR="00000000" w:rsidRPr="00000000">
        <w:rPr>
          <w:rFonts w:ascii="Times New Roman" w:cs="Times New Roman" w:eastAsia="Times New Roman" w:hAnsi="Times New Roman"/>
          <w:sz w:val="24"/>
          <w:szCs w:val="24"/>
          <w:highlight w:val="white"/>
          <w:rtl w:val="0"/>
        </w:rPr>
        <w:t xml:space="preserve">outdoor pedagogy, </w:t>
      </w:r>
      <w:r w:rsidDel="00000000" w:rsidR="00000000" w:rsidRPr="00000000">
        <w:rPr>
          <w:rFonts w:ascii="Times New Roman" w:cs="Times New Roman" w:eastAsia="Times New Roman" w:hAnsi="Times New Roman"/>
          <w:sz w:val="24"/>
          <w:szCs w:val="24"/>
          <w:highlight w:val="white"/>
          <w:rtl w:val="0"/>
        </w:rPr>
        <w:t xml:space="preserve">which </w:t>
      </w:r>
      <w:r w:rsidDel="00000000" w:rsidR="00000000" w:rsidRPr="00000000">
        <w:rPr>
          <w:rFonts w:ascii="Times New Roman" w:cs="Times New Roman" w:eastAsia="Times New Roman" w:hAnsi="Times New Roman"/>
          <w:sz w:val="24"/>
          <w:szCs w:val="24"/>
          <w:highlight w:val="white"/>
          <w:rtl w:val="0"/>
        </w:rPr>
        <w:t xml:space="preserve">plays </w:t>
      </w:r>
      <w:r w:rsidDel="00000000" w:rsidR="00000000" w:rsidRPr="00000000">
        <w:rPr>
          <w:rFonts w:ascii="Times New Roman" w:cs="Times New Roman" w:eastAsia="Times New Roman" w:hAnsi="Times New Roman"/>
          <w:sz w:val="24"/>
          <w:szCs w:val="24"/>
          <w:highlight w:val="white"/>
          <w:rtl w:val="0"/>
        </w:rPr>
        <w:t xml:space="preserve">an important role </w:t>
      </w:r>
      <w:r w:rsidDel="00000000" w:rsidR="00000000" w:rsidRPr="00000000">
        <w:rPr>
          <w:rFonts w:ascii="Times New Roman" w:cs="Times New Roman" w:eastAsia="Times New Roman" w:hAnsi="Times New Roman"/>
          <w:sz w:val="24"/>
          <w:szCs w:val="24"/>
          <w:highlight w:val="white"/>
          <w:rtl w:val="0"/>
        </w:rPr>
        <w:t xml:space="preserve">in their learning and </w:t>
      </w:r>
      <w:r w:rsidDel="00000000" w:rsidR="00000000" w:rsidRPr="00000000">
        <w:rPr>
          <w:rFonts w:ascii="Times New Roman" w:cs="Times New Roman" w:eastAsia="Times New Roman" w:hAnsi="Times New Roman"/>
          <w:sz w:val="24"/>
          <w:szCs w:val="24"/>
          <w:highlight w:val="white"/>
          <w:rtl w:val="0"/>
        </w:rPr>
        <w:t xml:space="preserve">is </w:t>
      </w:r>
      <w:r w:rsidDel="00000000" w:rsidR="00000000" w:rsidRPr="00000000">
        <w:rPr>
          <w:rFonts w:ascii="Times New Roman" w:cs="Times New Roman" w:eastAsia="Times New Roman" w:hAnsi="Times New Roman"/>
          <w:sz w:val="24"/>
          <w:szCs w:val="24"/>
          <w:highlight w:val="white"/>
          <w:rtl w:val="0"/>
        </w:rPr>
        <w:t xml:space="preserve">inspired by Frobel's educational philosophy (Knight, 2011). In </w:t>
      </w:r>
      <w:r w:rsidDel="00000000" w:rsidR="00000000" w:rsidRPr="00000000">
        <w:rPr>
          <w:rFonts w:ascii="Times New Roman" w:cs="Times New Roman" w:eastAsia="Times New Roman" w:hAnsi="Times New Roman"/>
          <w:sz w:val="24"/>
          <w:szCs w:val="24"/>
          <w:highlight w:val="white"/>
          <w:rtl w:val="0"/>
        </w:rPr>
        <w:t xml:space="preserve">nations </w:t>
      </w:r>
      <w:r w:rsidDel="00000000" w:rsidR="00000000" w:rsidRPr="00000000">
        <w:rPr>
          <w:rFonts w:ascii="Times New Roman" w:cs="Times New Roman" w:eastAsia="Times New Roman" w:hAnsi="Times New Roman"/>
          <w:sz w:val="24"/>
          <w:szCs w:val="24"/>
          <w:highlight w:val="white"/>
          <w:rtl w:val="0"/>
        </w:rPr>
        <w:t xml:space="preserve">such as Denmark and </w:t>
      </w:r>
      <w:r w:rsidDel="00000000" w:rsidR="00000000" w:rsidRPr="00000000">
        <w:rPr>
          <w:rFonts w:ascii="Times New Roman" w:cs="Times New Roman" w:eastAsia="Times New Roman" w:hAnsi="Times New Roman"/>
          <w:sz w:val="24"/>
          <w:szCs w:val="24"/>
          <w:highlight w:val="white"/>
          <w:rtl w:val="0"/>
        </w:rPr>
        <w:t xml:space="preserve">Sweden, children are provided the opportunity</w:t>
      </w:r>
      <w:r w:rsidDel="00000000" w:rsidR="00000000" w:rsidRPr="00000000">
        <w:rPr>
          <w:rFonts w:ascii="Times New Roman" w:cs="Times New Roman" w:eastAsia="Times New Roman" w:hAnsi="Times New Roman"/>
          <w:sz w:val="24"/>
          <w:szCs w:val="24"/>
          <w:highlight w:val="white"/>
          <w:rtl w:val="0"/>
        </w:rPr>
        <w:t xml:space="preserve"> to </w:t>
      </w:r>
      <w:r w:rsidDel="00000000" w:rsidR="00000000" w:rsidRPr="00000000">
        <w:rPr>
          <w:rFonts w:ascii="Times New Roman" w:cs="Times New Roman" w:eastAsia="Times New Roman" w:hAnsi="Times New Roman"/>
          <w:sz w:val="24"/>
          <w:szCs w:val="24"/>
          <w:highlight w:val="white"/>
          <w:rtl w:val="0"/>
        </w:rPr>
        <w:t xml:space="preserve">learn in a sensory-rich environment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in all weather </w:t>
      </w:r>
      <w:r w:rsidDel="00000000" w:rsidR="00000000" w:rsidRPr="00000000">
        <w:rPr>
          <w:rFonts w:ascii="Times New Roman" w:cs="Times New Roman" w:eastAsia="Times New Roman" w:hAnsi="Times New Roman"/>
          <w:sz w:val="24"/>
          <w:szCs w:val="24"/>
          <w:highlight w:val="white"/>
          <w:rtl w:val="0"/>
        </w:rPr>
        <w:t xml:space="preserve">conditions (Brumble,2021), resulting </w:t>
      </w:r>
      <w:r w:rsidDel="00000000" w:rsidR="00000000" w:rsidRPr="00000000">
        <w:rPr>
          <w:rFonts w:ascii="Times New Roman" w:cs="Times New Roman" w:eastAsia="Times New Roman" w:hAnsi="Times New Roman"/>
          <w:sz w:val="24"/>
          <w:szCs w:val="24"/>
          <w:highlight w:val="white"/>
          <w:rtl w:val="0"/>
        </w:rPr>
        <w:t xml:space="preserve">in a </w:t>
      </w:r>
      <w:r w:rsidDel="00000000" w:rsidR="00000000" w:rsidRPr="00000000">
        <w:rPr>
          <w:rFonts w:ascii="Times New Roman" w:cs="Times New Roman" w:eastAsia="Times New Roman" w:hAnsi="Times New Roman"/>
          <w:sz w:val="24"/>
          <w:szCs w:val="24"/>
          <w:highlight w:val="white"/>
          <w:rtl w:val="0"/>
        </w:rPr>
        <w:t xml:space="preserve">diverse learning environment. </w:t>
      </w:r>
    </w:p>
    <w:p w:rsidR="00000000" w:rsidDel="00000000" w:rsidP="00000000" w:rsidRDefault="00000000" w:rsidRPr="00000000" w14:paraId="00000025">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6">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7">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According to Estyn, teachers have recognised an improvement in engagement in children's indoor learning after being outdoors (Estyn,2023). Being outdoors has a positive impact on children, sometimes reducing stress and anxiety allowing children to process their emotions more (Welsh Government,2023). </w:t>
      </w:r>
    </w:p>
    <w:p w:rsidR="00000000" w:rsidDel="00000000" w:rsidP="00000000" w:rsidRDefault="00000000" w:rsidRPr="00000000" w14:paraId="00000028">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9">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A">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As explored throughout this essay it is clear that The national Welsh national curriculum has promoted significant change in recent years. Using careful and in depth research has gone into shaping the curriculum. A standout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theory in this research was outdoor learning and its impact on children in the foundation </w:t>
      </w:r>
      <w:r w:rsidDel="00000000" w:rsidR="00000000" w:rsidRPr="00000000">
        <w:rPr>
          <w:rFonts w:ascii="Times New Roman" w:cs="Times New Roman" w:eastAsia="Times New Roman" w:hAnsi="Times New Roman"/>
          <w:sz w:val="24"/>
          <w:szCs w:val="24"/>
          <w:highlight w:val="white"/>
          <w:rtl w:val="0"/>
        </w:rPr>
        <w:t xml:space="preserve">phase, and how it is so vital to incorporate this in </w:t>
      </w:r>
      <w:r w:rsidDel="00000000" w:rsidR="00000000" w:rsidRPr="00000000">
        <w:rPr>
          <w:rFonts w:ascii="Times New Roman" w:cs="Times New Roman" w:eastAsia="Times New Roman" w:hAnsi="Times New Roman"/>
          <w:sz w:val="24"/>
          <w:szCs w:val="24"/>
          <w:highlight w:val="white"/>
          <w:rtl w:val="0"/>
        </w:rPr>
        <w:t xml:space="preserve">the curriculum. In addition the importance of playful pedagogy in the foundation phase enhances children's all around development. </w:t>
      </w:r>
      <w:r w:rsidDel="00000000" w:rsidR="00000000" w:rsidRPr="00000000">
        <w:rPr>
          <w:rFonts w:ascii="Times New Roman" w:cs="Times New Roman" w:eastAsia="Times New Roman" w:hAnsi="Times New Roman"/>
          <w:sz w:val="24"/>
          <w:szCs w:val="24"/>
          <w:highlight w:val="white"/>
          <w:rtl w:val="0"/>
        </w:rPr>
        <w:t xml:space="preserve">However, further research </w:t>
      </w:r>
      <w:r w:rsidDel="00000000" w:rsidR="00000000" w:rsidRPr="00000000">
        <w:rPr>
          <w:rFonts w:ascii="Times New Roman" w:cs="Times New Roman" w:eastAsia="Times New Roman" w:hAnsi="Times New Roman"/>
          <w:sz w:val="24"/>
          <w:szCs w:val="24"/>
          <w:highlight w:val="white"/>
          <w:rtl w:val="0"/>
        </w:rPr>
        <w:t xml:space="preserve">revealed </w:t>
      </w:r>
      <w:r w:rsidDel="00000000" w:rsidR="00000000" w:rsidRPr="00000000">
        <w:rPr>
          <w:rFonts w:ascii="Times New Roman" w:cs="Times New Roman" w:eastAsia="Times New Roman" w:hAnsi="Times New Roman"/>
          <w:sz w:val="24"/>
          <w:szCs w:val="24"/>
          <w:highlight w:val="white"/>
          <w:rtl w:val="0"/>
        </w:rPr>
        <w:t xml:space="preserve">that some educators </w:t>
      </w:r>
      <w:r w:rsidDel="00000000" w:rsidR="00000000" w:rsidRPr="00000000">
        <w:rPr>
          <w:rFonts w:ascii="Times New Roman" w:cs="Times New Roman" w:eastAsia="Times New Roman" w:hAnsi="Times New Roman"/>
          <w:sz w:val="24"/>
          <w:szCs w:val="24"/>
          <w:highlight w:val="white"/>
          <w:rtl w:val="0"/>
        </w:rPr>
        <w:t xml:space="preserve">were </w:t>
      </w:r>
      <w:r w:rsidDel="00000000" w:rsidR="00000000" w:rsidRPr="00000000">
        <w:rPr>
          <w:rFonts w:ascii="Times New Roman" w:cs="Times New Roman" w:eastAsia="Times New Roman" w:hAnsi="Times New Roman"/>
          <w:sz w:val="24"/>
          <w:szCs w:val="24"/>
          <w:highlight w:val="white"/>
          <w:rtl w:val="0"/>
        </w:rPr>
        <w:t xml:space="preserve">having </w:t>
      </w:r>
      <w:r w:rsidDel="00000000" w:rsidR="00000000" w:rsidRPr="00000000">
        <w:rPr>
          <w:rFonts w:ascii="Times New Roman" w:cs="Times New Roman" w:eastAsia="Times New Roman" w:hAnsi="Times New Roman"/>
          <w:sz w:val="24"/>
          <w:szCs w:val="24"/>
          <w:highlight w:val="white"/>
          <w:rtl w:val="0"/>
        </w:rPr>
        <w:t xml:space="preserve">difficulty </w:t>
      </w:r>
      <w:r w:rsidDel="00000000" w:rsidR="00000000" w:rsidRPr="00000000">
        <w:rPr>
          <w:rFonts w:ascii="Times New Roman" w:cs="Times New Roman" w:eastAsia="Times New Roman" w:hAnsi="Times New Roman"/>
          <w:sz w:val="24"/>
          <w:szCs w:val="24"/>
          <w:highlight w:val="white"/>
          <w:rtl w:val="0"/>
        </w:rPr>
        <w:t xml:space="preserve">with the new Welsh curriculum because there is too much autonomy and no clear outcome making it challenging for some to adapt . The flexibility that has been given to schools has left many uncertain of what outcomes have to be achieved, which may be why the national welsh curriculum needs to rethink about the support and guidance for teachers (Newton,2020). </w:t>
      </w:r>
    </w:p>
    <w:p w:rsidR="00000000" w:rsidDel="00000000" w:rsidP="00000000" w:rsidRDefault="00000000" w:rsidRPr="00000000" w14:paraId="0000002B">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C">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However, its is important to recognise the effort that has gone into shaping The National Welsh curriculum also how children are seen as individuals and not a ‘one size fits all’ method the child centred approach especially in the foundation phase is a great way to encourage learning creating an environment where they feel safe and individuals can thrive as their needs are being met. The thought and depth that has gone into this curriculum will hopefully show in a few years time where more children and physically and mentally competent learners.   </w:t>
      </w:r>
      <w:r w:rsidDel="00000000" w:rsidR="00000000" w:rsidRPr="00000000">
        <w:rPr>
          <w:rtl w:val="0"/>
        </w:rPr>
      </w:r>
    </w:p>
    <w:p w:rsidR="00000000" w:rsidDel="00000000" w:rsidP="00000000" w:rsidRDefault="00000000" w:rsidRPr="00000000" w14:paraId="0000002D">
      <w:pPr>
        <w:ind w:left="0" w:firstLine="0"/>
        <w:rPr>
          <w:sz w:val="24"/>
          <w:szCs w:val="24"/>
          <w:highlight w:val="white"/>
        </w:rPr>
      </w:pPr>
      <w:r w:rsidDel="00000000" w:rsidR="00000000" w:rsidRPr="00000000">
        <w:rPr>
          <w:rtl w:val="0"/>
        </w:rPr>
      </w:r>
    </w:p>
    <w:p w:rsidR="00000000" w:rsidDel="00000000" w:rsidP="00000000" w:rsidRDefault="00000000" w:rsidRPr="00000000" w14:paraId="0000002E">
      <w:pPr>
        <w:ind w:left="0" w:firstLine="0"/>
        <w:rPr>
          <w:sz w:val="24"/>
          <w:szCs w:val="24"/>
          <w:highlight w:val="white"/>
        </w:rPr>
      </w:pPr>
      <w:r w:rsidDel="00000000" w:rsidR="00000000" w:rsidRPr="00000000">
        <w:rPr>
          <w:rtl w:val="0"/>
        </w:rPr>
      </w:r>
    </w:p>
    <w:p w:rsidR="00000000" w:rsidDel="00000000" w:rsidP="00000000" w:rsidRDefault="00000000" w:rsidRPr="00000000" w14:paraId="0000002F">
      <w:pPr>
        <w:ind w:left="0" w:firstLine="0"/>
        <w:rPr>
          <w:sz w:val="24"/>
          <w:szCs w:val="24"/>
          <w:highlight w:val="white"/>
        </w:rPr>
      </w:pPr>
      <w:r w:rsidDel="00000000" w:rsidR="00000000" w:rsidRPr="00000000">
        <w:rPr>
          <w:rtl w:val="0"/>
        </w:rPr>
      </w:r>
    </w:p>
    <w:p w:rsidR="00000000" w:rsidDel="00000000" w:rsidP="00000000" w:rsidRDefault="00000000" w:rsidRPr="00000000" w14:paraId="00000030">
      <w:pPr>
        <w:rPr>
          <w:color w:val="040c28"/>
          <w:sz w:val="30"/>
          <w:szCs w:val="30"/>
          <w:highlight w:val="white"/>
        </w:rPr>
      </w:pPr>
      <w:r w:rsidDel="00000000" w:rsidR="00000000" w:rsidRPr="00000000">
        <w:rPr>
          <w:rtl w:val="0"/>
        </w:rPr>
      </w:r>
    </w:p>
    <w:p w:rsidR="00000000" w:rsidDel="00000000" w:rsidP="00000000" w:rsidRDefault="00000000" w:rsidRPr="00000000" w14:paraId="00000031">
      <w:pPr>
        <w:rPr>
          <w:color w:val="040c28"/>
          <w:sz w:val="30"/>
          <w:szCs w:val="30"/>
          <w:highlight w:val="white"/>
        </w:rPr>
      </w:pPr>
      <w:r w:rsidDel="00000000" w:rsidR="00000000" w:rsidRPr="00000000">
        <w:rPr>
          <w:rtl w:val="0"/>
        </w:rPr>
      </w:r>
    </w:p>
    <w:p w:rsidR="00000000" w:rsidDel="00000000" w:rsidP="00000000" w:rsidRDefault="00000000" w:rsidRPr="00000000" w14:paraId="00000032">
      <w:pPr>
        <w:rPr>
          <w:color w:val="040c28"/>
          <w:sz w:val="30"/>
          <w:szCs w:val="30"/>
          <w:highlight w:val="white"/>
        </w:rPr>
      </w:pPr>
      <w:r w:rsidDel="00000000" w:rsidR="00000000" w:rsidRPr="00000000">
        <w:rPr>
          <w:rtl w:val="0"/>
        </w:rPr>
      </w:r>
    </w:p>
    <w:p w:rsidR="00000000" w:rsidDel="00000000" w:rsidP="00000000" w:rsidRDefault="00000000" w:rsidRPr="00000000" w14:paraId="00000033">
      <w:pPr>
        <w:rPr>
          <w:color w:val="040c28"/>
          <w:sz w:val="30"/>
          <w:szCs w:val="30"/>
          <w:highlight w:val="white"/>
        </w:rPr>
      </w:pPr>
      <w:r w:rsidDel="00000000" w:rsidR="00000000" w:rsidRPr="00000000">
        <w:rPr>
          <w:rtl w:val="0"/>
        </w:rPr>
      </w:r>
    </w:p>
    <w:p w:rsidR="00000000" w:rsidDel="00000000" w:rsidP="00000000" w:rsidRDefault="00000000" w:rsidRPr="00000000" w14:paraId="00000034">
      <w:pPr>
        <w:rPr>
          <w:color w:val="040c28"/>
          <w:sz w:val="30"/>
          <w:szCs w:val="30"/>
          <w:highlight w:val="white"/>
        </w:rPr>
      </w:pPr>
      <w:r w:rsidDel="00000000" w:rsidR="00000000" w:rsidRPr="00000000">
        <w:rPr>
          <w:rtl w:val="0"/>
        </w:rPr>
      </w:r>
    </w:p>
    <w:p w:rsidR="00000000" w:rsidDel="00000000" w:rsidP="00000000" w:rsidRDefault="00000000" w:rsidRPr="00000000" w14:paraId="00000035">
      <w:pPr>
        <w:rPr>
          <w:color w:val="040c28"/>
          <w:sz w:val="30"/>
          <w:szCs w:val="30"/>
          <w:highlight w:val="white"/>
        </w:rPr>
      </w:pPr>
      <w:r w:rsidDel="00000000" w:rsidR="00000000" w:rsidRPr="00000000">
        <w:rPr>
          <w:rtl w:val="0"/>
        </w:rPr>
      </w:r>
    </w:p>
    <w:p w:rsidR="00000000" w:rsidDel="00000000" w:rsidP="00000000" w:rsidRDefault="00000000" w:rsidRPr="00000000" w14:paraId="00000036">
      <w:pPr>
        <w:rPr>
          <w:color w:val="040c28"/>
          <w:sz w:val="30"/>
          <w:szCs w:val="30"/>
          <w:highlight w:val="white"/>
        </w:rPr>
      </w:pPr>
      <w:r w:rsidDel="00000000" w:rsidR="00000000" w:rsidRPr="00000000">
        <w:rPr>
          <w:rtl w:val="0"/>
        </w:rPr>
      </w:r>
    </w:p>
    <w:p w:rsidR="00000000" w:rsidDel="00000000" w:rsidP="00000000" w:rsidRDefault="00000000" w:rsidRPr="00000000" w14:paraId="00000037">
      <w:pPr>
        <w:rPr>
          <w:color w:val="040c28"/>
          <w:sz w:val="30"/>
          <w:szCs w:val="30"/>
          <w:highlight w:val="white"/>
        </w:rPr>
      </w:pPr>
      <w:r w:rsidDel="00000000" w:rsidR="00000000" w:rsidRPr="00000000">
        <w:rPr>
          <w:rtl w:val="0"/>
        </w:rPr>
      </w:r>
    </w:p>
    <w:p w:rsidR="00000000" w:rsidDel="00000000" w:rsidP="00000000" w:rsidRDefault="00000000" w:rsidRPr="00000000" w14:paraId="00000038">
      <w:pPr>
        <w:rPr>
          <w:color w:val="040c28"/>
          <w:sz w:val="30"/>
          <w:szCs w:val="30"/>
          <w:highlight w:val="white"/>
        </w:rPr>
      </w:pPr>
      <w:r w:rsidDel="00000000" w:rsidR="00000000" w:rsidRPr="00000000">
        <w:rPr>
          <w:rtl w:val="0"/>
        </w:rPr>
      </w:r>
    </w:p>
    <w:p w:rsidR="00000000" w:rsidDel="00000000" w:rsidP="00000000" w:rsidRDefault="00000000" w:rsidRPr="00000000" w14:paraId="00000039">
      <w:pPr>
        <w:rPr>
          <w:color w:val="040c28"/>
          <w:sz w:val="30"/>
          <w:szCs w:val="30"/>
          <w:highlight w:val="white"/>
        </w:rPr>
      </w:pPr>
      <w:r w:rsidDel="00000000" w:rsidR="00000000" w:rsidRPr="00000000">
        <w:rPr>
          <w:rtl w:val="0"/>
        </w:rPr>
      </w:r>
    </w:p>
    <w:p w:rsidR="00000000" w:rsidDel="00000000" w:rsidP="00000000" w:rsidRDefault="00000000" w:rsidRPr="00000000" w14:paraId="0000003A">
      <w:pPr>
        <w:rPr>
          <w:color w:val="040c28"/>
          <w:sz w:val="30"/>
          <w:szCs w:val="30"/>
          <w:highlight w:val="white"/>
        </w:rPr>
      </w:pPr>
      <w:r w:rsidDel="00000000" w:rsidR="00000000" w:rsidRPr="00000000">
        <w:rPr>
          <w:rtl w:val="0"/>
        </w:rPr>
      </w:r>
    </w:p>
    <w:p w:rsidR="00000000" w:rsidDel="00000000" w:rsidP="00000000" w:rsidRDefault="00000000" w:rsidRPr="00000000" w14:paraId="0000003B">
      <w:pPr>
        <w:rPr>
          <w:color w:val="040c28"/>
          <w:sz w:val="30"/>
          <w:szCs w:val="30"/>
          <w:highlight w:val="white"/>
        </w:rPr>
      </w:pPr>
      <w:r w:rsidDel="00000000" w:rsidR="00000000" w:rsidRPr="00000000">
        <w:rPr>
          <w:rtl w:val="0"/>
        </w:rPr>
      </w:r>
    </w:p>
    <w:p w:rsidR="00000000" w:rsidDel="00000000" w:rsidP="00000000" w:rsidRDefault="00000000" w:rsidRPr="00000000" w14:paraId="0000003C">
      <w:pPr>
        <w:rPr>
          <w:color w:val="040c28"/>
          <w:sz w:val="30"/>
          <w:szCs w:val="30"/>
          <w:highlight w:val="white"/>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color w:val="040c28"/>
          <w:sz w:val="24"/>
          <w:szCs w:val="24"/>
          <w:highlight w:val="white"/>
          <w:u w:val="single"/>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color w:val="040c28"/>
          <w:sz w:val="24"/>
          <w:szCs w:val="24"/>
          <w:highlight w:val="white"/>
          <w:u w:val="single"/>
        </w:rPr>
      </w:pPr>
      <w:r w:rsidDel="00000000" w:rsidR="00000000" w:rsidRPr="00000000">
        <w:rPr>
          <w:rFonts w:ascii="Times New Roman" w:cs="Times New Roman" w:eastAsia="Times New Roman" w:hAnsi="Times New Roman"/>
          <w:color w:val="040c28"/>
          <w:sz w:val="24"/>
          <w:szCs w:val="24"/>
          <w:highlight w:val="white"/>
          <w:u w:val="single"/>
          <w:rtl w:val="0"/>
        </w:rPr>
        <w:t xml:space="preserve"> Reference List</w:t>
      </w:r>
    </w:p>
    <w:p w:rsidR="00000000" w:rsidDel="00000000" w:rsidP="00000000" w:rsidRDefault="00000000" w:rsidRPr="00000000" w14:paraId="0000004C">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4D">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Affordances (1979) </w:t>
      </w:r>
      <w:r w:rsidDel="00000000" w:rsidR="00000000" w:rsidRPr="00000000">
        <w:rPr>
          <w:rFonts w:ascii="Times New Roman" w:cs="Times New Roman" w:eastAsia="Times New Roman" w:hAnsi="Times New Roman"/>
          <w:i w:val="1"/>
          <w:color w:val="040c28"/>
          <w:sz w:val="24"/>
          <w:szCs w:val="24"/>
          <w:highlight w:val="white"/>
          <w:rtl w:val="0"/>
        </w:rPr>
        <w:t xml:space="preserve">Brown.edu</w:t>
      </w:r>
      <w:r w:rsidDel="00000000" w:rsidR="00000000" w:rsidRPr="00000000">
        <w:rPr>
          <w:rFonts w:ascii="Times New Roman" w:cs="Times New Roman" w:eastAsia="Times New Roman" w:hAnsi="Times New Roman"/>
          <w:color w:val="040c28"/>
          <w:sz w:val="24"/>
          <w:szCs w:val="24"/>
          <w:highlight w:val="white"/>
          <w:rtl w:val="0"/>
        </w:rPr>
        <w:t xml:space="preserve">. Available at: https://cs.brown.edu/courses/cs137/2017/readings/Gibson-AFF.pdf (Accessed: 12 November 2024).</w:t>
      </w:r>
    </w:p>
    <w:p w:rsidR="00000000" w:rsidDel="00000000" w:rsidP="00000000" w:rsidRDefault="00000000" w:rsidRPr="00000000" w14:paraId="0000004E">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4F">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Brumble, L.C. (2021) </w:t>
      </w:r>
      <w:r w:rsidDel="00000000" w:rsidR="00000000" w:rsidRPr="00000000">
        <w:rPr>
          <w:rFonts w:ascii="Times New Roman" w:cs="Times New Roman" w:eastAsia="Times New Roman" w:hAnsi="Times New Roman"/>
          <w:i w:val="1"/>
          <w:color w:val="040c28"/>
          <w:sz w:val="24"/>
          <w:szCs w:val="24"/>
          <w:highlight w:val="white"/>
          <w:rtl w:val="0"/>
        </w:rPr>
        <w:t xml:space="preserve">International comparisons: Exploring outdoor play in wales and Denmark</w:t>
      </w:r>
      <w:r w:rsidDel="00000000" w:rsidR="00000000" w:rsidRPr="00000000">
        <w:rPr>
          <w:rFonts w:ascii="Times New Roman" w:cs="Times New Roman" w:eastAsia="Times New Roman" w:hAnsi="Times New Roman"/>
          <w:color w:val="040c28"/>
          <w:sz w:val="24"/>
          <w:szCs w:val="24"/>
          <w:highlight w:val="white"/>
          <w:rtl w:val="0"/>
        </w:rPr>
        <w:t xml:space="preserve">, </w:t>
      </w:r>
      <w:r w:rsidDel="00000000" w:rsidR="00000000" w:rsidRPr="00000000">
        <w:rPr>
          <w:rFonts w:ascii="Times New Roman" w:cs="Times New Roman" w:eastAsia="Times New Roman" w:hAnsi="Times New Roman"/>
          <w:i w:val="1"/>
          <w:color w:val="040c28"/>
          <w:sz w:val="24"/>
          <w:szCs w:val="24"/>
          <w:highlight w:val="white"/>
          <w:rtl w:val="0"/>
        </w:rPr>
        <w:t xml:space="preserve">Ecsdn.org</w:t>
      </w:r>
      <w:r w:rsidDel="00000000" w:rsidR="00000000" w:rsidRPr="00000000">
        <w:rPr>
          <w:rFonts w:ascii="Times New Roman" w:cs="Times New Roman" w:eastAsia="Times New Roman" w:hAnsi="Times New Roman"/>
          <w:color w:val="040c28"/>
          <w:sz w:val="24"/>
          <w:szCs w:val="24"/>
          <w:highlight w:val="white"/>
          <w:rtl w:val="0"/>
        </w:rPr>
        <w:t xml:space="preserve">. Available at: https://www.ecsdn.org/wp-content/uploads/2021/12/Lauren-Clajanne-Brumble-Oxford-Brookes-University-.pdf (Accessed: 15 November 2024).</w:t>
      </w:r>
    </w:p>
    <w:p w:rsidR="00000000" w:rsidDel="00000000" w:rsidP="00000000" w:rsidRDefault="00000000" w:rsidRPr="00000000" w14:paraId="00000050">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51">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Chapman, S. (2020) ‘The significance of context: autonomy and curriculum reform in rural schools’, </w:t>
      </w:r>
      <w:r w:rsidDel="00000000" w:rsidR="00000000" w:rsidRPr="00000000">
        <w:rPr>
          <w:rFonts w:ascii="Times New Roman" w:cs="Times New Roman" w:eastAsia="Times New Roman" w:hAnsi="Times New Roman"/>
          <w:i w:val="1"/>
          <w:color w:val="040c28"/>
          <w:sz w:val="24"/>
          <w:szCs w:val="24"/>
          <w:highlight w:val="white"/>
          <w:rtl w:val="0"/>
        </w:rPr>
        <w:t xml:space="preserve">The Curriculum journal</w:t>
      </w:r>
      <w:r w:rsidDel="00000000" w:rsidR="00000000" w:rsidRPr="00000000">
        <w:rPr>
          <w:rFonts w:ascii="Times New Roman" w:cs="Times New Roman" w:eastAsia="Times New Roman" w:hAnsi="Times New Roman"/>
          <w:color w:val="040c28"/>
          <w:sz w:val="24"/>
          <w:szCs w:val="24"/>
          <w:highlight w:val="white"/>
          <w:rtl w:val="0"/>
        </w:rPr>
        <w:t xml:space="preserve">, 31(2), pp. 231–243. Available at: https://doi.org/10.1002/curj.27.</w:t>
      </w:r>
    </w:p>
    <w:p w:rsidR="00000000" w:rsidDel="00000000" w:rsidP="00000000" w:rsidRDefault="00000000" w:rsidRPr="00000000" w14:paraId="00000052">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53">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Curriculum, E.C. (2020) </w:t>
      </w:r>
      <w:r w:rsidDel="00000000" w:rsidR="00000000" w:rsidRPr="00000000">
        <w:rPr>
          <w:rFonts w:ascii="Times New Roman" w:cs="Times New Roman" w:eastAsia="Times New Roman" w:hAnsi="Times New Roman"/>
          <w:i w:val="1"/>
          <w:color w:val="040c28"/>
          <w:sz w:val="24"/>
          <w:szCs w:val="24"/>
          <w:highlight w:val="white"/>
          <w:rtl w:val="0"/>
        </w:rPr>
        <w:t xml:space="preserve">He whāriki mātauranga mō ngā mokopuna o Aotearoa</w:t>
      </w:r>
      <w:r w:rsidDel="00000000" w:rsidR="00000000" w:rsidRPr="00000000">
        <w:rPr>
          <w:rFonts w:ascii="Times New Roman" w:cs="Times New Roman" w:eastAsia="Times New Roman" w:hAnsi="Times New Roman"/>
          <w:color w:val="040c28"/>
          <w:sz w:val="24"/>
          <w:szCs w:val="24"/>
          <w:highlight w:val="white"/>
          <w:rtl w:val="0"/>
        </w:rPr>
        <w:t xml:space="preserve">, </w:t>
      </w:r>
      <w:r w:rsidDel="00000000" w:rsidR="00000000" w:rsidRPr="00000000">
        <w:rPr>
          <w:rFonts w:ascii="Times New Roman" w:cs="Times New Roman" w:eastAsia="Times New Roman" w:hAnsi="Times New Roman"/>
          <w:i w:val="1"/>
          <w:color w:val="040c28"/>
          <w:sz w:val="24"/>
          <w:szCs w:val="24"/>
          <w:highlight w:val="white"/>
          <w:rtl w:val="0"/>
        </w:rPr>
        <w:t xml:space="preserve">Govt.nz</w:t>
      </w:r>
      <w:r w:rsidDel="00000000" w:rsidR="00000000" w:rsidRPr="00000000">
        <w:rPr>
          <w:rFonts w:ascii="Times New Roman" w:cs="Times New Roman" w:eastAsia="Times New Roman" w:hAnsi="Times New Roman"/>
          <w:color w:val="040c28"/>
          <w:sz w:val="24"/>
          <w:szCs w:val="24"/>
          <w:highlight w:val="white"/>
          <w:rtl w:val="0"/>
        </w:rPr>
        <w:t xml:space="preserve">. Available at: https://assets.education.govt.nz/public/Documents/Early-Childhood/ELS-Te-Whariki-Early-Childhood-Curriculum-ENG-Web.pdf (Accessed: 15 November 2024).</w:t>
      </w:r>
    </w:p>
    <w:p w:rsidR="00000000" w:rsidDel="00000000" w:rsidP="00000000" w:rsidRDefault="00000000" w:rsidRPr="00000000" w14:paraId="00000054">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Experience and outcomes (2013) </w:t>
      </w:r>
      <w:r w:rsidDel="00000000" w:rsidR="00000000" w:rsidRPr="00000000">
        <w:rPr>
          <w:rFonts w:ascii="Times New Roman" w:cs="Times New Roman" w:eastAsia="Times New Roman" w:hAnsi="Times New Roman"/>
          <w:i w:val="1"/>
          <w:color w:val="040c28"/>
          <w:sz w:val="24"/>
          <w:szCs w:val="24"/>
          <w:highlight w:val="white"/>
          <w:rtl w:val="0"/>
        </w:rPr>
        <w:t xml:space="preserve">Gov.scot</w:t>
      </w:r>
      <w:r w:rsidDel="00000000" w:rsidR="00000000" w:rsidRPr="00000000">
        <w:rPr>
          <w:rFonts w:ascii="Times New Roman" w:cs="Times New Roman" w:eastAsia="Times New Roman" w:hAnsi="Times New Roman"/>
          <w:color w:val="040c28"/>
          <w:sz w:val="24"/>
          <w:szCs w:val="24"/>
          <w:highlight w:val="white"/>
          <w:rtl w:val="0"/>
        </w:rPr>
        <w:t xml:space="preserve">. Available at: https://education.gov.scot/media/wpsnskgv/all-experiencesoutcomes18.pdf (Accessed: 12 November 2024).</w:t>
      </w:r>
    </w:p>
    <w:p w:rsidR="00000000" w:rsidDel="00000000" w:rsidP="00000000" w:rsidRDefault="00000000" w:rsidRPr="00000000" w14:paraId="00000055">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Evans, G. (2023) ‘A new dawn or false hope? Exploring the early implementation of Curriculum for Wales’, </w:t>
      </w:r>
      <w:r w:rsidDel="00000000" w:rsidR="00000000" w:rsidRPr="00000000">
        <w:rPr>
          <w:rFonts w:ascii="Times New Roman" w:cs="Times New Roman" w:eastAsia="Times New Roman" w:hAnsi="Times New Roman"/>
          <w:i w:val="1"/>
          <w:color w:val="040c28"/>
          <w:sz w:val="24"/>
          <w:szCs w:val="24"/>
          <w:highlight w:val="white"/>
          <w:rtl w:val="0"/>
        </w:rPr>
        <w:t xml:space="preserve">Education Inquiry</w:t>
      </w:r>
      <w:r w:rsidDel="00000000" w:rsidR="00000000" w:rsidRPr="00000000">
        <w:rPr>
          <w:rFonts w:ascii="Times New Roman" w:cs="Times New Roman" w:eastAsia="Times New Roman" w:hAnsi="Times New Roman"/>
          <w:color w:val="040c28"/>
          <w:sz w:val="24"/>
          <w:szCs w:val="24"/>
          <w:highlight w:val="white"/>
          <w:rtl w:val="0"/>
        </w:rPr>
        <w:t xml:space="preserve">, pp. 1–15. Available at: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https://doi.org/10.1080/20004508.2023.2297506</w:t>
        </w:r>
      </w:hyperlink>
      <w:r w:rsidDel="00000000" w:rsidR="00000000" w:rsidRPr="00000000">
        <w:rPr>
          <w:rFonts w:ascii="Times New Roman" w:cs="Times New Roman" w:eastAsia="Times New Roman" w:hAnsi="Times New Roman"/>
          <w:color w:val="040c28"/>
          <w:sz w:val="24"/>
          <w:szCs w:val="24"/>
          <w:highlight w:val="white"/>
          <w:rtl w:val="0"/>
        </w:rPr>
        <w:t xml:space="preserve">.</w:t>
      </w:r>
    </w:p>
    <w:p w:rsidR="00000000" w:rsidDel="00000000" w:rsidP="00000000" w:rsidRDefault="00000000" w:rsidRPr="00000000" w14:paraId="00000056">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Experience and outcomes (2013) </w:t>
      </w:r>
      <w:r w:rsidDel="00000000" w:rsidR="00000000" w:rsidRPr="00000000">
        <w:rPr>
          <w:rFonts w:ascii="Times New Roman" w:cs="Times New Roman" w:eastAsia="Times New Roman" w:hAnsi="Times New Roman"/>
          <w:i w:val="1"/>
          <w:color w:val="040c28"/>
          <w:sz w:val="24"/>
          <w:szCs w:val="24"/>
          <w:highlight w:val="white"/>
          <w:rtl w:val="0"/>
        </w:rPr>
        <w:t xml:space="preserve">Gov.scot</w:t>
      </w:r>
      <w:r w:rsidDel="00000000" w:rsidR="00000000" w:rsidRPr="00000000">
        <w:rPr>
          <w:rFonts w:ascii="Times New Roman" w:cs="Times New Roman" w:eastAsia="Times New Roman" w:hAnsi="Times New Roman"/>
          <w:color w:val="040c28"/>
          <w:sz w:val="24"/>
          <w:szCs w:val="24"/>
          <w:highlight w:val="white"/>
          <w:rtl w:val="0"/>
        </w:rPr>
        <w:t xml:space="preserve">. Available at: https://education.gov.scot/media/wpsnskgv/all-experiencesoutcomes18.pdf (Accessed: 12 November 2024).</w:t>
      </w:r>
    </w:p>
    <w:p w:rsidR="00000000" w:rsidDel="00000000" w:rsidP="00000000" w:rsidRDefault="00000000" w:rsidRPr="00000000" w14:paraId="00000057">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i w:val="1"/>
          <w:color w:val="040c28"/>
          <w:sz w:val="24"/>
          <w:szCs w:val="24"/>
          <w:highlight w:val="white"/>
          <w:rtl w:val="0"/>
        </w:rPr>
        <w:t xml:space="preserve">Health and well-being: Introduction - hwb</w:t>
      </w:r>
      <w:r w:rsidDel="00000000" w:rsidR="00000000" w:rsidRPr="00000000">
        <w:rPr>
          <w:rFonts w:ascii="Times New Roman" w:cs="Times New Roman" w:eastAsia="Times New Roman" w:hAnsi="Times New Roman"/>
          <w:color w:val="040c28"/>
          <w:sz w:val="24"/>
          <w:szCs w:val="24"/>
          <w:highlight w:val="white"/>
          <w:rtl w:val="0"/>
        </w:rPr>
        <w:t xml:space="preserve"> (2020) </w:t>
      </w:r>
      <w:r w:rsidDel="00000000" w:rsidR="00000000" w:rsidRPr="00000000">
        <w:rPr>
          <w:rFonts w:ascii="Times New Roman" w:cs="Times New Roman" w:eastAsia="Times New Roman" w:hAnsi="Times New Roman"/>
          <w:i w:val="1"/>
          <w:color w:val="040c28"/>
          <w:sz w:val="24"/>
          <w:szCs w:val="24"/>
          <w:highlight w:val="white"/>
          <w:rtl w:val="0"/>
        </w:rPr>
        <w:t xml:space="preserve">Gov.wales</w:t>
      </w:r>
      <w:r w:rsidDel="00000000" w:rsidR="00000000" w:rsidRPr="00000000">
        <w:rPr>
          <w:rFonts w:ascii="Times New Roman" w:cs="Times New Roman" w:eastAsia="Times New Roman" w:hAnsi="Times New Roman"/>
          <w:color w:val="040c28"/>
          <w:sz w:val="24"/>
          <w:szCs w:val="24"/>
          <w:highlight w:val="white"/>
          <w:rtl w:val="0"/>
        </w:rPr>
        <w:t xml:space="preserve">. Available at: https://hwb.gov.wales/curriculum-for-wales/health-and-well-being (Accessed: 12 November 2024).</w:t>
      </w:r>
    </w:p>
    <w:p w:rsidR="00000000" w:rsidDel="00000000" w:rsidP="00000000" w:rsidRDefault="00000000" w:rsidRPr="00000000" w14:paraId="00000058">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59">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Hewett, V.M. (2001) </w:t>
      </w:r>
      <w:r w:rsidDel="00000000" w:rsidR="00000000" w:rsidRPr="00000000">
        <w:rPr>
          <w:rFonts w:ascii="Times New Roman" w:cs="Times New Roman" w:eastAsia="Times New Roman" w:hAnsi="Times New Roman"/>
          <w:i w:val="1"/>
          <w:color w:val="040c28"/>
          <w:sz w:val="24"/>
          <w:szCs w:val="24"/>
          <w:highlight w:val="white"/>
          <w:rtl w:val="0"/>
        </w:rPr>
        <w:t xml:space="preserve">Early childhood education journal</w:t>
      </w:r>
      <w:r w:rsidDel="00000000" w:rsidR="00000000" w:rsidRPr="00000000">
        <w:rPr>
          <w:rFonts w:ascii="Times New Roman" w:cs="Times New Roman" w:eastAsia="Times New Roman" w:hAnsi="Times New Roman"/>
          <w:color w:val="040c28"/>
          <w:sz w:val="24"/>
          <w:szCs w:val="24"/>
          <w:highlight w:val="white"/>
          <w:rtl w:val="0"/>
        </w:rPr>
        <w:t xml:space="preserve">, 29(2), pp. 95–100. Available at: https://doi.org/10.1023/a:1012520828095.</w:t>
      </w:r>
    </w:p>
    <w:p w:rsidR="00000000" w:rsidDel="00000000" w:rsidP="00000000" w:rsidRDefault="00000000" w:rsidRPr="00000000" w14:paraId="0000005A">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5B">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5C">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Kids, P. (2024) </w:t>
      </w:r>
      <w:r w:rsidDel="00000000" w:rsidR="00000000" w:rsidRPr="00000000">
        <w:rPr>
          <w:rFonts w:ascii="Times New Roman" w:cs="Times New Roman" w:eastAsia="Times New Roman" w:hAnsi="Times New Roman"/>
          <w:i w:val="1"/>
          <w:color w:val="040c28"/>
          <w:sz w:val="24"/>
          <w:szCs w:val="24"/>
          <w:highlight w:val="white"/>
          <w:rtl w:val="0"/>
        </w:rPr>
        <w:t xml:space="preserve">Emotions &amp; self-awareness: Self-awareness at age 7</w:t>
      </w:r>
      <w:r w:rsidDel="00000000" w:rsidR="00000000" w:rsidRPr="00000000">
        <w:rPr>
          <w:rFonts w:ascii="Times New Roman" w:cs="Times New Roman" w:eastAsia="Times New Roman" w:hAnsi="Times New Roman"/>
          <w:color w:val="040c28"/>
          <w:sz w:val="24"/>
          <w:szCs w:val="24"/>
          <w:highlight w:val="white"/>
          <w:rtl w:val="0"/>
        </w:rPr>
        <w:t xml:space="preserve">, </w:t>
      </w:r>
      <w:r w:rsidDel="00000000" w:rsidR="00000000" w:rsidRPr="00000000">
        <w:rPr>
          <w:rFonts w:ascii="Times New Roman" w:cs="Times New Roman" w:eastAsia="Times New Roman" w:hAnsi="Times New Roman"/>
          <w:i w:val="1"/>
          <w:color w:val="040c28"/>
          <w:sz w:val="24"/>
          <w:szCs w:val="24"/>
          <w:highlight w:val="white"/>
          <w:rtl w:val="0"/>
        </w:rPr>
        <w:t xml:space="preserve">PBS KIDS for Parents</w:t>
      </w:r>
      <w:r w:rsidDel="00000000" w:rsidR="00000000" w:rsidRPr="00000000">
        <w:rPr>
          <w:rFonts w:ascii="Times New Roman" w:cs="Times New Roman" w:eastAsia="Times New Roman" w:hAnsi="Times New Roman"/>
          <w:color w:val="040c28"/>
          <w:sz w:val="24"/>
          <w:szCs w:val="24"/>
          <w:highlight w:val="white"/>
          <w:rtl w:val="0"/>
        </w:rPr>
        <w:t xml:space="preserve">. Available at: https://www.pbs.org/parents/learn-grow/age-7/emotions-self-awareness/self-awareness (Accessed: 15 November 2024).</w:t>
      </w:r>
    </w:p>
    <w:p w:rsidR="00000000" w:rsidDel="00000000" w:rsidP="00000000" w:rsidRDefault="00000000" w:rsidRPr="00000000" w14:paraId="0000005D">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Knight, S. (2011) ‘Forest school as a way of learning outdoors in the UK’, </w:t>
      </w:r>
      <w:r w:rsidDel="00000000" w:rsidR="00000000" w:rsidRPr="00000000">
        <w:rPr>
          <w:rFonts w:ascii="Times New Roman" w:cs="Times New Roman" w:eastAsia="Times New Roman" w:hAnsi="Times New Roman"/>
          <w:i w:val="1"/>
          <w:color w:val="040c28"/>
          <w:sz w:val="24"/>
          <w:szCs w:val="24"/>
          <w:highlight w:val="white"/>
          <w:rtl w:val="0"/>
        </w:rPr>
        <w:t xml:space="preserve">International journal for cross-disciplinary subjects in education</w:t>
      </w:r>
      <w:r w:rsidDel="00000000" w:rsidR="00000000" w:rsidRPr="00000000">
        <w:rPr>
          <w:rFonts w:ascii="Times New Roman" w:cs="Times New Roman" w:eastAsia="Times New Roman" w:hAnsi="Times New Roman"/>
          <w:color w:val="040c28"/>
          <w:sz w:val="24"/>
          <w:szCs w:val="24"/>
          <w:highlight w:val="white"/>
          <w:rtl w:val="0"/>
        </w:rPr>
        <w:t xml:space="preserve">, 1(Special 1), pp. 590–595. Available at: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https://doi.org/10.20533/ijcdse.2042.6364.2011.0082</w:t>
        </w:r>
      </w:hyperlink>
      <w:r w:rsidDel="00000000" w:rsidR="00000000" w:rsidRPr="00000000">
        <w:rPr>
          <w:rFonts w:ascii="Times New Roman" w:cs="Times New Roman" w:eastAsia="Times New Roman" w:hAnsi="Times New Roman"/>
          <w:color w:val="040c28"/>
          <w:sz w:val="24"/>
          <w:szCs w:val="24"/>
          <w:highlight w:val="white"/>
          <w:rtl w:val="0"/>
        </w:rPr>
        <w:t xml:space="preserve">.</w:t>
      </w:r>
    </w:p>
    <w:p w:rsidR="00000000" w:rsidDel="00000000" w:rsidP="00000000" w:rsidRDefault="00000000" w:rsidRPr="00000000" w14:paraId="0000005E">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Learning and teaching in scotland (2010) </w:t>
      </w:r>
      <w:r w:rsidDel="00000000" w:rsidR="00000000" w:rsidRPr="00000000">
        <w:rPr>
          <w:rFonts w:ascii="Times New Roman" w:cs="Times New Roman" w:eastAsia="Times New Roman" w:hAnsi="Times New Roman"/>
          <w:i w:val="1"/>
          <w:color w:val="040c28"/>
          <w:sz w:val="24"/>
          <w:szCs w:val="24"/>
          <w:highlight w:val="white"/>
          <w:rtl w:val="0"/>
        </w:rPr>
        <w:t xml:space="preserve">Gov.scot</w:t>
      </w:r>
      <w:r w:rsidDel="00000000" w:rsidR="00000000" w:rsidRPr="00000000">
        <w:rPr>
          <w:rFonts w:ascii="Times New Roman" w:cs="Times New Roman" w:eastAsia="Times New Roman" w:hAnsi="Times New Roman"/>
          <w:color w:val="040c28"/>
          <w:sz w:val="24"/>
          <w:szCs w:val="24"/>
          <w:highlight w:val="white"/>
          <w:rtl w:val="0"/>
        </w:rPr>
        <w:t xml:space="preserve">. Available at: https://education.gov.scot/media/isxg4lb0/cfe-through-outdoor-learning.pdf (Accessed: 10 November 2024).</w:t>
      </w:r>
    </w:p>
    <w:p w:rsidR="00000000" w:rsidDel="00000000" w:rsidP="00000000" w:rsidRDefault="00000000" w:rsidRPr="00000000" w14:paraId="0000005F">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Learning and teaching in scotland (2010) </w:t>
      </w:r>
      <w:r w:rsidDel="00000000" w:rsidR="00000000" w:rsidRPr="00000000">
        <w:rPr>
          <w:rFonts w:ascii="Times New Roman" w:cs="Times New Roman" w:eastAsia="Times New Roman" w:hAnsi="Times New Roman"/>
          <w:i w:val="1"/>
          <w:color w:val="040c28"/>
          <w:sz w:val="24"/>
          <w:szCs w:val="24"/>
          <w:highlight w:val="white"/>
          <w:rtl w:val="0"/>
        </w:rPr>
        <w:t xml:space="preserve">Gov.scot</w:t>
      </w:r>
      <w:r w:rsidDel="00000000" w:rsidR="00000000" w:rsidRPr="00000000">
        <w:rPr>
          <w:rFonts w:ascii="Times New Roman" w:cs="Times New Roman" w:eastAsia="Times New Roman" w:hAnsi="Times New Roman"/>
          <w:color w:val="040c28"/>
          <w:sz w:val="24"/>
          <w:szCs w:val="24"/>
          <w:highlight w:val="white"/>
          <w:rtl w:val="0"/>
        </w:rPr>
        <w:t xml:space="preserve">. Available at: https://education.gov.scot/media/isxg4lb0/cfe-through-outdoor-learning.pdf (Accessed: 15 November 2024).</w:t>
      </w:r>
    </w:p>
    <w:p w:rsidR="00000000" w:rsidDel="00000000" w:rsidP="00000000" w:rsidRDefault="00000000" w:rsidRPr="00000000" w14:paraId="00000060">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i w:val="1"/>
          <w:color w:val="040c28"/>
          <w:sz w:val="24"/>
          <w:szCs w:val="24"/>
          <w:highlight w:val="white"/>
          <w:rtl w:val="0"/>
        </w:rPr>
        <w:t xml:space="preserve">The spiral curriculum </w:t>
      </w:r>
      <w:r w:rsidDel="00000000" w:rsidR="00000000" w:rsidRPr="00000000">
        <w:rPr>
          <w:rFonts w:ascii="Times New Roman" w:cs="Times New Roman" w:eastAsia="Times New Roman" w:hAnsi="Times New Roman"/>
          <w:color w:val="040c28"/>
          <w:sz w:val="24"/>
          <w:szCs w:val="24"/>
          <w:highlight w:val="white"/>
          <w:rtl w:val="0"/>
        </w:rPr>
        <w:t xml:space="preserve"> (no date) </w:t>
      </w:r>
      <w:r w:rsidDel="00000000" w:rsidR="00000000" w:rsidRPr="00000000">
        <w:rPr>
          <w:rFonts w:ascii="Times New Roman" w:cs="Times New Roman" w:eastAsia="Times New Roman" w:hAnsi="Times New Roman"/>
          <w:i w:val="1"/>
          <w:color w:val="040c28"/>
          <w:sz w:val="24"/>
          <w:szCs w:val="24"/>
          <w:highlight w:val="white"/>
          <w:rtl w:val="0"/>
        </w:rPr>
        <w:t xml:space="preserve">Eric.ed.gov</w:t>
      </w:r>
      <w:r w:rsidDel="00000000" w:rsidR="00000000" w:rsidRPr="00000000">
        <w:rPr>
          <w:rFonts w:ascii="Times New Roman" w:cs="Times New Roman" w:eastAsia="Times New Roman" w:hAnsi="Times New Roman"/>
          <w:color w:val="040c28"/>
          <w:sz w:val="24"/>
          <w:szCs w:val="24"/>
          <w:highlight w:val="white"/>
          <w:rtl w:val="0"/>
        </w:rPr>
        <w:t xml:space="preserve">. Available at: https://files.eric.ed.gov/fulltext/ED538282.pdf (Accessed: 10 November 2024).</w:t>
      </w:r>
    </w:p>
    <w:p w:rsidR="00000000" w:rsidDel="00000000" w:rsidP="00000000" w:rsidRDefault="00000000" w:rsidRPr="00000000" w14:paraId="00000061">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Owen, N. </w:t>
      </w:r>
      <w:r w:rsidDel="00000000" w:rsidR="00000000" w:rsidRPr="00000000">
        <w:rPr>
          <w:rFonts w:ascii="Times New Roman" w:cs="Times New Roman" w:eastAsia="Times New Roman" w:hAnsi="Times New Roman"/>
          <w:i w:val="1"/>
          <w:color w:val="040c28"/>
          <w:sz w:val="24"/>
          <w:szCs w:val="24"/>
          <w:highlight w:val="white"/>
          <w:rtl w:val="0"/>
        </w:rPr>
        <w:t xml:space="preserve">et al.</w:t>
      </w:r>
      <w:r w:rsidDel="00000000" w:rsidR="00000000" w:rsidRPr="00000000">
        <w:rPr>
          <w:rFonts w:ascii="Times New Roman" w:cs="Times New Roman" w:eastAsia="Times New Roman" w:hAnsi="Times New Roman"/>
          <w:color w:val="040c28"/>
          <w:sz w:val="24"/>
          <w:szCs w:val="24"/>
          <w:highlight w:val="white"/>
          <w:rtl w:val="0"/>
        </w:rPr>
        <w:t xml:space="preserve"> (2010) ‘Sedentary behaviour: emerging evidence for a new health risk’, </w:t>
      </w:r>
      <w:r w:rsidDel="00000000" w:rsidR="00000000" w:rsidRPr="00000000">
        <w:rPr>
          <w:rFonts w:ascii="Times New Roman" w:cs="Times New Roman" w:eastAsia="Times New Roman" w:hAnsi="Times New Roman"/>
          <w:i w:val="1"/>
          <w:color w:val="040c28"/>
          <w:sz w:val="24"/>
          <w:szCs w:val="24"/>
          <w:highlight w:val="white"/>
          <w:rtl w:val="0"/>
        </w:rPr>
        <w:t xml:space="preserve">Mayo Clinic proceedings. Mayo Clinic</w:t>
      </w:r>
      <w:r w:rsidDel="00000000" w:rsidR="00000000" w:rsidRPr="00000000">
        <w:rPr>
          <w:rFonts w:ascii="Times New Roman" w:cs="Times New Roman" w:eastAsia="Times New Roman" w:hAnsi="Times New Roman"/>
          <w:color w:val="040c28"/>
          <w:sz w:val="24"/>
          <w:szCs w:val="24"/>
          <w:highlight w:val="white"/>
          <w:rtl w:val="0"/>
        </w:rPr>
        <w:t xml:space="preserve">, 85(12), pp. 1138–1141. Available at: https://doi.org/10.4065/mcp.2010.0444.</w:t>
      </w:r>
    </w:p>
    <w:p w:rsidR="00000000" w:rsidDel="00000000" w:rsidP="00000000" w:rsidRDefault="00000000" w:rsidRPr="00000000" w14:paraId="00000062">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Peters, S. (2011) ‘Introduction’, </w:t>
      </w:r>
      <w:r w:rsidDel="00000000" w:rsidR="00000000" w:rsidRPr="00000000">
        <w:rPr>
          <w:rFonts w:ascii="Times New Roman" w:cs="Times New Roman" w:eastAsia="Times New Roman" w:hAnsi="Times New Roman"/>
          <w:i w:val="1"/>
          <w:color w:val="040c28"/>
          <w:sz w:val="24"/>
          <w:szCs w:val="24"/>
          <w:highlight w:val="white"/>
          <w:rtl w:val="0"/>
        </w:rPr>
        <w:t xml:space="preserve">Early years: an international journal of research and development</w:t>
      </w:r>
      <w:r w:rsidDel="00000000" w:rsidR="00000000" w:rsidRPr="00000000">
        <w:rPr>
          <w:rFonts w:ascii="Times New Roman" w:cs="Times New Roman" w:eastAsia="Times New Roman" w:hAnsi="Times New Roman"/>
          <w:color w:val="040c28"/>
          <w:sz w:val="24"/>
          <w:szCs w:val="24"/>
          <w:highlight w:val="white"/>
          <w:rtl w:val="0"/>
        </w:rPr>
        <w:t xml:space="preserve">, 31(3), pp. 211–216. Available at: https://doi.org/10.1080/09575146.2011.624718.</w:t>
      </w:r>
    </w:p>
    <w:p w:rsidR="00000000" w:rsidDel="00000000" w:rsidP="00000000" w:rsidRDefault="00000000" w:rsidRPr="00000000" w14:paraId="00000063">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Plant, Y.A. and Sgiliau, D.G.O. (2020) </w:t>
      </w:r>
      <w:r w:rsidDel="00000000" w:rsidR="00000000" w:rsidRPr="00000000">
        <w:rPr>
          <w:rFonts w:ascii="Times New Roman" w:cs="Times New Roman" w:eastAsia="Times New Roman" w:hAnsi="Times New Roman"/>
          <w:i w:val="1"/>
          <w:color w:val="040c28"/>
          <w:sz w:val="24"/>
          <w:szCs w:val="24"/>
          <w:highlight w:val="white"/>
          <w:rtl w:val="0"/>
        </w:rPr>
        <w:t xml:space="preserve">Overview for 3 to 7-year-olds</w:t>
      </w:r>
      <w:r w:rsidDel="00000000" w:rsidR="00000000" w:rsidRPr="00000000">
        <w:rPr>
          <w:rFonts w:ascii="Times New Roman" w:cs="Times New Roman" w:eastAsia="Times New Roman" w:hAnsi="Times New Roman"/>
          <w:color w:val="040c28"/>
          <w:sz w:val="24"/>
          <w:szCs w:val="24"/>
          <w:highlight w:val="white"/>
          <w:rtl w:val="0"/>
        </w:rPr>
        <w:t xml:space="preserve">, </w:t>
      </w:r>
      <w:r w:rsidDel="00000000" w:rsidR="00000000" w:rsidRPr="00000000">
        <w:rPr>
          <w:rFonts w:ascii="Times New Roman" w:cs="Times New Roman" w:eastAsia="Times New Roman" w:hAnsi="Times New Roman"/>
          <w:i w:val="1"/>
          <w:color w:val="040c28"/>
          <w:sz w:val="24"/>
          <w:szCs w:val="24"/>
          <w:highlight w:val="white"/>
          <w:rtl w:val="0"/>
        </w:rPr>
        <w:t xml:space="preserve">Gov.wales</w:t>
      </w:r>
      <w:r w:rsidDel="00000000" w:rsidR="00000000" w:rsidRPr="00000000">
        <w:rPr>
          <w:rFonts w:ascii="Times New Roman" w:cs="Times New Roman" w:eastAsia="Times New Roman" w:hAnsi="Times New Roman"/>
          <w:color w:val="040c28"/>
          <w:sz w:val="24"/>
          <w:szCs w:val="24"/>
          <w:highlight w:val="white"/>
          <w:rtl w:val="0"/>
        </w:rPr>
        <w:t xml:space="preserve">. Available at: https://hwb.gov.wales/storage/52aae98d-65ed-4065-9222-1a7876e150de/play-active-learning-overview-for-3-to-7-year-olds.pdf (Accessed: 14 November 2024).</w:t>
      </w:r>
    </w:p>
    <w:p w:rsidR="00000000" w:rsidDel="00000000" w:rsidP="00000000" w:rsidRDefault="00000000" w:rsidRPr="00000000" w14:paraId="00000064">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65">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66">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Pot, N., Whitehead, M.E. and Durden-Myers, E.J. (2018) ‘Physical literacy from philosophy to practice’, </w:t>
      </w:r>
      <w:r w:rsidDel="00000000" w:rsidR="00000000" w:rsidRPr="00000000">
        <w:rPr>
          <w:rFonts w:ascii="Times New Roman" w:cs="Times New Roman" w:eastAsia="Times New Roman" w:hAnsi="Times New Roman"/>
          <w:i w:val="1"/>
          <w:color w:val="040c28"/>
          <w:sz w:val="24"/>
          <w:szCs w:val="24"/>
          <w:highlight w:val="white"/>
          <w:rtl w:val="0"/>
        </w:rPr>
        <w:t xml:space="preserve">Journal of teaching in physical education: JTPE</w:t>
      </w:r>
      <w:r w:rsidDel="00000000" w:rsidR="00000000" w:rsidRPr="00000000">
        <w:rPr>
          <w:rFonts w:ascii="Times New Roman" w:cs="Times New Roman" w:eastAsia="Times New Roman" w:hAnsi="Times New Roman"/>
          <w:color w:val="040c28"/>
          <w:sz w:val="24"/>
          <w:szCs w:val="24"/>
          <w:highlight w:val="white"/>
          <w:rtl w:val="0"/>
        </w:rPr>
        <w:t xml:space="preserve">, 37(3), pp. 246–251. Available at: https://doi.org/10.1123/jtpe.2018-0133.</w:t>
      </w:r>
    </w:p>
    <w:p w:rsidR="00000000" w:rsidDel="00000000" w:rsidP="00000000" w:rsidRDefault="00000000" w:rsidRPr="00000000" w14:paraId="00000067">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68">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Vygotsky, L.S. (1980) </w:t>
      </w:r>
      <w:r w:rsidDel="00000000" w:rsidR="00000000" w:rsidRPr="00000000">
        <w:rPr>
          <w:rFonts w:ascii="Times New Roman" w:cs="Times New Roman" w:eastAsia="Times New Roman" w:hAnsi="Times New Roman"/>
          <w:i w:val="1"/>
          <w:color w:val="040c28"/>
          <w:sz w:val="24"/>
          <w:szCs w:val="24"/>
          <w:highlight w:val="white"/>
          <w:rtl w:val="0"/>
        </w:rPr>
        <w:t xml:space="preserve">Mind in society: Development of higher psychological processes</w:t>
      </w:r>
      <w:r w:rsidDel="00000000" w:rsidR="00000000" w:rsidRPr="00000000">
        <w:rPr>
          <w:rFonts w:ascii="Times New Roman" w:cs="Times New Roman" w:eastAsia="Times New Roman" w:hAnsi="Times New Roman"/>
          <w:color w:val="040c28"/>
          <w:sz w:val="24"/>
          <w:szCs w:val="24"/>
          <w:highlight w:val="white"/>
          <w:rtl w:val="0"/>
        </w:rPr>
        <w:t xml:space="preserve">. Edited by M. Cole et al. Harvard University Press.</w:t>
      </w:r>
    </w:p>
    <w:p w:rsidR="00000000" w:rsidDel="00000000" w:rsidP="00000000" w:rsidRDefault="00000000" w:rsidRPr="00000000" w14:paraId="00000069">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6A">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Wainwright, N. </w:t>
      </w:r>
      <w:r w:rsidDel="00000000" w:rsidR="00000000" w:rsidRPr="00000000">
        <w:rPr>
          <w:rFonts w:ascii="Times New Roman" w:cs="Times New Roman" w:eastAsia="Times New Roman" w:hAnsi="Times New Roman"/>
          <w:i w:val="1"/>
          <w:color w:val="040c28"/>
          <w:sz w:val="24"/>
          <w:szCs w:val="24"/>
          <w:highlight w:val="white"/>
          <w:rtl w:val="0"/>
        </w:rPr>
        <w:t xml:space="preserve">et al.</w:t>
      </w:r>
      <w:r w:rsidDel="00000000" w:rsidR="00000000" w:rsidRPr="00000000">
        <w:rPr>
          <w:rFonts w:ascii="Times New Roman" w:cs="Times New Roman" w:eastAsia="Times New Roman" w:hAnsi="Times New Roman"/>
          <w:color w:val="040c28"/>
          <w:sz w:val="24"/>
          <w:szCs w:val="24"/>
          <w:highlight w:val="white"/>
          <w:rtl w:val="0"/>
        </w:rPr>
        <w:t xml:space="preserve"> (2018) ‘Laying the foundations for physical literacy in Wales: the contribution of the Foundation Phase to the development of physical literacy’, </w:t>
      </w:r>
      <w:r w:rsidDel="00000000" w:rsidR="00000000" w:rsidRPr="00000000">
        <w:rPr>
          <w:rFonts w:ascii="Times New Roman" w:cs="Times New Roman" w:eastAsia="Times New Roman" w:hAnsi="Times New Roman"/>
          <w:i w:val="1"/>
          <w:color w:val="040c28"/>
          <w:sz w:val="24"/>
          <w:szCs w:val="24"/>
          <w:highlight w:val="white"/>
          <w:rtl w:val="0"/>
        </w:rPr>
        <w:t xml:space="preserve">Physical education and sport pedagogy</w:t>
      </w:r>
      <w:r w:rsidDel="00000000" w:rsidR="00000000" w:rsidRPr="00000000">
        <w:rPr>
          <w:rFonts w:ascii="Times New Roman" w:cs="Times New Roman" w:eastAsia="Times New Roman" w:hAnsi="Times New Roman"/>
          <w:color w:val="040c28"/>
          <w:sz w:val="24"/>
          <w:szCs w:val="24"/>
          <w:highlight w:val="white"/>
          <w:rtl w:val="0"/>
        </w:rPr>
        <w:t xml:space="preserve">, 23(4), pp. 431–444. Available at: https://doi.org/10.1080/17408989.2018.1455819.</w:t>
      </w:r>
    </w:p>
    <w:p w:rsidR="00000000" w:rsidDel="00000000" w:rsidP="00000000" w:rsidRDefault="00000000" w:rsidRPr="00000000" w14:paraId="0000006B">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6C">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i w:val="1"/>
          <w:color w:val="040c28"/>
          <w:sz w:val="24"/>
          <w:szCs w:val="24"/>
          <w:highlight w:val="white"/>
          <w:rtl w:val="0"/>
        </w:rPr>
        <w:t xml:space="preserve">Gov.wales</w:t>
      </w:r>
      <w:r w:rsidDel="00000000" w:rsidR="00000000" w:rsidRPr="00000000">
        <w:rPr>
          <w:rFonts w:ascii="Times New Roman" w:cs="Times New Roman" w:eastAsia="Times New Roman" w:hAnsi="Times New Roman"/>
          <w:color w:val="040c28"/>
          <w:sz w:val="24"/>
          <w:szCs w:val="24"/>
          <w:highlight w:val="white"/>
          <w:rtl w:val="0"/>
        </w:rPr>
        <w:t xml:space="preserve">.(2023). Teaching and learning in the outdoors: The current state of outdoor learning in schools in wales. Available at: https://hwb.gov.wales/api/storage/177a33a6-7c70-4843-bb63-903e70a04154/teaching-and-learning-in-the-outdoors-the-current-state-of-outdoor-learning-in-schools-in-wales.pdf (Accessed: 15 November 2024).</w:t>
      </w:r>
    </w:p>
    <w:p w:rsidR="00000000" w:rsidDel="00000000" w:rsidP="00000000" w:rsidRDefault="00000000" w:rsidRPr="00000000" w14:paraId="0000006D">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6E">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Experience and outcomes (2013) </w:t>
      </w:r>
      <w:r w:rsidDel="00000000" w:rsidR="00000000" w:rsidRPr="00000000">
        <w:rPr>
          <w:rFonts w:ascii="Times New Roman" w:cs="Times New Roman" w:eastAsia="Times New Roman" w:hAnsi="Times New Roman"/>
          <w:i w:val="1"/>
          <w:color w:val="040c28"/>
          <w:sz w:val="24"/>
          <w:szCs w:val="24"/>
          <w:highlight w:val="white"/>
          <w:rtl w:val="0"/>
        </w:rPr>
        <w:t xml:space="preserve">Gov.scot</w:t>
      </w:r>
      <w:r w:rsidDel="00000000" w:rsidR="00000000" w:rsidRPr="00000000">
        <w:rPr>
          <w:rFonts w:ascii="Times New Roman" w:cs="Times New Roman" w:eastAsia="Times New Roman" w:hAnsi="Times New Roman"/>
          <w:color w:val="040c28"/>
          <w:sz w:val="24"/>
          <w:szCs w:val="24"/>
          <w:highlight w:val="white"/>
          <w:rtl w:val="0"/>
        </w:rPr>
        <w:t xml:space="preserve">. Available at: https://education.gov.scot/media/wpsnskgv/all-experiencesoutcomes18.pdf (Accessed: 12 November 2024).</w:t>
      </w:r>
    </w:p>
    <w:p w:rsidR="00000000" w:rsidDel="00000000" w:rsidP="00000000" w:rsidRDefault="00000000" w:rsidRPr="00000000" w14:paraId="0000006F">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Learning and teaching in scotland (2010) </w:t>
      </w:r>
      <w:r w:rsidDel="00000000" w:rsidR="00000000" w:rsidRPr="00000000">
        <w:rPr>
          <w:rFonts w:ascii="Times New Roman" w:cs="Times New Roman" w:eastAsia="Times New Roman" w:hAnsi="Times New Roman"/>
          <w:i w:val="1"/>
          <w:color w:val="040c28"/>
          <w:sz w:val="24"/>
          <w:szCs w:val="24"/>
          <w:highlight w:val="white"/>
          <w:rtl w:val="0"/>
        </w:rPr>
        <w:t xml:space="preserve">Gov.scot</w:t>
      </w:r>
      <w:r w:rsidDel="00000000" w:rsidR="00000000" w:rsidRPr="00000000">
        <w:rPr>
          <w:rFonts w:ascii="Times New Roman" w:cs="Times New Roman" w:eastAsia="Times New Roman" w:hAnsi="Times New Roman"/>
          <w:color w:val="040c28"/>
          <w:sz w:val="24"/>
          <w:szCs w:val="24"/>
          <w:highlight w:val="white"/>
          <w:rtl w:val="0"/>
        </w:rPr>
        <w:t xml:space="preserve">. Available at: https://education.gov.scot/media/isxg4lb0/cfe-through-outdoor-learning.pdf (Accessed: 15 November 2024).</w:t>
      </w:r>
    </w:p>
    <w:p w:rsidR="00000000" w:rsidDel="00000000" w:rsidP="00000000" w:rsidRDefault="00000000" w:rsidRPr="00000000" w14:paraId="00000070">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71">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Professional standards for teaching (2020) </w:t>
      </w:r>
      <w:r w:rsidDel="00000000" w:rsidR="00000000" w:rsidRPr="00000000">
        <w:rPr>
          <w:rFonts w:ascii="Times New Roman" w:cs="Times New Roman" w:eastAsia="Times New Roman" w:hAnsi="Times New Roman"/>
          <w:i w:val="1"/>
          <w:color w:val="040c28"/>
          <w:sz w:val="24"/>
          <w:szCs w:val="24"/>
          <w:highlight w:val="white"/>
          <w:rtl w:val="0"/>
        </w:rPr>
        <w:t xml:space="preserve">Gov.wales</w:t>
      </w:r>
      <w:r w:rsidDel="00000000" w:rsidR="00000000" w:rsidRPr="00000000">
        <w:rPr>
          <w:rFonts w:ascii="Times New Roman" w:cs="Times New Roman" w:eastAsia="Times New Roman" w:hAnsi="Times New Roman"/>
          <w:color w:val="040c28"/>
          <w:sz w:val="24"/>
          <w:szCs w:val="24"/>
          <w:highlight w:val="white"/>
          <w:rtl w:val="0"/>
        </w:rPr>
        <w:t xml:space="preserve">. Available at: https://hwb.gov.wales/api/storage/19bc948b-8a3f-41e0-944a-7bf2cadf7d18/professional-standards-for-teaching-and-leadership-interactive-pdf-for-pc.pdf (Accessed: 11 November 2024).</w:t>
      </w:r>
    </w:p>
    <w:p w:rsidR="00000000" w:rsidDel="00000000" w:rsidP="00000000" w:rsidRDefault="00000000" w:rsidRPr="00000000" w14:paraId="00000072">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73">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Learning and teaching in scotland (2010) </w:t>
      </w:r>
      <w:r w:rsidDel="00000000" w:rsidR="00000000" w:rsidRPr="00000000">
        <w:rPr>
          <w:rFonts w:ascii="Times New Roman" w:cs="Times New Roman" w:eastAsia="Times New Roman" w:hAnsi="Times New Roman"/>
          <w:i w:val="1"/>
          <w:color w:val="040c28"/>
          <w:sz w:val="24"/>
          <w:szCs w:val="24"/>
          <w:highlight w:val="white"/>
          <w:rtl w:val="0"/>
        </w:rPr>
        <w:t xml:space="preserve">Gov.scot</w:t>
      </w:r>
      <w:r w:rsidDel="00000000" w:rsidR="00000000" w:rsidRPr="00000000">
        <w:rPr>
          <w:rFonts w:ascii="Times New Roman" w:cs="Times New Roman" w:eastAsia="Times New Roman" w:hAnsi="Times New Roman"/>
          <w:color w:val="040c28"/>
          <w:sz w:val="24"/>
          <w:szCs w:val="24"/>
          <w:highlight w:val="white"/>
          <w:rtl w:val="0"/>
        </w:rPr>
        <w:t xml:space="preserve">. Available at: https://education.gov.scot/media/isxg4lb0/cfe-through-outdoor-learning.pdf (Accessed: 15 November 2024).</w:t>
      </w:r>
    </w:p>
    <w:p w:rsidR="00000000" w:rsidDel="00000000" w:rsidP="00000000" w:rsidRDefault="00000000" w:rsidRPr="00000000" w14:paraId="00000074">
      <w:pPr>
        <w:rPr>
          <w:rFonts w:ascii="Times New Roman" w:cs="Times New Roman" w:eastAsia="Times New Roman" w:hAnsi="Times New Roman"/>
          <w:color w:val="040c28"/>
          <w:sz w:val="24"/>
          <w:szCs w:val="24"/>
          <w:highlight w:val="white"/>
        </w:rPr>
      </w:pPr>
      <w:r w:rsidDel="00000000" w:rsidR="00000000" w:rsidRPr="00000000">
        <w:rPr>
          <w:rtl w:val="0"/>
        </w:rPr>
      </w:r>
    </w:p>
    <w:p w:rsidR="00000000" w:rsidDel="00000000" w:rsidP="00000000" w:rsidRDefault="00000000" w:rsidRPr="00000000" w14:paraId="00000075">
      <w:pPr>
        <w:spacing w:after="240" w:before="240" w:line="240" w:lineRule="auto"/>
        <w:rPr>
          <w:rFonts w:ascii="Times New Roman" w:cs="Times New Roman" w:eastAsia="Times New Roman" w:hAnsi="Times New Roman"/>
          <w:color w:val="040c28"/>
          <w:sz w:val="24"/>
          <w:szCs w:val="24"/>
          <w:highlight w:val="white"/>
        </w:rPr>
      </w:pPr>
      <w:r w:rsidDel="00000000" w:rsidR="00000000" w:rsidRPr="00000000">
        <w:rPr>
          <w:rFonts w:ascii="Times New Roman" w:cs="Times New Roman" w:eastAsia="Times New Roman" w:hAnsi="Times New Roman"/>
          <w:color w:val="040c28"/>
          <w:sz w:val="24"/>
          <w:szCs w:val="24"/>
          <w:highlight w:val="white"/>
          <w:rtl w:val="0"/>
        </w:rPr>
        <w:t xml:space="preserve">Covid 19 (2020) </w:t>
      </w:r>
      <w:r w:rsidDel="00000000" w:rsidR="00000000" w:rsidRPr="00000000">
        <w:rPr>
          <w:rFonts w:ascii="Times New Roman" w:cs="Times New Roman" w:eastAsia="Times New Roman" w:hAnsi="Times New Roman"/>
          <w:i w:val="1"/>
          <w:color w:val="040c28"/>
          <w:sz w:val="24"/>
          <w:szCs w:val="24"/>
          <w:highlight w:val="white"/>
          <w:rtl w:val="0"/>
        </w:rPr>
        <w:t xml:space="preserve">Gov.wales</w:t>
      </w:r>
      <w:r w:rsidDel="00000000" w:rsidR="00000000" w:rsidRPr="00000000">
        <w:rPr>
          <w:rFonts w:ascii="Times New Roman" w:cs="Times New Roman" w:eastAsia="Times New Roman" w:hAnsi="Times New Roman"/>
          <w:color w:val="040c28"/>
          <w:sz w:val="24"/>
          <w:szCs w:val="24"/>
          <w:highlight w:val="white"/>
          <w:rtl w:val="0"/>
        </w:rPr>
        <w:t xml:space="preserve">. Available at: https://hwb.gov.wales/api/storage/91971af9-e1df-44d6-ba02-4c9ea487ef36/covid-rs6-final-en.pdf (Accessed: 14 November 2024).</w:t>
      </w:r>
    </w:p>
    <w:p w:rsidR="00000000" w:rsidDel="00000000" w:rsidP="00000000" w:rsidRDefault="00000000" w:rsidRPr="00000000" w14:paraId="00000076">
      <w:pPr>
        <w:rPr>
          <w:color w:val="040c28"/>
          <w:sz w:val="30"/>
          <w:szCs w:val="30"/>
          <w:highlight w:val="white"/>
        </w:rPr>
      </w:pPr>
      <w:r w:rsidDel="00000000" w:rsidR="00000000" w:rsidRPr="00000000">
        <w:rPr>
          <w:rtl w:val="0"/>
        </w:rPr>
      </w:r>
    </w:p>
    <w:p w:rsidR="00000000" w:rsidDel="00000000" w:rsidP="00000000" w:rsidRDefault="00000000" w:rsidRPr="00000000" w14:paraId="00000077">
      <w:pPr>
        <w:rPr>
          <w:color w:val="040c28"/>
          <w:sz w:val="30"/>
          <w:szCs w:val="30"/>
          <w:highlight w:val="white"/>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spacing w:after="240" w:before="240" w:line="432" w:lineRule="auto"/>
        <w:rPr>
          <w:b w:val="1"/>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1080/20004508.2023.2297506" TargetMode="External"/><Relationship Id="rId7" Type="http://schemas.openxmlformats.org/officeDocument/2006/relationships/hyperlink" Target="https://doi.org/10.20533/ijcdse.2042.6364.2011.00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