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F0910" w:rsidRDefault="00BF0910" w:rsidP="00BF0910">
      <w:r>
        <w:t>Name: Charlotte Smith</w:t>
      </w:r>
    </w:p>
    <w:p w:rsidR="00BF0910" w:rsidRDefault="00BF0910" w:rsidP="00BF0910">
      <w:r>
        <w:t>Student Number:</w:t>
      </w:r>
      <w:r>
        <w:t xml:space="preserve"> 1702307</w:t>
      </w:r>
    </w:p>
    <w:p w:rsidR="00BF0910" w:rsidRDefault="00BF0910" w:rsidP="00BF0910">
      <w:pPr>
        <w:tabs>
          <w:tab w:val="left" w:pos="2970"/>
        </w:tabs>
      </w:pPr>
      <w:r>
        <w:t xml:space="preserve">Assignment: </w:t>
      </w:r>
      <w:r>
        <w:t xml:space="preserve">Secondary Source Gobbet </w:t>
      </w:r>
      <w:r>
        <w:tab/>
      </w:r>
    </w:p>
    <w:p w:rsidR="00884C61" w:rsidRDefault="00884C61" w:rsidP="00BF0910">
      <w:pPr>
        <w:tabs>
          <w:tab w:val="left" w:pos="2970"/>
        </w:tabs>
      </w:pPr>
    </w:p>
    <w:p w:rsidR="00884C61" w:rsidRDefault="00884C61" w:rsidP="00D74E9C">
      <w:pPr>
        <w:spacing w:line="480" w:lineRule="auto"/>
      </w:pPr>
      <w:r>
        <w:t xml:space="preserve">The author of this secondary source is Paul Gilroy. </w:t>
      </w:r>
      <w:r w:rsidR="00E752F6">
        <w:t xml:space="preserve">He is a British historian and academic who was the </w:t>
      </w:r>
      <w:r>
        <w:t>founding director of the centre for the study of race and racism</w:t>
      </w:r>
      <w:r w:rsidR="00E752F6">
        <w:t>. In 1993</w:t>
      </w:r>
      <w:r w:rsidR="00B36736">
        <w:t>,</w:t>
      </w:r>
      <w:r w:rsidR="00E752F6">
        <w:t xml:space="preserve"> he wrote </w:t>
      </w:r>
      <w:r w:rsidR="00E752F6" w:rsidRPr="00E752F6">
        <w:rPr>
          <w:i/>
          <w:iCs/>
        </w:rPr>
        <w:t xml:space="preserve">The Black Atlantic: </w:t>
      </w:r>
      <w:r w:rsidR="00B36736">
        <w:rPr>
          <w:i/>
          <w:iCs/>
        </w:rPr>
        <w:t>M</w:t>
      </w:r>
      <w:r w:rsidR="00E752F6" w:rsidRPr="00E752F6">
        <w:rPr>
          <w:i/>
          <w:iCs/>
        </w:rPr>
        <w:t>odernity and Double Consciousness.</w:t>
      </w:r>
      <w:r w:rsidR="00E752F6">
        <w:t xml:space="preserve"> </w:t>
      </w:r>
    </w:p>
    <w:p w:rsidR="00953012" w:rsidRDefault="00953012" w:rsidP="00D74E9C">
      <w:pPr>
        <w:spacing w:line="480" w:lineRule="auto"/>
      </w:pPr>
      <w:r>
        <w:t xml:space="preserve">In this source, </w:t>
      </w:r>
      <w:r>
        <w:t>Paul Gilroy identifies the</w:t>
      </w:r>
      <w:r>
        <w:t xml:space="preserve"> following</w:t>
      </w:r>
      <w:r>
        <w:t xml:space="preserve"> as the defining characteristics of the </w:t>
      </w:r>
      <w:r w:rsidR="00B36736">
        <w:t>B</w:t>
      </w:r>
      <w:r>
        <w:t>lack Atlantic</w:t>
      </w:r>
      <w:r>
        <w:t xml:space="preserve">. Gilroy splits his argument into three sections. The first regards cultural studies common to both English and African American versions. The second </w:t>
      </w:r>
      <w:r w:rsidR="00B36736">
        <w:t>analyses</w:t>
      </w:r>
      <w:r>
        <w:t xml:space="preserve"> Martin Robison Delany’s writing and the third explores the counterculture of modernity. </w:t>
      </w:r>
    </w:p>
    <w:p w:rsidR="00BF0910" w:rsidRDefault="00D74E9C" w:rsidP="00D74E9C">
      <w:pPr>
        <w:spacing w:line="480" w:lineRule="auto"/>
      </w:pPr>
      <w:r w:rsidRPr="00D74E9C">
        <w:t xml:space="preserve">From the third section, this particular quote stood out, “the difficulty with </w:t>
      </w:r>
      <w:r w:rsidR="00A23620">
        <w:t>(</w:t>
      </w:r>
      <w:r w:rsidRPr="00D74E9C">
        <w:t>…</w:t>
      </w:r>
      <w:r w:rsidR="00A23620">
        <w:t>)</w:t>
      </w:r>
      <w:r w:rsidRPr="00D74E9C">
        <w:t xml:space="preserve"> leaving racial essentialism behind by viewing “race” itself as a social and cultural construction, it has been insufficiently alive to the lingering power of specifically racialised forms of power and subordination.”</w:t>
      </w:r>
      <w:r w:rsidRPr="00D74E9C">
        <w:rPr>
          <w:rStyle w:val="FootnoteReference"/>
        </w:rPr>
        <w:footnoteReference w:id="1"/>
      </w:r>
      <w:r w:rsidRPr="00D74E9C">
        <w:t xml:space="preserve"> Essentialism is a belief that things have a set of characteristics which make them what they are.</w:t>
      </w:r>
      <w:r w:rsidRPr="00D74E9C">
        <w:rPr>
          <w:rStyle w:val="FootnoteReference"/>
        </w:rPr>
        <w:footnoteReference w:id="2"/>
      </w:r>
      <w:r w:rsidRPr="00D74E9C">
        <w:t xml:space="preserve"> Therefore</w:t>
      </w:r>
      <w:r w:rsidR="00A23620">
        <w:t>,</w:t>
      </w:r>
      <w:r w:rsidRPr="00D74E9C">
        <w:t xml:space="preserve"> racial essentialism </w:t>
      </w:r>
      <w:r w:rsidR="00A23620">
        <w:t xml:space="preserve">is </w:t>
      </w:r>
      <w:r w:rsidRPr="00D74E9C">
        <w:t>the idea that race defines what makes a person what they are. The problem with racial essentialism is that race itself is a social construct as there is no scientific difference. Therefore, the idea of race and in turn racism, is controlled by power. That power is usually still controlled by the white man and therefore those lingering prejudices mean that it is difficult to leave racial essentialism behind.</w:t>
      </w:r>
    </w:p>
    <w:p w:rsidR="00BF0910" w:rsidRDefault="00BF0910" w:rsidP="00D74E9C">
      <w:pPr>
        <w:tabs>
          <w:tab w:val="left" w:pos="2970"/>
        </w:tabs>
        <w:spacing w:line="480" w:lineRule="auto"/>
      </w:pPr>
      <w:r>
        <w:t>In this source</w:t>
      </w:r>
      <w:r w:rsidR="00B36736">
        <w:t>,</w:t>
      </w:r>
      <w:r>
        <w:t xml:space="preserve"> Gilroy </w:t>
      </w:r>
      <w:r w:rsidR="00B36736">
        <w:t>emphasise</w:t>
      </w:r>
      <w:r>
        <w:t xml:space="preserve"> </w:t>
      </w:r>
      <w:r w:rsidR="00B36736">
        <w:t>the importance</w:t>
      </w:r>
      <w:r>
        <w:t xml:space="preserve"> of ships in his analysis. The reason for this could be interpreted for a couple of reasons. </w:t>
      </w:r>
      <w:r w:rsidR="00B36736">
        <w:t>The first mention of ships</w:t>
      </w:r>
      <w:r>
        <w:t xml:space="preserve"> is in </w:t>
      </w:r>
      <w:r w:rsidR="00B36736">
        <w:t xml:space="preserve">Gilroy’s </w:t>
      </w:r>
      <w:r>
        <w:t xml:space="preserve">explanation to why they are so significant. Throughout the text Gilroy continuously makes the connection with ships and the </w:t>
      </w:r>
      <w:r>
        <w:lastRenderedPageBreak/>
        <w:t xml:space="preserve">middle passage. The middle passage is what is generally referred to as the transportation of Africans from Africa to the Americas, most often to the </w:t>
      </w:r>
      <w:r w:rsidR="00B36736">
        <w:t>W</w:t>
      </w:r>
      <w:r>
        <w:t xml:space="preserve">est </w:t>
      </w:r>
      <w:r w:rsidR="00B36736">
        <w:t>I</w:t>
      </w:r>
      <w:r>
        <w:t>ndies.</w:t>
      </w:r>
      <w:r>
        <w:rPr>
          <w:rStyle w:val="FootnoteReference"/>
        </w:rPr>
        <w:footnoteReference w:id="3"/>
      </w:r>
      <w:r>
        <w:t xml:space="preserve"> An example of Gilroy’s connection to the middle passage is when he argues that ships enforce the ideas of ‘micro-politics of the slave trade and its relationship to both industrialisation and modernisation’. </w:t>
      </w:r>
      <w:r w:rsidR="00B36736">
        <w:t>M</w:t>
      </w:r>
      <w:r>
        <w:t xml:space="preserve">icro-politics regards the use of formal and informal power </w:t>
      </w:r>
      <w:r>
        <w:t>by groups to achieve their goals.</w:t>
      </w:r>
      <w:r>
        <w:rPr>
          <w:rStyle w:val="FootnoteReference"/>
        </w:rPr>
        <w:footnoteReference w:id="4"/>
      </w:r>
      <w:r w:rsidR="00A37E29">
        <w:t xml:space="preserve"> Furthermore</w:t>
      </w:r>
      <w:r w:rsidR="00B36736">
        <w:t>,</w:t>
      </w:r>
      <w:r w:rsidR="00A37E29">
        <w:t xml:space="preserve"> Gilroy’s idea of the connection between ships and the middle passage is shown through the reasoning that these groups use this power to expand the slave trade and that these ships are a product of that. Regarding the idea that ships assist the slave trades relationship to industrialisation and modernisation is true as the realisation that having slave labour allows for an increase in industrialisation; and in turn leads to modernisation.</w:t>
      </w:r>
    </w:p>
    <w:p w:rsidR="0076174B" w:rsidRPr="00FE0D08" w:rsidRDefault="00BF0910" w:rsidP="00D74E9C">
      <w:pPr>
        <w:tabs>
          <w:tab w:val="left" w:pos="2970"/>
        </w:tabs>
        <w:spacing w:line="480" w:lineRule="auto"/>
      </w:pPr>
      <w:r>
        <w:t>The next mention of the importance of ships comes from his discussion regarding JMW Turner’s slave ship painting. The painting shows a slave ship which is a depiction of the</w:t>
      </w:r>
      <w:r w:rsidR="0076174B">
        <w:t xml:space="preserve"> slave ship called the</w:t>
      </w:r>
      <w:r>
        <w:t xml:space="preserve"> Zong where 133 slaves were thrown overboard during a storm in order to collect insurance. Gilroy places importance on this painting as it represents ‘self-conscious moral power’ and ‘its invocation of racial terror, commerce and England’s ethico-political degeneration.’</w:t>
      </w:r>
      <w:r w:rsidRPr="00FE0D08">
        <w:rPr>
          <w:rStyle w:val="FootnoteReference"/>
        </w:rPr>
        <w:footnoteReference w:id="5"/>
      </w:r>
      <w:r w:rsidRPr="00FE0D08">
        <w:t xml:space="preserve"> </w:t>
      </w:r>
      <w:r w:rsidR="0076174B" w:rsidRPr="00FE0D08">
        <w:t xml:space="preserve">This means that it shows deliberate standards of behaviour and in the case of the ship’s crew; how they had no regard to the moral duty of human rights </w:t>
      </w:r>
      <w:r w:rsidR="00C70374" w:rsidRPr="00FE0D08">
        <w:t xml:space="preserve">and instead were more invested in </w:t>
      </w:r>
      <w:r w:rsidR="00B36736">
        <w:t>im</w:t>
      </w:r>
      <w:r w:rsidR="00C70374" w:rsidRPr="00FE0D08">
        <w:t xml:space="preserve">moral behaviour of greed and corruption. This painting also shows the </w:t>
      </w:r>
      <w:r w:rsidR="0076174B" w:rsidRPr="00FE0D08">
        <w:t xml:space="preserve">action of buying and selling on a large scale </w:t>
      </w:r>
      <w:r w:rsidR="00C70374" w:rsidRPr="00FE0D08">
        <w:t>and how as a result of this possibility</w:t>
      </w:r>
      <w:r w:rsidR="00D65976">
        <w:t>,</w:t>
      </w:r>
      <w:r w:rsidR="00C70374" w:rsidRPr="00FE0D08">
        <w:t xml:space="preserve"> England</w:t>
      </w:r>
      <w:r w:rsidR="00D65976">
        <w:t>’s</w:t>
      </w:r>
      <w:r w:rsidR="00C70374" w:rsidRPr="00FE0D08">
        <w:t xml:space="preserve"> ethical and political sensibilities were in a state of deterioration as it came to disregard an entire race of people. </w:t>
      </w:r>
    </w:p>
    <w:p w:rsidR="00BF0910" w:rsidRDefault="00BF0910" w:rsidP="00D74E9C">
      <w:pPr>
        <w:tabs>
          <w:tab w:val="left" w:pos="2970"/>
        </w:tabs>
        <w:spacing w:line="480" w:lineRule="auto"/>
      </w:pPr>
      <w:r w:rsidRPr="00FE0D08">
        <w:t xml:space="preserve">Gilroy goes on to further say that ‘ships were the living means </w:t>
      </w:r>
      <w:r>
        <w:t xml:space="preserve">by which the points of the Atlantic world were joined’. In a way </w:t>
      </w:r>
      <w:r w:rsidR="00D65976">
        <w:t>th</w:t>
      </w:r>
      <w:r>
        <w:t>is suggest</w:t>
      </w:r>
      <w:r w:rsidR="00D65976">
        <w:t>s</w:t>
      </w:r>
      <w:r>
        <w:t xml:space="preserve"> that </w:t>
      </w:r>
      <w:r w:rsidR="00D65976">
        <w:t>s</w:t>
      </w:r>
      <w:r>
        <w:t xml:space="preserve">hips are the in-between as they allow the journey between different lands and the sea is what links these different lands together. The process of </w:t>
      </w:r>
      <w:r>
        <w:lastRenderedPageBreak/>
        <w:t xml:space="preserve">travelling in these ships allows people the freedom of working at sea. This is kind of liberating as all you would see is the endless sea and the focus of the same routine of work. This is significant as the slaves on these ships during the middle passage wouldn’t have found the journey liberating, but it does show how ships are the means to which the world is connected. </w:t>
      </w:r>
    </w:p>
    <w:p w:rsidR="00C64789" w:rsidRDefault="00BF0910" w:rsidP="00D74E9C">
      <w:pPr>
        <w:tabs>
          <w:tab w:val="left" w:pos="2970"/>
        </w:tabs>
        <w:spacing w:line="480" w:lineRule="auto"/>
      </w:pPr>
      <w:r>
        <w:t>The idea of ships and ports being an early example of a multicultural society is shown through Gilroy’s argument that ‘the ship provides a chance to explore the articulations between the discontinuous histories of England’s port, it’s interfaces with the wider world’</w:t>
      </w:r>
      <w:r>
        <w:rPr>
          <w:rStyle w:val="FootnoteReference"/>
        </w:rPr>
        <w:footnoteReference w:id="6"/>
      </w:r>
      <w:r w:rsidR="00D65976">
        <w:t>.</w:t>
      </w:r>
    </w:p>
    <w:p w:rsidR="00F375DB" w:rsidRDefault="00BF0910" w:rsidP="00D74E9C">
      <w:pPr>
        <w:tabs>
          <w:tab w:val="left" w:pos="2970"/>
        </w:tabs>
        <w:spacing w:line="480" w:lineRule="auto"/>
      </w:pPr>
      <w:r>
        <w:t>Finally, the significance of ships is mentioned through Gilroy’s analysis of Blake. To Gilroy</w:t>
      </w:r>
      <w:r w:rsidR="00D65976">
        <w:t>,</w:t>
      </w:r>
      <w:r>
        <w:t xml:space="preserve"> ‘ships occupy a primary symbolic and political place in the work’ This is shown by the book dedicating a chapter to the middle passage where it depicts the story of the slave ship </w:t>
      </w:r>
      <w:r w:rsidR="00C64789">
        <w:t>Z</w:t>
      </w:r>
      <w:r>
        <w:t xml:space="preserve">ong in harrowing detail. </w:t>
      </w:r>
    </w:p>
    <w:p w:rsidR="00A23620" w:rsidRDefault="00F375DB" w:rsidP="00D74E9C">
      <w:pPr>
        <w:tabs>
          <w:tab w:val="left" w:pos="2970"/>
        </w:tabs>
        <w:spacing w:line="480" w:lineRule="auto"/>
      </w:pPr>
      <w:r>
        <w:t xml:space="preserve">Furthermore, Gilroy thinks the concept of the </w:t>
      </w:r>
      <w:r w:rsidR="00D65976">
        <w:t>B</w:t>
      </w:r>
      <w:r>
        <w:t xml:space="preserve">lack Atlantic helps ‘transcend </w:t>
      </w:r>
      <w:r w:rsidR="00A23620">
        <w:t>(</w:t>
      </w:r>
      <w:r>
        <w:t>…</w:t>
      </w:r>
      <w:r w:rsidR="00A23620">
        <w:t>)</w:t>
      </w:r>
      <w:r>
        <w:t xml:space="preserve"> national particularity’.</w:t>
      </w:r>
      <w:r w:rsidR="003862AC">
        <w:rPr>
          <w:rStyle w:val="FootnoteReference"/>
        </w:rPr>
        <w:footnoteReference w:id="7"/>
      </w:r>
      <w:r>
        <w:t xml:space="preserve"> </w:t>
      </w:r>
      <w:r w:rsidR="00914891">
        <w:t>The context of this quote regards W. E. B. Du Bois</w:t>
      </w:r>
      <w:r w:rsidR="00A23620">
        <w:t>’</w:t>
      </w:r>
      <w:r w:rsidR="00914891">
        <w:t xml:space="preserve"> idea of double consciousness which involves the struggle faced by African American</w:t>
      </w:r>
      <w:r w:rsidR="00A23620">
        <w:t>’s</w:t>
      </w:r>
      <w:r w:rsidR="00914891">
        <w:t xml:space="preserve"> regarding </w:t>
      </w:r>
      <w:r w:rsidR="00510D9B">
        <w:t xml:space="preserve">nationality and </w:t>
      </w:r>
      <w:r w:rsidR="00914891">
        <w:t xml:space="preserve">their identity. </w:t>
      </w:r>
      <w:r w:rsidR="00510D9B" w:rsidRPr="00A23620">
        <w:t xml:space="preserve">The reason why Gilroy thinks the idea of the </w:t>
      </w:r>
      <w:r w:rsidR="00A23620">
        <w:t>B</w:t>
      </w:r>
      <w:r w:rsidR="00510D9B" w:rsidRPr="00A23620">
        <w:t>lack Atlantic goes beyond a national identity</w:t>
      </w:r>
      <w:r w:rsidR="005634D2">
        <w:t>,</w:t>
      </w:r>
      <w:r w:rsidR="00510D9B" w:rsidRPr="00A23620">
        <w:t xml:space="preserve"> is as a result </w:t>
      </w:r>
      <w:r w:rsidR="00A23620">
        <w:t>of slavery</w:t>
      </w:r>
      <w:r w:rsidR="005634D2">
        <w:t>,</w:t>
      </w:r>
      <w:r w:rsidR="00A23620">
        <w:t xml:space="preserve"> their own national identity has been transformed</w:t>
      </w:r>
      <w:r w:rsidR="005634D2">
        <w:t xml:space="preserve">. The transformation comes as a result of them being excluded from the traditional American society despite them being brought there.  </w:t>
      </w:r>
    </w:p>
    <w:p w:rsidR="00A23620" w:rsidRDefault="00A23620" w:rsidP="00D74E9C">
      <w:pPr>
        <w:tabs>
          <w:tab w:val="left" w:pos="2970"/>
        </w:tabs>
        <w:spacing w:line="480" w:lineRule="auto"/>
      </w:pPr>
    </w:p>
    <w:p w:rsidR="00BF0910" w:rsidRDefault="00BF0910" w:rsidP="00D74E9C">
      <w:pPr>
        <w:tabs>
          <w:tab w:val="left" w:pos="2970"/>
        </w:tabs>
        <w:spacing w:line="480" w:lineRule="auto"/>
      </w:pPr>
    </w:p>
    <w:p w:rsidR="00BF0910" w:rsidRDefault="00BF0910" w:rsidP="00D74E9C">
      <w:pPr>
        <w:spacing w:line="480" w:lineRule="auto"/>
      </w:pPr>
    </w:p>
    <w:sectPr w:rsidR="00BF09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4543C" w:rsidRDefault="00B4543C" w:rsidP="00BF0910">
      <w:pPr>
        <w:spacing w:after="0" w:line="240" w:lineRule="auto"/>
      </w:pPr>
      <w:r>
        <w:separator/>
      </w:r>
    </w:p>
  </w:endnote>
  <w:endnote w:type="continuationSeparator" w:id="0">
    <w:p w:rsidR="00B4543C" w:rsidRDefault="00B4543C" w:rsidP="00BF09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4543C" w:rsidRDefault="00B4543C" w:rsidP="00BF0910">
      <w:pPr>
        <w:spacing w:after="0" w:line="240" w:lineRule="auto"/>
      </w:pPr>
      <w:r>
        <w:separator/>
      </w:r>
    </w:p>
  </w:footnote>
  <w:footnote w:type="continuationSeparator" w:id="0">
    <w:p w:rsidR="00B4543C" w:rsidRDefault="00B4543C" w:rsidP="00BF0910">
      <w:pPr>
        <w:spacing w:after="0" w:line="240" w:lineRule="auto"/>
      </w:pPr>
      <w:r>
        <w:continuationSeparator/>
      </w:r>
    </w:p>
  </w:footnote>
  <w:footnote w:id="1">
    <w:p w:rsidR="00D74E9C" w:rsidRDefault="00D74E9C" w:rsidP="00D74E9C">
      <w:pPr>
        <w:pStyle w:val="FootnoteText"/>
      </w:pPr>
      <w:r>
        <w:rPr>
          <w:rStyle w:val="FootnoteReference"/>
        </w:rPr>
        <w:footnoteRef/>
      </w:r>
      <w:r>
        <w:t xml:space="preserve"> </w:t>
      </w:r>
      <w:r w:rsidR="00914891">
        <w:t xml:space="preserve">Paul Gilroy, </w:t>
      </w:r>
      <w:r w:rsidR="00914891" w:rsidRPr="00953012">
        <w:rPr>
          <w:i/>
          <w:iCs/>
        </w:rPr>
        <w:t>the Black Atlantic; Modernity and Double Consciousness</w:t>
      </w:r>
      <w:r w:rsidR="00914891">
        <w:t>, (Cambridge: Harvard University Press,1993)</w:t>
      </w:r>
      <w:r w:rsidR="00914891">
        <w:t xml:space="preserve"> P</w:t>
      </w:r>
      <w:r>
        <w:t>.32.</w:t>
      </w:r>
    </w:p>
  </w:footnote>
  <w:footnote w:id="2">
    <w:p w:rsidR="00D74E9C" w:rsidRDefault="00D74E9C" w:rsidP="00D74E9C">
      <w:pPr>
        <w:pStyle w:val="FootnoteText"/>
      </w:pPr>
      <w:r>
        <w:rPr>
          <w:rStyle w:val="FootnoteReference"/>
        </w:rPr>
        <w:footnoteRef/>
      </w:r>
      <w:r>
        <w:t xml:space="preserve"> </w:t>
      </w:r>
      <w:r w:rsidR="00783BB0">
        <w:t>Lexico</w:t>
      </w:r>
      <w:bookmarkStart w:id="0" w:name="_GoBack"/>
      <w:bookmarkEnd w:id="0"/>
      <w:r w:rsidR="00783BB0">
        <w:t>, essentialism, [</w:t>
      </w:r>
      <w:hyperlink r:id="rId1" w:history="1">
        <w:r w:rsidR="00783BB0" w:rsidRPr="00CE39F4">
          <w:rPr>
            <w:rStyle w:val="Hyperlink"/>
          </w:rPr>
          <w:t>https://www.lexico.com</w:t>
        </w:r>
        <w:r w:rsidR="00783BB0" w:rsidRPr="00CE39F4">
          <w:rPr>
            <w:rStyle w:val="Hyperlink"/>
          </w:rPr>
          <w:t>/</w:t>
        </w:r>
        <w:r w:rsidR="00783BB0" w:rsidRPr="00CE39F4">
          <w:rPr>
            <w:rStyle w:val="Hyperlink"/>
          </w:rPr>
          <w:t>definition/essentialism</w:t>
        </w:r>
      </w:hyperlink>
      <w:r w:rsidR="00783BB0">
        <w:t>], 10/01/2020.</w:t>
      </w:r>
    </w:p>
  </w:footnote>
  <w:footnote w:id="3">
    <w:p w:rsidR="00BF0910" w:rsidRDefault="00BF0910" w:rsidP="00BF0910">
      <w:pPr>
        <w:pStyle w:val="FootnoteText"/>
      </w:pPr>
      <w:r>
        <w:rPr>
          <w:rStyle w:val="FootnoteReference"/>
        </w:rPr>
        <w:footnoteRef/>
      </w:r>
      <w:r>
        <w:t xml:space="preserve"> </w:t>
      </w:r>
      <w:r w:rsidR="00A23620">
        <w:t>The Abolition Project, the Middle Passage, [</w:t>
      </w:r>
      <w:hyperlink r:id="rId2" w:history="1">
        <w:r w:rsidR="00A23620" w:rsidRPr="00CE39F4">
          <w:rPr>
            <w:rStyle w:val="Hyperlink"/>
          </w:rPr>
          <w:t>http://abolition.e2bn.org/slavery_4</w:t>
        </w:r>
        <w:r w:rsidR="00A23620" w:rsidRPr="00CE39F4">
          <w:rPr>
            <w:rStyle w:val="Hyperlink"/>
          </w:rPr>
          <w:t>4</w:t>
        </w:r>
        <w:r w:rsidR="00A23620" w:rsidRPr="00CE39F4">
          <w:rPr>
            <w:rStyle w:val="Hyperlink"/>
          </w:rPr>
          <w:t>.html</w:t>
        </w:r>
      </w:hyperlink>
      <w:r w:rsidR="00A23620">
        <w:t>], 09/01/2020.</w:t>
      </w:r>
    </w:p>
  </w:footnote>
  <w:footnote w:id="4">
    <w:p w:rsidR="00BF0910" w:rsidRDefault="00BF0910">
      <w:pPr>
        <w:pStyle w:val="FootnoteText"/>
      </w:pPr>
      <w:r>
        <w:rPr>
          <w:rStyle w:val="FootnoteReference"/>
        </w:rPr>
        <w:footnoteRef/>
      </w:r>
      <w:r>
        <w:t xml:space="preserve"> </w:t>
      </w:r>
      <w:r w:rsidR="00783BB0">
        <w:t>Your Dictionary, Micropolitics,  [</w:t>
      </w:r>
      <w:hyperlink r:id="rId3" w:history="1">
        <w:r w:rsidR="00783BB0" w:rsidRPr="00CE39F4">
          <w:rPr>
            <w:rStyle w:val="Hyperlink"/>
          </w:rPr>
          <w:t>https://www.yourdictionary.com/micropolitics</w:t>
        </w:r>
      </w:hyperlink>
      <w:r w:rsidR="00783BB0">
        <w:t>], 10/01/2020.</w:t>
      </w:r>
    </w:p>
  </w:footnote>
  <w:footnote w:id="5">
    <w:p w:rsidR="00BF0910" w:rsidRDefault="00BF0910" w:rsidP="00BF0910">
      <w:pPr>
        <w:pStyle w:val="FootnoteText"/>
      </w:pPr>
      <w:r>
        <w:rPr>
          <w:rStyle w:val="FootnoteReference"/>
        </w:rPr>
        <w:footnoteRef/>
      </w:r>
      <w:r>
        <w:t xml:space="preserve"> Paul Gilroy, </w:t>
      </w:r>
      <w:r w:rsidRPr="00953012">
        <w:rPr>
          <w:i/>
          <w:iCs/>
        </w:rPr>
        <w:t>the Black Atlantic; Modernity and Double Consciousness</w:t>
      </w:r>
      <w:r>
        <w:t>, (</w:t>
      </w:r>
      <w:r w:rsidR="00914891">
        <w:t>Cambridge</w:t>
      </w:r>
      <w:r w:rsidR="002B2ECF">
        <w:t>: Harvard University Press</w:t>
      </w:r>
      <w:r>
        <w:t>,</w:t>
      </w:r>
      <w:r w:rsidR="00914891">
        <w:t>1993) P.</w:t>
      </w:r>
      <w:r>
        <w:t>16.</w:t>
      </w:r>
    </w:p>
  </w:footnote>
  <w:footnote w:id="6">
    <w:p w:rsidR="00BF0910" w:rsidRDefault="00BF0910" w:rsidP="00BF0910">
      <w:pPr>
        <w:pStyle w:val="FootnoteText"/>
      </w:pPr>
      <w:r>
        <w:rPr>
          <w:rStyle w:val="FootnoteReference"/>
        </w:rPr>
        <w:footnoteRef/>
      </w:r>
      <w:r>
        <w:t xml:space="preserve"> </w:t>
      </w:r>
      <w:r w:rsidR="00914891">
        <w:t xml:space="preserve">Paul Gilroy, </w:t>
      </w:r>
      <w:r w:rsidR="00914891" w:rsidRPr="00953012">
        <w:rPr>
          <w:i/>
          <w:iCs/>
        </w:rPr>
        <w:t>the Black Atlantic; Modernity and Double Consciousness</w:t>
      </w:r>
      <w:r w:rsidR="00914891">
        <w:t xml:space="preserve">, (Cambridge: Harvard University Press,1993) </w:t>
      </w:r>
      <w:r>
        <w:t>P.17</w:t>
      </w:r>
      <w:r w:rsidR="003862AC">
        <w:t>.</w:t>
      </w:r>
    </w:p>
  </w:footnote>
  <w:footnote w:id="7">
    <w:p w:rsidR="003862AC" w:rsidRDefault="003862AC">
      <w:pPr>
        <w:pStyle w:val="FootnoteText"/>
      </w:pPr>
      <w:r>
        <w:rPr>
          <w:rStyle w:val="FootnoteReference"/>
        </w:rPr>
        <w:footnoteRef/>
      </w:r>
      <w:r>
        <w:t xml:space="preserve"> </w:t>
      </w:r>
      <w:r>
        <w:t xml:space="preserve">Paul Gilroy, </w:t>
      </w:r>
      <w:r w:rsidRPr="00953012">
        <w:rPr>
          <w:i/>
          <w:iCs/>
        </w:rPr>
        <w:t>the Black Atlantic; Modernity and Double Consciousness</w:t>
      </w:r>
      <w:r>
        <w:t>, (Cambridge: Harvard University Press,</w:t>
      </w:r>
      <w:r>
        <w:t>1</w:t>
      </w:r>
      <w:r>
        <w:t>993) P.1</w:t>
      </w:r>
      <w:r>
        <w:t>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revisionView w:insDel="0" w:formatting="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0910"/>
    <w:rsid w:val="002B2ECF"/>
    <w:rsid w:val="00302E9D"/>
    <w:rsid w:val="003862AC"/>
    <w:rsid w:val="00510D9B"/>
    <w:rsid w:val="005634D2"/>
    <w:rsid w:val="005A5833"/>
    <w:rsid w:val="00750524"/>
    <w:rsid w:val="0076174B"/>
    <w:rsid w:val="00783BB0"/>
    <w:rsid w:val="00884C61"/>
    <w:rsid w:val="00914891"/>
    <w:rsid w:val="00953012"/>
    <w:rsid w:val="00A23620"/>
    <w:rsid w:val="00A37E29"/>
    <w:rsid w:val="00B36736"/>
    <w:rsid w:val="00B4543C"/>
    <w:rsid w:val="00BF0910"/>
    <w:rsid w:val="00C64789"/>
    <w:rsid w:val="00C70374"/>
    <w:rsid w:val="00D65976"/>
    <w:rsid w:val="00D74E9C"/>
    <w:rsid w:val="00E752F6"/>
    <w:rsid w:val="00F375DB"/>
    <w:rsid w:val="00FB6A5D"/>
    <w:rsid w:val="00FE0D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88F05E"/>
  <w15:chartTrackingRefBased/>
  <w15:docId w15:val="{E9236186-DB4F-4057-BCCE-D4CA4B010A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091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F091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F0910"/>
    <w:rPr>
      <w:sz w:val="20"/>
      <w:szCs w:val="20"/>
    </w:rPr>
  </w:style>
  <w:style w:type="character" w:styleId="FootnoteReference">
    <w:name w:val="footnote reference"/>
    <w:basedOn w:val="DefaultParagraphFont"/>
    <w:uiPriority w:val="99"/>
    <w:semiHidden/>
    <w:unhideWhenUsed/>
    <w:rsid w:val="00BF0910"/>
    <w:rPr>
      <w:vertAlign w:val="superscript"/>
    </w:rPr>
  </w:style>
  <w:style w:type="character" w:styleId="Hyperlink">
    <w:name w:val="Hyperlink"/>
    <w:basedOn w:val="DefaultParagraphFont"/>
    <w:uiPriority w:val="99"/>
    <w:unhideWhenUsed/>
    <w:rsid w:val="00BF0910"/>
    <w:rPr>
      <w:color w:val="0000FF"/>
      <w:u w:val="single"/>
    </w:rPr>
  </w:style>
  <w:style w:type="character" w:styleId="CommentReference">
    <w:name w:val="annotation reference"/>
    <w:basedOn w:val="DefaultParagraphFont"/>
    <w:uiPriority w:val="99"/>
    <w:semiHidden/>
    <w:unhideWhenUsed/>
    <w:rsid w:val="00B36736"/>
    <w:rPr>
      <w:sz w:val="16"/>
      <w:szCs w:val="16"/>
    </w:rPr>
  </w:style>
  <w:style w:type="paragraph" w:styleId="CommentText">
    <w:name w:val="annotation text"/>
    <w:basedOn w:val="Normal"/>
    <w:link w:val="CommentTextChar"/>
    <w:uiPriority w:val="99"/>
    <w:semiHidden/>
    <w:unhideWhenUsed/>
    <w:rsid w:val="00B36736"/>
    <w:pPr>
      <w:spacing w:line="240" w:lineRule="auto"/>
    </w:pPr>
    <w:rPr>
      <w:sz w:val="20"/>
      <w:szCs w:val="20"/>
    </w:rPr>
  </w:style>
  <w:style w:type="character" w:customStyle="1" w:styleId="CommentTextChar">
    <w:name w:val="Comment Text Char"/>
    <w:basedOn w:val="DefaultParagraphFont"/>
    <w:link w:val="CommentText"/>
    <w:uiPriority w:val="99"/>
    <w:semiHidden/>
    <w:rsid w:val="00B36736"/>
    <w:rPr>
      <w:sz w:val="20"/>
      <w:szCs w:val="20"/>
    </w:rPr>
  </w:style>
  <w:style w:type="paragraph" w:styleId="CommentSubject">
    <w:name w:val="annotation subject"/>
    <w:basedOn w:val="CommentText"/>
    <w:next w:val="CommentText"/>
    <w:link w:val="CommentSubjectChar"/>
    <w:uiPriority w:val="99"/>
    <w:semiHidden/>
    <w:unhideWhenUsed/>
    <w:rsid w:val="00B36736"/>
    <w:rPr>
      <w:b/>
      <w:bCs/>
    </w:rPr>
  </w:style>
  <w:style w:type="character" w:customStyle="1" w:styleId="CommentSubjectChar">
    <w:name w:val="Comment Subject Char"/>
    <w:basedOn w:val="CommentTextChar"/>
    <w:link w:val="CommentSubject"/>
    <w:uiPriority w:val="99"/>
    <w:semiHidden/>
    <w:rsid w:val="00B36736"/>
    <w:rPr>
      <w:b/>
      <w:bCs/>
      <w:sz w:val="20"/>
      <w:szCs w:val="20"/>
    </w:rPr>
  </w:style>
  <w:style w:type="paragraph" w:styleId="BalloonText">
    <w:name w:val="Balloon Text"/>
    <w:basedOn w:val="Normal"/>
    <w:link w:val="BalloonTextChar"/>
    <w:uiPriority w:val="99"/>
    <w:semiHidden/>
    <w:unhideWhenUsed/>
    <w:rsid w:val="00B3673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36736"/>
    <w:rPr>
      <w:rFonts w:ascii="Segoe UI" w:hAnsi="Segoe UI" w:cs="Segoe UI"/>
      <w:sz w:val="18"/>
      <w:szCs w:val="18"/>
    </w:rPr>
  </w:style>
  <w:style w:type="character" w:styleId="FollowedHyperlink">
    <w:name w:val="FollowedHyperlink"/>
    <w:basedOn w:val="DefaultParagraphFont"/>
    <w:uiPriority w:val="99"/>
    <w:semiHidden/>
    <w:unhideWhenUsed/>
    <w:rsid w:val="00A23620"/>
    <w:rPr>
      <w:color w:val="954F72" w:themeColor="followedHyperlink"/>
      <w:u w:val="single"/>
    </w:rPr>
  </w:style>
  <w:style w:type="character" w:styleId="UnresolvedMention">
    <w:name w:val="Unresolved Mention"/>
    <w:basedOn w:val="DefaultParagraphFont"/>
    <w:uiPriority w:val="99"/>
    <w:semiHidden/>
    <w:unhideWhenUsed/>
    <w:rsid w:val="00A236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3" Type="http://schemas.openxmlformats.org/officeDocument/2006/relationships/hyperlink" Target="https://www.yourdictionary.com/micropolitics" TargetMode="External"/><Relationship Id="rId2" Type="http://schemas.openxmlformats.org/officeDocument/2006/relationships/hyperlink" Target="http://abolition.e2bn.org/slavery_44.html" TargetMode="External"/><Relationship Id="rId1" Type="http://schemas.openxmlformats.org/officeDocument/2006/relationships/hyperlink" Target="https://www.lexico.com/definition/essentialis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B502BB-3D25-4505-8B3C-FCCF38A7EF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TotalTime>
  <Pages>3</Pages>
  <Words>825</Words>
  <Characters>4709</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Smith</dc:creator>
  <cp:keywords/>
  <dc:description/>
  <cp:lastModifiedBy>Charlotte Smith</cp:lastModifiedBy>
  <cp:revision>16</cp:revision>
  <dcterms:created xsi:type="dcterms:W3CDTF">2020-01-12T19:46:00Z</dcterms:created>
  <dcterms:modified xsi:type="dcterms:W3CDTF">2020-01-12T23:46:00Z</dcterms:modified>
</cp:coreProperties>
</file>