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1"/>
        <w:gridCol w:w="1430"/>
        <w:gridCol w:w="641"/>
        <w:gridCol w:w="1897"/>
      </w:tblGrid>
      <w:tr w:rsidR="00C2111B" w:rsidRPr="00330917" w14:paraId="256903D1" w14:textId="77777777" w:rsidTr="00007565">
        <w:trPr>
          <w:trHeight w:val="418"/>
          <w:jc w:val="center"/>
        </w:trPr>
        <w:tc>
          <w:tcPr>
            <w:tcW w:w="6171" w:type="dxa"/>
            <w:vMerge w:val="restart"/>
            <w:tcBorders>
              <w:top w:val="single" w:sz="4" w:space="0" w:color="auto"/>
              <w:left w:val="single" w:sz="4" w:space="0" w:color="auto"/>
              <w:right w:val="single" w:sz="4" w:space="0" w:color="auto"/>
            </w:tcBorders>
            <w:shd w:val="clear" w:color="auto" w:fill="auto"/>
          </w:tcPr>
          <w:p w14:paraId="39303ED8" w14:textId="77777777" w:rsidR="00C2111B" w:rsidRPr="00330917" w:rsidRDefault="00C2111B" w:rsidP="00EC0AAA">
            <w:pPr>
              <w:keepNext/>
              <w:spacing w:after="0" w:line="240" w:lineRule="auto"/>
              <w:jc w:val="center"/>
              <w:rPr>
                <w:rFonts w:ascii="Arial" w:eastAsia="Times New Roman" w:hAnsi="Arial" w:cs="Times New Roman"/>
                <w:b/>
                <w:sz w:val="32"/>
                <w:szCs w:val="32"/>
                <w:lang w:val="en-AU"/>
              </w:rPr>
            </w:pPr>
          </w:p>
          <w:p w14:paraId="0AE7AB94" w14:textId="77777777" w:rsidR="00C2111B" w:rsidRPr="00330917" w:rsidRDefault="00C2111B" w:rsidP="00EC0AAA">
            <w:pPr>
              <w:keepNext/>
              <w:spacing w:after="0" w:line="240" w:lineRule="auto"/>
              <w:jc w:val="both"/>
              <w:rPr>
                <w:rFonts w:ascii="Arial" w:eastAsia="Times New Roman" w:hAnsi="Arial" w:cs="Times New Roman"/>
                <w:b/>
                <w:sz w:val="28"/>
                <w:szCs w:val="28"/>
                <w:lang w:val="en-AU"/>
              </w:rPr>
            </w:pPr>
            <w:r w:rsidRPr="00C13098">
              <w:rPr>
                <w:noProof/>
                <w:lang w:eastAsia="en-GB"/>
              </w:rPr>
              <w:drawing>
                <wp:inline distT="0" distB="0" distL="0" distR="0" wp14:anchorId="320E1406" wp14:editId="6122F050">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sz w:val="32"/>
                <w:szCs w:val="32"/>
                <w:lang w:val="en-AU"/>
              </w:rPr>
              <w:br/>
            </w:r>
          </w:p>
          <w:p w14:paraId="74AE0EB3" w14:textId="0ED74E60" w:rsidR="00C2111B" w:rsidRPr="00330917" w:rsidRDefault="00755AEE" w:rsidP="00007565">
            <w:pPr>
              <w:rPr>
                <w:rFonts w:ascii="Arial" w:eastAsia="Times New Roman" w:hAnsi="Arial" w:cs="Times New Roman"/>
                <w:b/>
                <w:sz w:val="32"/>
                <w:szCs w:val="32"/>
                <w:lang w:val="en-AU"/>
              </w:rPr>
            </w:pPr>
            <w:r w:rsidRPr="00755AEE">
              <w:rPr>
                <w:rFonts w:ascii="Arial" w:eastAsia="Times New Roman" w:hAnsi="Arial" w:cs="Times New Roman"/>
                <w:b/>
                <w:sz w:val="32"/>
                <w:szCs w:val="32"/>
                <w:lang w:val="en-AU"/>
              </w:rPr>
              <w:t>Business Report – Comparison of Shangri-La Hotels and Premier Inn Hotels</w:t>
            </w:r>
          </w:p>
        </w:tc>
        <w:tc>
          <w:tcPr>
            <w:tcW w:w="1430" w:type="dxa"/>
            <w:tcBorders>
              <w:top w:val="single" w:sz="4" w:space="0" w:color="auto"/>
              <w:left w:val="single" w:sz="4" w:space="0" w:color="auto"/>
              <w:bottom w:val="nil"/>
              <w:right w:val="nil"/>
            </w:tcBorders>
            <w:shd w:val="clear" w:color="auto" w:fill="auto"/>
            <w:vAlign w:val="center"/>
          </w:tcPr>
          <w:p w14:paraId="5476E33C" w14:textId="77777777" w:rsidR="00C2111B" w:rsidRPr="00330917" w:rsidRDefault="00C2111B" w:rsidP="00EC0AAA">
            <w:pPr>
              <w:keepNext/>
              <w:spacing w:before="120" w:after="0" w:line="240" w:lineRule="auto"/>
              <w:rPr>
                <w:rFonts w:ascii="Arial" w:eastAsia="Times New Roman" w:hAnsi="Arial" w:cs="Times New Roman"/>
                <w:b/>
                <w:bCs/>
                <w:sz w:val="20"/>
                <w:szCs w:val="20"/>
                <w:lang w:val="en-AU"/>
              </w:rPr>
            </w:pPr>
            <w:r>
              <w:rPr>
                <w:rFonts w:ascii="Arial" w:eastAsia="Times New Roman" w:hAnsi="Arial" w:cs="Times New Roman"/>
                <w:b/>
                <w:bCs/>
                <w:sz w:val="20"/>
                <w:szCs w:val="20"/>
              </w:rPr>
              <w:t>S</w:t>
            </w:r>
            <w:r w:rsidRPr="00330917">
              <w:rPr>
                <w:rFonts w:ascii="Arial" w:eastAsia="Times New Roman" w:hAnsi="Arial" w:cs="Times New Roman"/>
                <w:b/>
                <w:bCs/>
                <w:sz w:val="20"/>
                <w:szCs w:val="20"/>
              </w:rPr>
              <w:t>tudent No:</w:t>
            </w:r>
          </w:p>
        </w:tc>
        <w:tc>
          <w:tcPr>
            <w:tcW w:w="2538" w:type="dxa"/>
            <w:gridSpan w:val="2"/>
            <w:tcBorders>
              <w:top w:val="single" w:sz="4" w:space="0" w:color="auto"/>
              <w:left w:val="nil"/>
              <w:bottom w:val="dashed" w:sz="4" w:space="0" w:color="auto"/>
              <w:right w:val="single" w:sz="4" w:space="0" w:color="auto"/>
            </w:tcBorders>
            <w:shd w:val="clear" w:color="auto" w:fill="auto"/>
            <w:vAlign w:val="center"/>
          </w:tcPr>
          <w:p w14:paraId="6FF85886" w14:textId="77777777" w:rsidR="00C2111B" w:rsidRPr="00330917" w:rsidRDefault="00C2111B" w:rsidP="00EC0AAA">
            <w:pPr>
              <w:keepNext/>
              <w:spacing w:after="0" w:line="240" w:lineRule="auto"/>
              <w:jc w:val="center"/>
              <w:rPr>
                <w:rFonts w:ascii="Arial" w:eastAsia="Times New Roman" w:hAnsi="Arial" w:cs="Times New Roman"/>
                <w:b/>
                <w:sz w:val="20"/>
                <w:szCs w:val="20"/>
                <w:lang w:val="en-AU"/>
              </w:rPr>
            </w:pPr>
            <w:r>
              <w:rPr>
                <w:rFonts w:ascii="Arial" w:eastAsia="Times New Roman" w:hAnsi="Arial" w:cs="Times New Roman"/>
                <w:b/>
                <w:sz w:val="20"/>
                <w:szCs w:val="20"/>
                <w:lang w:val="en-AU"/>
              </w:rPr>
              <w:t>2240761</w:t>
            </w:r>
          </w:p>
        </w:tc>
      </w:tr>
      <w:tr w:rsidR="00C2111B" w:rsidRPr="00330917" w14:paraId="1D9AE94B" w14:textId="77777777" w:rsidTr="00007565">
        <w:trPr>
          <w:trHeight w:val="468"/>
          <w:jc w:val="center"/>
        </w:trPr>
        <w:tc>
          <w:tcPr>
            <w:tcW w:w="6171" w:type="dxa"/>
            <w:vMerge/>
            <w:tcBorders>
              <w:left w:val="single" w:sz="4" w:space="0" w:color="auto"/>
              <w:right w:val="single" w:sz="4" w:space="0" w:color="auto"/>
            </w:tcBorders>
            <w:shd w:val="clear" w:color="auto" w:fill="auto"/>
          </w:tcPr>
          <w:p w14:paraId="48C43B92" w14:textId="77777777" w:rsidR="00C2111B" w:rsidRPr="00330917" w:rsidRDefault="00C2111B" w:rsidP="00EC0AAA">
            <w:pPr>
              <w:keepNext/>
              <w:spacing w:after="0" w:line="240" w:lineRule="auto"/>
              <w:jc w:val="center"/>
              <w:rPr>
                <w:rFonts w:ascii="Arial" w:eastAsia="Times New Roman" w:hAnsi="Arial" w:cs="Times New Roman"/>
                <w:b/>
                <w:sz w:val="40"/>
                <w:szCs w:val="20"/>
                <w:lang w:val="en-AU"/>
              </w:rPr>
            </w:pPr>
          </w:p>
        </w:tc>
        <w:tc>
          <w:tcPr>
            <w:tcW w:w="1430" w:type="dxa"/>
            <w:tcBorders>
              <w:top w:val="nil"/>
              <w:left w:val="single" w:sz="4" w:space="0" w:color="auto"/>
              <w:bottom w:val="nil"/>
              <w:right w:val="nil"/>
            </w:tcBorders>
            <w:shd w:val="clear" w:color="auto" w:fill="auto"/>
            <w:vAlign w:val="center"/>
          </w:tcPr>
          <w:p w14:paraId="2B2E374B" w14:textId="77777777" w:rsidR="00C2111B" w:rsidRPr="00330917" w:rsidRDefault="00C2111B" w:rsidP="00EC0AAA">
            <w:pPr>
              <w:keepNext/>
              <w:spacing w:after="0" w:line="240" w:lineRule="auto"/>
              <w:rPr>
                <w:rFonts w:ascii="Arial" w:eastAsia="Times New Roman" w:hAnsi="Arial" w:cs="Times New Roman"/>
                <w:sz w:val="20"/>
                <w:szCs w:val="20"/>
                <w:lang w:val="en-AU"/>
              </w:rPr>
            </w:pPr>
          </w:p>
          <w:p w14:paraId="270BF743" w14:textId="77777777" w:rsidR="00C2111B" w:rsidRPr="00330917" w:rsidRDefault="00C2111B" w:rsidP="00EC0AAA">
            <w:pPr>
              <w:keepNext/>
              <w:spacing w:after="0" w:line="240" w:lineRule="auto"/>
              <w:rPr>
                <w:rFonts w:ascii="Arial" w:eastAsia="Times New Roman" w:hAnsi="Arial" w:cs="Times New Roman"/>
                <w:sz w:val="20"/>
                <w:szCs w:val="20"/>
                <w:lang w:val="en-AU"/>
              </w:rPr>
            </w:pPr>
            <w:r w:rsidRPr="00330917">
              <w:rPr>
                <w:rFonts w:ascii="Arial" w:eastAsia="Times New Roman" w:hAnsi="Arial" w:cs="Times New Roman"/>
                <w:sz w:val="20"/>
                <w:szCs w:val="20"/>
                <w:lang w:val="en-AU"/>
              </w:rPr>
              <w:t>Module Title:</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111995F7" w14:textId="69F28BA9" w:rsidR="00C2111B" w:rsidRPr="00330917" w:rsidRDefault="00CF22B7" w:rsidP="00EC0AAA">
            <w:pPr>
              <w:keepNext/>
              <w:spacing w:after="0" w:line="240" w:lineRule="auto"/>
              <w:jc w:val="center"/>
              <w:rPr>
                <w:rFonts w:ascii="Arial" w:eastAsia="Times New Roman" w:hAnsi="Arial" w:cs="Times New Roman"/>
                <w:b/>
                <w:sz w:val="20"/>
                <w:szCs w:val="20"/>
                <w:lang w:val="en-AU"/>
              </w:rPr>
            </w:pPr>
            <w:r w:rsidRPr="00CF22B7">
              <w:rPr>
                <w:rFonts w:ascii="Arial" w:eastAsia="Times New Roman" w:hAnsi="Arial" w:cs="Times New Roman"/>
                <w:b/>
                <w:sz w:val="20"/>
                <w:szCs w:val="20"/>
                <w:lang w:val="en-AU"/>
              </w:rPr>
              <w:t>Financial Management for the Hotel Industry</w:t>
            </w:r>
          </w:p>
        </w:tc>
      </w:tr>
      <w:tr w:rsidR="00C2111B" w:rsidRPr="00330917" w14:paraId="191BF51A" w14:textId="77777777" w:rsidTr="00007565">
        <w:trPr>
          <w:trHeight w:val="468"/>
          <w:jc w:val="center"/>
        </w:trPr>
        <w:tc>
          <w:tcPr>
            <w:tcW w:w="6171" w:type="dxa"/>
            <w:vMerge/>
            <w:tcBorders>
              <w:left w:val="single" w:sz="4" w:space="0" w:color="auto"/>
              <w:right w:val="single" w:sz="4" w:space="0" w:color="auto"/>
            </w:tcBorders>
            <w:shd w:val="clear" w:color="auto" w:fill="auto"/>
          </w:tcPr>
          <w:p w14:paraId="5AF49D70" w14:textId="77777777" w:rsidR="00C2111B" w:rsidRPr="00330917" w:rsidRDefault="00C2111B" w:rsidP="00EC0AAA">
            <w:pPr>
              <w:keepNext/>
              <w:spacing w:after="0" w:line="240" w:lineRule="auto"/>
              <w:jc w:val="center"/>
              <w:rPr>
                <w:rFonts w:ascii="Arial" w:eastAsia="Times New Roman" w:hAnsi="Arial" w:cs="Times New Roman"/>
                <w:b/>
                <w:sz w:val="40"/>
                <w:szCs w:val="20"/>
                <w:lang w:val="en-AU"/>
              </w:rPr>
            </w:pPr>
          </w:p>
        </w:tc>
        <w:tc>
          <w:tcPr>
            <w:tcW w:w="1430" w:type="dxa"/>
            <w:tcBorders>
              <w:top w:val="nil"/>
              <w:left w:val="single" w:sz="4" w:space="0" w:color="auto"/>
              <w:bottom w:val="nil"/>
              <w:right w:val="nil"/>
            </w:tcBorders>
            <w:shd w:val="clear" w:color="auto" w:fill="auto"/>
            <w:vAlign w:val="center"/>
          </w:tcPr>
          <w:p w14:paraId="7548BE8E" w14:textId="77777777" w:rsidR="00C2111B" w:rsidRPr="00330917" w:rsidRDefault="00C2111B" w:rsidP="00EC0AAA">
            <w:pPr>
              <w:keepNext/>
              <w:spacing w:after="0" w:line="240" w:lineRule="auto"/>
              <w:rPr>
                <w:rFonts w:ascii="Arial" w:eastAsia="Times New Roman" w:hAnsi="Arial" w:cs="Times New Roman"/>
                <w:sz w:val="20"/>
                <w:szCs w:val="20"/>
                <w:lang w:val="en-AU"/>
              </w:rPr>
            </w:pPr>
            <w:r w:rsidRPr="00330917">
              <w:rPr>
                <w:rFonts w:ascii="Arial" w:eastAsia="Times New Roman" w:hAnsi="Arial" w:cs="Times New Roman"/>
                <w:sz w:val="20"/>
                <w:szCs w:val="20"/>
                <w:lang w:val="en-AU"/>
              </w:rPr>
              <w:t>Module</w:t>
            </w:r>
            <w:r>
              <w:rPr>
                <w:rFonts w:ascii="Arial" w:eastAsia="Times New Roman" w:hAnsi="Arial" w:cs="Times New Roman"/>
                <w:sz w:val="20"/>
                <w:szCs w:val="20"/>
                <w:lang w:val="en-AU"/>
              </w:rPr>
              <w:t xml:space="preserve"> Code:</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02C34ADF" w14:textId="5567AE42" w:rsidR="00C2111B" w:rsidRPr="00330917" w:rsidRDefault="00CF22B7" w:rsidP="00EC0AAA">
            <w:pPr>
              <w:keepNext/>
              <w:spacing w:after="0" w:line="240" w:lineRule="auto"/>
              <w:jc w:val="center"/>
              <w:rPr>
                <w:rFonts w:ascii="Arial" w:eastAsia="Times New Roman" w:hAnsi="Arial" w:cs="Times New Roman"/>
                <w:b/>
                <w:sz w:val="20"/>
                <w:szCs w:val="20"/>
                <w:lang w:val="en-AU"/>
              </w:rPr>
            </w:pPr>
            <w:r w:rsidRPr="00CF22B7">
              <w:rPr>
                <w:rFonts w:ascii="Arial" w:eastAsia="Times New Roman" w:hAnsi="Arial" w:cs="Times New Roman"/>
                <w:b/>
                <w:sz w:val="20"/>
                <w:szCs w:val="20"/>
                <w:lang w:val="en-AU"/>
              </w:rPr>
              <w:t>BMIH5007</w:t>
            </w:r>
          </w:p>
        </w:tc>
      </w:tr>
      <w:tr w:rsidR="00C2111B" w:rsidRPr="00634AA5" w14:paraId="39741C18" w14:textId="77777777" w:rsidTr="00007565">
        <w:trPr>
          <w:trHeight w:val="468"/>
          <w:jc w:val="center"/>
        </w:trPr>
        <w:tc>
          <w:tcPr>
            <w:tcW w:w="6171" w:type="dxa"/>
            <w:vMerge/>
            <w:tcBorders>
              <w:left w:val="single" w:sz="4" w:space="0" w:color="auto"/>
              <w:right w:val="single" w:sz="4" w:space="0" w:color="auto"/>
            </w:tcBorders>
            <w:shd w:val="clear" w:color="auto" w:fill="auto"/>
          </w:tcPr>
          <w:p w14:paraId="6096A0BD" w14:textId="77777777" w:rsidR="00C2111B" w:rsidRPr="00330917" w:rsidRDefault="00C2111B" w:rsidP="00EC0AAA">
            <w:pPr>
              <w:keepNext/>
              <w:spacing w:after="0" w:line="240" w:lineRule="auto"/>
              <w:jc w:val="center"/>
              <w:rPr>
                <w:rFonts w:ascii="Arial" w:eastAsia="Times New Roman" w:hAnsi="Arial" w:cs="Times New Roman"/>
                <w:b/>
                <w:sz w:val="40"/>
                <w:szCs w:val="20"/>
                <w:lang w:val="en-AU"/>
              </w:rPr>
            </w:pPr>
          </w:p>
        </w:tc>
        <w:tc>
          <w:tcPr>
            <w:tcW w:w="1430" w:type="dxa"/>
            <w:tcBorders>
              <w:top w:val="nil"/>
              <w:left w:val="single" w:sz="4" w:space="0" w:color="auto"/>
              <w:bottom w:val="nil"/>
              <w:right w:val="nil"/>
            </w:tcBorders>
            <w:shd w:val="clear" w:color="auto" w:fill="auto"/>
            <w:vAlign w:val="center"/>
          </w:tcPr>
          <w:p w14:paraId="0DA16FA5" w14:textId="77777777" w:rsidR="00C2111B" w:rsidRPr="00330917" w:rsidRDefault="00C2111B" w:rsidP="00EC0AAA">
            <w:pPr>
              <w:keepNext/>
              <w:spacing w:after="0" w:line="240" w:lineRule="auto"/>
              <w:rPr>
                <w:rFonts w:ascii="Arial" w:eastAsia="Times New Roman" w:hAnsi="Arial" w:cs="Times New Roman"/>
                <w:sz w:val="20"/>
                <w:szCs w:val="20"/>
                <w:lang w:val="en-AU"/>
              </w:rPr>
            </w:pPr>
            <w:r>
              <w:rPr>
                <w:rFonts w:ascii="Arial" w:eastAsia="Times New Roman" w:hAnsi="Arial" w:cs="Times New Roman"/>
                <w:sz w:val="20"/>
                <w:szCs w:val="20"/>
                <w:lang w:val="en-AU"/>
              </w:rPr>
              <w:t>Lecturer:</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0544BF86" w14:textId="4340F371" w:rsidR="00C2111B" w:rsidRPr="00634AA5" w:rsidRDefault="00CF22B7" w:rsidP="00C9365D">
            <w:pPr>
              <w:keepNext/>
              <w:spacing w:after="0" w:line="240" w:lineRule="auto"/>
              <w:jc w:val="center"/>
              <w:rPr>
                <w:rFonts w:ascii="Arial" w:eastAsia="Times New Roman" w:hAnsi="Arial" w:cs="Times New Roman"/>
                <w:bCs/>
                <w:lang w:val="en-AU"/>
              </w:rPr>
            </w:pPr>
            <w:r w:rsidRPr="00CF22B7">
              <w:rPr>
                <w:rFonts w:ascii="Arial" w:eastAsia="Times New Roman" w:hAnsi="Arial" w:cs="Times New Roman"/>
                <w:bCs/>
                <w:lang w:val="en-AU"/>
              </w:rPr>
              <w:t>Tristan Hawkins</w:t>
            </w:r>
          </w:p>
        </w:tc>
      </w:tr>
      <w:tr w:rsidR="00C2111B" w:rsidRPr="00634AA5" w14:paraId="4A3F8930" w14:textId="77777777" w:rsidTr="00007565">
        <w:trPr>
          <w:trHeight w:val="468"/>
          <w:jc w:val="center"/>
        </w:trPr>
        <w:tc>
          <w:tcPr>
            <w:tcW w:w="6171" w:type="dxa"/>
            <w:vMerge/>
            <w:tcBorders>
              <w:left w:val="single" w:sz="4" w:space="0" w:color="auto"/>
              <w:right w:val="single" w:sz="4" w:space="0" w:color="auto"/>
            </w:tcBorders>
            <w:shd w:val="clear" w:color="auto" w:fill="auto"/>
          </w:tcPr>
          <w:p w14:paraId="3666A933" w14:textId="77777777" w:rsidR="00C2111B" w:rsidRPr="00330917" w:rsidRDefault="00C2111B" w:rsidP="00EC0AAA">
            <w:pPr>
              <w:keepNext/>
              <w:spacing w:after="0" w:line="240" w:lineRule="auto"/>
              <w:jc w:val="center"/>
              <w:rPr>
                <w:rFonts w:ascii="Arial" w:eastAsia="Times New Roman" w:hAnsi="Arial" w:cs="Times New Roman"/>
                <w:b/>
                <w:sz w:val="40"/>
                <w:szCs w:val="20"/>
                <w:lang w:val="en-AU"/>
              </w:rPr>
            </w:pPr>
          </w:p>
        </w:tc>
        <w:tc>
          <w:tcPr>
            <w:tcW w:w="1430" w:type="dxa"/>
            <w:tcBorders>
              <w:top w:val="nil"/>
              <w:left w:val="single" w:sz="4" w:space="0" w:color="auto"/>
              <w:bottom w:val="nil"/>
              <w:right w:val="nil"/>
            </w:tcBorders>
            <w:shd w:val="clear" w:color="auto" w:fill="auto"/>
            <w:vAlign w:val="center"/>
          </w:tcPr>
          <w:p w14:paraId="1B75D342" w14:textId="77777777" w:rsidR="00C2111B" w:rsidRDefault="00C2111B" w:rsidP="00EC0AAA">
            <w:pPr>
              <w:keepNext/>
              <w:spacing w:after="0" w:line="240" w:lineRule="auto"/>
              <w:rPr>
                <w:rFonts w:ascii="Arial" w:eastAsia="Times New Roman" w:hAnsi="Arial" w:cs="Times New Roman"/>
                <w:sz w:val="20"/>
                <w:szCs w:val="20"/>
                <w:lang w:val="en-AU"/>
              </w:rPr>
            </w:pPr>
            <w:r>
              <w:rPr>
                <w:rFonts w:ascii="Arial" w:eastAsia="Times New Roman" w:hAnsi="Arial" w:cs="Times New Roman"/>
                <w:sz w:val="20"/>
                <w:szCs w:val="20"/>
                <w:lang w:val="en-AU"/>
              </w:rPr>
              <w:t>Words:</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12365AA1" w14:textId="73C0EEAA" w:rsidR="00C2111B" w:rsidRPr="008B3DE6" w:rsidRDefault="00846F84" w:rsidP="00EC0AAA">
            <w:pPr>
              <w:keepNext/>
              <w:spacing w:after="0" w:line="240" w:lineRule="auto"/>
              <w:jc w:val="center"/>
              <w:rPr>
                <w:rFonts w:ascii="Arial" w:eastAsia="Times New Roman" w:hAnsi="Arial" w:cs="Times New Roman"/>
                <w:b/>
                <w:lang w:val="en-AU"/>
              </w:rPr>
            </w:pPr>
            <w:r>
              <w:rPr>
                <w:rFonts w:ascii="Arial" w:eastAsia="Times New Roman" w:hAnsi="Arial" w:cs="Times New Roman"/>
                <w:b/>
                <w:lang w:val="en-AU"/>
              </w:rPr>
              <w:t>2385</w:t>
            </w:r>
          </w:p>
        </w:tc>
      </w:tr>
      <w:tr w:rsidR="00C2111B" w:rsidRPr="00330917" w14:paraId="4C7B5238" w14:textId="77777777" w:rsidTr="00007565">
        <w:trPr>
          <w:trHeight w:val="20"/>
          <w:jc w:val="center"/>
        </w:trPr>
        <w:tc>
          <w:tcPr>
            <w:tcW w:w="6171" w:type="dxa"/>
            <w:vMerge/>
            <w:tcBorders>
              <w:left w:val="single" w:sz="4" w:space="0" w:color="auto"/>
              <w:bottom w:val="single" w:sz="4" w:space="0" w:color="auto"/>
              <w:right w:val="single" w:sz="4" w:space="0" w:color="auto"/>
            </w:tcBorders>
            <w:shd w:val="clear" w:color="auto" w:fill="auto"/>
          </w:tcPr>
          <w:p w14:paraId="027EC0D8" w14:textId="77777777" w:rsidR="00C2111B" w:rsidRPr="00330917" w:rsidRDefault="00C2111B" w:rsidP="00EC0AAA">
            <w:pPr>
              <w:keepNext/>
              <w:spacing w:after="0" w:line="240" w:lineRule="auto"/>
              <w:jc w:val="center"/>
              <w:rPr>
                <w:rFonts w:ascii="Arial" w:eastAsia="Times New Roman" w:hAnsi="Arial" w:cs="Times New Roman"/>
                <w:b/>
                <w:sz w:val="40"/>
                <w:szCs w:val="20"/>
                <w:lang w:val="en-AU"/>
              </w:rPr>
            </w:pPr>
          </w:p>
        </w:tc>
        <w:tc>
          <w:tcPr>
            <w:tcW w:w="2071" w:type="dxa"/>
            <w:gridSpan w:val="2"/>
            <w:tcBorders>
              <w:top w:val="nil"/>
              <w:left w:val="single" w:sz="4" w:space="0" w:color="auto"/>
              <w:bottom w:val="single" w:sz="4" w:space="0" w:color="auto"/>
              <w:right w:val="nil"/>
            </w:tcBorders>
            <w:shd w:val="clear" w:color="auto" w:fill="auto"/>
            <w:vAlign w:val="center"/>
          </w:tcPr>
          <w:p w14:paraId="53B8E01B" w14:textId="77777777" w:rsidR="00C2111B" w:rsidRPr="00330917" w:rsidRDefault="00C2111B" w:rsidP="00EC0AAA">
            <w:pPr>
              <w:keepNext/>
              <w:spacing w:after="0" w:line="240" w:lineRule="auto"/>
              <w:rPr>
                <w:rFonts w:ascii="Arial" w:eastAsia="Times New Roman" w:hAnsi="Arial" w:cs="Times New Roman"/>
                <w:bCs/>
                <w:sz w:val="20"/>
                <w:szCs w:val="20"/>
                <w:lang w:val="en-AU"/>
              </w:rPr>
            </w:pPr>
          </w:p>
        </w:tc>
        <w:tc>
          <w:tcPr>
            <w:tcW w:w="0" w:type="auto"/>
            <w:tcBorders>
              <w:top w:val="dashed" w:sz="4" w:space="0" w:color="auto"/>
              <w:left w:val="nil"/>
              <w:bottom w:val="single" w:sz="4" w:space="0" w:color="auto"/>
              <w:right w:val="single" w:sz="4" w:space="0" w:color="auto"/>
            </w:tcBorders>
            <w:shd w:val="clear" w:color="auto" w:fill="auto"/>
            <w:vAlign w:val="center"/>
          </w:tcPr>
          <w:p w14:paraId="767A4A25" w14:textId="77777777" w:rsidR="00C2111B" w:rsidRPr="00330917" w:rsidRDefault="00C2111B" w:rsidP="00EC0AAA">
            <w:pPr>
              <w:keepNext/>
              <w:spacing w:after="0" w:line="240" w:lineRule="auto"/>
              <w:rPr>
                <w:rFonts w:ascii="Arial" w:eastAsia="Times New Roman" w:hAnsi="Arial" w:cs="Times New Roman"/>
                <w:b/>
                <w:sz w:val="16"/>
                <w:szCs w:val="16"/>
                <w:lang w:val="en-AU"/>
              </w:rPr>
            </w:pPr>
          </w:p>
        </w:tc>
      </w:tr>
    </w:tbl>
    <w:p w14:paraId="1C8B0031" w14:textId="09C16EBE" w:rsidR="00661472" w:rsidRDefault="00661472">
      <w:pPr>
        <w:rPr>
          <w:lang w:val="en-US"/>
        </w:rPr>
      </w:pPr>
    </w:p>
    <w:p w14:paraId="22E29BBE" w14:textId="77777777" w:rsidR="00507772" w:rsidRDefault="00507772">
      <w:pPr>
        <w:rPr>
          <w:lang w:val="en-US"/>
        </w:rPr>
      </w:pPr>
    </w:p>
    <w:p w14:paraId="0A9AD746" w14:textId="5DA6366A" w:rsidR="00B024BE" w:rsidRDefault="00B024BE">
      <w:pPr>
        <w:rPr>
          <w:lang w:val="en-US"/>
        </w:rPr>
      </w:pPr>
    </w:p>
    <w:p w14:paraId="3BF6C9CC" w14:textId="77777777" w:rsidR="00B024BE" w:rsidRDefault="00B024BE" w:rsidP="00B024BE">
      <w:pPr>
        <w:rPr>
          <w:b/>
          <w:sz w:val="32"/>
        </w:rPr>
      </w:pPr>
      <w:r>
        <w:rPr>
          <w:b/>
          <w:sz w:val="32"/>
        </w:rPr>
        <w:t>Acknowledgement</w:t>
      </w:r>
    </w:p>
    <w:p w14:paraId="05A85C32" w14:textId="77777777" w:rsidR="00B024BE" w:rsidRPr="00DA678D" w:rsidRDefault="00B024BE" w:rsidP="0009146A">
      <w:pPr>
        <w:spacing w:line="360" w:lineRule="auto"/>
        <w:jc w:val="both"/>
        <w:rPr>
          <w:rFonts w:ascii="Arial" w:hAnsi="Arial" w:cs="Arial"/>
          <w:sz w:val="24"/>
          <w:szCs w:val="24"/>
        </w:rPr>
      </w:pPr>
      <w:r w:rsidRPr="00DA678D">
        <w:rPr>
          <w:rFonts w:ascii="Arial" w:hAnsi="Arial" w:cs="Arial"/>
          <w:sz w:val="24"/>
          <w:szCs w:val="24"/>
        </w:rPr>
        <w:t>I acknowledge the use of Grammarly (https://www.grammarly.com/) on 12 October 2024 to check my work using the prompt:</w:t>
      </w:r>
    </w:p>
    <w:p w14:paraId="26E5AFC6" w14:textId="77777777" w:rsidR="00B024BE" w:rsidRPr="00DA678D" w:rsidRDefault="00B024BE" w:rsidP="0009146A">
      <w:pPr>
        <w:pStyle w:val="ListParagraph"/>
        <w:numPr>
          <w:ilvl w:val="0"/>
          <w:numId w:val="1"/>
        </w:numPr>
        <w:spacing w:line="360" w:lineRule="auto"/>
        <w:jc w:val="both"/>
        <w:rPr>
          <w:rFonts w:ascii="Arial" w:hAnsi="Arial" w:cs="Arial"/>
          <w:sz w:val="24"/>
          <w:szCs w:val="24"/>
        </w:rPr>
      </w:pPr>
      <w:r w:rsidRPr="00DA678D">
        <w:rPr>
          <w:rFonts w:ascii="Arial" w:hAnsi="Arial" w:cs="Arial"/>
          <w:sz w:val="24"/>
          <w:szCs w:val="24"/>
        </w:rPr>
        <w:t>“Can you please check the below text to check grammatical mistakes and syntax issues properly?”</w:t>
      </w:r>
    </w:p>
    <w:p w14:paraId="54950EF4" w14:textId="3BDAC85D" w:rsidR="00B024BE" w:rsidRPr="00DA678D" w:rsidRDefault="00B024BE" w:rsidP="0009146A">
      <w:pPr>
        <w:spacing w:line="360" w:lineRule="auto"/>
        <w:jc w:val="both"/>
        <w:rPr>
          <w:rFonts w:ascii="Arial" w:hAnsi="Arial" w:cs="Arial"/>
          <w:sz w:val="24"/>
          <w:szCs w:val="24"/>
        </w:rPr>
      </w:pPr>
      <w:r w:rsidRPr="00DA678D">
        <w:rPr>
          <w:rFonts w:ascii="Arial" w:hAnsi="Arial" w:cs="Arial"/>
          <w:sz w:val="24"/>
          <w:szCs w:val="24"/>
        </w:rPr>
        <w:t>I confirm that I have not presented any AI</w:t>
      </w:r>
      <w:r w:rsidR="00141FC4" w:rsidRPr="00DA678D">
        <w:rPr>
          <w:rFonts w:ascii="Arial" w:hAnsi="Arial" w:cs="Arial"/>
          <w:sz w:val="24"/>
          <w:szCs w:val="24"/>
        </w:rPr>
        <w:t>-</w:t>
      </w:r>
      <w:r w:rsidRPr="00DA678D">
        <w:rPr>
          <w:rFonts w:ascii="Arial" w:hAnsi="Arial" w:cs="Arial"/>
          <w:sz w:val="24"/>
          <w:szCs w:val="24"/>
        </w:rPr>
        <w:t>generated text as my work. I confirm I have copies of my drafts, notes, and other resources I used before, and after the use of AI tools which I may be asked to provide in evidence.</w:t>
      </w:r>
    </w:p>
    <w:p w14:paraId="092110F1" w14:textId="70AC460C" w:rsidR="003358CE" w:rsidRDefault="003358CE">
      <w:r>
        <w:br w:type="page"/>
      </w:r>
    </w:p>
    <w:p w14:paraId="342FFAB9" w14:textId="25713046" w:rsidR="003358CE" w:rsidRDefault="003358CE"/>
    <w:sdt>
      <w:sdtPr>
        <w:rPr>
          <w:lang w:val="en-GB"/>
        </w:rPr>
        <w:id w:val="2000227960"/>
        <w:docPartObj>
          <w:docPartGallery w:val="Table of Contents"/>
          <w:docPartUnique/>
        </w:docPartObj>
      </w:sdtPr>
      <w:sdtEndPr>
        <w:rPr>
          <w:rFonts w:asciiTheme="minorHAnsi" w:eastAsiaTheme="minorHAnsi" w:hAnsiTheme="minorHAnsi" w:cstheme="minorBidi"/>
          <w:b/>
          <w:bCs/>
          <w:color w:val="auto"/>
          <w:sz w:val="22"/>
          <w:szCs w:val="22"/>
          <w14:ligatures w14:val="standardContextual"/>
        </w:rPr>
      </w:sdtEndPr>
      <w:sdtContent>
        <w:p w14:paraId="47A53D36" w14:textId="4618AC74" w:rsidR="003358CE" w:rsidRPr="0025212F" w:rsidRDefault="003358CE">
          <w:pPr>
            <w:pStyle w:val="TOCHeading"/>
            <w:rPr>
              <w:rFonts w:ascii="Arial" w:hAnsi="Arial" w:cs="Arial"/>
              <w:sz w:val="24"/>
              <w:szCs w:val="24"/>
            </w:rPr>
          </w:pPr>
          <w:r>
            <w:rPr>
              <w:lang w:val="en-GB"/>
            </w:rPr>
            <w:t>Contents</w:t>
          </w:r>
        </w:p>
        <w:p w14:paraId="37979C32" w14:textId="4B90D01F" w:rsidR="00110F47" w:rsidRDefault="003358CE">
          <w:pPr>
            <w:pStyle w:val="TOC1"/>
            <w:tabs>
              <w:tab w:val="right" w:leader="dot" w:pos="9350"/>
            </w:tabs>
            <w:rPr>
              <w:rFonts w:asciiTheme="minorHAnsi" w:eastAsiaTheme="minorEastAsia" w:hAnsiTheme="minorHAnsi"/>
              <w:noProof/>
              <w:color w:val="auto"/>
              <w:kern w:val="2"/>
              <w:szCs w:val="24"/>
              <w:lang w:eastAsia="en-GB"/>
            </w:rPr>
          </w:pPr>
          <w:r w:rsidRPr="0025212F">
            <w:rPr>
              <w:rFonts w:ascii="Arial" w:hAnsi="Arial" w:cs="Arial"/>
              <w:szCs w:val="24"/>
            </w:rPr>
            <w:fldChar w:fldCharType="begin"/>
          </w:r>
          <w:r w:rsidRPr="0025212F">
            <w:rPr>
              <w:rFonts w:ascii="Arial" w:hAnsi="Arial" w:cs="Arial"/>
              <w:szCs w:val="24"/>
            </w:rPr>
            <w:instrText xml:space="preserve"> TOC \o "1-3" \h \z \u </w:instrText>
          </w:r>
          <w:r w:rsidRPr="0025212F">
            <w:rPr>
              <w:rFonts w:ascii="Arial" w:hAnsi="Arial" w:cs="Arial"/>
              <w:szCs w:val="24"/>
            </w:rPr>
            <w:fldChar w:fldCharType="separate"/>
          </w:r>
          <w:hyperlink w:anchor="_Toc180054230" w:history="1">
            <w:r w:rsidR="00110F47" w:rsidRPr="00447F80">
              <w:rPr>
                <w:rStyle w:val="Hyperlink"/>
                <w:noProof/>
              </w:rPr>
              <w:t>Introduction</w:t>
            </w:r>
            <w:r w:rsidR="00110F47">
              <w:rPr>
                <w:noProof/>
                <w:webHidden/>
              </w:rPr>
              <w:tab/>
            </w:r>
            <w:r w:rsidR="00110F47">
              <w:rPr>
                <w:noProof/>
                <w:webHidden/>
              </w:rPr>
              <w:fldChar w:fldCharType="begin"/>
            </w:r>
            <w:r w:rsidR="00110F47">
              <w:rPr>
                <w:noProof/>
                <w:webHidden/>
              </w:rPr>
              <w:instrText xml:space="preserve"> PAGEREF _Toc180054230 \h </w:instrText>
            </w:r>
            <w:r w:rsidR="00110F47">
              <w:rPr>
                <w:noProof/>
                <w:webHidden/>
              </w:rPr>
            </w:r>
            <w:r w:rsidR="00110F47">
              <w:rPr>
                <w:noProof/>
                <w:webHidden/>
              </w:rPr>
              <w:fldChar w:fldCharType="separate"/>
            </w:r>
            <w:r w:rsidR="00110F47">
              <w:rPr>
                <w:noProof/>
                <w:webHidden/>
              </w:rPr>
              <w:t>1</w:t>
            </w:r>
            <w:r w:rsidR="00110F47">
              <w:rPr>
                <w:noProof/>
                <w:webHidden/>
              </w:rPr>
              <w:fldChar w:fldCharType="end"/>
            </w:r>
          </w:hyperlink>
        </w:p>
        <w:p w14:paraId="4E4FEF3F" w14:textId="5C09959A" w:rsidR="00110F47" w:rsidRDefault="00110F47">
          <w:pPr>
            <w:pStyle w:val="TOC1"/>
            <w:tabs>
              <w:tab w:val="right" w:leader="dot" w:pos="9350"/>
            </w:tabs>
            <w:rPr>
              <w:rFonts w:asciiTheme="minorHAnsi" w:eastAsiaTheme="minorEastAsia" w:hAnsiTheme="minorHAnsi"/>
              <w:noProof/>
              <w:color w:val="auto"/>
              <w:kern w:val="2"/>
              <w:szCs w:val="24"/>
              <w:lang w:eastAsia="en-GB"/>
            </w:rPr>
          </w:pPr>
          <w:hyperlink w:anchor="_Toc180054231" w:history="1">
            <w:r w:rsidRPr="00447F80">
              <w:rPr>
                <w:rStyle w:val="Hyperlink"/>
                <w:noProof/>
              </w:rPr>
              <w:t>Total Revenue</w:t>
            </w:r>
            <w:r>
              <w:rPr>
                <w:noProof/>
                <w:webHidden/>
              </w:rPr>
              <w:tab/>
            </w:r>
            <w:r>
              <w:rPr>
                <w:noProof/>
                <w:webHidden/>
              </w:rPr>
              <w:fldChar w:fldCharType="begin"/>
            </w:r>
            <w:r>
              <w:rPr>
                <w:noProof/>
                <w:webHidden/>
              </w:rPr>
              <w:instrText xml:space="preserve"> PAGEREF _Toc180054231 \h </w:instrText>
            </w:r>
            <w:r>
              <w:rPr>
                <w:noProof/>
                <w:webHidden/>
              </w:rPr>
            </w:r>
            <w:r>
              <w:rPr>
                <w:noProof/>
                <w:webHidden/>
              </w:rPr>
              <w:fldChar w:fldCharType="separate"/>
            </w:r>
            <w:r>
              <w:rPr>
                <w:noProof/>
                <w:webHidden/>
              </w:rPr>
              <w:t>2</w:t>
            </w:r>
            <w:r>
              <w:rPr>
                <w:noProof/>
                <w:webHidden/>
              </w:rPr>
              <w:fldChar w:fldCharType="end"/>
            </w:r>
          </w:hyperlink>
        </w:p>
        <w:p w14:paraId="6B9A2FDB" w14:textId="1A52C31E" w:rsidR="00110F47" w:rsidRDefault="00110F47">
          <w:pPr>
            <w:pStyle w:val="TOC1"/>
            <w:tabs>
              <w:tab w:val="right" w:leader="dot" w:pos="9350"/>
            </w:tabs>
            <w:rPr>
              <w:rFonts w:asciiTheme="minorHAnsi" w:eastAsiaTheme="minorEastAsia" w:hAnsiTheme="minorHAnsi"/>
              <w:noProof/>
              <w:color w:val="auto"/>
              <w:kern w:val="2"/>
              <w:szCs w:val="24"/>
              <w:lang w:eastAsia="en-GB"/>
            </w:rPr>
          </w:pPr>
          <w:hyperlink w:anchor="_Toc180054232" w:history="1">
            <w:r w:rsidRPr="00447F80">
              <w:rPr>
                <w:rStyle w:val="Hyperlink"/>
                <w:noProof/>
              </w:rPr>
              <w:t>Market Position</w:t>
            </w:r>
            <w:r>
              <w:rPr>
                <w:noProof/>
                <w:webHidden/>
              </w:rPr>
              <w:tab/>
            </w:r>
            <w:r>
              <w:rPr>
                <w:noProof/>
                <w:webHidden/>
              </w:rPr>
              <w:fldChar w:fldCharType="begin"/>
            </w:r>
            <w:r>
              <w:rPr>
                <w:noProof/>
                <w:webHidden/>
              </w:rPr>
              <w:instrText xml:space="preserve"> PAGEREF _Toc180054232 \h </w:instrText>
            </w:r>
            <w:r>
              <w:rPr>
                <w:noProof/>
                <w:webHidden/>
              </w:rPr>
            </w:r>
            <w:r>
              <w:rPr>
                <w:noProof/>
                <w:webHidden/>
              </w:rPr>
              <w:fldChar w:fldCharType="separate"/>
            </w:r>
            <w:r>
              <w:rPr>
                <w:noProof/>
                <w:webHidden/>
              </w:rPr>
              <w:t>5</w:t>
            </w:r>
            <w:r>
              <w:rPr>
                <w:noProof/>
                <w:webHidden/>
              </w:rPr>
              <w:fldChar w:fldCharType="end"/>
            </w:r>
          </w:hyperlink>
        </w:p>
        <w:p w14:paraId="152ADAF3" w14:textId="3107974E" w:rsidR="00110F47" w:rsidRDefault="00110F47">
          <w:pPr>
            <w:pStyle w:val="TOC1"/>
            <w:tabs>
              <w:tab w:val="right" w:leader="dot" w:pos="9350"/>
            </w:tabs>
            <w:rPr>
              <w:rFonts w:asciiTheme="minorHAnsi" w:eastAsiaTheme="minorEastAsia" w:hAnsiTheme="minorHAnsi"/>
              <w:noProof/>
              <w:color w:val="auto"/>
              <w:kern w:val="2"/>
              <w:szCs w:val="24"/>
              <w:lang w:eastAsia="en-GB"/>
            </w:rPr>
          </w:pPr>
          <w:hyperlink w:anchor="_Toc180054233" w:history="1">
            <w:r w:rsidRPr="00447F80">
              <w:rPr>
                <w:rStyle w:val="Hyperlink"/>
                <w:noProof/>
              </w:rPr>
              <w:t>Growth Potential</w:t>
            </w:r>
            <w:r>
              <w:rPr>
                <w:noProof/>
                <w:webHidden/>
              </w:rPr>
              <w:tab/>
            </w:r>
            <w:r>
              <w:rPr>
                <w:noProof/>
                <w:webHidden/>
              </w:rPr>
              <w:fldChar w:fldCharType="begin"/>
            </w:r>
            <w:r>
              <w:rPr>
                <w:noProof/>
                <w:webHidden/>
              </w:rPr>
              <w:instrText xml:space="preserve"> PAGEREF _Toc180054233 \h </w:instrText>
            </w:r>
            <w:r>
              <w:rPr>
                <w:noProof/>
                <w:webHidden/>
              </w:rPr>
            </w:r>
            <w:r>
              <w:rPr>
                <w:noProof/>
                <w:webHidden/>
              </w:rPr>
              <w:fldChar w:fldCharType="separate"/>
            </w:r>
            <w:r>
              <w:rPr>
                <w:noProof/>
                <w:webHidden/>
              </w:rPr>
              <w:t>9</w:t>
            </w:r>
            <w:r>
              <w:rPr>
                <w:noProof/>
                <w:webHidden/>
              </w:rPr>
              <w:fldChar w:fldCharType="end"/>
            </w:r>
          </w:hyperlink>
        </w:p>
        <w:p w14:paraId="281E4F75" w14:textId="282E5EEA" w:rsidR="00110F47" w:rsidRDefault="00110F47">
          <w:pPr>
            <w:pStyle w:val="TOC1"/>
            <w:tabs>
              <w:tab w:val="right" w:leader="dot" w:pos="9350"/>
            </w:tabs>
            <w:rPr>
              <w:rFonts w:asciiTheme="minorHAnsi" w:eastAsiaTheme="minorEastAsia" w:hAnsiTheme="minorHAnsi"/>
              <w:noProof/>
              <w:color w:val="auto"/>
              <w:kern w:val="2"/>
              <w:szCs w:val="24"/>
              <w:lang w:eastAsia="en-GB"/>
            </w:rPr>
          </w:pPr>
          <w:hyperlink w:anchor="_Toc180054234" w:history="1">
            <w:r w:rsidRPr="00447F80">
              <w:rPr>
                <w:rStyle w:val="Hyperlink"/>
                <w:noProof/>
              </w:rPr>
              <w:t>Financial Commitment to CSR (Corporate Social Responsibility)</w:t>
            </w:r>
            <w:r>
              <w:rPr>
                <w:noProof/>
                <w:webHidden/>
              </w:rPr>
              <w:tab/>
            </w:r>
            <w:r>
              <w:rPr>
                <w:noProof/>
                <w:webHidden/>
              </w:rPr>
              <w:fldChar w:fldCharType="begin"/>
            </w:r>
            <w:r>
              <w:rPr>
                <w:noProof/>
                <w:webHidden/>
              </w:rPr>
              <w:instrText xml:space="preserve"> PAGEREF _Toc180054234 \h </w:instrText>
            </w:r>
            <w:r>
              <w:rPr>
                <w:noProof/>
                <w:webHidden/>
              </w:rPr>
            </w:r>
            <w:r>
              <w:rPr>
                <w:noProof/>
                <w:webHidden/>
              </w:rPr>
              <w:fldChar w:fldCharType="separate"/>
            </w:r>
            <w:r>
              <w:rPr>
                <w:noProof/>
                <w:webHidden/>
              </w:rPr>
              <w:t>10</w:t>
            </w:r>
            <w:r>
              <w:rPr>
                <w:noProof/>
                <w:webHidden/>
              </w:rPr>
              <w:fldChar w:fldCharType="end"/>
            </w:r>
          </w:hyperlink>
        </w:p>
        <w:p w14:paraId="2DDAF14E" w14:textId="4184E2B6" w:rsidR="00110F47" w:rsidRDefault="00110F47">
          <w:pPr>
            <w:pStyle w:val="TOC1"/>
            <w:tabs>
              <w:tab w:val="right" w:leader="dot" w:pos="9350"/>
            </w:tabs>
            <w:rPr>
              <w:rFonts w:asciiTheme="minorHAnsi" w:eastAsiaTheme="minorEastAsia" w:hAnsiTheme="minorHAnsi"/>
              <w:noProof/>
              <w:color w:val="auto"/>
              <w:kern w:val="2"/>
              <w:szCs w:val="24"/>
              <w:lang w:eastAsia="en-GB"/>
            </w:rPr>
          </w:pPr>
          <w:hyperlink w:anchor="_Toc180054235" w:history="1">
            <w:r w:rsidRPr="00447F80">
              <w:rPr>
                <w:rStyle w:val="Hyperlink"/>
                <w:noProof/>
              </w:rPr>
              <w:t>Reference</w:t>
            </w:r>
            <w:r>
              <w:rPr>
                <w:noProof/>
                <w:webHidden/>
              </w:rPr>
              <w:tab/>
            </w:r>
            <w:r>
              <w:rPr>
                <w:noProof/>
                <w:webHidden/>
              </w:rPr>
              <w:fldChar w:fldCharType="begin"/>
            </w:r>
            <w:r>
              <w:rPr>
                <w:noProof/>
                <w:webHidden/>
              </w:rPr>
              <w:instrText xml:space="preserve"> PAGEREF _Toc180054235 \h </w:instrText>
            </w:r>
            <w:r>
              <w:rPr>
                <w:noProof/>
                <w:webHidden/>
              </w:rPr>
            </w:r>
            <w:r>
              <w:rPr>
                <w:noProof/>
                <w:webHidden/>
              </w:rPr>
              <w:fldChar w:fldCharType="separate"/>
            </w:r>
            <w:r>
              <w:rPr>
                <w:noProof/>
                <w:webHidden/>
              </w:rPr>
              <w:t>14</w:t>
            </w:r>
            <w:r>
              <w:rPr>
                <w:noProof/>
                <w:webHidden/>
              </w:rPr>
              <w:fldChar w:fldCharType="end"/>
            </w:r>
          </w:hyperlink>
        </w:p>
        <w:p w14:paraId="436800D9" w14:textId="5E30146E" w:rsidR="00110F47" w:rsidRDefault="00110F47">
          <w:pPr>
            <w:pStyle w:val="TOC1"/>
            <w:tabs>
              <w:tab w:val="right" w:leader="dot" w:pos="9350"/>
            </w:tabs>
            <w:rPr>
              <w:rFonts w:asciiTheme="minorHAnsi" w:eastAsiaTheme="minorEastAsia" w:hAnsiTheme="minorHAnsi"/>
              <w:noProof/>
              <w:color w:val="auto"/>
              <w:kern w:val="2"/>
              <w:szCs w:val="24"/>
              <w:lang w:eastAsia="en-GB"/>
            </w:rPr>
          </w:pPr>
          <w:hyperlink w:anchor="_Toc180054236" w:history="1">
            <w:r w:rsidRPr="00447F80">
              <w:rPr>
                <w:rStyle w:val="Hyperlink"/>
                <w:noProof/>
              </w:rPr>
              <w:t>Appendices</w:t>
            </w:r>
            <w:r>
              <w:rPr>
                <w:noProof/>
                <w:webHidden/>
              </w:rPr>
              <w:tab/>
            </w:r>
            <w:r>
              <w:rPr>
                <w:noProof/>
                <w:webHidden/>
              </w:rPr>
              <w:fldChar w:fldCharType="begin"/>
            </w:r>
            <w:r>
              <w:rPr>
                <w:noProof/>
                <w:webHidden/>
              </w:rPr>
              <w:instrText xml:space="preserve"> PAGEREF _Toc180054236 \h </w:instrText>
            </w:r>
            <w:r>
              <w:rPr>
                <w:noProof/>
                <w:webHidden/>
              </w:rPr>
            </w:r>
            <w:r>
              <w:rPr>
                <w:noProof/>
                <w:webHidden/>
              </w:rPr>
              <w:fldChar w:fldCharType="separate"/>
            </w:r>
            <w:r>
              <w:rPr>
                <w:noProof/>
                <w:webHidden/>
              </w:rPr>
              <w:t>17</w:t>
            </w:r>
            <w:r>
              <w:rPr>
                <w:noProof/>
                <w:webHidden/>
              </w:rPr>
              <w:fldChar w:fldCharType="end"/>
            </w:r>
          </w:hyperlink>
        </w:p>
        <w:p w14:paraId="292A22A0" w14:textId="07F55190" w:rsidR="003358CE" w:rsidRDefault="003358CE">
          <w:r w:rsidRPr="0025212F">
            <w:rPr>
              <w:rFonts w:ascii="Arial" w:hAnsi="Arial" w:cs="Arial"/>
              <w:b/>
              <w:bCs/>
              <w:sz w:val="24"/>
              <w:szCs w:val="24"/>
            </w:rPr>
            <w:fldChar w:fldCharType="end"/>
          </w:r>
        </w:p>
      </w:sdtContent>
    </w:sdt>
    <w:p w14:paraId="30BC9F27" w14:textId="77777777" w:rsidR="00573BF4" w:rsidRDefault="00573BF4">
      <w:pPr>
        <w:sectPr w:rsidR="00573BF4" w:rsidSect="003358CE">
          <w:pgSz w:w="12240" w:h="15840"/>
          <w:pgMar w:top="1440" w:right="1440" w:bottom="1440" w:left="1440" w:header="720" w:footer="720" w:gutter="0"/>
          <w:pgNumType w:start="1"/>
          <w:cols w:space="720"/>
          <w:docGrid w:linePitch="360"/>
        </w:sectPr>
      </w:pPr>
      <w:r>
        <w:br w:type="page"/>
      </w:r>
    </w:p>
    <w:p w14:paraId="14A20C76" w14:textId="77777777" w:rsidR="003358CE" w:rsidRPr="00D56312" w:rsidRDefault="003358CE" w:rsidP="003358CE">
      <w:pPr>
        <w:pStyle w:val="Heading1"/>
      </w:pPr>
      <w:bookmarkStart w:id="0" w:name="_Toc179925577"/>
      <w:bookmarkStart w:id="1" w:name="_Toc180054230"/>
      <w:r w:rsidRPr="00D56312">
        <w:lastRenderedPageBreak/>
        <w:t>Introduction</w:t>
      </w:r>
      <w:bookmarkEnd w:id="0"/>
      <w:bookmarkEnd w:id="1"/>
    </w:p>
    <w:p w14:paraId="27C4D0C7" w14:textId="11773B87" w:rsidR="003358CE" w:rsidRPr="003358CE" w:rsidRDefault="003358CE" w:rsidP="003358CE">
      <w:pPr>
        <w:spacing w:line="360" w:lineRule="auto"/>
        <w:jc w:val="both"/>
        <w:rPr>
          <w:rFonts w:ascii="Arial" w:hAnsi="Arial" w:cs="Arial"/>
        </w:rPr>
      </w:pPr>
      <w:r w:rsidRPr="003358CE">
        <w:rPr>
          <w:rFonts w:ascii="Arial" w:hAnsi="Arial" w:cs="Arial"/>
          <w:sz w:val="24"/>
          <w:szCs w:val="24"/>
        </w:rPr>
        <w:t>The hospitality industry has been growing day by day around the world and it covers different types of services like food and beverage, accommodation, travel agency, event planning, and so on (Walker, 2021). This assessment gives an insight into the comparison of various areas of Shangri-La Hotels and Premier Inn Hotels for the years between 2018 and 2023. The emphasis is made on the assessment of their total revenues, market share, growth rates, and measure of financial commitment to CSR. This report will focus on comparing these two organi</w:t>
      </w:r>
      <w:r w:rsidR="00385907">
        <w:rPr>
          <w:rFonts w:ascii="Arial" w:hAnsi="Arial" w:cs="Arial"/>
          <w:sz w:val="24"/>
          <w:szCs w:val="24"/>
        </w:rPr>
        <w:t>s</w:t>
      </w:r>
      <w:r w:rsidRPr="003358CE">
        <w:rPr>
          <w:rFonts w:ascii="Arial" w:hAnsi="Arial" w:cs="Arial"/>
          <w:sz w:val="24"/>
          <w:szCs w:val="24"/>
        </w:rPr>
        <w:t>ations based on their financial statements.</w:t>
      </w:r>
      <w:r w:rsidRPr="003358CE">
        <w:rPr>
          <w:rFonts w:ascii="Arial" w:hAnsi="Arial" w:cs="Arial"/>
        </w:rPr>
        <w:br w:type="page"/>
      </w:r>
    </w:p>
    <w:p w14:paraId="448A27D4" w14:textId="0CBD8338" w:rsidR="003358CE" w:rsidRPr="009B2391" w:rsidRDefault="003358CE" w:rsidP="003358CE">
      <w:pPr>
        <w:pStyle w:val="Heading1"/>
      </w:pPr>
      <w:bookmarkStart w:id="2" w:name="_Toc179925578"/>
      <w:bookmarkStart w:id="3" w:name="_Toc180054231"/>
      <w:r w:rsidRPr="009B2391">
        <w:lastRenderedPageBreak/>
        <w:t>Total Revenue</w:t>
      </w:r>
      <w:bookmarkEnd w:id="2"/>
      <w:bookmarkEnd w:id="3"/>
    </w:p>
    <w:p w14:paraId="0326B913" w14:textId="77777777" w:rsidR="003358CE" w:rsidRPr="003358CE" w:rsidRDefault="003358CE" w:rsidP="003358CE">
      <w:pPr>
        <w:spacing w:line="360" w:lineRule="auto"/>
        <w:rPr>
          <w:rFonts w:ascii="Arial" w:hAnsi="Arial" w:cs="Arial"/>
          <w:b/>
          <w:bCs/>
          <w:sz w:val="24"/>
          <w:szCs w:val="24"/>
        </w:rPr>
      </w:pPr>
      <w:r w:rsidRPr="003358CE">
        <w:rPr>
          <w:rFonts w:ascii="Arial" w:hAnsi="Arial" w:cs="Arial"/>
          <w:b/>
          <w:bCs/>
          <w:sz w:val="24"/>
          <w:szCs w:val="24"/>
        </w:rPr>
        <w:t>Total Revenue</w:t>
      </w:r>
    </w:p>
    <w:p w14:paraId="7F96C532" w14:textId="77777777" w:rsidR="003358CE" w:rsidRPr="003358CE" w:rsidRDefault="003358CE" w:rsidP="003358CE">
      <w:pPr>
        <w:spacing w:line="360" w:lineRule="auto"/>
        <w:jc w:val="both"/>
        <w:rPr>
          <w:rFonts w:ascii="Arial" w:hAnsi="Arial" w:cs="Arial"/>
          <w:sz w:val="24"/>
          <w:szCs w:val="24"/>
        </w:rPr>
      </w:pPr>
      <w:r w:rsidRPr="003358CE">
        <w:rPr>
          <w:rFonts w:ascii="Arial" w:hAnsi="Arial" w:cs="Arial"/>
          <w:sz w:val="24"/>
          <w:szCs w:val="24"/>
        </w:rPr>
        <w:t>Figure 1: Total revenue of Premier Inn and Shangri-La from 2018 to 2023</w:t>
      </w:r>
    </w:p>
    <w:p w14:paraId="56181151" w14:textId="77777777" w:rsidR="003358CE" w:rsidRPr="009B2391" w:rsidRDefault="003358CE" w:rsidP="003358CE">
      <w:pPr>
        <w:rPr>
          <w:b/>
          <w:bCs/>
        </w:rPr>
      </w:pPr>
      <w:r>
        <w:rPr>
          <w:noProof/>
        </w:rPr>
        <w:drawing>
          <wp:inline distT="0" distB="0" distL="0" distR="0" wp14:anchorId="74815689" wp14:editId="20E1CA9F">
            <wp:extent cx="5930900" cy="2933700"/>
            <wp:effectExtent l="0" t="0" r="12700" b="0"/>
            <wp:docPr id="1871477998" name="Chart 1">
              <a:extLst xmlns:a="http://schemas.openxmlformats.org/drawingml/2006/main">
                <a:ext uri="{FF2B5EF4-FFF2-40B4-BE49-F238E27FC236}">
                  <a16:creationId xmlns:a16="http://schemas.microsoft.com/office/drawing/2014/main" id="{33B1796D-0B55-8671-1463-418D3B7EE5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45D2E75" w14:textId="77777777" w:rsidR="003358CE" w:rsidRPr="003358CE" w:rsidRDefault="003358CE" w:rsidP="003358CE">
      <w:pPr>
        <w:jc w:val="center"/>
        <w:rPr>
          <w:rFonts w:ascii="Arial" w:hAnsi="Arial" w:cs="Arial"/>
          <w:sz w:val="24"/>
          <w:szCs w:val="24"/>
        </w:rPr>
      </w:pPr>
      <w:r w:rsidRPr="003358CE">
        <w:rPr>
          <w:rFonts w:ascii="Arial" w:hAnsi="Arial" w:cs="Arial"/>
          <w:sz w:val="24"/>
          <w:szCs w:val="24"/>
        </w:rPr>
        <w:t>Source: Author’s Made</w:t>
      </w:r>
    </w:p>
    <w:p w14:paraId="60BB43B3" w14:textId="77777777" w:rsidR="00AC29AD" w:rsidRDefault="00AC29AD" w:rsidP="003358CE">
      <w:pPr>
        <w:spacing w:line="360" w:lineRule="auto"/>
        <w:jc w:val="both"/>
        <w:rPr>
          <w:rFonts w:ascii="Arial" w:hAnsi="Arial" w:cs="Arial"/>
          <w:sz w:val="24"/>
          <w:szCs w:val="24"/>
        </w:rPr>
      </w:pPr>
    </w:p>
    <w:p w14:paraId="35CC3D22" w14:textId="349AB0B7" w:rsidR="003358CE" w:rsidRPr="003358CE" w:rsidRDefault="003358CE" w:rsidP="003358CE">
      <w:pPr>
        <w:spacing w:line="360" w:lineRule="auto"/>
        <w:jc w:val="both"/>
        <w:rPr>
          <w:rFonts w:ascii="Arial" w:hAnsi="Arial" w:cs="Arial"/>
        </w:rPr>
      </w:pPr>
      <w:r w:rsidRPr="003358CE">
        <w:rPr>
          <w:rFonts w:ascii="Arial" w:hAnsi="Arial" w:cs="Arial"/>
          <w:sz w:val="24"/>
          <w:szCs w:val="24"/>
        </w:rPr>
        <w:t>The total revenue trends for Shangri-La and Premier Inn from 2018 to 2023 reflect the severe impact of the COVID-19 pandemic, followed by gradual recovery. Both companies saw significant drops in 2020, with Shangri-La’s revenue falling by nearly 60%, while Premier Inn experienced a sharp decline due to its reliance on domestic travel. By 2023, Premier Inn's revenue rebounded to GBP 2,625 million, driven by the strong recovery of domestic tourism and budget-conscious travel</w:t>
      </w:r>
      <w:r w:rsidR="00AF53E5">
        <w:rPr>
          <w:rFonts w:ascii="Arial" w:hAnsi="Arial" w:cs="Arial"/>
          <w:sz w:val="24"/>
          <w:szCs w:val="24"/>
        </w:rPr>
        <w:t>l</w:t>
      </w:r>
      <w:r w:rsidRPr="003358CE">
        <w:rPr>
          <w:rFonts w:ascii="Arial" w:hAnsi="Arial" w:cs="Arial"/>
          <w:sz w:val="24"/>
          <w:szCs w:val="24"/>
        </w:rPr>
        <w:t>ers. Shangri-La, targeting luxury international travel</w:t>
      </w:r>
      <w:r w:rsidR="00AF53E5">
        <w:rPr>
          <w:rFonts w:ascii="Arial" w:hAnsi="Arial" w:cs="Arial"/>
          <w:sz w:val="24"/>
          <w:szCs w:val="24"/>
        </w:rPr>
        <w:t>l</w:t>
      </w:r>
      <w:r w:rsidRPr="003358CE">
        <w:rPr>
          <w:rFonts w:ascii="Arial" w:hAnsi="Arial" w:cs="Arial"/>
          <w:sz w:val="24"/>
          <w:szCs w:val="24"/>
        </w:rPr>
        <w:t>ers, recovered more slowly, reaching USD 2,141.80 million in 2023 (Shangri-La Group, 2023; Whitebread PLC, 2024). The differences in their customer bases Premier Inn's focus on affordability and Shangri-La's reliance on high-end travel played a key role in shaping the speed and extent of their recovery. This shows the vulnerability of both organi</w:t>
      </w:r>
      <w:r w:rsidR="00AF53E5">
        <w:rPr>
          <w:rFonts w:ascii="Arial" w:hAnsi="Arial" w:cs="Arial"/>
          <w:sz w:val="24"/>
          <w:szCs w:val="24"/>
        </w:rPr>
        <w:t>s</w:t>
      </w:r>
      <w:r w:rsidRPr="003358CE">
        <w:rPr>
          <w:rFonts w:ascii="Arial" w:hAnsi="Arial" w:cs="Arial"/>
          <w:sz w:val="24"/>
          <w:szCs w:val="24"/>
        </w:rPr>
        <w:t xml:space="preserve">ations toward marketing positioning, target audiences, and flexibility in response to external crises regarding their revenue. </w:t>
      </w:r>
      <w:r w:rsidRPr="003358CE">
        <w:rPr>
          <w:rFonts w:ascii="Arial" w:hAnsi="Arial" w:cs="Arial"/>
        </w:rPr>
        <w:br w:type="page"/>
      </w:r>
    </w:p>
    <w:p w14:paraId="77521A4A" w14:textId="77777777" w:rsidR="003358CE" w:rsidRPr="003358CE" w:rsidRDefault="003358CE" w:rsidP="003358CE">
      <w:pPr>
        <w:spacing w:line="360" w:lineRule="auto"/>
        <w:jc w:val="both"/>
        <w:rPr>
          <w:rFonts w:ascii="Arial" w:hAnsi="Arial" w:cs="Arial"/>
          <w:b/>
          <w:bCs/>
          <w:sz w:val="24"/>
          <w:szCs w:val="24"/>
        </w:rPr>
      </w:pPr>
      <w:r w:rsidRPr="003358CE">
        <w:rPr>
          <w:rFonts w:ascii="Arial" w:hAnsi="Arial" w:cs="Arial"/>
          <w:b/>
          <w:bCs/>
          <w:sz w:val="24"/>
          <w:szCs w:val="24"/>
        </w:rPr>
        <w:lastRenderedPageBreak/>
        <w:t>Operational Costs and COGS</w:t>
      </w:r>
    </w:p>
    <w:p w14:paraId="23C77A07" w14:textId="77777777" w:rsidR="003358CE" w:rsidRPr="003358CE" w:rsidRDefault="003358CE" w:rsidP="003358CE">
      <w:pPr>
        <w:spacing w:line="360" w:lineRule="auto"/>
        <w:jc w:val="both"/>
        <w:rPr>
          <w:rFonts w:ascii="Arial" w:hAnsi="Arial" w:cs="Arial"/>
          <w:sz w:val="24"/>
          <w:szCs w:val="24"/>
        </w:rPr>
      </w:pPr>
      <w:r w:rsidRPr="003358CE">
        <w:rPr>
          <w:rFonts w:ascii="Arial" w:hAnsi="Arial" w:cs="Arial"/>
          <w:sz w:val="24"/>
          <w:szCs w:val="24"/>
        </w:rPr>
        <w:t>Figure 2: Operational costs and COGS of Premier Inn and Shangri-La from 2018 to 2023</w:t>
      </w:r>
    </w:p>
    <w:p w14:paraId="36A11CCF" w14:textId="77777777" w:rsidR="003358CE" w:rsidRPr="009B2391" w:rsidRDefault="003358CE" w:rsidP="003358CE">
      <w:pPr>
        <w:rPr>
          <w:b/>
          <w:bCs/>
        </w:rPr>
      </w:pPr>
      <w:r>
        <w:rPr>
          <w:noProof/>
        </w:rPr>
        <w:drawing>
          <wp:inline distT="0" distB="0" distL="0" distR="0" wp14:anchorId="1126EB30" wp14:editId="1D195779">
            <wp:extent cx="5861050" cy="3076575"/>
            <wp:effectExtent l="0" t="0" r="6350" b="9525"/>
            <wp:docPr id="1209763075" name="Chart 1">
              <a:extLst xmlns:a="http://schemas.openxmlformats.org/drawingml/2006/main">
                <a:ext uri="{FF2B5EF4-FFF2-40B4-BE49-F238E27FC236}">
                  <a16:creationId xmlns:a16="http://schemas.microsoft.com/office/drawing/2014/main" id="{A9F0129E-DD21-61B0-24EA-FEB69EAA30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DDB08DD" w14:textId="77777777" w:rsidR="003358CE" w:rsidRPr="003358CE" w:rsidRDefault="003358CE" w:rsidP="003358CE">
      <w:pPr>
        <w:jc w:val="center"/>
        <w:rPr>
          <w:rFonts w:ascii="Arial" w:hAnsi="Arial" w:cs="Arial"/>
          <w:sz w:val="24"/>
          <w:szCs w:val="24"/>
        </w:rPr>
      </w:pPr>
      <w:r w:rsidRPr="003358CE">
        <w:rPr>
          <w:rFonts w:ascii="Arial" w:hAnsi="Arial" w:cs="Arial"/>
          <w:sz w:val="24"/>
          <w:szCs w:val="24"/>
        </w:rPr>
        <w:t>Source: Author’s Made</w:t>
      </w:r>
    </w:p>
    <w:p w14:paraId="57365664" w14:textId="77777777" w:rsidR="006B3649" w:rsidRDefault="006B3649" w:rsidP="003358CE">
      <w:pPr>
        <w:spacing w:line="360" w:lineRule="auto"/>
        <w:jc w:val="both"/>
        <w:rPr>
          <w:rFonts w:ascii="Arial" w:hAnsi="Arial" w:cs="Arial"/>
          <w:sz w:val="24"/>
          <w:szCs w:val="24"/>
        </w:rPr>
      </w:pPr>
    </w:p>
    <w:p w14:paraId="36EFF40E" w14:textId="45D5EA33" w:rsidR="003358CE" w:rsidRDefault="003358CE" w:rsidP="003358CE">
      <w:pPr>
        <w:spacing w:line="360" w:lineRule="auto"/>
        <w:jc w:val="both"/>
        <w:rPr>
          <w:rFonts w:ascii="Arial" w:hAnsi="Arial" w:cs="Arial"/>
          <w:sz w:val="24"/>
          <w:szCs w:val="24"/>
        </w:rPr>
      </w:pPr>
      <w:r w:rsidRPr="003358CE">
        <w:rPr>
          <w:rFonts w:ascii="Arial" w:hAnsi="Arial" w:cs="Arial"/>
          <w:sz w:val="24"/>
          <w:szCs w:val="24"/>
        </w:rPr>
        <w:t>Operational costs and COGS of Shangri-La and Premier Inn were quite constant during the pandemic period and only hiked up in 2022 and 2023 as the business was recovering. The operational expenses of the Shangri-La increased progressively as the luxury services and the staffing expenses were higher when they were provided (Shangri-La Group, 2023). Likewise, operation costs rose at Premier Inn as domestic business travel revived (Whitebread PLC, 2024). However, it is observed that both companies succeeded in keeping the COGS relatively stable during the pandemic, meaning that the firms were successful in cost control. Thus, their capability to manage costs during the crisis supported financial performance stabili</w:t>
      </w:r>
      <w:r w:rsidR="00AF53E5">
        <w:rPr>
          <w:rFonts w:ascii="Arial" w:hAnsi="Arial" w:cs="Arial"/>
          <w:sz w:val="24"/>
          <w:szCs w:val="24"/>
        </w:rPr>
        <w:t>s</w:t>
      </w:r>
      <w:r w:rsidRPr="003358CE">
        <w:rPr>
          <w:rFonts w:ascii="Arial" w:hAnsi="Arial" w:cs="Arial"/>
          <w:sz w:val="24"/>
          <w:szCs w:val="24"/>
        </w:rPr>
        <w:t>ation.</w:t>
      </w:r>
    </w:p>
    <w:p w14:paraId="20FFD06E" w14:textId="77777777" w:rsidR="003358CE" w:rsidRPr="003358CE" w:rsidRDefault="003358CE" w:rsidP="003358CE">
      <w:pPr>
        <w:spacing w:line="360" w:lineRule="auto"/>
        <w:jc w:val="both"/>
        <w:rPr>
          <w:rFonts w:ascii="Arial" w:hAnsi="Arial" w:cs="Arial"/>
          <w:sz w:val="24"/>
          <w:szCs w:val="24"/>
        </w:rPr>
      </w:pPr>
    </w:p>
    <w:p w14:paraId="11AE92FF" w14:textId="77777777" w:rsidR="00AC29AD" w:rsidRDefault="00AC29AD" w:rsidP="003358CE">
      <w:pPr>
        <w:spacing w:line="360" w:lineRule="auto"/>
        <w:jc w:val="both"/>
        <w:rPr>
          <w:rFonts w:ascii="Arial" w:hAnsi="Arial" w:cs="Arial"/>
          <w:b/>
          <w:bCs/>
          <w:sz w:val="24"/>
          <w:szCs w:val="24"/>
        </w:rPr>
      </w:pPr>
    </w:p>
    <w:p w14:paraId="40430A62" w14:textId="77777777" w:rsidR="00AC29AD" w:rsidRDefault="00AC29AD" w:rsidP="003358CE">
      <w:pPr>
        <w:spacing w:line="360" w:lineRule="auto"/>
        <w:jc w:val="both"/>
        <w:rPr>
          <w:rFonts w:ascii="Arial" w:hAnsi="Arial" w:cs="Arial"/>
          <w:b/>
          <w:bCs/>
          <w:sz w:val="24"/>
          <w:szCs w:val="24"/>
        </w:rPr>
      </w:pPr>
    </w:p>
    <w:p w14:paraId="74D25033" w14:textId="77777777" w:rsidR="00AC29AD" w:rsidRDefault="00AC29AD" w:rsidP="003358CE">
      <w:pPr>
        <w:spacing w:line="360" w:lineRule="auto"/>
        <w:jc w:val="both"/>
        <w:rPr>
          <w:rFonts w:ascii="Arial" w:hAnsi="Arial" w:cs="Arial"/>
          <w:b/>
          <w:bCs/>
          <w:sz w:val="24"/>
          <w:szCs w:val="24"/>
        </w:rPr>
      </w:pPr>
    </w:p>
    <w:p w14:paraId="2E729AE6" w14:textId="66F2346E" w:rsidR="003358CE" w:rsidRPr="003358CE" w:rsidRDefault="003358CE" w:rsidP="003358CE">
      <w:pPr>
        <w:spacing w:line="360" w:lineRule="auto"/>
        <w:jc w:val="both"/>
        <w:rPr>
          <w:rFonts w:ascii="Arial" w:hAnsi="Arial" w:cs="Arial"/>
          <w:b/>
          <w:bCs/>
          <w:sz w:val="24"/>
          <w:szCs w:val="24"/>
        </w:rPr>
      </w:pPr>
      <w:r w:rsidRPr="003358CE">
        <w:rPr>
          <w:rFonts w:ascii="Arial" w:hAnsi="Arial" w:cs="Arial"/>
          <w:b/>
          <w:bCs/>
          <w:sz w:val="24"/>
          <w:szCs w:val="24"/>
        </w:rPr>
        <w:t>Occupancy Rates and Price Per Room (RevPAR)</w:t>
      </w:r>
    </w:p>
    <w:p w14:paraId="7DAD2CE9" w14:textId="77777777" w:rsidR="003358CE" w:rsidRDefault="003358CE" w:rsidP="003358CE">
      <w:pPr>
        <w:spacing w:line="360" w:lineRule="auto"/>
        <w:jc w:val="both"/>
        <w:rPr>
          <w:rFonts w:ascii="Arial" w:hAnsi="Arial" w:cs="Arial"/>
          <w:sz w:val="24"/>
          <w:szCs w:val="24"/>
        </w:rPr>
      </w:pPr>
      <w:r w:rsidRPr="003358CE">
        <w:rPr>
          <w:rFonts w:ascii="Arial" w:hAnsi="Arial" w:cs="Arial"/>
          <w:sz w:val="24"/>
          <w:szCs w:val="24"/>
        </w:rPr>
        <w:t>Table 1: Occupancy Rates and Price Per Room (RevPAR) from 2018 to 2023</w:t>
      </w:r>
    </w:p>
    <w:tbl>
      <w:tblPr>
        <w:tblStyle w:val="TableGrid"/>
        <w:tblW w:w="0" w:type="auto"/>
        <w:tblLook w:val="04A0" w:firstRow="1" w:lastRow="0" w:firstColumn="1" w:lastColumn="0" w:noHBand="0" w:noVBand="1"/>
      </w:tblPr>
      <w:tblGrid>
        <w:gridCol w:w="1271"/>
        <w:gridCol w:w="1985"/>
        <w:gridCol w:w="1842"/>
        <w:gridCol w:w="2064"/>
        <w:gridCol w:w="2188"/>
      </w:tblGrid>
      <w:tr w:rsidR="003358CE" w:rsidRPr="00233EB0" w14:paraId="7476F11F" w14:textId="77777777" w:rsidTr="003B6998">
        <w:trPr>
          <w:trHeight w:val="350"/>
        </w:trPr>
        <w:tc>
          <w:tcPr>
            <w:tcW w:w="9350" w:type="dxa"/>
            <w:gridSpan w:val="5"/>
            <w:shd w:val="clear" w:color="auto" w:fill="95DCF7" w:themeFill="accent4" w:themeFillTint="66"/>
            <w:noWrap/>
            <w:hideMark/>
          </w:tcPr>
          <w:p w14:paraId="77A0F228" w14:textId="77777777" w:rsidR="003358CE" w:rsidRPr="00233EB0" w:rsidRDefault="003358CE" w:rsidP="003B6998">
            <w:pPr>
              <w:rPr>
                <w:b/>
                <w:bCs/>
              </w:rPr>
            </w:pPr>
            <w:r w:rsidRPr="00233EB0">
              <w:rPr>
                <w:b/>
                <w:bCs/>
              </w:rPr>
              <w:t>Occupancy Rates and RevPAR (2018–2023)</w:t>
            </w:r>
          </w:p>
        </w:tc>
      </w:tr>
      <w:tr w:rsidR="003358CE" w:rsidRPr="00233EB0" w14:paraId="0A4FAE2F" w14:textId="77777777" w:rsidTr="003B6998">
        <w:trPr>
          <w:trHeight w:val="290"/>
        </w:trPr>
        <w:tc>
          <w:tcPr>
            <w:tcW w:w="1271" w:type="dxa"/>
            <w:hideMark/>
          </w:tcPr>
          <w:p w14:paraId="120D3790" w14:textId="77777777" w:rsidR="003358CE" w:rsidRPr="00D02EFF" w:rsidRDefault="003358CE" w:rsidP="00D02EFF">
            <w:pPr>
              <w:jc w:val="center"/>
              <w:rPr>
                <w:rFonts w:ascii="Arial" w:hAnsi="Arial" w:cs="Arial"/>
                <w:b/>
                <w:bCs/>
                <w:sz w:val="24"/>
                <w:szCs w:val="24"/>
              </w:rPr>
            </w:pPr>
            <w:r w:rsidRPr="00D02EFF">
              <w:rPr>
                <w:rFonts w:ascii="Arial" w:hAnsi="Arial" w:cs="Arial"/>
                <w:b/>
                <w:bCs/>
                <w:sz w:val="24"/>
                <w:szCs w:val="24"/>
              </w:rPr>
              <w:t>Year</w:t>
            </w:r>
          </w:p>
        </w:tc>
        <w:tc>
          <w:tcPr>
            <w:tcW w:w="1985" w:type="dxa"/>
            <w:hideMark/>
          </w:tcPr>
          <w:p w14:paraId="2019482F" w14:textId="77777777" w:rsidR="003358CE" w:rsidRPr="00D02EFF" w:rsidRDefault="003358CE" w:rsidP="00D02EFF">
            <w:pPr>
              <w:jc w:val="center"/>
              <w:rPr>
                <w:rFonts w:ascii="Arial" w:hAnsi="Arial" w:cs="Arial"/>
                <w:b/>
                <w:bCs/>
                <w:sz w:val="24"/>
                <w:szCs w:val="24"/>
              </w:rPr>
            </w:pPr>
            <w:r w:rsidRPr="00D02EFF">
              <w:rPr>
                <w:rFonts w:ascii="Arial" w:hAnsi="Arial" w:cs="Arial"/>
                <w:b/>
                <w:bCs/>
                <w:sz w:val="24"/>
                <w:szCs w:val="24"/>
              </w:rPr>
              <w:t>Shangri-La Occupancy Rate (%)</w:t>
            </w:r>
          </w:p>
        </w:tc>
        <w:tc>
          <w:tcPr>
            <w:tcW w:w="1842" w:type="dxa"/>
            <w:hideMark/>
          </w:tcPr>
          <w:p w14:paraId="04F307BF" w14:textId="77777777" w:rsidR="003358CE" w:rsidRPr="00D02EFF" w:rsidRDefault="003358CE" w:rsidP="00D02EFF">
            <w:pPr>
              <w:jc w:val="center"/>
              <w:rPr>
                <w:rFonts w:ascii="Arial" w:hAnsi="Arial" w:cs="Arial"/>
                <w:b/>
                <w:bCs/>
                <w:sz w:val="24"/>
                <w:szCs w:val="24"/>
              </w:rPr>
            </w:pPr>
            <w:r w:rsidRPr="00D02EFF">
              <w:rPr>
                <w:rFonts w:ascii="Arial" w:hAnsi="Arial" w:cs="Arial"/>
                <w:b/>
                <w:bCs/>
                <w:sz w:val="24"/>
                <w:szCs w:val="24"/>
              </w:rPr>
              <w:t>Shangri-La RevPAR (USD)</w:t>
            </w:r>
          </w:p>
        </w:tc>
        <w:tc>
          <w:tcPr>
            <w:tcW w:w="2064" w:type="dxa"/>
            <w:hideMark/>
          </w:tcPr>
          <w:p w14:paraId="7A7CE79A" w14:textId="77777777" w:rsidR="003358CE" w:rsidRPr="00D02EFF" w:rsidRDefault="003358CE" w:rsidP="00D02EFF">
            <w:pPr>
              <w:jc w:val="center"/>
              <w:rPr>
                <w:rFonts w:ascii="Arial" w:hAnsi="Arial" w:cs="Arial"/>
                <w:b/>
                <w:bCs/>
                <w:sz w:val="24"/>
                <w:szCs w:val="24"/>
              </w:rPr>
            </w:pPr>
            <w:r w:rsidRPr="00D02EFF">
              <w:rPr>
                <w:rFonts w:ascii="Arial" w:hAnsi="Arial" w:cs="Arial"/>
                <w:b/>
                <w:bCs/>
                <w:sz w:val="24"/>
                <w:szCs w:val="24"/>
              </w:rPr>
              <w:t>Premier Inn Occupancy Rate (%)</w:t>
            </w:r>
          </w:p>
        </w:tc>
        <w:tc>
          <w:tcPr>
            <w:tcW w:w="2188" w:type="dxa"/>
            <w:hideMark/>
          </w:tcPr>
          <w:p w14:paraId="24CDE826" w14:textId="77777777" w:rsidR="003358CE" w:rsidRPr="00D02EFF" w:rsidRDefault="003358CE" w:rsidP="00D02EFF">
            <w:pPr>
              <w:jc w:val="center"/>
              <w:rPr>
                <w:rFonts w:ascii="Arial" w:hAnsi="Arial" w:cs="Arial"/>
                <w:b/>
                <w:bCs/>
                <w:sz w:val="24"/>
                <w:szCs w:val="24"/>
              </w:rPr>
            </w:pPr>
            <w:r w:rsidRPr="00D02EFF">
              <w:rPr>
                <w:rFonts w:ascii="Arial" w:hAnsi="Arial" w:cs="Arial"/>
                <w:b/>
                <w:bCs/>
                <w:sz w:val="24"/>
                <w:szCs w:val="24"/>
              </w:rPr>
              <w:t>Premier Inn RevPAR (GBP)</w:t>
            </w:r>
          </w:p>
        </w:tc>
      </w:tr>
      <w:tr w:rsidR="003358CE" w:rsidRPr="00233EB0" w14:paraId="15C67648" w14:textId="77777777" w:rsidTr="003B6998">
        <w:trPr>
          <w:trHeight w:val="290"/>
        </w:trPr>
        <w:tc>
          <w:tcPr>
            <w:tcW w:w="1271" w:type="dxa"/>
            <w:hideMark/>
          </w:tcPr>
          <w:p w14:paraId="2DD9F347"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2018</w:t>
            </w:r>
          </w:p>
        </w:tc>
        <w:tc>
          <w:tcPr>
            <w:tcW w:w="1985" w:type="dxa"/>
            <w:hideMark/>
          </w:tcPr>
          <w:p w14:paraId="1D56B918"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68%</w:t>
            </w:r>
          </w:p>
        </w:tc>
        <w:tc>
          <w:tcPr>
            <w:tcW w:w="1842" w:type="dxa"/>
            <w:hideMark/>
          </w:tcPr>
          <w:p w14:paraId="2307A071"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115</w:t>
            </w:r>
          </w:p>
        </w:tc>
        <w:tc>
          <w:tcPr>
            <w:tcW w:w="2064" w:type="dxa"/>
            <w:hideMark/>
          </w:tcPr>
          <w:p w14:paraId="76A2D6E7"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79%</w:t>
            </w:r>
          </w:p>
        </w:tc>
        <w:tc>
          <w:tcPr>
            <w:tcW w:w="2188" w:type="dxa"/>
            <w:hideMark/>
          </w:tcPr>
          <w:p w14:paraId="601B6389"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47</w:t>
            </w:r>
          </w:p>
        </w:tc>
      </w:tr>
      <w:tr w:rsidR="003358CE" w:rsidRPr="00233EB0" w14:paraId="34A1FCEC" w14:textId="77777777" w:rsidTr="003B6998">
        <w:trPr>
          <w:trHeight w:val="290"/>
        </w:trPr>
        <w:tc>
          <w:tcPr>
            <w:tcW w:w="1271" w:type="dxa"/>
            <w:hideMark/>
          </w:tcPr>
          <w:p w14:paraId="79B47721"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2019</w:t>
            </w:r>
          </w:p>
        </w:tc>
        <w:tc>
          <w:tcPr>
            <w:tcW w:w="1985" w:type="dxa"/>
            <w:hideMark/>
          </w:tcPr>
          <w:p w14:paraId="1B4B1810"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67%</w:t>
            </w:r>
          </w:p>
        </w:tc>
        <w:tc>
          <w:tcPr>
            <w:tcW w:w="1842" w:type="dxa"/>
            <w:hideMark/>
          </w:tcPr>
          <w:p w14:paraId="2AE6E705"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85</w:t>
            </w:r>
          </w:p>
        </w:tc>
        <w:tc>
          <w:tcPr>
            <w:tcW w:w="2064" w:type="dxa"/>
            <w:hideMark/>
          </w:tcPr>
          <w:p w14:paraId="7739700C"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81%</w:t>
            </w:r>
          </w:p>
        </w:tc>
        <w:tc>
          <w:tcPr>
            <w:tcW w:w="2188" w:type="dxa"/>
            <w:hideMark/>
          </w:tcPr>
          <w:p w14:paraId="718C7644"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51</w:t>
            </w:r>
          </w:p>
        </w:tc>
      </w:tr>
      <w:tr w:rsidR="003358CE" w:rsidRPr="00233EB0" w14:paraId="7F3D1ABC" w14:textId="77777777" w:rsidTr="003B6998">
        <w:trPr>
          <w:trHeight w:val="290"/>
        </w:trPr>
        <w:tc>
          <w:tcPr>
            <w:tcW w:w="1271" w:type="dxa"/>
            <w:hideMark/>
          </w:tcPr>
          <w:p w14:paraId="4570CB11"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2020</w:t>
            </w:r>
          </w:p>
        </w:tc>
        <w:tc>
          <w:tcPr>
            <w:tcW w:w="1985" w:type="dxa"/>
            <w:hideMark/>
          </w:tcPr>
          <w:p w14:paraId="132B2325"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39%</w:t>
            </w:r>
          </w:p>
        </w:tc>
        <w:tc>
          <w:tcPr>
            <w:tcW w:w="1842" w:type="dxa"/>
            <w:hideMark/>
          </w:tcPr>
          <w:p w14:paraId="78EFFF5B"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51</w:t>
            </w:r>
          </w:p>
        </w:tc>
        <w:tc>
          <w:tcPr>
            <w:tcW w:w="2064" w:type="dxa"/>
            <w:hideMark/>
          </w:tcPr>
          <w:p w14:paraId="2A2439C0"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34%</w:t>
            </w:r>
          </w:p>
        </w:tc>
        <w:tc>
          <w:tcPr>
            <w:tcW w:w="2188" w:type="dxa"/>
            <w:hideMark/>
          </w:tcPr>
          <w:p w14:paraId="4AC83F9C"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25</w:t>
            </w:r>
          </w:p>
        </w:tc>
      </w:tr>
      <w:tr w:rsidR="003358CE" w:rsidRPr="00233EB0" w14:paraId="36756BB2" w14:textId="77777777" w:rsidTr="003B6998">
        <w:trPr>
          <w:trHeight w:val="290"/>
        </w:trPr>
        <w:tc>
          <w:tcPr>
            <w:tcW w:w="1271" w:type="dxa"/>
            <w:hideMark/>
          </w:tcPr>
          <w:p w14:paraId="6637A10B"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2021</w:t>
            </w:r>
          </w:p>
        </w:tc>
        <w:tc>
          <w:tcPr>
            <w:tcW w:w="1985" w:type="dxa"/>
            <w:hideMark/>
          </w:tcPr>
          <w:p w14:paraId="7F2A21D9"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42%</w:t>
            </w:r>
          </w:p>
        </w:tc>
        <w:tc>
          <w:tcPr>
            <w:tcW w:w="1842" w:type="dxa"/>
            <w:hideMark/>
          </w:tcPr>
          <w:p w14:paraId="0E616F88"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64</w:t>
            </w:r>
          </w:p>
        </w:tc>
        <w:tc>
          <w:tcPr>
            <w:tcW w:w="2064" w:type="dxa"/>
            <w:hideMark/>
          </w:tcPr>
          <w:p w14:paraId="4B0064E2"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45%</w:t>
            </w:r>
          </w:p>
        </w:tc>
        <w:tc>
          <w:tcPr>
            <w:tcW w:w="2188" w:type="dxa"/>
            <w:hideMark/>
          </w:tcPr>
          <w:p w14:paraId="692B1FF2"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29</w:t>
            </w:r>
          </w:p>
        </w:tc>
      </w:tr>
      <w:tr w:rsidR="003358CE" w:rsidRPr="00233EB0" w14:paraId="1E00E1A5" w14:textId="77777777" w:rsidTr="003B6998">
        <w:trPr>
          <w:trHeight w:val="290"/>
        </w:trPr>
        <w:tc>
          <w:tcPr>
            <w:tcW w:w="1271" w:type="dxa"/>
            <w:hideMark/>
          </w:tcPr>
          <w:p w14:paraId="51B14AE7"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2022</w:t>
            </w:r>
          </w:p>
        </w:tc>
        <w:tc>
          <w:tcPr>
            <w:tcW w:w="1985" w:type="dxa"/>
            <w:hideMark/>
          </w:tcPr>
          <w:p w14:paraId="19936573"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46%</w:t>
            </w:r>
          </w:p>
        </w:tc>
        <w:tc>
          <w:tcPr>
            <w:tcW w:w="1842" w:type="dxa"/>
            <w:hideMark/>
          </w:tcPr>
          <w:p w14:paraId="46A7A4F9"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100</w:t>
            </w:r>
          </w:p>
        </w:tc>
        <w:tc>
          <w:tcPr>
            <w:tcW w:w="2064" w:type="dxa"/>
            <w:hideMark/>
          </w:tcPr>
          <w:p w14:paraId="2870C724"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50%</w:t>
            </w:r>
          </w:p>
        </w:tc>
        <w:tc>
          <w:tcPr>
            <w:tcW w:w="2188" w:type="dxa"/>
            <w:hideMark/>
          </w:tcPr>
          <w:p w14:paraId="09946C06"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38</w:t>
            </w:r>
          </w:p>
        </w:tc>
      </w:tr>
      <w:tr w:rsidR="003358CE" w:rsidRPr="00233EB0" w14:paraId="14C07E5E" w14:textId="77777777" w:rsidTr="003B6998">
        <w:trPr>
          <w:trHeight w:val="290"/>
        </w:trPr>
        <w:tc>
          <w:tcPr>
            <w:tcW w:w="1271" w:type="dxa"/>
            <w:hideMark/>
          </w:tcPr>
          <w:p w14:paraId="22DD4B03"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2023</w:t>
            </w:r>
          </w:p>
        </w:tc>
        <w:tc>
          <w:tcPr>
            <w:tcW w:w="1985" w:type="dxa"/>
            <w:hideMark/>
          </w:tcPr>
          <w:p w14:paraId="1E93844A" w14:textId="228C7A15" w:rsidR="003358CE" w:rsidRPr="00755AEE" w:rsidRDefault="003358CE" w:rsidP="00D02EFF">
            <w:pPr>
              <w:jc w:val="center"/>
              <w:rPr>
                <w:rFonts w:ascii="Arial" w:hAnsi="Arial" w:cs="Arial"/>
                <w:sz w:val="24"/>
                <w:szCs w:val="24"/>
              </w:rPr>
            </w:pPr>
            <w:r w:rsidRPr="00755AEE">
              <w:rPr>
                <w:rFonts w:ascii="Arial" w:hAnsi="Arial" w:cs="Arial"/>
                <w:sz w:val="24"/>
                <w:szCs w:val="24"/>
              </w:rPr>
              <w:t>62%​</w:t>
            </w:r>
          </w:p>
        </w:tc>
        <w:tc>
          <w:tcPr>
            <w:tcW w:w="1842" w:type="dxa"/>
            <w:hideMark/>
          </w:tcPr>
          <w:p w14:paraId="1C46C854" w14:textId="02342B7C" w:rsidR="003358CE" w:rsidRPr="00755AEE" w:rsidRDefault="003358CE" w:rsidP="00D02EFF">
            <w:pPr>
              <w:jc w:val="center"/>
              <w:rPr>
                <w:rFonts w:ascii="Arial" w:hAnsi="Arial" w:cs="Arial"/>
                <w:sz w:val="24"/>
                <w:szCs w:val="24"/>
              </w:rPr>
            </w:pPr>
            <w:r w:rsidRPr="00755AEE">
              <w:rPr>
                <w:rFonts w:ascii="Arial" w:hAnsi="Arial" w:cs="Arial"/>
                <w:sz w:val="24"/>
                <w:szCs w:val="24"/>
              </w:rPr>
              <w:t>108​</w:t>
            </w:r>
          </w:p>
        </w:tc>
        <w:tc>
          <w:tcPr>
            <w:tcW w:w="2064" w:type="dxa"/>
            <w:hideMark/>
          </w:tcPr>
          <w:p w14:paraId="627FEFE4"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66%</w:t>
            </w:r>
          </w:p>
        </w:tc>
        <w:tc>
          <w:tcPr>
            <w:tcW w:w="2188" w:type="dxa"/>
            <w:hideMark/>
          </w:tcPr>
          <w:p w14:paraId="6122F291" w14:textId="77777777" w:rsidR="003358CE" w:rsidRPr="00755AEE" w:rsidRDefault="003358CE" w:rsidP="00D02EFF">
            <w:pPr>
              <w:jc w:val="center"/>
              <w:rPr>
                <w:rFonts w:ascii="Arial" w:hAnsi="Arial" w:cs="Arial"/>
                <w:sz w:val="24"/>
                <w:szCs w:val="24"/>
              </w:rPr>
            </w:pPr>
            <w:r w:rsidRPr="00755AEE">
              <w:rPr>
                <w:rFonts w:ascii="Arial" w:hAnsi="Arial" w:cs="Arial"/>
                <w:sz w:val="24"/>
                <w:szCs w:val="24"/>
              </w:rPr>
              <w:t>52</w:t>
            </w:r>
          </w:p>
        </w:tc>
      </w:tr>
    </w:tbl>
    <w:p w14:paraId="37BC9FE2" w14:textId="77777777" w:rsidR="003358CE" w:rsidRPr="00D02EFF" w:rsidRDefault="003358CE" w:rsidP="003358CE">
      <w:pPr>
        <w:jc w:val="center"/>
        <w:rPr>
          <w:rFonts w:ascii="Arial" w:hAnsi="Arial" w:cs="Arial"/>
          <w:sz w:val="24"/>
          <w:szCs w:val="24"/>
        </w:rPr>
      </w:pPr>
      <w:r w:rsidRPr="00D02EFF">
        <w:rPr>
          <w:rFonts w:ascii="Arial" w:hAnsi="Arial" w:cs="Arial"/>
          <w:sz w:val="24"/>
          <w:szCs w:val="24"/>
        </w:rPr>
        <w:t>Source: (Shangri-La Group, 2023; Whitebread PLC, 2024)</w:t>
      </w:r>
    </w:p>
    <w:p w14:paraId="76CA963B" w14:textId="77777777" w:rsidR="003E6325" w:rsidRDefault="003E6325" w:rsidP="00AC29AD">
      <w:pPr>
        <w:spacing w:line="360" w:lineRule="auto"/>
        <w:jc w:val="both"/>
        <w:rPr>
          <w:rFonts w:ascii="Arial" w:hAnsi="Arial" w:cs="Arial"/>
          <w:sz w:val="24"/>
          <w:szCs w:val="24"/>
        </w:rPr>
      </w:pPr>
    </w:p>
    <w:p w14:paraId="5A4E82BB" w14:textId="54434DE1" w:rsidR="003358CE" w:rsidRPr="00AC29AD" w:rsidRDefault="003358CE" w:rsidP="00AC29AD">
      <w:pPr>
        <w:spacing w:line="360" w:lineRule="auto"/>
        <w:jc w:val="both"/>
        <w:rPr>
          <w:rFonts w:ascii="Arial" w:hAnsi="Arial" w:cs="Arial"/>
          <w:sz w:val="24"/>
          <w:szCs w:val="24"/>
        </w:rPr>
      </w:pPr>
      <w:r w:rsidRPr="00AC29AD">
        <w:rPr>
          <w:rFonts w:ascii="Arial" w:hAnsi="Arial" w:cs="Arial"/>
          <w:sz w:val="24"/>
          <w:szCs w:val="24"/>
        </w:rPr>
        <w:t>RevPAR and occupancy are important indicators related to room availability and pricing strategies. Covid-19 greatly affected both Shangri-La and Premier Inn’s performance through reduced travel throughout the world. Significantly affected by low occupancy, Shangri-La, which targets global upscale travel</w:t>
      </w:r>
      <w:r w:rsidR="00D02EFF">
        <w:rPr>
          <w:rFonts w:ascii="Arial" w:hAnsi="Arial" w:cs="Arial"/>
          <w:sz w:val="24"/>
          <w:szCs w:val="24"/>
        </w:rPr>
        <w:t>l</w:t>
      </w:r>
      <w:r w:rsidRPr="00AC29AD">
        <w:rPr>
          <w:rFonts w:ascii="Arial" w:hAnsi="Arial" w:cs="Arial"/>
          <w:sz w:val="24"/>
          <w:szCs w:val="24"/>
        </w:rPr>
        <w:t>ers, also restored its occupancy to pre-pandemic levels as luxury travel returned by 2023 (Shangri-La Group, 2023). The same was reali</w:t>
      </w:r>
      <w:r w:rsidR="00AF53E5">
        <w:rPr>
          <w:rFonts w:ascii="Arial" w:hAnsi="Arial" w:cs="Arial"/>
          <w:sz w:val="24"/>
          <w:szCs w:val="24"/>
        </w:rPr>
        <w:t>s</w:t>
      </w:r>
      <w:r w:rsidRPr="00AC29AD">
        <w:rPr>
          <w:rFonts w:ascii="Arial" w:hAnsi="Arial" w:cs="Arial"/>
          <w:sz w:val="24"/>
          <w:szCs w:val="24"/>
        </w:rPr>
        <w:t>ed by Premier Inn, which focused on the budget-conscious domestic markets that declined before stabili</w:t>
      </w:r>
      <w:r w:rsidR="00AF53E5">
        <w:rPr>
          <w:rFonts w:ascii="Arial" w:hAnsi="Arial" w:cs="Arial"/>
          <w:sz w:val="24"/>
          <w:szCs w:val="24"/>
        </w:rPr>
        <w:t>s</w:t>
      </w:r>
      <w:r w:rsidRPr="00AC29AD">
        <w:rPr>
          <w:rFonts w:ascii="Arial" w:hAnsi="Arial" w:cs="Arial"/>
          <w:sz w:val="24"/>
          <w:szCs w:val="24"/>
        </w:rPr>
        <w:t>ing once again due to the growing domestic tourism (Whitebread PLC, 2024). The findings of RevPAR's changes in the price of its offerings for both brands reveal the effect of post-pandemic measures to meet customers’ needs.</w:t>
      </w:r>
    </w:p>
    <w:p w14:paraId="6F2E06FF" w14:textId="77777777" w:rsidR="003E6325" w:rsidRDefault="003E6325" w:rsidP="00AC29AD">
      <w:pPr>
        <w:spacing w:line="360" w:lineRule="auto"/>
        <w:jc w:val="both"/>
        <w:rPr>
          <w:rFonts w:ascii="Arial" w:hAnsi="Arial" w:cs="Arial"/>
          <w:b/>
          <w:bCs/>
          <w:sz w:val="24"/>
          <w:szCs w:val="24"/>
        </w:rPr>
      </w:pPr>
    </w:p>
    <w:p w14:paraId="10FA33C7" w14:textId="54F25184" w:rsidR="003358CE" w:rsidRPr="00AC29AD" w:rsidRDefault="003358CE" w:rsidP="00AC29AD">
      <w:pPr>
        <w:spacing w:line="360" w:lineRule="auto"/>
        <w:jc w:val="both"/>
        <w:rPr>
          <w:rFonts w:ascii="Arial" w:hAnsi="Arial" w:cs="Arial"/>
          <w:b/>
          <w:bCs/>
          <w:sz w:val="24"/>
          <w:szCs w:val="24"/>
        </w:rPr>
      </w:pPr>
      <w:r w:rsidRPr="00AC29AD">
        <w:rPr>
          <w:rFonts w:ascii="Arial" w:hAnsi="Arial" w:cs="Arial"/>
          <w:b/>
          <w:bCs/>
          <w:sz w:val="24"/>
          <w:szCs w:val="24"/>
        </w:rPr>
        <w:t>Comparative Analysis</w:t>
      </w:r>
    </w:p>
    <w:p w14:paraId="69A105B9" w14:textId="350F887B" w:rsidR="003358CE" w:rsidRPr="00AC29AD" w:rsidRDefault="003358CE" w:rsidP="00AC29AD">
      <w:pPr>
        <w:spacing w:line="360" w:lineRule="auto"/>
        <w:jc w:val="both"/>
        <w:rPr>
          <w:rFonts w:ascii="Arial" w:hAnsi="Arial" w:cs="Arial"/>
          <w:sz w:val="24"/>
          <w:szCs w:val="24"/>
        </w:rPr>
      </w:pPr>
      <w:r w:rsidRPr="00AC29AD">
        <w:rPr>
          <w:rFonts w:ascii="Arial" w:hAnsi="Arial" w:cs="Arial"/>
          <w:sz w:val="24"/>
          <w:szCs w:val="24"/>
        </w:rPr>
        <w:t>Trend data in revenue, occupancy, and RevPAR shows that both Shangri-La and Premier Inn’s performances plummeted during the COVID-19 pandemic, achieving their nadir in 2020. The major cause of such a decline was the restrictions on travel</w:t>
      </w:r>
      <w:r w:rsidR="00D02EFF">
        <w:rPr>
          <w:rFonts w:ascii="Arial" w:hAnsi="Arial" w:cs="Arial"/>
          <w:sz w:val="24"/>
          <w:szCs w:val="24"/>
        </w:rPr>
        <w:t>l</w:t>
      </w:r>
      <w:r w:rsidRPr="00AC29AD">
        <w:rPr>
          <w:rFonts w:ascii="Arial" w:hAnsi="Arial" w:cs="Arial"/>
          <w:sz w:val="24"/>
          <w:szCs w:val="24"/>
        </w:rPr>
        <w:t xml:space="preserve">ing due to the COVID-19 breakout that highly lowered the hotel occupancy rates and the room demand (Lai, et al. 2021). However, both firms had fairly bounced back to the market by 2023. </w:t>
      </w:r>
      <w:r w:rsidRPr="00AC29AD">
        <w:rPr>
          <w:rFonts w:ascii="Arial" w:hAnsi="Arial" w:cs="Arial"/>
          <w:sz w:val="24"/>
          <w:szCs w:val="24"/>
        </w:rPr>
        <w:lastRenderedPageBreak/>
        <w:t xml:space="preserve">Primarily, Premier Inn was able to bounce back to higher revenue in a shorter time compared to Shangri-La because of the progressive relaxing of restrictions on domestic tourism, and because the brand targets cost-sensitive consumers (Bas </w:t>
      </w:r>
      <w:proofErr w:type="spellStart"/>
      <w:r w:rsidRPr="00AC29AD">
        <w:rPr>
          <w:rFonts w:ascii="Arial" w:hAnsi="Arial" w:cs="Arial"/>
          <w:sz w:val="24"/>
          <w:szCs w:val="24"/>
        </w:rPr>
        <w:t>Sivaprasad</w:t>
      </w:r>
      <w:proofErr w:type="spellEnd"/>
      <w:r w:rsidRPr="00AC29AD">
        <w:rPr>
          <w:rFonts w:ascii="Arial" w:hAnsi="Arial" w:cs="Arial"/>
          <w:sz w:val="24"/>
          <w:szCs w:val="24"/>
        </w:rPr>
        <w:t>, 2022). In contrast, Shangri-La's recovery in occupancy and RevPAR was more gradual, influenced by its dependence on international luxury travel</w:t>
      </w:r>
      <w:r w:rsidR="00AF53E5">
        <w:rPr>
          <w:rFonts w:ascii="Arial" w:hAnsi="Arial" w:cs="Arial"/>
          <w:sz w:val="24"/>
          <w:szCs w:val="24"/>
        </w:rPr>
        <w:t>l</w:t>
      </w:r>
      <w:r w:rsidRPr="00AC29AD">
        <w:rPr>
          <w:rFonts w:ascii="Arial" w:hAnsi="Arial" w:cs="Arial"/>
          <w:sz w:val="24"/>
          <w:szCs w:val="24"/>
        </w:rPr>
        <w:t>ers and slower market rebounds in key regions. Both companies maintained operational costs and COGS relatively stable during the pandemic, reflecting strong cost management strategies during a challenging period.</w:t>
      </w:r>
    </w:p>
    <w:p w14:paraId="61657F65" w14:textId="24B69D4E" w:rsidR="003358CE" w:rsidRPr="001C165D" w:rsidRDefault="003358CE" w:rsidP="003358CE">
      <w:pPr>
        <w:pStyle w:val="Heading1"/>
      </w:pPr>
      <w:bookmarkStart w:id="4" w:name="_Toc179925579"/>
      <w:bookmarkStart w:id="5" w:name="_Toc180054232"/>
      <w:r w:rsidRPr="001C165D">
        <w:t>Market Position</w:t>
      </w:r>
      <w:bookmarkEnd w:id="4"/>
      <w:bookmarkEnd w:id="5"/>
    </w:p>
    <w:p w14:paraId="0DD522D5" w14:textId="77777777" w:rsidR="003358CE" w:rsidRPr="00DA6B16" w:rsidRDefault="003358CE" w:rsidP="00DA6B16">
      <w:pPr>
        <w:spacing w:line="360" w:lineRule="auto"/>
        <w:jc w:val="both"/>
        <w:rPr>
          <w:rFonts w:ascii="Arial" w:hAnsi="Arial" w:cs="Arial"/>
          <w:b/>
          <w:bCs/>
          <w:sz w:val="24"/>
          <w:szCs w:val="24"/>
        </w:rPr>
      </w:pPr>
      <w:r w:rsidRPr="00DA6B16">
        <w:rPr>
          <w:rFonts w:ascii="Arial" w:hAnsi="Arial" w:cs="Arial"/>
          <w:b/>
          <w:bCs/>
          <w:sz w:val="24"/>
          <w:szCs w:val="24"/>
        </w:rPr>
        <w:t>Market Share</w:t>
      </w:r>
    </w:p>
    <w:p w14:paraId="44A5F063" w14:textId="149E63E4" w:rsidR="003358CE" w:rsidRPr="00DA6B16" w:rsidRDefault="003358CE" w:rsidP="00DA6B16">
      <w:pPr>
        <w:spacing w:line="360" w:lineRule="auto"/>
        <w:jc w:val="both"/>
        <w:rPr>
          <w:rFonts w:ascii="Arial" w:hAnsi="Arial" w:cs="Arial"/>
          <w:sz w:val="24"/>
          <w:szCs w:val="24"/>
        </w:rPr>
      </w:pPr>
      <w:r w:rsidRPr="00DA6B16">
        <w:rPr>
          <w:rFonts w:ascii="Arial" w:hAnsi="Arial" w:cs="Arial"/>
          <w:sz w:val="24"/>
          <w:szCs w:val="24"/>
        </w:rPr>
        <w:t>Shangri-La operates predominantly in the luxury hotel segment, with a strong presence in Asia, particularly in Mainland China, and a notable presence in Europe and the Middle East. In 2018, Shangri-La held around 60% of the market share in the luxury segment across key regions (Shangri-La Group, 2023). Despite the impact of the COVID-19 pandemic, which significantly reduced international travel and affected its market position, Shangri-La managed to maintain dominance in luxury hospitality (</w:t>
      </w:r>
      <w:proofErr w:type="spellStart"/>
      <w:r w:rsidRPr="00DA6B16">
        <w:rPr>
          <w:rFonts w:ascii="Arial" w:hAnsi="Arial" w:cs="Arial"/>
          <w:sz w:val="24"/>
          <w:szCs w:val="24"/>
        </w:rPr>
        <w:t>Cheshmehzangi</w:t>
      </w:r>
      <w:proofErr w:type="spellEnd"/>
      <w:r w:rsidRPr="00DA6B16">
        <w:rPr>
          <w:rFonts w:ascii="Arial" w:hAnsi="Arial" w:cs="Arial"/>
          <w:sz w:val="24"/>
          <w:szCs w:val="24"/>
        </w:rPr>
        <w:t>, et al. 2022). By 2023, their market share had stabili</w:t>
      </w:r>
      <w:r w:rsidR="00AF53E5">
        <w:rPr>
          <w:rFonts w:ascii="Arial" w:hAnsi="Arial" w:cs="Arial"/>
          <w:sz w:val="24"/>
          <w:szCs w:val="24"/>
        </w:rPr>
        <w:t>s</w:t>
      </w:r>
      <w:r w:rsidRPr="00DA6B16">
        <w:rPr>
          <w:rFonts w:ascii="Arial" w:hAnsi="Arial" w:cs="Arial"/>
          <w:sz w:val="24"/>
          <w:szCs w:val="24"/>
        </w:rPr>
        <w:t>ed, particularly in regions like China and Southeast Asia, where they capitali</w:t>
      </w:r>
      <w:r w:rsidR="00AF53E5">
        <w:rPr>
          <w:rFonts w:ascii="Arial" w:hAnsi="Arial" w:cs="Arial"/>
          <w:sz w:val="24"/>
          <w:szCs w:val="24"/>
        </w:rPr>
        <w:t>s</w:t>
      </w:r>
      <w:r w:rsidRPr="00DA6B16">
        <w:rPr>
          <w:rFonts w:ascii="Arial" w:hAnsi="Arial" w:cs="Arial"/>
          <w:sz w:val="24"/>
          <w:szCs w:val="24"/>
        </w:rPr>
        <w:t>ed on post-pandemic travel recovery.</w:t>
      </w:r>
    </w:p>
    <w:p w14:paraId="2D03E9D9" w14:textId="77777777" w:rsidR="003358CE" w:rsidRDefault="003358CE" w:rsidP="00DA6B16">
      <w:pPr>
        <w:spacing w:line="360" w:lineRule="auto"/>
        <w:jc w:val="both"/>
        <w:rPr>
          <w:rFonts w:ascii="Arial" w:hAnsi="Arial" w:cs="Arial"/>
          <w:sz w:val="24"/>
          <w:szCs w:val="24"/>
        </w:rPr>
      </w:pPr>
      <w:r w:rsidRPr="00DA6B16">
        <w:rPr>
          <w:rFonts w:ascii="Arial" w:hAnsi="Arial" w:cs="Arial"/>
          <w:sz w:val="24"/>
          <w:szCs w:val="24"/>
        </w:rPr>
        <w:t>Premier Inn, in contrast, operates in the budget hotel segment with a dominant focus on the UK market (</w:t>
      </w:r>
      <w:proofErr w:type="spellStart"/>
      <w:r w:rsidRPr="00DA6B16">
        <w:rPr>
          <w:rFonts w:ascii="Arial" w:hAnsi="Arial" w:cs="Arial"/>
          <w:sz w:val="24"/>
          <w:szCs w:val="24"/>
        </w:rPr>
        <w:t>Murasiranwa</w:t>
      </w:r>
      <w:proofErr w:type="spellEnd"/>
      <w:r w:rsidRPr="00DA6B16">
        <w:rPr>
          <w:rFonts w:ascii="Arial" w:hAnsi="Arial" w:cs="Arial"/>
          <w:sz w:val="24"/>
          <w:szCs w:val="24"/>
        </w:rPr>
        <w:t>, 2012). In 2018, Premier Inn held about 7.4% market share of the UK hotel market. The pandemic affected their market share as domestic travel restrictions hit the hospitality industry hard. However, their strategic focus on domestic travel helped them recover faster than some competitors. By 2023, Premier Inn increased its market share to 8% in the UK, solidifying its position as a leader in the budget segment, benefiting from its wide network of locations and strong brand loyalty (Whitebread PLC, 2024).</w:t>
      </w:r>
    </w:p>
    <w:p w14:paraId="61879D6E" w14:textId="77777777" w:rsidR="00DA6B16" w:rsidRDefault="00DA6B16" w:rsidP="00DA6B16">
      <w:pPr>
        <w:spacing w:line="360" w:lineRule="auto"/>
        <w:jc w:val="both"/>
        <w:rPr>
          <w:rFonts w:ascii="Arial" w:hAnsi="Arial" w:cs="Arial"/>
          <w:sz w:val="24"/>
          <w:szCs w:val="24"/>
        </w:rPr>
      </w:pPr>
    </w:p>
    <w:p w14:paraId="26757D65" w14:textId="77777777" w:rsidR="00DA6B16" w:rsidRPr="00DA6B16" w:rsidRDefault="00DA6B16" w:rsidP="00DA6B16">
      <w:pPr>
        <w:spacing w:line="360" w:lineRule="auto"/>
        <w:jc w:val="both"/>
        <w:rPr>
          <w:rFonts w:ascii="Arial" w:hAnsi="Arial" w:cs="Arial"/>
          <w:sz w:val="24"/>
          <w:szCs w:val="24"/>
        </w:rPr>
      </w:pPr>
    </w:p>
    <w:p w14:paraId="0A2EE22F" w14:textId="77777777" w:rsidR="003358CE" w:rsidRPr="00DA6B16" w:rsidRDefault="003358CE" w:rsidP="00DA6B16">
      <w:pPr>
        <w:spacing w:line="360" w:lineRule="auto"/>
        <w:jc w:val="both"/>
        <w:rPr>
          <w:rFonts w:ascii="Arial" w:hAnsi="Arial" w:cs="Arial"/>
          <w:b/>
          <w:bCs/>
          <w:sz w:val="24"/>
          <w:szCs w:val="24"/>
        </w:rPr>
      </w:pPr>
      <w:r w:rsidRPr="00DA6B16">
        <w:rPr>
          <w:rFonts w:ascii="Arial" w:hAnsi="Arial" w:cs="Arial"/>
          <w:b/>
          <w:bCs/>
          <w:sz w:val="24"/>
          <w:szCs w:val="24"/>
        </w:rPr>
        <w:lastRenderedPageBreak/>
        <w:t>Customer Demographics</w:t>
      </w:r>
    </w:p>
    <w:p w14:paraId="43A7C8F7" w14:textId="18346271" w:rsidR="003358CE" w:rsidRPr="00DA6B16" w:rsidRDefault="003358CE" w:rsidP="00DA6B16">
      <w:pPr>
        <w:spacing w:line="360" w:lineRule="auto"/>
        <w:jc w:val="both"/>
        <w:rPr>
          <w:rFonts w:ascii="Arial" w:hAnsi="Arial" w:cs="Arial"/>
          <w:sz w:val="24"/>
          <w:szCs w:val="24"/>
        </w:rPr>
      </w:pPr>
      <w:r w:rsidRPr="00DA6B16">
        <w:rPr>
          <w:rFonts w:ascii="Arial" w:hAnsi="Arial" w:cs="Arial"/>
          <w:sz w:val="24"/>
          <w:szCs w:val="24"/>
        </w:rPr>
        <w:t>Shangri-La’s core customer base primarily consists</w:t>
      </w:r>
      <w:r w:rsidR="00AF53E5">
        <w:rPr>
          <w:rFonts w:ascii="Arial" w:hAnsi="Arial" w:cs="Arial"/>
          <w:sz w:val="24"/>
          <w:szCs w:val="24"/>
        </w:rPr>
        <w:t xml:space="preserve"> </w:t>
      </w:r>
      <w:r w:rsidRPr="00DA6B16">
        <w:rPr>
          <w:rFonts w:ascii="Arial" w:hAnsi="Arial" w:cs="Arial"/>
          <w:sz w:val="24"/>
          <w:szCs w:val="24"/>
        </w:rPr>
        <w:t>of high-income luxury travel</w:t>
      </w:r>
      <w:r w:rsidR="00AF53E5">
        <w:rPr>
          <w:rFonts w:ascii="Arial" w:hAnsi="Arial" w:cs="Arial"/>
          <w:sz w:val="24"/>
          <w:szCs w:val="24"/>
        </w:rPr>
        <w:t>l</w:t>
      </w:r>
      <w:r w:rsidRPr="00DA6B16">
        <w:rPr>
          <w:rFonts w:ascii="Arial" w:hAnsi="Arial" w:cs="Arial"/>
          <w:sz w:val="24"/>
          <w:szCs w:val="24"/>
        </w:rPr>
        <w:t>ers (Yang, 2013). In 2018 and 2019, the hotel chain catered to high-net-worth individuals, corporate executives, and luxury vacationers, especially those travel</w:t>
      </w:r>
      <w:r w:rsidR="00AF53E5">
        <w:rPr>
          <w:rFonts w:ascii="Arial" w:hAnsi="Arial" w:cs="Arial"/>
          <w:sz w:val="24"/>
          <w:szCs w:val="24"/>
        </w:rPr>
        <w:t>l</w:t>
      </w:r>
      <w:r w:rsidRPr="00DA6B16">
        <w:rPr>
          <w:rFonts w:ascii="Arial" w:hAnsi="Arial" w:cs="Arial"/>
          <w:sz w:val="24"/>
          <w:szCs w:val="24"/>
        </w:rPr>
        <w:t>ing from Asia and Europe (Shangri-La Group, 2023). The pandemic caused a shift in their customer demographics, with a reduced international travel</w:t>
      </w:r>
      <w:r w:rsidR="00AF53E5">
        <w:rPr>
          <w:rFonts w:ascii="Arial" w:hAnsi="Arial" w:cs="Arial"/>
          <w:sz w:val="24"/>
          <w:szCs w:val="24"/>
        </w:rPr>
        <w:t>l</w:t>
      </w:r>
      <w:r w:rsidRPr="00DA6B16">
        <w:rPr>
          <w:rFonts w:ascii="Arial" w:hAnsi="Arial" w:cs="Arial"/>
          <w:sz w:val="24"/>
          <w:szCs w:val="24"/>
        </w:rPr>
        <w:t xml:space="preserve">er base and an increased focus on attracting local high-income customers. </w:t>
      </w:r>
    </w:p>
    <w:p w14:paraId="16D585CC" w14:textId="7E838EE4" w:rsidR="003358CE" w:rsidRPr="00DA6B16" w:rsidRDefault="003358CE" w:rsidP="00DA6B16">
      <w:pPr>
        <w:spacing w:line="360" w:lineRule="auto"/>
        <w:jc w:val="both"/>
        <w:rPr>
          <w:rFonts w:ascii="Arial" w:hAnsi="Arial" w:cs="Arial"/>
          <w:sz w:val="24"/>
          <w:szCs w:val="24"/>
        </w:rPr>
      </w:pPr>
      <w:r w:rsidRPr="00DA6B16">
        <w:rPr>
          <w:rFonts w:ascii="Arial" w:hAnsi="Arial" w:cs="Arial"/>
          <w:sz w:val="24"/>
          <w:szCs w:val="24"/>
        </w:rPr>
        <w:t>Premier Inn's customer base is very different, targeting more budget-conscious domestic travel</w:t>
      </w:r>
      <w:r w:rsidR="00AF53E5">
        <w:rPr>
          <w:rFonts w:ascii="Arial" w:hAnsi="Arial" w:cs="Arial"/>
          <w:sz w:val="24"/>
          <w:szCs w:val="24"/>
        </w:rPr>
        <w:t>l</w:t>
      </w:r>
      <w:r w:rsidRPr="00DA6B16">
        <w:rPr>
          <w:rFonts w:ascii="Arial" w:hAnsi="Arial" w:cs="Arial"/>
          <w:sz w:val="24"/>
          <w:szCs w:val="24"/>
        </w:rPr>
        <w:t>ers (Ghandour, et al. 2015). In 2018, their primary customer groups included middle-class families, solo travel</w:t>
      </w:r>
      <w:r w:rsidR="00AF53E5">
        <w:rPr>
          <w:rFonts w:ascii="Arial" w:hAnsi="Arial" w:cs="Arial"/>
          <w:sz w:val="24"/>
          <w:szCs w:val="24"/>
        </w:rPr>
        <w:t>l</w:t>
      </w:r>
      <w:r w:rsidRPr="00DA6B16">
        <w:rPr>
          <w:rFonts w:ascii="Arial" w:hAnsi="Arial" w:cs="Arial"/>
          <w:sz w:val="24"/>
          <w:szCs w:val="24"/>
        </w:rPr>
        <w:t>ers, and business professionals looking for affordable accommodations. The pandemic prompted a further shift toward domestic family travel</w:t>
      </w:r>
      <w:r w:rsidR="00AF53E5">
        <w:rPr>
          <w:rFonts w:ascii="Arial" w:hAnsi="Arial" w:cs="Arial"/>
          <w:sz w:val="24"/>
          <w:szCs w:val="24"/>
        </w:rPr>
        <w:t>l</w:t>
      </w:r>
      <w:r w:rsidRPr="00DA6B16">
        <w:rPr>
          <w:rFonts w:ascii="Arial" w:hAnsi="Arial" w:cs="Arial"/>
          <w:sz w:val="24"/>
          <w:szCs w:val="24"/>
        </w:rPr>
        <w:t xml:space="preserve">ers due to restrictions on international travel. </w:t>
      </w:r>
    </w:p>
    <w:p w14:paraId="7E9FD241" w14:textId="77777777" w:rsidR="00DA6B16" w:rsidRDefault="00DA6B16" w:rsidP="003358CE">
      <w:pPr>
        <w:rPr>
          <w:b/>
          <w:bCs/>
        </w:rPr>
      </w:pPr>
    </w:p>
    <w:p w14:paraId="187AA353" w14:textId="5D180C61" w:rsidR="003358CE" w:rsidRPr="00DA6B16" w:rsidRDefault="003358CE" w:rsidP="00DA6B16">
      <w:pPr>
        <w:spacing w:line="360" w:lineRule="auto"/>
        <w:jc w:val="both"/>
        <w:rPr>
          <w:rFonts w:ascii="Arial" w:hAnsi="Arial" w:cs="Arial"/>
          <w:b/>
          <w:bCs/>
          <w:sz w:val="24"/>
          <w:szCs w:val="24"/>
        </w:rPr>
      </w:pPr>
      <w:r w:rsidRPr="00DA6B16">
        <w:rPr>
          <w:rFonts w:ascii="Arial" w:hAnsi="Arial" w:cs="Arial"/>
          <w:b/>
          <w:bCs/>
          <w:sz w:val="24"/>
          <w:szCs w:val="24"/>
        </w:rPr>
        <w:t>Brand Perception</w:t>
      </w:r>
    </w:p>
    <w:p w14:paraId="33D8742E" w14:textId="78787615" w:rsidR="003358CE" w:rsidRPr="00DA6B16" w:rsidRDefault="003358CE" w:rsidP="00DA6B16">
      <w:pPr>
        <w:spacing w:line="360" w:lineRule="auto"/>
        <w:jc w:val="both"/>
        <w:rPr>
          <w:rFonts w:ascii="Arial" w:hAnsi="Arial" w:cs="Arial"/>
          <w:sz w:val="24"/>
          <w:szCs w:val="24"/>
        </w:rPr>
      </w:pPr>
      <w:r w:rsidRPr="00DA6B16">
        <w:rPr>
          <w:rFonts w:ascii="Arial" w:hAnsi="Arial" w:cs="Arial"/>
          <w:sz w:val="24"/>
          <w:szCs w:val="24"/>
        </w:rPr>
        <w:t xml:space="preserve">Shangri-La is perceived as a luxury hotel brand, known for offering premium services and high-end experiences targeted at affluent </w:t>
      </w:r>
      <w:r w:rsidR="00AF53E5" w:rsidRPr="00DA6B16">
        <w:rPr>
          <w:rFonts w:ascii="Arial" w:hAnsi="Arial" w:cs="Arial"/>
          <w:sz w:val="24"/>
          <w:szCs w:val="24"/>
        </w:rPr>
        <w:t>travellers</w:t>
      </w:r>
      <w:r w:rsidRPr="00DA6B16">
        <w:rPr>
          <w:rFonts w:ascii="Arial" w:hAnsi="Arial" w:cs="Arial"/>
          <w:sz w:val="24"/>
          <w:szCs w:val="24"/>
        </w:rPr>
        <w:t>, corporate clients, and luxury vacationers. In contrast, Premier Inn is regarded as a budget-friendly option, offering reliable and affordable accommodations for families, professionals, and solo travel</w:t>
      </w:r>
      <w:r w:rsidR="00AF53E5">
        <w:rPr>
          <w:rFonts w:ascii="Arial" w:hAnsi="Arial" w:cs="Arial"/>
          <w:sz w:val="24"/>
          <w:szCs w:val="24"/>
        </w:rPr>
        <w:t>l</w:t>
      </w:r>
      <w:r w:rsidRPr="00DA6B16">
        <w:rPr>
          <w:rFonts w:ascii="Arial" w:hAnsi="Arial" w:cs="Arial"/>
          <w:sz w:val="24"/>
          <w:szCs w:val="24"/>
        </w:rPr>
        <w:t>ers, with a strong emphasis on value for money in the UK market.</w:t>
      </w:r>
    </w:p>
    <w:p w14:paraId="11EDD810" w14:textId="77777777" w:rsidR="003358CE" w:rsidRDefault="003358CE" w:rsidP="003358CE">
      <w:pPr>
        <w:rPr>
          <w:b/>
          <w:bCs/>
        </w:rPr>
      </w:pPr>
    </w:p>
    <w:p w14:paraId="6C869EFF" w14:textId="77777777" w:rsidR="003358CE" w:rsidRDefault="003358CE" w:rsidP="003358CE">
      <w:pPr>
        <w:rPr>
          <w:b/>
          <w:bCs/>
        </w:rPr>
      </w:pPr>
    </w:p>
    <w:p w14:paraId="7EE5A291" w14:textId="77777777" w:rsidR="00DA6B16" w:rsidRDefault="00DA6B16" w:rsidP="003358CE">
      <w:pPr>
        <w:rPr>
          <w:b/>
          <w:bCs/>
        </w:rPr>
      </w:pPr>
    </w:p>
    <w:p w14:paraId="2617DB74" w14:textId="77777777" w:rsidR="00DA6B16" w:rsidRDefault="00DA6B16" w:rsidP="003358CE">
      <w:pPr>
        <w:rPr>
          <w:b/>
          <w:bCs/>
        </w:rPr>
      </w:pPr>
    </w:p>
    <w:p w14:paraId="5B097FFC" w14:textId="77777777" w:rsidR="00DA6B16" w:rsidRDefault="00DA6B16" w:rsidP="003358CE">
      <w:pPr>
        <w:rPr>
          <w:b/>
          <w:bCs/>
        </w:rPr>
      </w:pPr>
    </w:p>
    <w:p w14:paraId="413A82A6" w14:textId="77777777" w:rsidR="00DA6B16" w:rsidRDefault="00DA6B16" w:rsidP="003358CE">
      <w:pPr>
        <w:rPr>
          <w:b/>
          <w:bCs/>
        </w:rPr>
      </w:pPr>
    </w:p>
    <w:p w14:paraId="79D3EF86" w14:textId="77777777" w:rsidR="00DA6B16" w:rsidRDefault="00DA6B16" w:rsidP="003358CE">
      <w:pPr>
        <w:rPr>
          <w:b/>
          <w:bCs/>
        </w:rPr>
      </w:pPr>
    </w:p>
    <w:p w14:paraId="4B7843B7" w14:textId="77777777" w:rsidR="00DA6B16" w:rsidRDefault="00DA6B16" w:rsidP="003358CE">
      <w:pPr>
        <w:rPr>
          <w:b/>
          <w:bCs/>
        </w:rPr>
      </w:pPr>
    </w:p>
    <w:p w14:paraId="7BABBCD4" w14:textId="77777777" w:rsidR="00DA6B16" w:rsidRDefault="00DA6B16" w:rsidP="003358CE">
      <w:pPr>
        <w:rPr>
          <w:b/>
          <w:bCs/>
        </w:rPr>
      </w:pPr>
    </w:p>
    <w:p w14:paraId="038E9DE4" w14:textId="5FCAA1BD" w:rsidR="003358CE" w:rsidRPr="00DA6B16" w:rsidRDefault="003358CE" w:rsidP="00DA6B16">
      <w:pPr>
        <w:spacing w:line="360" w:lineRule="auto"/>
        <w:jc w:val="both"/>
        <w:rPr>
          <w:rFonts w:ascii="Arial" w:hAnsi="Arial" w:cs="Arial"/>
          <w:b/>
          <w:bCs/>
          <w:sz w:val="24"/>
          <w:szCs w:val="24"/>
        </w:rPr>
      </w:pPr>
      <w:r w:rsidRPr="00DA6B16">
        <w:rPr>
          <w:rFonts w:ascii="Arial" w:hAnsi="Arial" w:cs="Arial"/>
          <w:b/>
          <w:bCs/>
          <w:sz w:val="24"/>
          <w:szCs w:val="24"/>
        </w:rPr>
        <w:lastRenderedPageBreak/>
        <w:t>Competitive Positioning by Using Strategy Clock and Supply and Demand Theory Graph</w:t>
      </w:r>
    </w:p>
    <w:p w14:paraId="114BF40B" w14:textId="77777777" w:rsidR="003358CE" w:rsidRPr="00DA6B16" w:rsidRDefault="003358CE" w:rsidP="00DA6B16">
      <w:pPr>
        <w:spacing w:line="360" w:lineRule="auto"/>
        <w:jc w:val="both"/>
        <w:rPr>
          <w:rFonts w:ascii="Arial" w:hAnsi="Arial" w:cs="Arial"/>
          <w:b/>
          <w:bCs/>
          <w:sz w:val="24"/>
          <w:szCs w:val="24"/>
          <w:u w:val="single"/>
        </w:rPr>
      </w:pPr>
      <w:r w:rsidRPr="00DA6B16">
        <w:rPr>
          <w:rFonts w:ascii="Arial" w:hAnsi="Arial" w:cs="Arial"/>
          <w:b/>
          <w:bCs/>
          <w:sz w:val="24"/>
          <w:szCs w:val="24"/>
          <w:u w:val="single"/>
        </w:rPr>
        <w:t>Strategy Clock</w:t>
      </w:r>
    </w:p>
    <w:p w14:paraId="29DE1706" w14:textId="77777777" w:rsidR="003358CE" w:rsidRPr="00DA6B16" w:rsidRDefault="003358CE" w:rsidP="00DA6B16">
      <w:pPr>
        <w:spacing w:line="360" w:lineRule="auto"/>
        <w:jc w:val="both"/>
        <w:rPr>
          <w:rFonts w:ascii="Arial" w:hAnsi="Arial" w:cs="Arial"/>
          <w:sz w:val="28"/>
          <w:szCs w:val="28"/>
        </w:rPr>
      </w:pPr>
      <w:r w:rsidRPr="00DA6B16">
        <w:rPr>
          <w:rFonts w:ascii="Arial" w:hAnsi="Arial" w:cs="Arial"/>
          <w:noProof/>
          <w:sz w:val="24"/>
          <w:szCs w:val="24"/>
        </w:rPr>
        <w:drawing>
          <wp:anchor distT="0" distB="0" distL="114300" distR="114300" simplePos="0" relativeHeight="251659264" behindDoc="0" locked="0" layoutInCell="1" allowOverlap="1" wp14:anchorId="703D77EC" wp14:editId="012E9711">
            <wp:simplePos x="0" y="0"/>
            <wp:positionH relativeFrom="column">
              <wp:posOffset>3810</wp:posOffset>
            </wp:positionH>
            <wp:positionV relativeFrom="paragraph">
              <wp:posOffset>260350</wp:posOffset>
            </wp:positionV>
            <wp:extent cx="6002020" cy="3898265"/>
            <wp:effectExtent l="0" t="0" r="0" b="6985"/>
            <wp:wrapSquare wrapText="bothSides"/>
            <wp:docPr id="1280886348" name="Picture 1" descr="Bowman's Strategy Clock - Product Mindset's News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y Clock - Product Mindset's Newsle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2020" cy="3898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B16">
        <w:rPr>
          <w:rFonts w:ascii="Arial" w:hAnsi="Arial" w:cs="Arial"/>
          <w:sz w:val="24"/>
          <w:szCs w:val="24"/>
        </w:rPr>
        <w:t>Figure 3: Strategy Clock Model</w:t>
      </w:r>
    </w:p>
    <w:p w14:paraId="48261087" w14:textId="77777777" w:rsidR="003358CE" w:rsidRPr="00DA6B16" w:rsidRDefault="003358CE" w:rsidP="003358CE">
      <w:pPr>
        <w:jc w:val="center"/>
        <w:rPr>
          <w:rFonts w:ascii="Arial" w:hAnsi="Arial" w:cs="Arial"/>
          <w:sz w:val="24"/>
          <w:szCs w:val="24"/>
        </w:rPr>
      </w:pPr>
      <w:r w:rsidRPr="00DA6B16">
        <w:rPr>
          <w:rFonts w:ascii="Arial" w:hAnsi="Arial" w:cs="Arial"/>
          <w:sz w:val="24"/>
          <w:szCs w:val="24"/>
        </w:rPr>
        <w:t>Source: (Product Mindset, 2022)</w:t>
      </w:r>
    </w:p>
    <w:p w14:paraId="55FBB63F" w14:textId="77777777" w:rsidR="00DA6B16" w:rsidRDefault="00DA6B16" w:rsidP="003358CE"/>
    <w:p w14:paraId="7754F297" w14:textId="24C28882" w:rsidR="003358CE" w:rsidRPr="00DA6B16" w:rsidRDefault="003358CE" w:rsidP="00DA6B16">
      <w:pPr>
        <w:spacing w:line="360" w:lineRule="auto"/>
        <w:jc w:val="both"/>
        <w:rPr>
          <w:rFonts w:ascii="Arial" w:hAnsi="Arial" w:cs="Arial"/>
          <w:u w:val="single"/>
        </w:rPr>
      </w:pPr>
      <w:r w:rsidRPr="00DA6B16">
        <w:rPr>
          <w:rFonts w:ascii="Arial" w:hAnsi="Arial" w:cs="Arial"/>
          <w:sz w:val="24"/>
          <w:szCs w:val="24"/>
        </w:rPr>
        <w:t>Using Bowman’s Strategy Clock, Shangri-La falls into the differentiation quadrant, competing by offering high-value luxury services at premium prices. This strategy allows them to maintain their market position among high-end consumers. Shangri-La’s post-pandemic recovery reflects how its sustainable luxury investments helped retain its core customer base despite fluctuating travel demand (Hu and Trivedi, 2020). Premier Inn, on the other hand, sits in the hybrid zone, balancing low costs with moderate differentiation. Their competitive advantage lies in offering good quality accommodations at affordable prices, a strategy that helped them capture a larger share of the UK market post-pandemic (George, 2021).</w:t>
      </w:r>
      <w:r w:rsidRPr="00DA6B16">
        <w:rPr>
          <w:rFonts w:ascii="Arial" w:hAnsi="Arial" w:cs="Arial"/>
          <w:u w:val="single"/>
        </w:rPr>
        <w:br w:type="page"/>
      </w:r>
    </w:p>
    <w:p w14:paraId="10EB8C1C" w14:textId="77777777" w:rsidR="003358CE" w:rsidRPr="00DA6B16" w:rsidRDefault="003358CE" w:rsidP="00DA6B16">
      <w:pPr>
        <w:spacing w:line="360" w:lineRule="auto"/>
        <w:jc w:val="both"/>
        <w:rPr>
          <w:rFonts w:ascii="Arial" w:hAnsi="Arial" w:cs="Arial"/>
          <w:b/>
          <w:bCs/>
          <w:sz w:val="24"/>
          <w:szCs w:val="24"/>
          <w:u w:val="single"/>
        </w:rPr>
      </w:pPr>
      <w:r w:rsidRPr="00DA6B16">
        <w:rPr>
          <w:rFonts w:ascii="Arial" w:hAnsi="Arial" w:cs="Arial"/>
          <w:b/>
          <w:bCs/>
          <w:sz w:val="24"/>
          <w:szCs w:val="24"/>
          <w:u w:val="single"/>
        </w:rPr>
        <w:lastRenderedPageBreak/>
        <w:t>Supply and Demand Theory Graph</w:t>
      </w:r>
    </w:p>
    <w:p w14:paraId="376ACE63" w14:textId="77777777" w:rsidR="003358CE" w:rsidRPr="00DA6B16" w:rsidRDefault="003358CE" w:rsidP="00DA6B16">
      <w:pPr>
        <w:spacing w:line="360" w:lineRule="auto"/>
        <w:jc w:val="both"/>
        <w:rPr>
          <w:rFonts w:ascii="Arial" w:hAnsi="Arial" w:cs="Arial"/>
          <w:sz w:val="24"/>
          <w:szCs w:val="24"/>
        </w:rPr>
      </w:pPr>
      <w:r w:rsidRPr="00DA6B16">
        <w:rPr>
          <w:rFonts w:ascii="Arial" w:hAnsi="Arial" w:cs="Arial"/>
          <w:noProof/>
          <w:sz w:val="24"/>
          <w:szCs w:val="24"/>
        </w:rPr>
        <w:drawing>
          <wp:anchor distT="0" distB="0" distL="114300" distR="114300" simplePos="0" relativeHeight="251660288" behindDoc="0" locked="0" layoutInCell="1" allowOverlap="1" wp14:anchorId="7366243D" wp14:editId="51027CA5">
            <wp:simplePos x="0" y="0"/>
            <wp:positionH relativeFrom="column">
              <wp:posOffset>952500</wp:posOffset>
            </wp:positionH>
            <wp:positionV relativeFrom="paragraph">
              <wp:posOffset>234950</wp:posOffset>
            </wp:positionV>
            <wp:extent cx="4407535" cy="3917950"/>
            <wp:effectExtent l="0" t="0" r="0" b="6350"/>
            <wp:wrapSquare wrapText="bothSides"/>
            <wp:docPr id="843998480" name="Picture 1" descr="Supply and demand | Definition, Example, &amp; Graph | Britannica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ly and demand | Definition, Example, &amp; Graph | Britannica Mone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4335"/>
                    <a:stretch/>
                  </pic:blipFill>
                  <pic:spPr bwMode="auto">
                    <a:xfrm>
                      <a:off x="0" y="0"/>
                      <a:ext cx="4407535" cy="3917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A6B16">
        <w:rPr>
          <w:rFonts w:ascii="Arial" w:hAnsi="Arial" w:cs="Arial"/>
          <w:sz w:val="24"/>
          <w:szCs w:val="24"/>
        </w:rPr>
        <w:t>Figure 4: Supply and Demand Theory Graph</w:t>
      </w:r>
    </w:p>
    <w:p w14:paraId="177C78FE" w14:textId="77777777" w:rsidR="003358CE" w:rsidRDefault="003358CE" w:rsidP="003358CE">
      <w:pPr>
        <w:rPr>
          <w:b/>
          <w:bCs/>
          <w:u w:val="single"/>
        </w:rPr>
      </w:pPr>
    </w:p>
    <w:p w14:paraId="1D3A77A0" w14:textId="77777777" w:rsidR="003358CE" w:rsidRPr="00761281" w:rsidRDefault="003358CE" w:rsidP="003358CE"/>
    <w:p w14:paraId="670BF650" w14:textId="77777777" w:rsidR="003358CE" w:rsidRDefault="003358CE" w:rsidP="003358CE"/>
    <w:p w14:paraId="50F535F3" w14:textId="77777777" w:rsidR="003358CE" w:rsidRDefault="003358CE" w:rsidP="003358CE"/>
    <w:p w14:paraId="6A2391C7" w14:textId="77777777" w:rsidR="003358CE" w:rsidRDefault="003358CE" w:rsidP="003358CE"/>
    <w:p w14:paraId="719C6BB6" w14:textId="77777777" w:rsidR="003358CE" w:rsidRDefault="003358CE" w:rsidP="003358CE"/>
    <w:p w14:paraId="18DD1EF4" w14:textId="77777777" w:rsidR="003358CE" w:rsidRDefault="003358CE" w:rsidP="003358CE"/>
    <w:p w14:paraId="75F9379A" w14:textId="77777777" w:rsidR="003358CE" w:rsidRDefault="003358CE" w:rsidP="003358CE"/>
    <w:p w14:paraId="74D6FB4A" w14:textId="77777777" w:rsidR="003358CE" w:rsidRDefault="003358CE" w:rsidP="003358CE"/>
    <w:p w14:paraId="767338E5" w14:textId="77777777" w:rsidR="003358CE" w:rsidRDefault="003358CE" w:rsidP="003358CE"/>
    <w:p w14:paraId="3D5AA280" w14:textId="77777777" w:rsidR="003358CE" w:rsidRDefault="003358CE" w:rsidP="003358CE"/>
    <w:p w14:paraId="5918E556" w14:textId="77777777" w:rsidR="003358CE" w:rsidRDefault="003358CE" w:rsidP="003358CE"/>
    <w:p w14:paraId="2B22F01B" w14:textId="77777777" w:rsidR="003358CE" w:rsidRDefault="003358CE" w:rsidP="003358CE"/>
    <w:p w14:paraId="2A1F2769" w14:textId="77777777" w:rsidR="003358CE" w:rsidRPr="00DA6B16" w:rsidRDefault="003358CE" w:rsidP="003358CE">
      <w:pPr>
        <w:rPr>
          <w:rFonts w:ascii="Arial" w:hAnsi="Arial" w:cs="Arial"/>
          <w:sz w:val="24"/>
          <w:szCs w:val="24"/>
        </w:rPr>
      </w:pPr>
    </w:p>
    <w:p w14:paraId="0837BF7D" w14:textId="77777777" w:rsidR="003358CE" w:rsidRPr="00DA6B16" w:rsidRDefault="003358CE" w:rsidP="003358CE">
      <w:pPr>
        <w:jc w:val="center"/>
        <w:rPr>
          <w:rFonts w:ascii="Arial" w:hAnsi="Arial" w:cs="Arial"/>
          <w:sz w:val="24"/>
          <w:szCs w:val="24"/>
        </w:rPr>
      </w:pPr>
      <w:r w:rsidRPr="00DA6B16">
        <w:rPr>
          <w:rFonts w:ascii="Arial" w:hAnsi="Arial" w:cs="Arial"/>
          <w:sz w:val="24"/>
          <w:szCs w:val="24"/>
        </w:rPr>
        <w:t>Source: (The Editors of Encyclopaedia Britannica, 2024)</w:t>
      </w:r>
    </w:p>
    <w:p w14:paraId="7DD7D2A6" w14:textId="77777777" w:rsidR="00DA6B16" w:rsidRDefault="00DA6B16" w:rsidP="003358CE"/>
    <w:p w14:paraId="5DB9D7CE" w14:textId="3A6A0ECB" w:rsidR="003358CE" w:rsidRPr="00DA6B16" w:rsidRDefault="003358CE" w:rsidP="00DA6B16">
      <w:pPr>
        <w:spacing w:line="360" w:lineRule="auto"/>
        <w:jc w:val="both"/>
        <w:rPr>
          <w:rFonts w:ascii="Arial" w:hAnsi="Arial" w:cs="Arial"/>
          <w:b/>
          <w:bCs/>
          <w:sz w:val="24"/>
          <w:szCs w:val="24"/>
        </w:rPr>
      </w:pPr>
      <w:r w:rsidRPr="00DA6B16">
        <w:rPr>
          <w:rFonts w:ascii="Arial" w:hAnsi="Arial" w:cs="Arial"/>
          <w:sz w:val="24"/>
          <w:szCs w:val="24"/>
        </w:rPr>
        <w:t>In the Supply and Demand graph, points D and S represent demand and supply curves, while P and Q show the equilibrium price and quantity. The graph illustrates how Shangri-La and Premier Inn shifted pricing/tariffs post-pandemic. Shangri-La's luxury demand declined, forcing price drops, but as demand recovered, the equilibrium shifted upward. Premier Inn, focusing on budget travel</w:t>
      </w:r>
      <w:r w:rsidR="00BE432C">
        <w:rPr>
          <w:rFonts w:ascii="Arial" w:hAnsi="Arial" w:cs="Arial"/>
          <w:sz w:val="24"/>
          <w:szCs w:val="24"/>
        </w:rPr>
        <w:t>l</w:t>
      </w:r>
      <w:r w:rsidRPr="00DA6B16">
        <w:rPr>
          <w:rFonts w:ascii="Arial" w:hAnsi="Arial" w:cs="Arial"/>
          <w:sz w:val="24"/>
          <w:szCs w:val="24"/>
        </w:rPr>
        <w:t>ers, maintained or lowered prices to regain market share. Each brand's competitive position reflects the balance between supply, demand, and their respective sustainability strategies.</w:t>
      </w:r>
    </w:p>
    <w:p w14:paraId="3D98D8EC" w14:textId="64C2EACD" w:rsidR="003358CE" w:rsidRPr="001C165D" w:rsidRDefault="003358CE" w:rsidP="003358CE">
      <w:pPr>
        <w:pStyle w:val="Heading1"/>
      </w:pPr>
      <w:bookmarkStart w:id="6" w:name="_Toc179925580"/>
      <w:bookmarkStart w:id="7" w:name="_Toc180054233"/>
      <w:r w:rsidRPr="001C165D">
        <w:lastRenderedPageBreak/>
        <w:t>Growth Potential</w:t>
      </w:r>
      <w:bookmarkEnd w:id="6"/>
      <w:bookmarkEnd w:id="7"/>
    </w:p>
    <w:p w14:paraId="2BC69C78" w14:textId="6436C0DA"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This task evaluates the growth potential of both Shangri-La Hotels and Premier Inn by analy</w:t>
      </w:r>
      <w:r w:rsidR="00BE432C">
        <w:rPr>
          <w:rFonts w:ascii="Arial" w:hAnsi="Arial" w:cs="Arial"/>
          <w:sz w:val="24"/>
          <w:szCs w:val="24"/>
        </w:rPr>
        <w:t>s</w:t>
      </w:r>
      <w:r w:rsidRPr="00DD3E1E">
        <w:rPr>
          <w:rFonts w:ascii="Arial" w:hAnsi="Arial" w:cs="Arial"/>
          <w:sz w:val="24"/>
          <w:szCs w:val="24"/>
        </w:rPr>
        <w:t>ing their expansion strategies, market opportunities, and potential barriers to growth from 2018 to 2023.</w:t>
      </w:r>
    </w:p>
    <w:p w14:paraId="69FD742C" w14:textId="77777777" w:rsidR="003358CE" w:rsidRPr="00DD3E1E" w:rsidRDefault="003358CE" w:rsidP="00DD3E1E">
      <w:pPr>
        <w:spacing w:line="360" w:lineRule="auto"/>
        <w:jc w:val="both"/>
        <w:rPr>
          <w:rFonts w:ascii="Arial" w:hAnsi="Arial" w:cs="Arial"/>
          <w:b/>
          <w:bCs/>
          <w:sz w:val="24"/>
          <w:szCs w:val="24"/>
        </w:rPr>
      </w:pPr>
      <w:r w:rsidRPr="00DD3E1E">
        <w:rPr>
          <w:rFonts w:ascii="Arial" w:hAnsi="Arial" w:cs="Arial"/>
          <w:b/>
          <w:bCs/>
          <w:sz w:val="24"/>
          <w:szCs w:val="24"/>
        </w:rPr>
        <w:t>Shangri-La Hotels</w:t>
      </w:r>
    </w:p>
    <w:p w14:paraId="3B5E9DEB"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Shangri-La’s growth strategy primarily focuses on expanding its footprint in the luxury hotel market in key regions such as Asia, Europe, and the Middle East (</w:t>
      </w:r>
      <w:proofErr w:type="spellStart"/>
      <w:r w:rsidRPr="00DD3E1E">
        <w:rPr>
          <w:rFonts w:ascii="Arial" w:hAnsi="Arial" w:cs="Arial"/>
          <w:sz w:val="24"/>
          <w:szCs w:val="24"/>
        </w:rPr>
        <w:t>Cherapanukorn</w:t>
      </w:r>
      <w:proofErr w:type="spellEnd"/>
      <w:r w:rsidRPr="00DD3E1E">
        <w:rPr>
          <w:rFonts w:ascii="Arial" w:hAnsi="Arial" w:cs="Arial"/>
          <w:sz w:val="24"/>
          <w:szCs w:val="24"/>
        </w:rPr>
        <w:t xml:space="preserve"> and Focken, 2014). By 2018, Shangri-La had a significant presence in Mainland China, which remains a cornerstone of its expansion. The company has continued to develop new properties in emerging markets such as Southeast Asia and Middle Eastern countries (Abdullah, 2015). </w:t>
      </w:r>
    </w:p>
    <w:p w14:paraId="37DD035C" w14:textId="6FE44544"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Additionally, Shangri-La has been investing in enhancing its existing properties and improving guest experiences through digital innovation and personali</w:t>
      </w:r>
      <w:r w:rsidR="00BE432C">
        <w:rPr>
          <w:rFonts w:ascii="Arial" w:hAnsi="Arial" w:cs="Arial"/>
          <w:sz w:val="24"/>
          <w:szCs w:val="24"/>
        </w:rPr>
        <w:t>s</w:t>
      </w:r>
      <w:r w:rsidRPr="00DD3E1E">
        <w:rPr>
          <w:rFonts w:ascii="Arial" w:hAnsi="Arial" w:cs="Arial"/>
          <w:sz w:val="24"/>
          <w:szCs w:val="24"/>
        </w:rPr>
        <w:t>ed services. By leveraging its strong brand in luxury hospitality, Shangri-La is well-positioned to attract affluent business travel</w:t>
      </w:r>
      <w:r w:rsidR="00BE432C">
        <w:rPr>
          <w:rFonts w:ascii="Arial" w:hAnsi="Arial" w:cs="Arial"/>
          <w:sz w:val="24"/>
          <w:szCs w:val="24"/>
        </w:rPr>
        <w:t>l</w:t>
      </w:r>
      <w:r w:rsidRPr="00DD3E1E">
        <w:rPr>
          <w:rFonts w:ascii="Arial" w:hAnsi="Arial" w:cs="Arial"/>
          <w:sz w:val="24"/>
          <w:szCs w:val="24"/>
        </w:rPr>
        <w:t>ers and corporate clients (Shangri-La Group, 2023).</w:t>
      </w:r>
    </w:p>
    <w:p w14:paraId="34D6A2BC" w14:textId="279282ED"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Market Opportunities for Shangri-La primarily lie in the resumption of international travel, especially in regions like Asia and Europe, where luxury travel demand is expected to rise significantly (Yang, 2013). As travel restrictions ease and affluent travel</w:t>
      </w:r>
      <w:r w:rsidR="00BE432C">
        <w:rPr>
          <w:rFonts w:ascii="Arial" w:hAnsi="Arial" w:cs="Arial"/>
          <w:sz w:val="24"/>
          <w:szCs w:val="24"/>
        </w:rPr>
        <w:t>l</w:t>
      </w:r>
      <w:r w:rsidRPr="00DD3E1E">
        <w:rPr>
          <w:rFonts w:ascii="Arial" w:hAnsi="Arial" w:cs="Arial"/>
          <w:sz w:val="24"/>
          <w:szCs w:val="24"/>
        </w:rPr>
        <w:t xml:space="preserve">ers return to leisure and business travel, Shangri-La is poised to benefit from the increased demand for high-end accommodations and experiences. </w:t>
      </w:r>
    </w:p>
    <w:p w14:paraId="292DD69F"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 xml:space="preserve">However, the company also faces potential barriers to growth, including continued geopolitical tensions in key markets like China and supply chain disruptions in the construction of new hotels. </w:t>
      </w:r>
    </w:p>
    <w:p w14:paraId="5E8F60CF" w14:textId="77777777" w:rsidR="003358CE" w:rsidRPr="00DD3E1E" w:rsidRDefault="003358CE" w:rsidP="00DD3E1E">
      <w:pPr>
        <w:spacing w:line="360" w:lineRule="auto"/>
        <w:jc w:val="both"/>
        <w:rPr>
          <w:rFonts w:ascii="Arial" w:hAnsi="Arial" w:cs="Arial"/>
          <w:b/>
          <w:bCs/>
          <w:sz w:val="24"/>
          <w:szCs w:val="24"/>
        </w:rPr>
      </w:pPr>
      <w:r w:rsidRPr="00DD3E1E">
        <w:rPr>
          <w:rFonts w:ascii="Arial" w:hAnsi="Arial" w:cs="Arial"/>
          <w:b/>
          <w:bCs/>
          <w:sz w:val="24"/>
          <w:szCs w:val="24"/>
        </w:rPr>
        <w:t>Premier Inn (Whitbread PLC)</w:t>
      </w:r>
    </w:p>
    <w:p w14:paraId="3D81D73E"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 xml:space="preserve">Premier Inn's growth strategy differs significantly from Shangri-La’s, focusing on the budget hotel segment with a strong emphasis on expanding its presence in the UK and European markets (Page and Connell, 2020). Before the pandemic, Premier Inn had been gradually increasing its market share through new hotel openings and acquisitions, </w:t>
      </w:r>
      <w:r w:rsidRPr="00DD3E1E">
        <w:rPr>
          <w:rFonts w:ascii="Arial" w:hAnsi="Arial" w:cs="Arial"/>
          <w:sz w:val="24"/>
          <w:szCs w:val="24"/>
        </w:rPr>
        <w:lastRenderedPageBreak/>
        <w:t>particularly in Germany, where the brand saw potential for growth in the budget travel sector. This expansion into Europe presents a key growth opportunity as demand for affordable accommodations increases with the recovery of international and domestic tourism (Whitebread PLC, 2024).</w:t>
      </w:r>
    </w:p>
    <w:p w14:paraId="392B2A88" w14:textId="175A26C6"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Premier Inn’s focus on domestic travel and affordable pricing has helped the company recover faster than luxury brands during the pandemic. Their market opportunity lies in capturing the demand for staycations and budget-conscious travel</w:t>
      </w:r>
      <w:r w:rsidR="00BE432C">
        <w:rPr>
          <w:rFonts w:ascii="Arial" w:hAnsi="Arial" w:cs="Arial"/>
          <w:sz w:val="24"/>
          <w:szCs w:val="24"/>
        </w:rPr>
        <w:t>l</w:t>
      </w:r>
      <w:r w:rsidRPr="00DD3E1E">
        <w:rPr>
          <w:rFonts w:ascii="Arial" w:hAnsi="Arial" w:cs="Arial"/>
          <w:sz w:val="24"/>
          <w:szCs w:val="24"/>
        </w:rPr>
        <w:t xml:space="preserve">ers as domestic tourism continues to grow in the UK post-pandemic (Bas and </w:t>
      </w:r>
      <w:proofErr w:type="spellStart"/>
      <w:r w:rsidRPr="00DD3E1E">
        <w:rPr>
          <w:rFonts w:ascii="Arial" w:hAnsi="Arial" w:cs="Arial"/>
          <w:sz w:val="24"/>
          <w:szCs w:val="24"/>
        </w:rPr>
        <w:t>Sivaprasad</w:t>
      </w:r>
      <w:proofErr w:type="spellEnd"/>
      <w:r w:rsidRPr="00DD3E1E">
        <w:rPr>
          <w:rFonts w:ascii="Arial" w:hAnsi="Arial" w:cs="Arial"/>
          <w:sz w:val="24"/>
          <w:szCs w:val="24"/>
        </w:rPr>
        <w:t>, 2022).</w:t>
      </w:r>
    </w:p>
    <w:p w14:paraId="480B8869"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 xml:space="preserve">Despite these opportunities, Premier Inn faces potential barriers to growth such as increasing competition from other budget hotel brands and alternative accommodations like Airbnb (Mody and Gomez, 2018). </w:t>
      </w:r>
    </w:p>
    <w:p w14:paraId="7D7CF849" w14:textId="569D1F34" w:rsidR="003358CE" w:rsidRPr="001C165D" w:rsidRDefault="003358CE" w:rsidP="003358CE">
      <w:pPr>
        <w:pStyle w:val="Heading1"/>
      </w:pPr>
      <w:bookmarkStart w:id="8" w:name="_Toc179925581"/>
      <w:bookmarkStart w:id="9" w:name="_Toc180054234"/>
      <w:r w:rsidRPr="001C165D">
        <w:t>Financial Commitment to CSR (Corporate Social Responsibility)</w:t>
      </w:r>
      <w:bookmarkEnd w:id="8"/>
      <w:bookmarkEnd w:id="9"/>
    </w:p>
    <w:p w14:paraId="3E4E080C"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This task covers the current CSR policies and the financial commitment of both the Shangri-La Hotels and the Premier Inn (Whitbread PLC) for the last six years (2018-2023).</w:t>
      </w:r>
    </w:p>
    <w:p w14:paraId="52979431" w14:textId="77777777" w:rsidR="003358CE" w:rsidRPr="00DD3E1E" w:rsidRDefault="003358CE" w:rsidP="00DD3E1E">
      <w:pPr>
        <w:jc w:val="both"/>
        <w:rPr>
          <w:rFonts w:ascii="Arial" w:hAnsi="Arial" w:cs="Arial"/>
          <w:sz w:val="24"/>
          <w:szCs w:val="24"/>
        </w:rPr>
      </w:pPr>
      <w:r w:rsidRPr="00DD3E1E">
        <w:rPr>
          <w:rFonts w:ascii="Arial" w:hAnsi="Arial" w:cs="Arial"/>
          <w:sz w:val="24"/>
          <w:szCs w:val="24"/>
        </w:rPr>
        <w:t>Table 2: Summary of CSR Activities (2018-2023)</w:t>
      </w:r>
    </w:p>
    <w:tbl>
      <w:tblPr>
        <w:tblStyle w:val="TableGrid"/>
        <w:tblW w:w="0" w:type="auto"/>
        <w:tblLook w:val="04A0" w:firstRow="1" w:lastRow="0" w:firstColumn="1" w:lastColumn="0" w:noHBand="0" w:noVBand="1"/>
      </w:tblPr>
      <w:tblGrid>
        <w:gridCol w:w="750"/>
        <w:gridCol w:w="3999"/>
        <w:gridCol w:w="4601"/>
      </w:tblGrid>
      <w:tr w:rsidR="003358CE" w:rsidRPr="001C165D" w14:paraId="426938DB" w14:textId="77777777" w:rsidTr="003B6998">
        <w:tc>
          <w:tcPr>
            <w:tcW w:w="0" w:type="auto"/>
            <w:shd w:val="clear" w:color="auto" w:fill="95DCF7" w:themeFill="accent4" w:themeFillTint="66"/>
            <w:hideMark/>
          </w:tcPr>
          <w:p w14:paraId="1C1D01DB" w14:textId="77777777" w:rsidR="003358CE" w:rsidRPr="001C165D" w:rsidRDefault="003358CE" w:rsidP="003B6998">
            <w:pPr>
              <w:rPr>
                <w:b/>
                <w:bCs/>
              </w:rPr>
            </w:pPr>
            <w:r w:rsidRPr="001C165D">
              <w:rPr>
                <w:b/>
                <w:bCs/>
              </w:rPr>
              <w:t>Year</w:t>
            </w:r>
          </w:p>
        </w:tc>
        <w:tc>
          <w:tcPr>
            <w:tcW w:w="0" w:type="auto"/>
            <w:shd w:val="clear" w:color="auto" w:fill="95DCF7" w:themeFill="accent4" w:themeFillTint="66"/>
            <w:hideMark/>
          </w:tcPr>
          <w:p w14:paraId="1FDCF12C" w14:textId="77777777" w:rsidR="003358CE" w:rsidRPr="001C165D" w:rsidRDefault="003358CE" w:rsidP="003B6998">
            <w:pPr>
              <w:rPr>
                <w:b/>
                <w:bCs/>
              </w:rPr>
            </w:pPr>
            <w:r w:rsidRPr="001C165D">
              <w:rPr>
                <w:b/>
                <w:bCs/>
              </w:rPr>
              <w:t>Shangri-La CSR Initiatives</w:t>
            </w:r>
          </w:p>
        </w:tc>
        <w:tc>
          <w:tcPr>
            <w:tcW w:w="0" w:type="auto"/>
            <w:shd w:val="clear" w:color="auto" w:fill="95DCF7" w:themeFill="accent4" w:themeFillTint="66"/>
            <w:hideMark/>
          </w:tcPr>
          <w:p w14:paraId="7A1CEAD0" w14:textId="77777777" w:rsidR="003358CE" w:rsidRPr="001C165D" w:rsidRDefault="003358CE" w:rsidP="003B6998">
            <w:pPr>
              <w:rPr>
                <w:b/>
                <w:bCs/>
              </w:rPr>
            </w:pPr>
            <w:r w:rsidRPr="001C165D">
              <w:rPr>
                <w:b/>
                <w:bCs/>
              </w:rPr>
              <w:t>Premier Inn CSR Initiatives</w:t>
            </w:r>
          </w:p>
        </w:tc>
      </w:tr>
      <w:tr w:rsidR="003358CE" w:rsidRPr="001C165D" w14:paraId="7C655A86" w14:textId="77777777" w:rsidTr="003B6998">
        <w:tc>
          <w:tcPr>
            <w:tcW w:w="0" w:type="auto"/>
            <w:hideMark/>
          </w:tcPr>
          <w:p w14:paraId="59B6F6CF"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b/>
                <w:bCs/>
                <w:sz w:val="24"/>
                <w:szCs w:val="24"/>
              </w:rPr>
              <w:t>2018</w:t>
            </w:r>
          </w:p>
        </w:tc>
        <w:tc>
          <w:tcPr>
            <w:tcW w:w="0" w:type="auto"/>
            <w:hideMark/>
          </w:tcPr>
          <w:p w14:paraId="5B274774"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Focus on community engagement and volunteering programs in Asia.</w:t>
            </w:r>
          </w:p>
        </w:tc>
        <w:tc>
          <w:tcPr>
            <w:tcW w:w="0" w:type="auto"/>
            <w:hideMark/>
          </w:tcPr>
          <w:p w14:paraId="0CED0855"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Launched the Force for Good program, focusing on community support.</w:t>
            </w:r>
          </w:p>
        </w:tc>
      </w:tr>
      <w:tr w:rsidR="003358CE" w:rsidRPr="001C165D" w14:paraId="64FCDD95" w14:textId="77777777" w:rsidTr="003B6998">
        <w:tc>
          <w:tcPr>
            <w:tcW w:w="0" w:type="auto"/>
            <w:hideMark/>
          </w:tcPr>
          <w:p w14:paraId="574EC8FB"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b/>
                <w:bCs/>
                <w:sz w:val="24"/>
                <w:szCs w:val="24"/>
              </w:rPr>
              <w:t>2019</w:t>
            </w:r>
          </w:p>
        </w:tc>
        <w:tc>
          <w:tcPr>
            <w:tcW w:w="0" w:type="auto"/>
            <w:hideMark/>
          </w:tcPr>
          <w:p w14:paraId="04811A3B"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Enhanced efforts towards sustainability by reducing carbon footprint and waste management; launched green programs.</w:t>
            </w:r>
          </w:p>
        </w:tc>
        <w:tc>
          <w:tcPr>
            <w:tcW w:w="0" w:type="auto"/>
            <w:hideMark/>
          </w:tcPr>
          <w:p w14:paraId="67D80320"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Focus on reducing environmental impact, energy consumption, and waste; significant funds allocated to charity partnerships, such as Great Ormond Street Hospital.</w:t>
            </w:r>
          </w:p>
        </w:tc>
      </w:tr>
      <w:tr w:rsidR="003358CE" w:rsidRPr="001C165D" w14:paraId="2691E5F3" w14:textId="77777777" w:rsidTr="003B6998">
        <w:tc>
          <w:tcPr>
            <w:tcW w:w="0" w:type="auto"/>
            <w:hideMark/>
          </w:tcPr>
          <w:p w14:paraId="53CD79BD"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b/>
                <w:bCs/>
                <w:sz w:val="24"/>
                <w:szCs w:val="24"/>
              </w:rPr>
              <w:t>2020</w:t>
            </w:r>
          </w:p>
        </w:tc>
        <w:tc>
          <w:tcPr>
            <w:tcW w:w="0" w:type="auto"/>
            <w:hideMark/>
          </w:tcPr>
          <w:p w14:paraId="0CC434FC"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 xml:space="preserve">COVID-19 response: Introduced "Shangri-La Cares" program focusing on safety, hygiene, and </w:t>
            </w:r>
            <w:r w:rsidRPr="00DD3E1E">
              <w:rPr>
                <w:rFonts w:ascii="Arial" w:hAnsi="Arial" w:cs="Arial"/>
                <w:sz w:val="24"/>
                <w:szCs w:val="24"/>
              </w:rPr>
              <w:lastRenderedPageBreak/>
              <w:t>supporting local communities (Shangri-La Group, 2023).</w:t>
            </w:r>
          </w:p>
        </w:tc>
        <w:tc>
          <w:tcPr>
            <w:tcW w:w="0" w:type="auto"/>
            <w:hideMark/>
          </w:tcPr>
          <w:p w14:paraId="5E315B8C"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lastRenderedPageBreak/>
              <w:t xml:space="preserve">COVID-19 response: Support for NHS and local communities through donations; </w:t>
            </w:r>
            <w:r w:rsidRPr="00DD3E1E">
              <w:rPr>
                <w:rFonts w:ascii="Arial" w:hAnsi="Arial" w:cs="Arial"/>
                <w:sz w:val="24"/>
                <w:szCs w:val="24"/>
              </w:rPr>
              <w:lastRenderedPageBreak/>
              <w:t>enhanced employee safety and well-being initiatives.</w:t>
            </w:r>
          </w:p>
        </w:tc>
      </w:tr>
      <w:tr w:rsidR="003358CE" w:rsidRPr="001C165D" w14:paraId="2EC575E8" w14:textId="77777777" w:rsidTr="003B6998">
        <w:tc>
          <w:tcPr>
            <w:tcW w:w="0" w:type="auto"/>
            <w:hideMark/>
          </w:tcPr>
          <w:p w14:paraId="462F57D2"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b/>
                <w:bCs/>
                <w:sz w:val="24"/>
                <w:szCs w:val="24"/>
              </w:rPr>
              <w:t>2021</w:t>
            </w:r>
          </w:p>
        </w:tc>
        <w:tc>
          <w:tcPr>
            <w:tcW w:w="0" w:type="auto"/>
            <w:hideMark/>
          </w:tcPr>
          <w:p w14:paraId="2148E424"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Expanded focus on sustainability with carbon emission reduction targets.</w:t>
            </w:r>
          </w:p>
        </w:tc>
        <w:tc>
          <w:tcPr>
            <w:tcW w:w="0" w:type="auto"/>
            <w:hideMark/>
          </w:tcPr>
          <w:p w14:paraId="0464EC2F"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Continued sustainability initiatives with a focus on reducing waste and carbon footprint.</w:t>
            </w:r>
          </w:p>
        </w:tc>
      </w:tr>
      <w:tr w:rsidR="003358CE" w:rsidRPr="001C165D" w14:paraId="7907EDEE" w14:textId="77777777" w:rsidTr="003B6998">
        <w:tc>
          <w:tcPr>
            <w:tcW w:w="0" w:type="auto"/>
            <w:hideMark/>
          </w:tcPr>
          <w:p w14:paraId="68490CE9"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b/>
                <w:bCs/>
                <w:sz w:val="24"/>
                <w:szCs w:val="24"/>
              </w:rPr>
              <w:t>2022</w:t>
            </w:r>
          </w:p>
        </w:tc>
        <w:tc>
          <w:tcPr>
            <w:tcW w:w="0" w:type="auto"/>
            <w:hideMark/>
          </w:tcPr>
          <w:p w14:paraId="5581395C"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Implemented renewable energy initiatives in key properties; expanded corporate giving and community volunteering efforts.</w:t>
            </w:r>
          </w:p>
        </w:tc>
        <w:tc>
          <w:tcPr>
            <w:tcW w:w="0" w:type="auto"/>
            <w:hideMark/>
          </w:tcPr>
          <w:p w14:paraId="59825BC8" w14:textId="77777777" w:rsidR="003358CE" w:rsidRPr="00DD3E1E" w:rsidRDefault="003358CE" w:rsidP="00DD3E1E">
            <w:pPr>
              <w:spacing w:line="360" w:lineRule="auto"/>
              <w:jc w:val="both"/>
              <w:rPr>
                <w:rFonts w:ascii="Arial" w:hAnsi="Arial" w:cs="Arial"/>
                <w:sz w:val="24"/>
                <w:szCs w:val="24"/>
              </w:rPr>
            </w:pPr>
            <w:r w:rsidRPr="00DD3E1E">
              <w:rPr>
                <w:rFonts w:ascii="Arial" w:hAnsi="Arial" w:cs="Arial"/>
                <w:sz w:val="24"/>
                <w:szCs w:val="24"/>
              </w:rPr>
              <w:t>Environmental focus: Further investments in renewable energy sources and environmental programs.</w:t>
            </w:r>
          </w:p>
        </w:tc>
      </w:tr>
      <w:tr w:rsidR="003358CE" w:rsidRPr="00F0741C" w14:paraId="3F2927A3" w14:textId="77777777" w:rsidTr="003B6998">
        <w:tc>
          <w:tcPr>
            <w:tcW w:w="0" w:type="auto"/>
            <w:hideMark/>
          </w:tcPr>
          <w:p w14:paraId="403FC157" w14:textId="77777777" w:rsidR="003358CE" w:rsidRPr="006E345C" w:rsidRDefault="003358CE" w:rsidP="006E345C">
            <w:pPr>
              <w:spacing w:line="360" w:lineRule="auto"/>
              <w:jc w:val="both"/>
              <w:rPr>
                <w:rFonts w:ascii="Arial" w:hAnsi="Arial" w:cs="Arial"/>
                <w:sz w:val="24"/>
                <w:szCs w:val="24"/>
              </w:rPr>
            </w:pPr>
            <w:r w:rsidRPr="006E345C">
              <w:rPr>
                <w:rFonts w:ascii="Arial" w:hAnsi="Arial" w:cs="Arial"/>
                <w:sz w:val="24"/>
                <w:szCs w:val="24"/>
              </w:rPr>
              <w:t>2023</w:t>
            </w:r>
          </w:p>
        </w:tc>
        <w:tc>
          <w:tcPr>
            <w:tcW w:w="0" w:type="auto"/>
            <w:hideMark/>
          </w:tcPr>
          <w:p w14:paraId="68E90670" w14:textId="1D0BB7A7" w:rsidR="003358CE" w:rsidRPr="006E345C" w:rsidRDefault="003358CE" w:rsidP="006E345C">
            <w:pPr>
              <w:spacing w:line="360" w:lineRule="auto"/>
              <w:jc w:val="both"/>
              <w:rPr>
                <w:rFonts w:ascii="Arial" w:hAnsi="Arial" w:cs="Arial"/>
                <w:sz w:val="24"/>
                <w:szCs w:val="24"/>
              </w:rPr>
            </w:pPr>
            <w:r w:rsidRPr="006E345C">
              <w:rPr>
                <w:rFonts w:ascii="Arial" w:hAnsi="Arial" w:cs="Arial"/>
                <w:sz w:val="24"/>
                <w:szCs w:val="24"/>
              </w:rPr>
              <w:t>Emphasi</w:t>
            </w:r>
            <w:r w:rsidR="00572BD4" w:rsidRPr="006E345C">
              <w:rPr>
                <w:rFonts w:ascii="Arial" w:hAnsi="Arial" w:cs="Arial"/>
                <w:sz w:val="24"/>
                <w:szCs w:val="24"/>
              </w:rPr>
              <w:t>s</w:t>
            </w:r>
            <w:r w:rsidRPr="006E345C">
              <w:rPr>
                <w:rFonts w:ascii="Arial" w:hAnsi="Arial" w:cs="Arial"/>
                <w:sz w:val="24"/>
                <w:szCs w:val="24"/>
              </w:rPr>
              <w:t>ed sustainable tourism initiatives, including property upgrades to meet global environmental standards.</w:t>
            </w:r>
          </w:p>
        </w:tc>
        <w:tc>
          <w:tcPr>
            <w:tcW w:w="0" w:type="auto"/>
            <w:hideMark/>
          </w:tcPr>
          <w:p w14:paraId="4EA8DCBD" w14:textId="77777777" w:rsidR="003358CE" w:rsidRPr="006E345C" w:rsidRDefault="003358CE" w:rsidP="006E345C">
            <w:pPr>
              <w:spacing w:line="360" w:lineRule="auto"/>
              <w:jc w:val="both"/>
              <w:rPr>
                <w:rFonts w:ascii="Arial" w:hAnsi="Arial" w:cs="Arial"/>
                <w:sz w:val="24"/>
                <w:szCs w:val="24"/>
              </w:rPr>
            </w:pPr>
            <w:r w:rsidRPr="006E345C">
              <w:rPr>
                <w:rFonts w:ascii="Arial" w:hAnsi="Arial" w:cs="Arial"/>
                <w:sz w:val="24"/>
                <w:szCs w:val="24"/>
              </w:rPr>
              <w:t>Expanded Force for Good initiatives, focusing on social responsibility, environmental sustainability, and employee well-being, with increased financial investment (Whitebread PLC, 2024).</w:t>
            </w:r>
          </w:p>
        </w:tc>
      </w:tr>
    </w:tbl>
    <w:p w14:paraId="28E25E0D" w14:textId="77777777" w:rsidR="003358CE" w:rsidRDefault="003358CE" w:rsidP="003358CE">
      <w:pPr>
        <w:jc w:val="center"/>
      </w:pPr>
      <w:r w:rsidRPr="00F0741C">
        <w:t>Source: Author’s Made</w:t>
      </w:r>
    </w:p>
    <w:p w14:paraId="355843B5" w14:textId="77777777" w:rsidR="00DD3E1E" w:rsidRDefault="00DD3E1E" w:rsidP="003358CE">
      <w:pPr>
        <w:rPr>
          <w:b/>
          <w:bCs/>
        </w:rPr>
      </w:pPr>
    </w:p>
    <w:p w14:paraId="0F3ED74B" w14:textId="5A6A269D" w:rsidR="003358CE" w:rsidRPr="00DD3E1E" w:rsidRDefault="003358CE" w:rsidP="00DD3E1E">
      <w:pPr>
        <w:spacing w:line="360" w:lineRule="auto"/>
        <w:jc w:val="both"/>
        <w:rPr>
          <w:rFonts w:ascii="Arial" w:hAnsi="Arial" w:cs="Arial"/>
          <w:b/>
          <w:bCs/>
          <w:sz w:val="24"/>
          <w:szCs w:val="24"/>
        </w:rPr>
      </w:pPr>
      <w:r w:rsidRPr="00DD3E1E">
        <w:rPr>
          <w:rFonts w:ascii="Arial" w:hAnsi="Arial" w:cs="Arial"/>
          <w:b/>
          <w:bCs/>
          <w:sz w:val="24"/>
          <w:szCs w:val="24"/>
        </w:rPr>
        <w:t>Comparative Analysis: Luxury vs. Cost-Effective Sustainability</w:t>
      </w:r>
    </w:p>
    <w:p w14:paraId="78D5FF0E" w14:textId="77777777" w:rsidR="003358CE" w:rsidRPr="00DD3E1E" w:rsidRDefault="003358CE" w:rsidP="00DD3E1E">
      <w:pPr>
        <w:jc w:val="both"/>
        <w:rPr>
          <w:rFonts w:ascii="Arial" w:hAnsi="Arial" w:cs="Arial"/>
          <w:sz w:val="24"/>
          <w:szCs w:val="24"/>
        </w:rPr>
      </w:pPr>
      <w:r w:rsidRPr="00DD3E1E">
        <w:rPr>
          <w:rFonts w:ascii="Arial" w:hAnsi="Arial" w:cs="Arial"/>
          <w:sz w:val="24"/>
          <w:szCs w:val="24"/>
        </w:rPr>
        <w:t>Table 3: Comparative Analysis of Sustainability</w:t>
      </w:r>
    </w:p>
    <w:tbl>
      <w:tblPr>
        <w:tblStyle w:val="TableGrid"/>
        <w:tblW w:w="0" w:type="auto"/>
        <w:tblLook w:val="04A0" w:firstRow="1" w:lastRow="0" w:firstColumn="1" w:lastColumn="0" w:noHBand="0" w:noVBand="1"/>
      </w:tblPr>
      <w:tblGrid>
        <w:gridCol w:w="4276"/>
        <w:gridCol w:w="5074"/>
      </w:tblGrid>
      <w:tr w:rsidR="003358CE" w:rsidRPr="004303E6" w14:paraId="13A0EBD2" w14:textId="77777777" w:rsidTr="003B6998">
        <w:tc>
          <w:tcPr>
            <w:tcW w:w="0" w:type="auto"/>
            <w:shd w:val="clear" w:color="auto" w:fill="95DCF7" w:themeFill="accent4" w:themeFillTint="66"/>
            <w:hideMark/>
          </w:tcPr>
          <w:p w14:paraId="44A6BFBC" w14:textId="77777777" w:rsidR="003358CE" w:rsidRPr="006A1915" w:rsidRDefault="003358CE" w:rsidP="006A1915">
            <w:pPr>
              <w:spacing w:line="360" w:lineRule="auto"/>
              <w:jc w:val="both"/>
              <w:rPr>
                <w:rFonts w:ascii="Arial" w:hAnsi="Arial" w:cs="Arial"/>
                <w:b/>
                <w:bCs/>
                <w:sz w:val="24"/>
                <w:szCs w:val="24"/>
              </w:rPr>
            </w:pPr>
            <w:r w:rsidRPr="006A1915">
              <w:rPr>
                <w:rFonts w:ascii="Arial" w:hAnsi="Arial" w:cs="Arial"/>
                <w:b/>
                <w:bCs/>
                <w:sz w:val="24"/>
                <w:szCs w:val="24"/>
              </w:rPr>
              <w:t>Shangri-La</w:t>
            </w:r>
          </w:p>
        </w:tc>
        <w:tc>
          <w:tcPr>
            <w:tcW w:w="0" w:type="auto"/>
            <w:shd w:val="clear" w:color="auto" w:fill="95DCF7" w:themeFill="accent4" w:themeFillTint="66"/>
            <w:hideMark/>
          </w:tcPr>
          <w:p w14:paraId="4C166EAE" w14:textId="77777777" w:rsidR="003358CE" w:rsidRPr="006A1915" w:rsidRDefault="003358CE" w:rsidP="006A1915">
            <w:pPr>
              <w:spacing w:line="360" w:lineRule="auto"/>
              <w:jc w:val="both"/>
              <w:rPr>
                <w:rFonts w:ascii="Arial" w:hAnsi="Arial" w:cs="Arial"/>
                <w:b/>
                <w:bCs/>
                <w:sz w:val="24"/>
                <w:szCs w:val="24"/>
              </w:rPr>
            </w:pPr>
            <w:r w:rsidRPr="006A1915">
              <w:rPr>
                <w:rFonts w:ascii="Arial" w:hAnsi="Arial" w:cs="Arial"/>
                <w:b/>
                <w:bCs/>
                <w:sz w:val="24"/>
                <w:szCs w:val="24"/>
              </w:rPr>
              <w:t>Premier Inn</w:t>
            </w:r>
          </w:p>
        </w:tc>
      </w:tr>
      <w:tr w:rsidR="003358CE" w:rsidRPr="004303E6" w14:paraId="2B4B7A94" w14:textId="77777777" w:rsidTr="003B6998">
        <w:tc>
          <w:tcPr>
            <w:tcW w:w="0" w:type="auto"/>
            <w:hideMark/>
          </w:tcPr>
          <w:p w14:paraId="1F838C44" w14:textId="2DCB0787" w:rsidR="003358CE" w:rsidRPr="006A1915" w:rsidRDefault="003358CE" w:rsidP="006A1915">
            <w:pPr>
              <w:spacing w:line="360" w:lineRule="auto"/>
              <w:jc w:val="both"/>
              <w:rPr>
                <w:rFonts w:ascii="Arial" w:hAnsi="Arial" w:cs="Arial"/>
                <w:sz w:val="24"/>
                <w:szCs w:val="24"/>
              </w:rPr>
            </w:pPr>
            <w:r w:rsidRPr="006A1915">
              <w:rPr>
                <w:rFonts w:ascii="Arial" w:hAnsi="Arial" w:cs="Arial"/>
                <w:sz w:val="24"/>
                <w:szCs w:val="24"/>
              </w:rPr>
              <w:t>High-net-worth individuals, affluent travel</w:t>
            </w:r>
            <w:r w:rsidR="00572BD4">
              <w:rPr>
                <w:rFonts w:ascii="Arial" w:hAnsi="Arial" w:cs="Arial"/>
                <w:sz w:val="24"/>
                <w:szCs w:val="24"/>
              </w:rPr>
              <w:t>l</w:t>
            </w:r>
            <w:r w:rsidRPr="006A1915">
              <w:rPr>
                <w:rFonts w:ascii="Arial" w:hAnsi="Arial" w:cs="Arial"/>
                <w:sz w:val="24"/>
                <w:szCs w:val="24"/>
              </w:rPr>
              <w:t>ers</w:t>
            </w:r>
          </w:p>
        </w:tc>
        <w:tc>
          <w:tcPr>
            <w:tcW w:w="0" w:type="auto"/>
            <w:hideMark/>
          </w:tcPr>
          <w:p w14:paraId="14A8D04B" w14:textId="65914C72" w:rsidR="003358CE" w:rsidRPr="006A1915" w:rsidRDefault="003358CE" w:rsidP="006A1915">
            <w:pPr>
              <w:spacing w:line="360" w:lineRule="auto"/>
              <w:jc w:val="both"/>
              <w:rPr>
                <w:rFonts w:ascii="Arial" w:hAnsi="Arial" w:cs="Arial"/>
                <w:sz w:val="24"/>
                <w:szCs w:val="24"/>
              </w:rPr>
            </w:pPr>
            <w:r w:rsidRPr="006A1915">
              <w:rPr>
                <w:rFonts w:ascii="Arial" w:hAnsi="Arial" w:cs="Arial"/>
                <w:sz w:val="24"/>
                <w:szCs w:val="24"/>
              </w:rPr>
              <w:t>Budget-conscious domestic travel</w:t>
            </w:r>
            <w:r w:rsidR="00572BD4">
              <w:rPr>
                <w:rFonts w:ascii="Arial" w:hAnsi="Arial" w:cs="Arial"/>
                <w:sz w:val="24"/>
                <w:szCs w:val="24"/>
              </w:rPr>
              <w:t>l</w:t>
            </w:r>
            <w:r w:rsidRPr="006A1915">
              <w:rPr>
                <w:rFonts w:ascii="Arial" w:hAnsi="Arial" w:cs="Arial"/>
                <w:sz w:val="24"/>
                <w:szCs w:val="24"/>
              </w:rPr>
              <w:t>ers</w:t>
            </w:r>
          </w:p>
        </w:tc>
      </w:tr>
      <w:tr w:rsidR="003358CE" w:rsidRPr="004303E6" w14:paraId="61409696" w14:textId="77777777" w:rsidTr="003B6998">
        <w:tc>
          <w:tcPr>
            <w:tcW w:w="0" w:type="auto"/>
            <w:hideMark/>
          </w:tcPr>
          <w:p w14:paraId="09AA557D" w14:textId="77777777" w:rsidR="003358CE" w:rsidRPr="006A1915" w:rsidRDefault="003358CE" w:rsidP="006A1915">
            <w:pPr>
              <w:spacing w:line="360" w:lineRule="auto"/>
              <w:jc w:val="both"/>
              <w:rPr>
                <w:rFonts w:ascii="Arial" w:hAnsi="Arial" w:cs="Arial"/>
                <w:sz w:val="24"/>
                <w:szCs w:val="24"/>
              </w:rPr>
            </w:pPr>
            <w:r w:rsidRPr="006A1915">
              <w:rPr>
                <w:rFonts w:ascii="Arial" w:hAnsi="Arial" w:cs="Arial"/>
                <w:sz w:val="24"/>
                <w:szCs w:val="24"/>
              </w:rPr>
              <w:t>Luxury sustainable tourism</w:t>
            </w:r>
          </w:p>
        </w:tc>
        <w:tc>
          <w:tcPr>
            <w:tcW w:w="0" w:type="auto"/>
            <w:hideMark/>
          </w:tcPr>
          <w:p w14:paraId="669E4817" w14:textId="77777777" w:rsidR="003358CE" w:rsidRPr="006A1915" w:rsidRDefault="003358CE" w:rsidP="006A1915">
            <w:pPr>
              <w:spacing w:line="360" w:lineRule="auto"/>
              <w:jc w:val="both"/>
              <w:rPr>
                <w:rFonts w:ascii="Arial" w:hAnsi="Arial" w:cs="Arial"/>
                <w:sz w:val="24"/>
                <w:szCs w:val="24"/>
              </w:rPr>
            </w:pPr>
            <w:r w:rsidRPr="006A1915">
              <w:rPr>
                <w:rFonts w:ascii="Arial" w:hAnsi="Arial" w:cs="Arial"/>
                <w:sz w:val="24"/>
                <w:szCs w:val="24"/>
              </w:rPr>
              <w:t>Cost-effective sustainability (energy efficiency, carbon reduction)</w:t>
            </w:r>
          </w:p>
        </w:tc>
      </w:tr>
      <w:tr w:rsidR="003358CE" w:rsidRPr="004303E6" w14:paraId="1E405DA6" w14:textId="77777777" w:rsidTr="003B6998">
        <w:tc>
          <w:tcPr>
            <w:tcW w:w="0" w:type="auto"/>
            <w:hideMark/>
          </w:tcPr>
          <w:p w14:paraId="05DDD87B" w14:textId="77777777" w:rsidR="003358CE" w:rsidRPr="006A1915" w:rsidRDefault="003358CE" w:rsidP="006A1915">
            <w:pPr>
              <w:spacing w:line="360" w:lineRule="auto"/>
              <w:jc w:val="both"/>
              <w:rPr>
                <w:rFonts w:ascii="Arial" w:hAnsi="Arial" w:cs="Arial"/>
                <w:sz w:val="24"/>
                <w:szCs w:val="24"/>
              </w:rPr>
            </w:pPr>
            <w:r w:rsidRPr="006A1915">
              <w:rPr>
                <w:rFonts w:ascii="Arial" w:hAnsi="Arial" w:cs="Arial"/>
                <w:sz w:val="24"/>
                <w:szCs w:val="24"/>
              </w:rPr>
              <w:t>Eco-friendly luxury, carbon-neutral accommodations</w:t>
            </w:r>
          </w:p>
        </w:tc>
        <w:tc>
          <w:tcPr>
            <w:tcW w:w="0" w:type="auto"/>
            <w:hideMark/>
          </w:tcPr>
          <w:p w14:paraId="2AC68DF3" w14:textId="77777777" w:rsidR="003358CE" w:rsidRPr="006A1915" w:rsidRDefault="003358CE" w:rsidP="006A1915">
            <w:pPr>
              <w:spacing w:line="360" w:lineRule="auto"/>
              <w:jc w:val="both"/>
              <w:rPr>
                <w:rFonts w:ascii="Arial" w:hAnsi="Arial" w:cs="Arial"/>
                <w:sz w:val="24"/>
                <w:szCs w:val="24"/>
              </w:rPr>
            </w:pPr>
            <w:r w:rsidRPr="006A1915">
              <w:rPr>
                <w:rFonts w:ascii="Arial" w:hAnsi="Arial" w:cs="Arial"/>
                <w:sz w:val="24"/>
                <w:szCs w:val="24"/>
              </w:rPr>
              <w:t>Energy-saving technologies, sustainable sourcing</w:t>
            </w:r>
          </w:p>
        </w:tc>
      </w:tr>
      <w:tr w:rsidR="003358CE" w:rsidRPr="004303E6" w14:paraId="6DB58806" w14:textId="77777777" w:rsidTr="003B6998">
        <w:tc>
          <w:tcPr>
            <w:tcW w:w="0" w:type="auto"/>
            <w:hideMark/>
          </w:tcPr>
          <w:p w14:paraId="26556FE4" w14:textId="77777777" w:rsidR="003358CE" w:rsidRPr="006A1915" w:rsidRDefault="003358CE" w:rsidP="006A1915">
            <w:pPr>
              <w:spacing w:line="360" w:lineRule="auto"/>
              <w:jc w:val="both"/>
              <w:rPr>
                <w:rFonts w:ascii="Arial" w:hAnsi="Arial" w:cs="Arial"/>
                <w:sz w:val="24"/>
                <w:szCs w:val="24"/>
              </w:rPr>
            </w:pPr>
            <w:r w:rsidRPr="006A1915">
              <w:rPr>
                <w:rFonts w:ascii="Arial" w:hAnsi="Arial" w:cs="Arial"/>
                <w:sz w:val="24"/>
                <w:szCs w:val="24"/>
              </w:rPr>
              <w:t>Exclusivity through responsible luxury travel</w:t>
            </w:r>
          </w:p>
        </w:tc>
        <w:tc>
          <w:tcPr>
            <w:tcW w:w="0" w:type="auto"/>
            <w:hideMark/>
          </w:tcPr>
          <w:p w14:paraId="36B2355A" w14:textId="77777777" w:rsidR="003358CE" w:rsidRPr="006A1915" w:rsidRDefault="003358CE" w:rsidP="006A1915">
            <w:pPr>
              <w:spacing w:line="360" w:lineRule="auto"/>
              <w:jc w:val="both"/>
              <w:rPr>
                <w:rFonts w:ascii="Arial" w:hAnsi="Arial" w:cs="Arial"/>
                <w:sz w:val="24"/>
                <w:szCs w:val="24"/>
              </w:rPr>
            </w:pPr>
            <w:r w:rsidRPr="006A1915">
              <w:rPr>
                <w:rFonts w:ascii="Arial" w:hAnsi="Arial" w:cs="Arial"/>
                <w:sz w:val="24"/>
                <w:szCs w:val="24"/>
              </w:rPr>
              <w:t>Affordable accommodations with environmental responsibility</w:t>
            </w:r>
          </w:p>
        </w:tc>
      </w:tr>
    </w:tbl>
    <w:p w14:paraId="68302F36" w14:textId="77777777" w:rsidR="003358CE" w:rsidRPr="006A1915" w:rsidRDefault="003358CE" w:rsidP="006A1915">
      <w:pPr>
        <w:spacing w:line="360" w:lineRule="auto"/>
        <w:jc w:val="both"/>
        <w:rPr>
          <w:rFonts w:ascii="Arial" w:hAnsi="Arial" w:cs="Arial"/>
          <w:sz w:val="24"/>
          <w:szCs w:val="24"/>
        </w:rPr>
      </w:pPr>
      <w:r w:rsidRPr="006A1915">
        <w:rPr>
          <w:rFonts w:ascii="Arial" w:hAnsi="Arial" w:cs="Arial"/>
          <w:sz w:val="24"/>
          <w:szCs w:val="24"/>
        </w:rPr>
        <w:t>Source: Author’s Made</w:t>
      </w:r>
    </w:p>
    <w:p w14:paraId="1B900D27" w14:textId="77777777" w:rsidR="003358CE" w:rsidRPr="009D5178" w:rsidRDefault="003358CE" w:rsidP="009D5178">
      <w:pPr>
        <w:spacing w:line="360" w:lineRule="auto"/>
        <w:jc w:val="both"/>
        <w:rPr>
          <w:rFonts w:ascii="Arial" w:hAnsi="Arial" w:cs="Arial"/>
          <w:b/>
          <w:bCs/>
          <w:sz w:val="24"/>
          <w:szCs w:val="24"/>
        </w:rPr>
      </w:pPr>
      <w:r w:rsidRPr="009D5178">
        <w:rPr>
          <w:rFonts w:ascii="Arial" w:hAnsi="Arial" w:cs="Arial"/>
          <w:b/>
          <w:bCs/>
          <w:sz w:val="24"/>
          <w:szCs w:val="24"/>
        </w:rPr>
        <w:t>Staff Training and Alignment with Core Values</w:t>
      </w:r>
    </w:p>
    <w:p w14:paraId="00553F2E" w14:textId="0C95F991" w:rsidR="003358CE" w:rsidRPr="009D5178" w:rsidRDefault="003358CE" w:rsidP="009D5178">
      <w:pPr>
        <w:spacing w:line="360" w:lineRule="auto"/>
        <w:jc w:val="both"/>
        <w:rPr>
          <w:rFonts w:ascii="Arial" w:hAnsi="Arial" w:cs="Arial"/>
          <w:sz w:val="24"/>
          <w:szCs w:val="24"/>
        </w:rPr>
      </w:pPr>
      <w:r w:rsidRPr="009D5178">
        <w:rPr>
          <w:rFonts w:ascii="Arial" w:hAnsi="Arial" w:cs="Arial"/>
          <w:sz w:val="24"/>
          <w:szCs w:val="24"/>
        </w:rPr>
        <w:lastRenderedPageBreak/>
        <w:t xml:space="preserve">Shangri-La integrates sustainability into its core values through workforce development and hygiene training in partnership with Diversey, </w:t>
      </w:r>
      <w:proofErr w:type="spellStart"/>
      <w:r w:rsidRPr="009D5178">
        <w:rPr>
          <w:rFonts w:ascii="Arial" w:hAnsi="Arial" w:cs="Arial"/>
          <w:sz w:val="24"/>
          <w:szCs w:val="24"/>
        </w:rPr>
        <w:t>emphas</w:t>
      </w:r>
      <w:r w:rsidR="00572BD4">
        <w:rPr>
          <w:rFonts w:ascii="Arial" w:hAnsi="Arial" w:cs="Arial"/>
          <w:sz w:val="24"/>
          <w:szCs w:val="24"/>
        </w:rPr>
        <w:t>s</w:t>
      </w:r>
      <w:r w:rsidRPr="009D5178">
        <w:rPr>
          <w:rFonts w:ascii="Arial" w:hAnsi="Arial" w:cs="Arial"/>
          <w:sz w:val="24"/>
          <w:szCs w:val="24"/>
        </w:rPr>
        <w:t>ing</w:t>
      </w:r>
      <w:proofErr w:type="spellEnd"/>
      <w:r w:rsidRPr="009D5178">
        <w:rPr>
          <w:rFonts w:ascii="Arial" w:hAnsi="Arial" w:cs="Arial"/>
          <w:sz w:val="24"/>
          <w:szCs w:val="24"/>
        </w:rPr>
        <w:t xml:space="preserve"> environmental responsibility as part of its luxury brand. Premier Inn’s "Force for Good" program focuses on employee well-being and environmental initiatives, aligning sustainability with its value-for-money and low-carbon economy strategy (Shangri-La Group, 2023; Whitbread PLC, 2024).</w:t>
      </w:r>
    </w:p>
    <w:p w14:paraId="6165690D" w14:textId="77777777" w:rsidR="003358CE" w:rsidRPr="009D5178" w:rsidRDefault="003358CE" w:rsidP="009D5178">
      <w:pPr>
        <w:spacing w:line="360" w:lineRule="auto"/>
        <w:jc w:val="both"/>
        <w:rPr>
          <w:rFonts w:ascii="Arial" w:hAnsi="Arial" w:cs="Arial"/>
          <w:b/>
          <w:bCs/>
          <w:sz w:val="24"/>
          <w:szCs w:val="24"/>
        </w:rPr>
      </w:pPr>
      <w:r w:rsidRPr="009D5178">
        <w:rPr>
          <w:rFonts w:ascii="Arial" w:hAnsi="Arial" w:cs="Arial"/>
          <w:b/>
          <w:bCs/>
          <w:sz w:val="24"/>
          <w:szCs w:val="24"/>
        </w:rPr>
        <w:t>Critically Analysing the Financial Commitment of Both Hotels</w:t>
      </w:r>
    </w:p>
    <w:p w14:paraId="0A7C1169" w14:textId="726D38A2" w:rsidR="006A1915" w:rsidRPr="009D5178" w:rsidRDefault="003358CE" w:rsidP="009D5178">
      <w:pPr>
        <w:spacing w:line="360" w:lineRule="auto"/>
        <w:jc w:val="both"/>
        <w:rPr>
          <w:rFonts w:ascii="Arial" w:hAnsi="Arial" w:cs="Arial"/>
          <w:sz w:val="24"/>
          <w:szCs w:val="24"/>
        </w:rPr>
      </w:pPr>
      <w:r w:rsidRPr="009D5178">
        <w:rPr>
          <w:rFonts w:ascii="Arial" w:hAnsi="Arial" w:cs="Arial"/>
          <w:sz w:val="24"/>
          <w:szCs w:val="24"/>
        </w:rPr>
        <w:t>While both Shangri-La and Premier Inn have been vocal about their CSR policies over the past six years, their approaches differ significantly. Shangri-La emphasi</w:t>
      </w:r>
      <w:r w:rsidR="00572BD4">
        <w:rPr>
          <w:rFonts w:ascii="Arial" w:hAnsi="Arial" w:cs="Arial"/>
          <w:sz w:val="24"/>
          <w:szCs w:val="24"/>
        </w:rPr>
        <w:t>s</w:t>
      </w:r>
      <w:r w:rsidRPr="009D5178">
        <w:rPr>
          <w:rFonts w:ascii="Arial" w:hAnsi="Arial" w:cs="Arial"/>
          <w:sz w:val="24"/>
          <w:szCs w:val="24"/>
        </w:rPr>
        <w:t>es environmental sustainability by reducing its carbon footprint and incorporating renewable energy sources. However, the effectiveness of its ‘Shangri-La Cares’ program, introduced during the pandemic, raises questions about whether it is a true commitment or merely a reactionary PR move to address safety concerns. Moreover, its focus on hygiene indicates short-term safety measures (El-Said, et al. 2024). In contrast, Premier Inn’s 'Force for Good' program, while innovative, appears to focus heavily on community support and environmental awareness, leaving room for speculation on whether these initiatives are driven more by cost-efficiency rather than genuine social responsibility (Mansuri, 2023). Their financial focus on a low-carbon economy, diversity, and employee mental health may reflect a balance between strategic marketing and authentic CSR efforts pre-, during, and post-COVID-19.</w:t>
      </w:r>
    </w:p>
    <w:p w14:paraId="54B4AA68" w14:textId="54448C13" w:rsidR="003358CE" w:rsidRPr="009D5178" w:rsidRDefault="003358CE" w:rsidP="009D5178">
      <w:pPr>
        <w:spacing w:line="360" w:lineRule="auto"/>
        <w:jc w:val="both"/>
        <w:rPr>
          <w:rFonts w:ascii="Arial" w:hAnsi="Arial" w:cs="Arial"/>
          <w:b/>
          <w:bCs/>
          <w:sz w:val="24"/>
          <w:szCs w:val="24"/>
        </w:rPr>
      </w:pPr>
      <w:bookmarkStart w:id="10" w:name="_Toc179925582"/>
      <w:r w:rsidRPr="009D5178">
        <w:rPr>
          <w:rFonts w:ascii="Arial" w:hAnsi="Arial" w:cs="Arial"/>
          <w:b/>
          <w:bCs/>
          <w:sz w:val="24"/>
          <w:szCs w:val="24"/>
        </w:rPr>
        <w:t>Recommendations</w:t>
      </w:r>
      <w:bookmarkEnd w:id="10"/>
    </w:p>
    <w:p w14:paraId="31FA39A4" w14:textId="77777777" w:rsidR="003358CE" w:rsidRPr="009D5178" w:rsidRDefault="003358CE" w:rsidP="009D5178">
      <w:pPr>
        <w:spacing w:line="360" w:lineRule="auto"/>
        <w:jc w:val="both"/>
        <w:rPr>
          <w:rFonts w:ascii="Arial" w:hAnsi="Arial" w:cs="Arial"/>
          <w:b/>
          <w:bCs/>
          <w:sz w:val="24"/>
          <w:szCs w:val="24"/>
        </w:rPr>
      </w:pPr>
      <w:r w:rsidRPr="009D5178">
        <w:rPr>
          <w:rFonts w:ascii="Arial" w:hAnsi="Arial" w:cs="Arial"/>
          <w:b/>
          <w:bCs/>
          <w:sz w:val="24"/>
          <w:szCs w:val="24"/>
        </w:rPr>
        <w:t xml:space="preserve">Shangri-La Hotels: </w:t>
      </w:r>
      <w:r w:rsidRPr="009D5178">
        <w:rPr>
          <w:rFonts w:ascii="Arial" w:hAnsi="Arial" w:cs="Arial"/>
          <w:sz w:val="24"/>
          <w:szCs w:val="24"/>
        </w:rPr>
        <w:t xml:space="preserve">To build on an opportunity identified in the case that says that Shangri-La has a particularly dominant position in the luxury segment, Shangri-La should diversify its product line of sustainable luxury travel to resort or wellness. </w:t>
      </w:r>
    </w:p>
    <w:p w14:paraId="67820498" w14:textId="77777777" w:rsidR="003358CE" w:rsidRPr="009D5178" w:rsidRDefault="003358CE" w:rsidP="009D5178">
      <w:pPr>
        <w:spacing w:line="360" w:lineRule="auto"/>
        <w:jc w:val="both"/>
        <w:rPr>
          <w:rFonts w:ascii="Arial" w:hAnsi="Arial" w:cs="Arial"/>
          <w:sz w:val="24"/>
          <w:szCs w:val="24"/>
        </w:rPr>
      </w:pPr>
      <w:r w:rsidRPr="009D5178">
        <w:rPr>
          <w:rFonts w:ascii="Arial" w:hAnsi="Arial" w:cs="Arial"/>
          <w:b/>
          <w:bCs/>
          <w:sz w:val="24"/>
          <w:szCs w:val="24"/>
        </w:rPr>
        <w:t xml:space="preserve">Premier Inn (Whitbread PLC): </w:t>
      </w:r>
      <w:r w:rsidRPr="009D5178">
        <w:rPr>
          <w:rFonts w:ascii="Arial" w:hAnsi="Arial" w:cs="Arial"/>
          <w:sz w:val="24"/>
          <w:szCs w:val="24"/>
        </w:rPr>
        <w:t>More focus should be placed on increasing Premier Inn’s position in Europe, for example, by expanding to Germany, which is currently showing great demand for the budget hotel segment.</w:t>
      </w:r>
    </w:p>
    <w:p w14:paraId="01C6F168" w14:textId="7BED1269" w:rsidR="003358CE" w:rsidRPr="006B3649" w:rsidRDefault="003358CE" w:rsidP="009D5178">
      <w:pPr>
        <w:spacing w:line="360" w:lineRule="auto"/>
        <w:jc w:val="both"/>
        <w:rPr>
          <w:rFonts w:ascii="Arial" w:hAnsi="Arial" w:cs="Arial"/>
          <w:b/>
          <w:bCs/>
          <w:sz w:val="24"/>
          <w:szCs w:val="24"/>
        </w:rPr>
      </w:pPr>
      <w:bookmarkStart w:id="11" w:name="_Toc179925583"/>
      <w:r w:rsidRPr="006B3649">
        <w:rPr>
          <w:rFonts w:ascii="Arial" w:hAnsi="Arial" w:cs="Arial"/>
          <w:b/>
          <w:bCs/>
          <w:sz w:val="24"/>
          <w:szCs w:val="24"/>
        </w:rPr>
        <w:t>Conclusion</w:t>
      </w:r>
      <w:bookmarkEnd w:id="11"/>
    </w:p>
    <w:p w14:paraId="4827CEFE" w14:textId="77777777" w:rsidR="003358CE" w:rsidRPr="009D5178" w:rsidRDefault="003358CE" w:rsidP="009D5178">
      <w:pPr>
        <w:spacing w:line="360" w:lineRule="auto"/>
        <w:jc w:val="both"/>
        <w:rPr>
          <w:rFonts w:ascii="Arial" w:hAnsi="Arial" w:cs="Arial"/>
          <w:sz w:val="24"/>
          <w:szCs w:val="24"/>
        </w:rPr>
      </w:pPr>
      <w:r w:rsidRPr="009D5178">
        <w:rPr>
          <w:rFonts w:ascii="Arial" w:hAnsi="Arial" w:cs="Arial"/>
          <w:sz w:val="24"/>
          <w:szCs w:val="24"/>
        </w:rPr>
        <w:lastRenderedPageBreak/>
        <w:t>This assessment has revealed that both Shangri-La and Premier Inn have been able to manage the risks exerted by COVID-19 contingency. Fortunately, both Shangri-La with its emphasis on luxurious services and sustainability plans, and Premier Inn with its core offering of economic hotels or domestic tourism have managed to achieve post-crisis rebounds and set upraises for future expansion. It reveals that expansion and new CSR programs will remain the key focus for each brand to deliver success in the future.</w:t>
      </w:r>
    </w:p>
    <w:p w14:paraId="0E9E6FB9" w14:textId="77777777" w:rsidR="00A61288" w:rsidRDefault="00A61288">
      <w:pPr>
        <w:rPr>
          <w:rFonts w:asciiTheme="majorHAnsi" w:eastAsiaTheme="majorEastAsia" w:hAnsiTheme="majorHAnsi" w:cstheme="majorBidi"/>
          <w:color w:val="0F4761" w:themeColor="accent1" w:themeShade="BF"/>
          <w:sz w:val="40"/>
          <w:szCs w:val="40"/>
        </w:rPr>
      </w:pPr>
      <w:bookmarkStart w:id="12" w:name="_Toc179925584"/>
      <w:r>
        <w:br w:type="page"/>
      </w:r>
    </w:p>
    <w:p w14:paraId="464CAB97" w14:textId="2E9B15C2" w:rsidR="003358CE" w:rsidRPr="004F16BA" w:rsidRDefault="003358CE" w:rsidP="003358CE">
      <w:pPr>
        <w:pStyle w:val="Heading1"/>
      </w:pPr>
      <w:bookmarkStart w:id="13" w:name="_Toc180054235"/>
      <w:r w:rsidRPr="004F16BA">
        <w:lastRenderedPageBreak/>
        <w:t>Reference</w:t>
      </w:r>
      <w:bookmarkEnd w:id="12"/>
      <w:bookmarkEnd w:id="13"/>
    </w:p>
    <w:p w14:paraId="065FA310"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 xml:space="preserve">Abdullah, H.H. (2015). Strategy Building and Sustaining Competitive Advantage: A Case Study of Shangri-La Hotels (Malaysia) </w:t>
      </w:r>
      <w:proofErr w:type="spellStart"/>
      <w:r w:rsidRPr="00A61288">
        <w:rPr>
          <w:rFonts w:ascii="Arial" w:hAnsi="Arial" w:cs="Arial"/>
          <w:sz w:val="24"/>
          <w:szCs w:val="24"/>
        </w:rPr>
        <w:t>Berhad</w:t>
      </w:r>
      <w:proofErr w:type="spellEnd"/>
      <w:r w:rsidRPr="00A61288">
        <w:rPr>
          <w:rFonts w:ascii="Arial" w:hAnsi="Arial" w:cs="Arial"/>
          <w:sz w:val="24"/>
          <w:szCs w:val="24"/>
        </w:rPr>
        <w:t>.</w:t>
      </w:r>
    </w:p>
    <w:p w14:paraId="1DFF632C"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 xml:space="preserve">Bas, T. and </w:t>
      </w:r>
      <w:proofErr w:type="spellStart"/>
      <w:r w:rsidRPr="00A61288">
        <w:rPr>
          <w:rFonts w:ascii="Arial" w:hAnsi="Arial" w:cs="Arial"/>
          <w:sz w:val="24"/>
          <w:szCs w:val="24"/>
        </w:rPr>
        <w:t>Sivaprasad</w:t>
      </w:r>
      <w:proofErr w:type="spellEnd"/>
      <w:r w:rsidRPr="00A61288">
        <w:rPr>
          <w:rFonts w:ascii="Arial" w:hAnsi="Arial" w:cs="Arial"/>
          <w:sz w:val="24"/>
          <w:szCs w:val="24"/>
        </w:rPr>
        <w:t>, S. (2022). An Exploratory Insight into the Impact of COVID-19 on the Travel and Tourism Sector: UK Evidence. </w:t>
      </w:r>
      <w:r w:rsidRPr="00A61288">
        <w:rPr>
          <w:rFonts w:ascii="Arial" w:hAnsi="Arial" w:cs="Arial"/>
          <w:i/>
          <w:iCs/>
          <w:sz w:val="24"/>
          <w:szCs w:val="24"/>
        </w:rPr>
        <w:t xml:space="preserve">Bas, T. &amp; </w:t>
      </w:r>
      <w:proofErr w:type="spellStart"/>
      <w:r w:rsidRPr="00A61288">
        <w:rPr>
          <w:rFonts w:ascii="Arial" w:hAnsi="Arial" w:cs="Arial"/>
          <w:i/>
          <w:iCs/>
          <w:sz w:val="24"/>
          <w:szCs w:val="24"/>
        </w:rPr>
        <w:t>Sivaprasad</w:t>
      </w:r>
      <w:proofErr w:type="spellEnd"/>
      <w:r w:rsidRPr="00A61288">
        <w:rPr>
          <w:rFonts w:ascii="Arial" w:hAnsi="Arial" w:cs="Arial"/>
          <w:i/>
          <w:iCs/>
          <w:sz w:val="24"/>
          <w:szCs w:val="24"/>
        </w:rPr>
        <w:t xml:space="preserve">, </w:t>
      </w:r>
      <w:proofErr w:type="gramStart"/>
      <w:r w:rsidRPr="00A61288">
        <w:rPr>
          <w:rFonts w:ascii="Arial" w:hAnsi="Arial" w:cs="Arial"/>
          <w:i/>
          <w:iCs/>
          <w:sz w:val="24"/>
          <w:szCs w:val="24"/>
        </w:rPr>
        <w:t>S.(</w:t>
      </w:r>
      <w:proofErr w:type="gramEnd"/>
      <w:r w:rsidRPr="00A61288">
        <w:rPr>
          <w:rFonts w:ascii="Arial" w:hAnsi="Arial" w:cs="Arial"/>
          <w:i/>
          <w:iCs/>
          <w:sz w:val="24"/>
          <w:szCs w:val="24"/>
        </w:rPr>
        <w:t>2022). An exploratory insight into the impact of COVID-19 on the travel and tourism sector: UK evidence. In S. Karabulut (Ed.), Economic and Financial Analysis of Global and National Developments</w:t>
      </w:r>
      <w:r w:rsidRPr="00A61288">
        <w:rPr>
          <w:rFonts w:ascii="Arial" w:hAnsi="Arial" w:cs="Arial"/>
          <w:sz w:val="24"/>
          <w:szCs w:val="24"/>
        </w:rPr>
        <w:t>, pp.355-369.</w:t>
      </w:r>
    </w:p>
    <w:p w14:paraId="698C57F6" w14:textId="77777777" w:rsidR="003358CE" w:rsidRPr="00A61288" w:rsidRDefault="003358CE" w:rsidP="00A61288">
      <w:pPr>
        <w:spacing w:line="360" w:lineRule="auto"/>
        <w:jc w:val="both"/>
        <w:rPr>
          <w:rFonts w:ascii="Arial" w:hAnsi="Arial" w:cs="Arial"/>
          <w:sz w:val="24"/>
          <w:szCs w:val="24"/>
        </w:rPr>
      </w:pPr>
      <w:proofErr w:type="spellStart"/>
      <w:r w:rsidRPr="00A61288">
        <w:rPr>
          <w:rFonts w:ascii="Arial" w:hAnsi="Arial" w:cs="Arial"/>
          <w:sz w:val="24"/>
          <w:szCs w:val="24"/>
        </w:rPr>
        <w:t>Cherapanukorn</w:t>
      </w:r>
      <w:proofErr w:type="spellEnd"/>
      <w:r w:rsidRPr="00A61288">
        <w:rPr>
          <w:rFonts w:ascii="Arial" w:hAnsi="Arial" w:cs="Arial"/>
          <w:sz w:val="24"/>
          <w:szCs w:val="24"/>
        </w:rPr>
        <w:t>, V. and Focken, K. (2014). Corporate social responsibility (CSR) and sustainability in Asian luxury hotels: Policies, practices and standards. </w:t>
      </w:r>
      <w:r w:rsidRPr="00A61288">
        <w:rPr>
          <w:rFonts w:ascii="Arial" w:hAnsi="Arial" w:cs="Arial"/>
          <w:i/>
          <w:iCs/>
          <w:sz w:val="24"/>
          <w:szCs w:val="24"/>
        </w:rPr>
        <w:t>Asian Social Science</w:t>
      </w:r>
      <w:r w:rsidRPr="00A61288">
        <w:rPr>
          <w:rFonts w:ascii="Arial" w:hAnsi="Arial" w:cs="Arial"/>
          <w:sz w:val="24"/>
          <w:szCs w:val="24"/>
        </w:rPr>
        <w:t>, </w:t>
      </w:r>
      <w:r w:rsidRPr="00A61288">
        <w:rPr>
          <w:rFonts w:ascii="Arial" w:hAnsi="Arial" w:cs="Arial"/>
          <w:i/>
          <w:iCs/>
          <w:sz w:val="24"/>
          <w:szCs w:val="24"/>
        </w:rPr>
        <w:t>10</w:t>
      </w:r>
      <w:r w:rsidRPr="00A61288">
        <w:rPr>
          <w:rFonts w:ascii="Arial" w:hAnsi="Arial" w:cs="Arial"/>
          <w:sz w:val="24"/>
          <w:szCs w:val="24"/>
        </w:rPr>
        <w:t>(8), pp.198-209.</w:t>
      </w:r>
    </w:p>
    <w:p w14:paraId="4817756C" w14:textId="546AF4F1" w:rsidR="003358CE" w:rsidRPr="00A61288" w:rsidRDefault="003358CE" w:rsidP="00A61288">
      <w:pPr>
        <w:spacing w:line="360" w:lineRule="auto"/>
        <w:jc w:val="both"/>
        <w:rPr>
          <w:rFonts w:ascii="Arial" w:hAnsi="Arial" w:cs="Arial"/>
          <w:sz w:val="24"/>
          <w:szCs w:val="24"/>
        </w:rPr>
      </w:pPr>
      <w:proofErr w:type="spellStart"/>
      <w:r w:rsidRPr="00A61288">
        <w:rPr>
          <w:rFonts w:ascii="Arial" w:hAnsi="Arial" w:cs="Arial"/>
          <w:sz w:val="24"/>
          <w:szCs w:val="24"/>
        </w:rPr>
        <w:t>Cheshmehzangi</w:t>
      </w:r>
      <w:proofErr w:type="spellEnd"/>
      <w:r w:rsidRPr="00A61288">
        <w:rPr>
          <w:rFonts w:ascii="Arial" w:hAnsi="Arial" w:cs="Arial"/>
          <w:sz w:val="24"/>
          <w:szCs w:val="24"/>
        </w:rPr>
        <w:t xml:space="preserve">, A., Wang, D. and Tang, T. (2022). </w:t>
      </w:r>
      <w:r w:rsidRPr="00A61288">
        <w:rPr>
          <w:rFonts w:ascii="Arial" w:hAnsi="Arial" w:cs="Arial"/>
          <w:i/>
          <w:iCs/>
          <w:sz w:val="24"/>
          <w:szCs w:val="24"/>
        </w:rPr>
        <w:t>The fall of tourism in Shangri-La amid the COVID-19 Crises: A case study report</w:t>
      </w:r>
      <w:r w:rsidRPr="00A61288">
        <w:rPr>
          <w:rFonts w:ascii="Arial" w:hAnsi="Arial" w:cs="Arial"/>
          <w:sz w:val="24"/>
          <w:szCs w:val="24"/>
        </w:rPr>
        <w:t xml:space="preserve">. [online] ResearchGate. Available at: </w:t>
      </w:r>
      <w:r w:rsidRPr="000A708A">
        <w:rPr>
          <w:rFonts w:ascii="Arial" w:hAnsi="Arial" w:cs="Arial"/>
          <w:sz w:val="24"/>
          <w:szCs w:val="24"/>
        </w:rPr>
        <w:t>https://www.researchgate.net/publication/362761169_The_fall_of_tourism_in_Shangri-La_amid_the_COVID-19_Crises_A_case_study_report</w:t>
      </w:r>
      <w:r w:rsidRPr="00A61288">
        <w:rPr>
          <w:rFonts w:ascii="Arial" w:hAnsi="Arial" w:cs="Arial"/>
          <w:sz w:val="24"/>
          <w:szCs w:val="24"/>
        </w:rPr>
        <w:t xml:space="preserve"> [Accessed 9 Oct. 2024].</w:t>
      </w:r>
    </w:p>
    <w:p w14:paraId="47009024"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 xml:space="preserve">El-Said, O.A., </w:t>
      </w:r>
      <w:proofErr w:type="spellStart"/>
      <w:r w:rsidRPr="00A61288">
        <w:rPr>
          <w:rFonts w:ascii="Arial" w:hAnsi="Arial" w:cs="Arial"/>
          <w:sz w:val="24"/>
          <w:szCs w:val="24"/>
        </w:rPr>
        <w:t>Elhoushy</w:t>
      </w:r>
      <w:proofErr w:type="spellEnd"/>
      <w:r w:rsidRPr="00A61288">
        <w:rPr>
          <w:rFonts w:ascii="Arial" w:hAnsi="Arial" w:cs="Arial"/>
          <w:sz w:val="24"/>
          <w:szCs w:val="24"/>
        </w:rPr>
        <w:t xml:space="preserve">, S., Smith, M. and Youssif, M. (2024). Crisis-driven innovation in hospitality: How do international hotel chains innovate to recover from a global </w:t>
      </w:r>
      <w:proofErr w:type="gramStart"/>
      <w:r w:rsidRPr="00A61288">
        <w:rPr>
          <w:rFonts w:ascii="Arial" w:hAnsi="Arial" w:cs="Arial"/>
          <w:sz w:val="24"/>
          <w:szCs w:val="24"/>
        </w:rPr>
        <w:t>crisis?.</w:t>
      </w:r>
      <w:proofErr w:type="gramEnd"/>
      <w:r w:rsidRPr="00A61288">
        <w:rPr>
          <w:rFonts w:ascii="Arial" w:hAnsi="Arial" w:cs="Arial"/>
          <w:sz w:val="24"/>
          <w:szCs w:val="24"/>
        </w:rPr>
        <w:t> </w:t>
      </w:r>
      <w:r w:rsidRPr="00A61288">
        <w:rPr>
          <w:rFonts w:ascii="Arial" w:hAnsi="Arial" w:cs="Arial"/>
          <w:i/>
          <w:iCs/>
          <w:sz w:val="24"/>
          <w:szCs w:val="24"/>
        </w:rPr>
        <w:t>International Journal of Hospitality Management</w:t>
      </w:r>
      <w:r w:rsidRPr="00A61288">
        <w:rPr>
          <w:rFonts w:ascii="Arial" w:hAnsi="Arial" w:cs="Arial"/>
          <w:sz w:val="24"/>
          <w:szCs w:val="24"/>
        </w:rPr>
        <w:t>, </w:t>
      </w:r>
      <w:r w:rsidRPr="00A61288">
        <w:rPr>
          <w:rFonts w:ascii="Arial" w:hAnsi="Arial" w:cs="Arial"/>
          <w:i/>
          <w:iCs/>
          <w:sz w:val="24"/>
          <w:szCs w:val="24"/>
        </w:rPr>
        <w:t>120</w:t>
      </w:r>
      <w:r w:rsidRPr="00A61288">
        <w:rPr>
          <w:rFonts w:ascii="Arial" w:hAnsi="Arial" w:cs="Arial"/>
          <w:sz w:val="24"/>
          <w:szCs w:val="24"/>
        </w:rPr>
        <w:t>, p.103758.</w:t>
      </w:r>
    </w:p>
    <w:p w14:paraId="7BA6A218"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George, R. (2021). Tourism and Hospitality Marketing Principles. In </w:t>
      </w:r>
      <w:r w:rsidRPr="00A61288">
        <w:rPr>
          <w:rFonts w:ascii="Arial" w:hAnsi="Arial" w:cs="Arial"/>
          <w:i/>
          <w:iCs/>
          <w:sz w:val="24"/>
          <w:szCs w:val="24"/>
        </w:rPr>
        <w:t>Marketing Tourism and Hospitality: Concepts and Cases</w:t>
      </w:r>
      <w:r w:rsidRPr="00A61288">
        <w:rPr>
          <w:rFonts w:ascii="Arial" w:hAnsi="Arial" w:cs="Arial"/>
          <w:sz w:val="24"/>
          <w:szCs w:val="24"/>
        </w:rPr>
        <w:t> (pp. 3-31). Cham: Springer International Publishing.</w:t>
      </w:r>
    </w:p>
    <w:p w14:paraId="42A57DF0"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 xml:space="preserve">Ghandour, R., Bilal, J. and Mudassar, H. (2015). Relationship between Service Quality, Customer Retention and the role of </w:t>
      </w:r>
      <w:proofErr w:type="gramStart"/>
      <w:r w:rsidRPr="00A61288">
        <w:rPr>
          <w:rFonts w:ascii="Arial" w:hAnsi="Arial" w:cs="Arial"/>
          <w:sz w:val="24"/>
          <w:szCs w:val="24"/>
        </w:rPr>
        <w:t>Social Media</w:t>
      </w:r>
      <w:proofErr w:type="gramEnd"/>
      <w:r w:rsidRPr="00A61288">
        <w:rPr>
          <w:rFonts w:ascii="Arial" w:hAnsi="Arial" w:cs="Arial"/>
          <w:sz w:val="24"/>
          <w:szCs w:val="24"/>
        </w:rPr>
        <w:t>-Case study Premier Inn Hotel (UK). </w:t>
      </w:r>
      <w:r w:rsidRPr="00A61288">
        <w:rPr>
          <w:rFonts w:ascii="Arial" w:hAnsi="Arial" w:cs="Arial"/>
          <w:i/>
          <w:iCs/>
          <w:sz w:val="24"/>
          <w:szCs w:val="24"/>
        </w:rPr>
        <w:t>Journal of Organizational Studies and Innovation</w:t>
      </w:r>
      <w:r w:rsidRPr="00A61288">
        <w:rPr>
          <w:rFonts w:ascii="Arial" w:hAnsi="Arial" w:cs="Arial"/>
          <w:sz w:val="24"/>
          <w:szCs w:val="24"/>
        </w:rPr>
        <w:t>, </w:t>
      </w:r>
      <w:r w:rsidRPr="00A61288">
        <w:rPr>
          <w:rFonts w:ascii="Arial" w:hAnsi="Arial" w:cs="Arial"/>
          <w:i/>
          <w:iCs/>
          <w:sz w:val="24"/>
          <w:szCs w:val="24"/>
        </w:rPr>
        <w:t>2</w:t>
      </w:r>
      <w:r w:rsidRPr="00A61288">
        <w:rPr>
          <w:rFonts w:ascii="Arial" w:hAnsi="Arial" w:cs="Arial"/>
          <w:sz w:val="24"/>
          <w:szCs w:val="24"/>
        </w:rPr>
        <w:t>(4), pp.1-12.</w:t>
      </w:r>
    </w:p>
    <w:p w14:paraId="61DD268B"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Hu, F. and Trivedi, R.H. (2020). Mapping hotel brand positioning and competitive landscapes by text-mining user-generated content. </w:t>
      </w:r>
      <w:r w:rsidRPr="00A61288">
        <w:rPr>
          <w:rFonts w:ascii="Arial" w:hAnsi="Arial" w:cs="Arial"/>
          <w:i/>
          <w:iCs/>
          <w:sz w:val="24"/>
          <w:szCs w:val="24"/>
        </w:rPr>
        <w:t>International Journal of Hospitality Management</w:t>
      </w:r>
      <w:r w:rsidRPr="00A61288">
        <w:rPr>
          <w:rFonts w:ascii="Arial" w:hAnsi="Arial" w:cs="Arial"/>
          <w:sz w:val="24"/>
          <w:szCs w:val="24"/>
        </w:rPr>
        <w:t>, </w:t>
      </w:r>
      <w:r w:rsidRPr="00A61288">
        <w:rPr>
          <w:rFonts w:ascii="Arial" w:hAnsi="Arial" w:cs="Arial"/>
          <w:i/>
          <w:iCs/>
          <w:sz w:val="24"/>
          <w:szCs w:val="24"/>
        </w:rPr>
        <w:t>84</w:t>
      </w:r>
      <w:r w:rsidRPr="00A61288">
        <w:rPr>
          <w:rFonts w:ascii="Arial" w:hAnsi="Arial" w:cs="Arial"/>
          <w:sz w:val="24"/>
          <w:szCs w:val="24"/>
        </w:rPr>
        <w:t>, p.102317.</w:t>
      </w:r>
    </w:p>
    <w:p w14:paraId="7C1C91D6"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 xml:space="preserve">Lai, S., </w:t>
      </w:r>
      <w:proofErr w:type="spellStart"/>
      <w:r w:rsidRPr="00A61288">
        <w:rPr>
          <w:rFonts w:ascii="Arial" w:hAnsi="Arial" w:cs="Arial"/>
          <w:sz w:val="24"/>
          <w:szCs w:val="24"/>
        </w:rPr>
        <w:t>Ruktanonchai</w:t>
      </w:r>
      <w:proofErr w:type="spellEnd"/>
      <w:r w:rsidRPr="00A61288">
        <w:rPr>
          <w:rFonts w:ascii="Arial" w:hAnsi="Arial" w:cs="Arial"/>
          <w:sz w:val="24"/>
          <w:szCs w:val="24"/>
        </w:rPr>
        <w:t xml:space="preserve">, N.W., </w:t>
      </w:r>
      <w:proofErr w:type="spellStart"/>
      <w:r w:rsidRPr="00A61288">
        <w:rPr>
          <w:rFonts w:ascii="Arial" w:hAnsi="Arial" w:cs="Arial"/>
          <w:sz w:val="24"/>
          <w:szCs w:val="24"/>
        </w:rPr>
        <w:t>Carioli</w:t>
      </w:r>
      <w:proofErr w:type="spellEnd"/>
      <w:r w:rsidRPr="00A61288">
        <w:rPr>
          <w:rFonts w:ascii="Arial" w:hAnsi="Arial" w:cs="Arial"/>
          <w:sz w:val="24"/>
          <w:szCs w:val="24"/>
        </w:rPr>
        <w:t xml:space="preserve">, A., </w:t>
      </w:r>
      <w:proofErr w:type="spellStart"/>
      <w:r w:rsidRPr="00A61288">
        <w:rPr>
          <w:rFonts w:ascii="Arial" w:hAnsi="Arial" w:cs="Arial"/>
          <w:sz w:val="24"/>
          <w:szCs w:val="24"/>
        </w:rPr>
        <w:t>Ruktanonchai</w:t>
      </w:r>
      <w:proofErr w:type="spellEnd"/>
      <w:r w:rsidRPr="00A61288">
        <w:rPr>
          <w:rFonts w:ascii="Arial" w:hAnsi="Arial" w:cs="Arial"/>
          <w:sz w:val="24"/>
          <w:szCs w:val="24"/>
        </w:rPr>
        <w:t xml:space="preserve">, C.W., Floyd, J.R., Prosper, O., Zhang, C., Du, X., Yang, W. and Tatem, A.J. (2021). Assessing the effect of global travel </w:t>
      </w:r>
      <w:r w:rsidRPr="00A61288">
        <w:rPr>
          <w:rFonts w:ascii="Arial" w:hAnsi="Arial" w:cs="Arial"/>
          <w:sz w:val="24"/>
          <w:szCs w:val="24"/>
        </w:rPr>
        <w:lastRenderedPageBreak/>
        <w:t>and contact restrictions on mitigating the COVID-19 pandemic. </w:t>
      </w:r>
      <w:r w:rsidRPr="00A61288">
        <w:rPr>
          <w:rFonts w:ascii="Arial" w:hAnsi="Arial" w:cs="Arial"/>
          <w:i/>
          <w:iCs/>
          <w:sz w:val="24"/>
          <w:szCs w:val="24"/>
        </w:rPr>
        <w:t>Engineering</w:t>
      </w:r>
      <w:r w:rsidRPr="00A61288">
        <w:rPr>
          <w:rFonts w:ascii="Arial" w:hAnsi="Arial" w:cs="Arial"/>
          <w:sz w:val="24"/>
          <w:szCs w:val="24"/>
        </w:rPr>
        <w:t>, </w:t>
      </w:r>
      <w:r w:rsidRPr="00A61288">
        <w:rPr>
          <w:rFonts w:ascii="Arial" w:hAnsi="Arial" w:cs="Arial"/>
          <w:i/>
          <w:iCs/>
          <w:sz w:val="24"/>
          <w:szCs w:val="24"/>
        </w:rPr>
        <w:t>7</w:t>
      </w:r>
      <w:r w:rsidRPr="00A61288">
        <w:rPr>
          <w:rFonts w:ascii="Arial" w:hAnsi="Arial" w:cs="Arial"/>
          <w:sz w:val="24"/>
          <w:szCs w:val="24"/>
        </w:rPr>
        <w:t>(7), pp.914-923.</w:t>
      </w:r>
    </w:p>
    <w:p w14:paraId="6F13BBCC" w14:textId="09348DF2"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 xml:space="preserve">Mansuri, M. (2023). Premier Inn launches Force </w:t>
      </w:r>
      <w:proofErr w:type="gramStart"/>
      <w:r w:rsidRPr="00A61288">
        <w:rPr>
          <w:rFonts w:ascii="Arial" w:hAnsi="Arial" w:cs="Arial"/>
          <w:sz w:val="24"/>
          <w:szCs w:val="24"/>
        </w:rPr>
        <w:t>For</w:t>
      </w:r>
      <w:proofErr w:type="gramEnd"/>
      <w:r w:rsidRPr="00A61288">
        <w:rPr>
          <w:rFonts w:ascii="Arial" w:hAnsi="Arial" w:cs="Arial"/>
          <w:sz w:val="24"/>
          <w:szCs w:val="24"/>
        </w:rPr>
        <w:t xml:space="preserve"> Good programme in the Middle East - Hotelier Middle East. </w:t>
      </w:r>
      <w:r w:rsidRPr="00A61288">
        <w:rPr>
          <w:rFonts w:ascii="Arial" w:hAnsi="Arial" w:cs="Arial"/>
          <w:i/>
          <w:iCs/>
          <w:sz w:val="24"/>
          <w:szCs w:val="24"/>
        </w:rPr>
        <w:t>Hotelier Middle East</w:t>
      </w:r>
      <w:r w:rsidRPr="00A61288">
        <w:rPr>
          <w:rFonts w:ascii="Arial" w:hAnsi="Arial" w:cs="Arial"/>
          <w:sz w:val="24"/>
          <w:szCs w:val="24"/>
        </w:rPr>
        <w:t xml:space="preserve">. [online] 23 Oct. Available at: </w:t>
      </w:r>
      <w:r w:rsidRPr="000A708A">
        <w:rPr>
          <w:rFonts w:ascii="Arial" w:hAnsi="Arial" w:cs="Arial"/>
          <w:sz w:val="24"/>
          <w:szCs w:val="24"/>
        </w:rPr>
        <w:t>https://www.hoteliermiddleeast.com/business/premier-inn-launches-force-for-good-programme-in-the-middle-east</w:t>
      </w:r>
      <w:r w:rsidRPr="00A61288">
        <w:rPr>
          <w:rFonts w:ascii="Arial" w:hAnsi="Arial" w:cs="Arial"/>
          <w:sz w:val="24"/>
          <w:szCs w:val="24"/>
        </w:rPr>
        <w:t xml:space="preserve"> [Accessed 15 Oct. 2024].</w:t>
      </w:r>
    </w:p>
    <w:p w14:paraId="63186117"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Mody, M. and Gomez, M. (2018). Airbnb and the hotel industry: the past, present, and future of sales, marketing, branding, and revenue management. </w:t>
      </w:r>
      <w:r w:rsidRPr="00A61288">
        <w:rPr>
          <w:rFonts w:ascii="Arial" w:hAnsi="Arial" w:cs="Arial"/>
          <w:i/>
          <w:iCs/>
          <w:sz w:val="24"/>
          <w:szCs w:val="24"/>
        </w:rPr>
        <w:t>Boston Hospitality Review</w:t>
      </w:r>
      <w:r w:rsidRPr="00A61288">
        <w:rPr>
          <w:rFonts w:ascii="Arial" w:hAnsi="Arial" w:cs="Arial"/>
          <w:sz w:val="24"/>
          <w:szCs w:val="24"/>
        </w:rPr>
        <w:t>, </w:t>
      </w:r>
      <w:r w:rsidRPr="00A61288">
        <w:rPr>
          <w:rFonts w:ascii="Arial" w:hAnsi="Arial" w:cs="Arial"/>
          <w:i/>
          <w:iCs/>
          <w:sz w:val="24"/>
          <w:szCs w:val="24"/>
        </w:rPr>
        <w:t>6</w:t>
      </w:r>
      <w:r w:rsidRPr="00A61288">
        <w:rPr>
          <w:rFonts w:ascii="Arial" w:hAnsi="Arial" w:cs="Arial"/>
          <w:sz w:val="24"/>
          <w:szCs w:val="24"/>
        </w:rPr>
        <w:t>(3).</w:t>
      </w:r>
    </w:p>
    <w:p w14:paraId="3951A36C" w14:textId="77777777" w:rsidR="003358CE" w:rsidRPr="00A61288" w:rsidRDefault="003358CE" w:rsidP="00A61288">
      <w:pPr>
        <w:spacing w:line="360" w:lineRule="auto"/>
        <w:jc w:val="both"/>
        <w:rPr>
          <w:rFonts w:ascii="Arial" w:hAnsi="Arial" w:cs="Arial"/>
          <w:sz w:val="24"/>
          <w:szCs w:val="24"/>
        </w:rPr>
      </w:pPr>
      <w:proofErr w:type="spellStart"/>
      <w:r w:rsidRPr="00A61288">
        <w:rPr>
          <w:rFonts w:ascii="Arial" w:hAnsi="Arial" w:cs="Arial"/>
          <w:sz w:val="24"/>
          <w:szCs w:val="24"/>
        </w:rPr>
        <w:t>Murasiranwa</w:t>
      </w:r>
      <w:proofErr w:type="spellEnd"/>
      <w:r w:rsidRPr="00A61288">
        <w:rPr>
          <w:rFonts w:ascii="Arial" w:hAnsi="Arial" w:cs="Arial"/>
          <w:sz w:val="24"/>
          <w:szCs w:val="24"/>
        </w:rPr>
        <w:t>, E.T. (2012). </w:t>
      </w:r>
      <w:r w:rsidRPr="00A61288">
        <w:rPr>
          <w:rFonts w:ascii="Arial" w:hAnsi="Arial" w:cs="Arial"/>
          <w:i/>
          <w:iCs/>
          <w:sz w:val="24"/>
          <w:szCs w:val="24"/>
        </w:rPr>
        <w:t>Service quality and business performance in branded UK budget hotels</w:t>
      </w:r>
      <w:r w:rsidRPr="00A61288">
        <w:rPr>
          <w:rFonts w:ascii="Arial" w:hAnsi="Arial" w:cs="Arial"/>
          <w:sz w:val="24"/>
          <w:szCs w:val="24"/>
        </w:rPr>
        <w:t>. Sheffield Hallam University (United Kingdom).</w:t>
      </w:r>
    </w:p>
    <w:p w14:paraId="0BF72793"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Page, S.J. and Connell, J. (2020). Tourism accommodation and hospitality services. In </w:t>
      </w:r>
      <w:r w:rsidRPr="00A61288">
        <w:rPr>
          <w:rFonts w:ascii="Arial" w:hAnsi="Arial" w:cs="Arial"/>
          <w:i/>
          <w:iCs/>
          <w:sz w:val="24"/>
          <w:szCs w:val="24"/>
        </w:rPr>
        <w:t>Tourism</w:t>
      </w:r>
      <w:r w:rsidRPr="00A61288">
        <w:rPr>
          <w:rFonts w:ascii="Arial" w:hAnsi="Arial" w:cs="Arial"/>
          <w:sz w:val="24"/>
          <w:szCs w:val="24"/>
        </w:rPr>
        <w:t> (pp. 216-241). Routledge.</w:t>
      </w:r>
    </w:p>
    <w:p w14:paraId="23B5F4DE" w14:textId="7A4459FD"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 xml:space="preserve">Product Mindset (2022). </w:t>
      </w:r>
      <w:r w:rsidRPr="00A61288">
        <w:rPr>
          <w:rFonts w:ascii="Arial" w:hAnsi="Arial" w:cs="Arial"/>
          <w:i/>
          <w:iCs/>
          <w:sz w:val="24"/>
          <w:szCs w:val="24"/>
        </w:rPr>
        <w:t>Bowman’s Strategy Clock</w:t>
      </w:r>
      <w:r w:rsidRPr="00A61288">
        <w:rPr>
          <w:rFonts w:ascii="Arial" w:hAnsi="Arial" w:cs="Arial"/>
          <w:sz w:val="24"/>
          <w:szCs w:val="24"/>
        </w:rPr>
        <w:t xml:space="preserve">. [online] productmindset.substack.com. Available at: </w:t>
      </w:r>
      <w:r w:rsidRPr="000A708A">
        <w:rPr>
          <w:rFonts w:ascii="Arial" w:hAnsi="Arial" w:cs="Arial"/>
          <w:sz w:val="24"/>
          <w:szCs w:val="24"/>
        </w:rPr>
        <w:t>https://productmindset.substack.com/p/bowmans-strategy-clock</w:t>
      </w:r>
      <w:r w:rsidRPr="00A61288">
        <w:rPr>
          <w:rFonts w:ascii="Arial" w:hAnsi="Arial" w:cs="Arial"/>
          <w:sz w:val="24"/>
          <w:szCs w:val="24"/>
        </w:rPr>
        <w:t xml:space="preserve"> [Accessed 9 Oct. 2024].</w:t>
      </w:r>
    </w:p>
    <w:p w14:paraId="167FA08C" w14:textId="65B403D6"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 xml:space="preserve">Shangri-La Group (2023). [online] Shangri-la.com. Available at: </w:t>
      </w:r>
      <w:r w:rsidRPr="000A708A">
        <w:rPr>
          <w:rFonts w:ascii="Arial" w:hAnsi="Arial" w:cs="Arial"/>
          <w:sz w:val="24"/>
          <w:szCs w:val="24"/>
        </w:rPr>
        <w:t>https://www.shangri-la.com/group/investors/public-disclosures#</w:t>
      </w:r>
      <w:r w:rsidRPr="00A61288">
        <w:rPr>
          <w:rFonts w:ascii="Arial" w:hAnsi="Arial" w:cs="Arial"/>
          <w:sz w:val="24"/>
          <w:szCs w:val="24"/>
        </w:rPr>
        <w:t xml:space="preserve"> [Accessed 9 Oct. 2024].</w:t>
      </w:r>
    </w:p>
    <w:p w14:paraId="393EE1AB" w14:textId="276A4BAF"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 xml:space="preserve">The Editors of Encyclopaedia Britannica (2024). </w:t>
      </w:r>
      <w:r w:rsidRPr="00A61288">
        <w:rPr>
          <w:rFonts w:ascii="Arial" w:hAnsi="Arial" w:cs="Arial"/>
          <w:i/>
          <w:iCs/>
          <w:sz w:val="24"/>
          <w:szCs w:val="24"/>
        </w:rPr>
        <w:t>Supply and demand</w:t>
      </w:r>
      <w:r w:rsidRPr="00A61288">
        <w:rPr>
          <w:rFonts w:ascii="Arial" w:hAnsi="Arial" w:cs="Arial"/>
          <w:sz w:val="24"/>
          <w:szCs w:val="24"/>
        </w:rPr>
        <w:t xml:space="preserve">. [online] www.britannica.com. Available at: </w:t>
      </w:r>
      <w:r w:rsidRPr="000A708A">
        <w:rPr>
          <w:rFonts w:ascii="Arial" w:hAnsi="Arial" w:cs="Arial"/>
          <w:sz w:val="24"/>
          <w:szCs w:val="24"/>
        </w:rPr>
        <w:t>https://www.britannica.com/money/supply-and-demand</w:t>
      </w:r>
      <w:r w:rsidRPr="00A61288">
        <w:rPr>
          <w:rFonts w:ascii="Arial" w:hAnsi="Arial" w:cs="Arial"/>
          <w:sz w:val="24"/>
          <w:szCs w:val="24"/>
        </w:rPr>
        <w:t xml:space="preserve"> [Accessed 10 Oct. 2024].</w:t>
      </w:r>
    </w:p>
    <w:p w14:paraId="3C64298C"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Walker, J. (2021) Introduction to Hospitality, Harlow, Pearson</w:t>
      </w:r>
    </w:p>
    <w:p w14:paraId="699AC430" w14:textId="2436F23A"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t xml:space="preserve">Whitebread PLC (2024). </w:t>
      </w:r>
      <w:r w:rsidRPr="00A61288">
        <w:rPr>
          <w:rFonts w:ascii="Arial" w:hAnsi="Arial" w:cs="Arial"/>
          <w:i/>
          <w:iCs/>
          <w:sz w:val="24"/>
          <w:szCs w:val="24"/>
        </w:rPr>
        <w:t>Results, reports and presentations</w:t>
      </w:r>
      <w:r w:rsidRPr="00A61288">
        <w:rPr>
          <w:rFonts w:ascii="Arial" w:hAnsi="Arial" w:cs="Arial"/>
          <w:sz w:val="24"/>
          <w:szCs w:val="24"/>
        </w:rPr>
        <w:t xml:space="preserve">. [online] Whitbread PLC. Available at: </w:t>
      </w:r>
      <w:r w:rsidRPr="000A708A">
        <w:rPr>
          <w:rFonts w:ascii="Arial" w:hAnsi="Arial" w:cs="Arial"/>
          <w:sz w:val="24"/>
          <w:szCs w:val="24"/>
        </w:rPr>
        <w:t>https://www.whitbread.co.uk/investors/results-reports-and-presentations/</w:t>
      </w:r>
      <w:r w:rsidRPr="00A61288">
        <w:rPr>
          <w:rFonts w:ascii="Arial" w:hAnsi="Arial" w:cs="Arial"/>
          <w:sz w:val="24"/>
          <w:szCs w:val="24"/>
        </w:rPr>
        <w:t xml:space="preserve"> [Accessed 9 Oct. 2024].</w:t>
      </w:r>
    </w:p>
    <w:p w14:paraId="71654797" w14:textId="77777777" w:rsidR="003358CE" w:rsidRPr="00A61288" w:rsidRDefault="003358CE" w:rsidP="00A61288">
      <w:pPr>
        <w:spacing w:line="360" w:lineRule="auto"/>
        <w:jc w:val="both"/>
        <w:rPr>
          <w:rFonts w:ascii="Arial" w:hAnsi="Arial" w:cs="Arial"/>
          <w:sz w:val="24"/>
          <w:szCs w:val="24"/>
        </w:rPr>
      </w:pPr>
      <w:r w:rsidRPr="00A61288">
        <w:rPr>
          <w:rFonts w:ascii="Arial" w:hAnsi="Arial" w:cs="Arial"/>
          <w:sz w:val="24"/>
          <w:szCs w:val="24"/>
        </w:rPr>
        <w:lastRenderedPageBreak/>
        <w:t xml:space="preserve">Yang, H.P. (2013). Case study 12: Shangri-La hotels expanding to </w:t>
      </w:r>
      <w:proofErr w:type="spellStart"/>
      <w:r w:rsidRPr="00A61288">
        <w:rPr>
          <w:rFonts w:ascii="Arial" w:hAnsi="Arial" w:cs="Arial"/>
          <w:sz w:val="24"/>
          <w:szCs w:val="24"/>
        </w:rPr>
        <w:t>non-Asian</w:t>
      </w:r>
      <w:proofErr w:type="spellEnd"/>
      <w:r w:rsidRPr="00A61288">
        <w:rPr>
          <w:rFonts w:ascii="Arial" w:hAnsi="Arial" w:cs="Arial"/>
          <w:sz w:val="24"/>
          <w:szCs w:val="24"/>
        </w:rPr>
        <w:t xml:space="preserve"> markets. In </w:t>
      </w:r>
      <w:r w:rsidRPr="00A61288">
        <w:rPr>
          <w:rFonts w:ascii="Arial" w:hAnsi="Arial" w:cs="Arial"/>
          <w:i/>
          <w:iCs/>
          <w:sz w:val="24"/>
          <w:szCs w:val="24"/>
        </w:rPr>
        <w:t>Marketing Cases from Emerging Markets</w:t>
      </w:r>
      <w:r w:rsidRPr="00A61288">
        <w:rPr>
          <w:rFonts w:ascii="Arial" w:hAnsi="Arial" w:cs="Arial"/>
          <w:sz w:val="24"/>
          <w:szCs w:val="24"/>
        </w:rPr>
        <w:t> (pp. 113-116). Berlin, Heidelberg: Springer Berlin Heidelberg.</w:t>
      </w:r>
    </w:p>
    <w:p w14:paraId="55786A1C" w14:textId="77777777" w:rsidR="003358CE" w:rsidRDefault="003358CE" w:rsidP="003358CE">
      <w:r>
        <w:br w:type="page"/>
      </w:r>
    </w:p>
    <w:p w14:paraId="078B9090" w14:textId="77777777" w:rsidR="003358CE" w:rsidRDefault="003358CE" w:rsidP="003358CE">
      <w:pPr>
        <w:pStyle w:val="Heading1"/>
      </w:pPr>
      <w:bookmarkStart w:id="14" w:name="_Toc179925585"/>
      <w:bookmarkStart w:id="15" w:name="_Toc180054236"/>
      <w:r>
        <w:lastRenderedPageBreak/>
        <w:t>Appendices</w:t>
      </w:r>
      <w:bookmarkEnd w:id="14"/>
      <w:bookmarkEnd w:id="15"/>
      <w:r>
        <w:t xml:space="preserve"> </w:t>
      </w:r>
    </w:p>
    <w:p w14:paraId="1035965E" w14:textId="77777777" w:rsidR="003358CE" w:rsidRPr="00E67AC3" w:rsidRDefault="003358CE" w:rsidP="00E67AC3">
      <w:pPr>
        <w:spacing w:line="360" w:lineRule="auto"/>
        <w:jc w:val="both"/>
        <w:rPr>
          <w:rFonts w:ascii="Arial" w:hAnsi="Arial" w:cs="Arial"/>
          <w:b/>
          <w:bCs/>
          <w:sz w:val="24"/>
          <w:szCs w:val="24"/>
        </w:rPr>
      </w:pPr>
      <w:r w:rsidRPr="00E67AC3">
        <w:rPr>
          <w:rFonts w:ascii="Arial" w:hAnsi="Arial" w:cs="Arial"/>
          <w:b/>
          <w:bCs/>
          <w:sz w:val="24"/>
          <w:szCs w:val="24"/>
        </w:rPr>
        <w:t>Appendix 1: Total Revenue (2018-2023)</w:t>
      </w:r>
    </w:p>
    <w:tbl>
      <w:tblPr>
        <w:tblStyle w:val="TableGrid"/>
        <w:tblW w:w="9463" w:type="dxa"/>
        <w:tblLook w:val="04A0" w:firstRow="1" w:lastRow="0" w:firstColumn="1" w:lastColumn="0" w:noHBand="0" w:noVBand="1"/>
      </w:tblPr>
      <w:tblGrid>
        <w:gridCol w:w="822"/>
        <w:gridCol w:w="5039"/>
        <w:gridCol w:w="3602"/>
      </w:tblGrid>
      <w:tr w:rsidR="003358CE" w:rsidRPr="00E67AC3" w14:paraId="3C7D4458" w14:textId="77777777" w:rsidTr="003B6998">
        <w:trPr>
          <w:trHeight w:val="448"/>
        </w:trPr>
        <w:tc>
          <w:tcPr>
            <w:tcW w:w="822" w:type="dxa"/>
            <w:noWrap/>
            <w:hideMark/>
          </w:tcPr>
          <w:p w14:paraId="72D65482" w14:textId="77777777" w:rsidR="003358CE" w:rsidRPr="00E67AC3" w:rsidRDefault="003358CE" w:rsidP="00E67AC3">
            <w:pPr>
              <w:spacing w:line="360" w:lineRule="auto"/>
              <w:jc w:val="both"/>
              <w:rPr>
                <w:rFonts w:ascii="Arial" w:hAnsi="Arial" w:cs="Arial"/>
                <w:b/>
                <w:bCs/>
                <w:sz w:val="24"/>
                <w:szCs w:val="24"/>
                <w:lang w:eastAsia="en-GB"/>
              </w:rPr>
            </w:pPr>
            <w:r w:rsidRPr="00E67AC3">
              <w:rPr>
                <w:rFonts w:ascii="Arial" w:hAnsi="Arial" w:cs="Arial"/>
                <w:b/>
                <w:bCs/>
                <w:sz w:val="24"/>
                <w:szCs w:val="24"/>
                <w:lang w:eastAsia="en-GB"/>
              </w:rPr>
              <w:t>Year</w:t>
            </w:r>
          </w:p>
        </w:tc>
        <w:tc>
          <w:tcPr>
            <w:tcW w:w="5039" w:type="dxa"/>
            <w:noWrap/>
            <w:hideMark/>
          </w:tcPr>
          <w:p w14:paraId="2375008E" w14:textId="77777777" w:rsidR="003358CE" w:rsidRPr="00E67AC3" w:rsidRDefault="003358CE" w:rsidP="00253850">
            <w:pPr>
              <w:spacing w:line="360" w:lineRule="auto"/>
              <w:jc w:val="center"/>
              <w:rPr>
                <w:rFonts w:ascii="Arial" w:hAnsi="Arial" w:cs="Arial"/>
                <w:b/>
                <w:bCs/>
                <w:sz w:val="24"/>
                <w:szCs w:val="24"/>
                <w:lang w:eastAsia="en-GB"/>
              </w:rPr>
            </w:pPr>
            <w:r w:rsidRPr="00E67AC3">
              <w:rPr>
                <w:rFonts w:ascii="Arial" w:hAnsi="Arial" w:cs="Arial"/>
                <w:b/>
                <w:bCs/>
                <w:sz w:val="24"/>
                <w:szCs w:val="24"/>
                <w:lang w:eastAsia="en-GB"/>
              </w:rPr>
              <w:t>Shangri-La Total Revenue (USD Million)</w:t>
            </w:r>
          </w:p>
        </w:tc>
        <w:tc>
          <w:tcPr>
            <w:tcW w:w="3602" w:type="dxa"/>
            <w:noWrap/>
            <w:hideMark/>
          </w:tcPr>
          <w:p w14:paraId="5AA30ED7" w14:textId="77777777" w:rsidR="003358CE" w:rsidRPr="00E67AC3" w:rsidRDefault="003358CE" w:rsidP="00253850">
            <w:pPr>
              <w:spacing w:line="360" w:lineRule="auto"/>
              <w:jc w:val="center"/>
              <w:rPr>
                <w:rFonts w:ascii="Arial" w:hAnsi="Arial" w:cs="Arial"/>
                <w:b/>
                <w:bCs/>
                <w:sz w:val="24"/>
                <w:szCs w:val="24"/>
                <w:lang w:eastAsia="en-GB"/>
              </w:rPr>
            </w:pPr>
            <w:r w:rsidRPr="00E67AC3">
              <w:rPr>
                <w:rFonts w:ascii="Arial" w:hAnsi="Arial" w:cs="Arial"/>
                <w:b/>
                <w:bCs/>
                <w:sz w:val="24"/>
                <w:szCs w:val="24"/>
                <w:lang w:eastAsia="en-GB"/>
              </w:rPr>
              <w:t>Premier Inn (GBP Million)</w:t>
            </w:r>
          </w:p>
        </w:tc>
      </w:tr>
      <w:tr w:rsidR="003358CE" w:rsidRPr="00E67AC3" w14:paraId="54F3221E" w14:textId="77777777" w:rsidTr="003B6998">
        <w:trPr>
          <w:trHeight w:val="448"/>
        </w:trPr>
        <w:tc>
          <w:tcPr>
            <w:tcW w:w="822" w:type="dxa"/>
            <w:hideMark/>
          </w:tcPr>
          <w:p w14:paraId="2CB3AF93"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2018</w:t>
            </w:r>
          </w:p>
        </w:tc>
        <w:tc>
          <w:tcPr>
            <w:tcW w:w="5039" w:type="dxa"/>
            <w:hideMark/>
          </w:tcPr>
          <w:p w14:paraId="04635872"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2,517.90</w:t>
            </w:r>
          </w:p>
        </w:tc>
        <w:tc>
          <w:tcPr>
            <w:tcW w:w="3602" w:type="dxa"/>
            <w:hideMark/>
          </w:tcPr>
          <w:p w14:paraId="7244D02C"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3,295</w:t>
            </w:r>
          </w:p>
        </w:tc>
      </w:tr>
      <w:tr w:rsidR="003358CE" w:rsidRPr="00E67AC3" w14:paraId="5BB7E967" w14:textId="77777777" w:rsidTr="003B6998">
        <w:trPr>
          <w:trHeight w:val="448"/>
        </w:trPr>
        <w:tc>
          <w:tcPr>
            <w:tcW w:w="822" w:type="dxa"/>
            <w:hideMark/>
          </w:tcPr>
          <w:p w14:paraId="0E70B5BD"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2019</w:t>
            </w:r>
          </w:p>
        </w:tc>
        <w:tc>
          <w:tcPr>
            <w:tcW w:w="5039" w:type="dxa"/>
            <w:hideMark/>
          </w:tcPr>
          <w:p w14:paraId="14F8C929"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2,431.20</w:t>
            </w:r>
          </w:p>
        </w:tc>
        <w:tc>
          <w:tcPr>
            <w:tcW w:w="3602" w:type="dxa"/>
            <w:hideMark/>
          </w:tcPr>
          <w:p w14:paraId="2749F7E6"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2,049</w:t>
            </w:r>
          </w:p>
        </w:tc>
      </w:tr>
      <w:tr w:rsidR="003358CE" w:rsidRPr="00E67AC3" w14:paraId="2E4A2ED6" w14:textId="77777777" w:rsidTr="003B6998">
        <w:trPr>
          <w:trHeight w:val="448"/>
        </w:trPr>
        <w:tc>
          <w:tcPr>
            <w:tcW w:w="822" w:type="dxa"/>
            <w:hideMark/>
          </w:tcPr>
          <w:p w14:paraId="3981ECC2"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2020</w:t>
            </w:r>
          </w:p>
        </w:tc>
        <w:tc>
          <w:tcPr>
            <w:tcW w:w="5039" w:type="dxa"/>
            <w:hideMark/>
          </w:tcPr>
          <w:p w14:paraId="4864AE3C"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1,033.40</w:t>
            </w:r>
          </w:p>
        </w:tc>
        <w:tc>
          <w:tcPr>
            <w:tcW w:w="3602" w:type="dxa"/>
            <w:hideMark/>
          </w:tcPr>
          <w:p w14:paraId="597D12E1"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2,072</w:t>
            </w:r>
          </w:p>
        </w:tc>
      </w:tr>
      <w:tr w:rsidR="003358CE" w:rsidRPr="00E67AC3" w14:paraId="7FEB5418" w14:textId="77777777" w:rsidTr="003B6998">
        <w:trPr>
          <w:trHeight w:val="448"/>
        </w:trPr>
        <w:tc>
          <w:tcPr>
            <w:tcW w:w="822" w:type="dxa"/>
            <w:hideMark/>
          </w:tcPr>
          <w:p w14:paraId="6EF38D33"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2021</w:t>
            </w:r>
          </w:p>
        </w:tc>
        <w:tc>
          <w:tcPr>
            <w:tcW w:w="5039" w:type="dxa"/>
            <w:hideMark/>
          </w:tcPr>
          <w:p w14:paraId="107CC5FB"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1,241.00</w:t>
            </w:r>
          </w:p>
        </w:tc>
        <w:tc>
          <w:tcPr>
            <w:tcW w:w="3602" w:type="dxa"/>
            <w:hideMark/>
          </w:tcPr>
          <w:p w14:paraId="1DC3E9C1"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590</w:t>
            </w:r>
          </w:p>
        </w:tc>
      </w:tr>
      <w:tr w:rsidR="003358CE" w:rsidRPr="00E67AC3" w14:paraId="08B4B541" w14:textId="77777777" w:rsidTr="003B6998">
        <w:trPr>
          <w:trHeight w:val="448"/>
        </w:trPr>
        <w:tc>
          <w:tcPr>
            <w:tcW w:w="822" w:type="dxa"/>
            <w:hideMark/>
          </w:tcPr>
          <w:p w14:paraId="02062BC3"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2022</w:t>
            </w:r>
          </w:p>
        </w:tc>
        <w:tc>
          <w:tcPr>
            <w:tcW w:w="5039" w:type="dxa"/>
            <w:hideMark/>
          </w:tcPr>
          <w:p w14:paraId="41C981E0"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1,462.10</w:t>
            </w:r>
          </w:p>
        </w:tc>
        <w:tc>
          <w:tcPr>
            <w:tcW w:w="3602" w:type="dxa"/>
            <w:hideMark/>
          </w:tcPr>
          <w:p w14:paraId="6A884465"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1,703</w:t>
            </w:r>
          </w:p>
        </w:tc>
      </w:tr>
      <w:tr w:rsidR="003358CE" w:rsidRPr="00E67AC3" w14:paraId="257425FA" w14:textId="77777777" w:rsidTr="003B6998">
        <w:trPr>
          <w:trHeight w:val="448"/>
        </w:trPr>
        <w:tc>
          <w:tcPr>
            <w:tcW w:w="822" w:type="dxa"/>
            <w:hideMark/>
          </w:tcPr>
          <w:p w14:paraId="179A3AEF"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2023</w:t>
            </w:r>
          </w:p>
        </w:tc>
        <w:tc>
          <w:tcPr>
            <w:tcW w:w="5039" w:type="dxa"/>
            <w:hideMark/>
          </w:tcPr>
          <w:p w14:paraId="12D39EC5"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2,141.80</w:t>
            </w:r>
          </w:p>
        </w:tc>
        <w:tc>
          <w:tcPr>
            <w:tcW w:w="3602" w:type="dxa"/>
            <w:hideMark/>
          </w:tcPr>
          <w:p w14:paraId="5B7EAB08" w14:textId="77777777" w:rsidR="003358CE" w:rsidRPr="00E67AC3" w:rsidRDefault="003358CE" w:rsidP="00253850">
            <w:pPr>
              <w:spacing w:line="360" w:lineRule="auto"/>
              <w:jc w:val="center"/>
              <w:rPr>
                <w:rFonts w:ascii="Arial" w:hAnsi="Arial" w:cs="Arial"/>
                <w:sz w:val="24"/>
                <w:szCs w:val="24"/>
                <w:lang w:eastAsia="en-GB"/>
              </w:rPr>
            </w:pPr>
            <w:r w:rsidRPr="00E67AC3">
              <w:rPr>
                <w:rFonts w:ascii="Arial" w:hAnsi="Arial" w:cs="Arial"/>
                <w:sz w:val="24"/>
                <w:szCs w:val="24"/>
                <w:lang w:eastAsia="en-GB"/>
              </w:rPr>
              <w:t>2,625</w:t>
            </w:r>
          </w:p>
        </w:tc>
      </w:tr>
    </w:tbl>
    <w:p w14:paraId="73E1BA04" w14:textId="77777777" w:rsidR="003358CE" w:rsidRPr="00E67AC3" w:rsidRDefault="003358CE" w:rsidP="00E67AC3">
      <w:pPr>
        <w:spacing w:line="360" w:lineRule="auto"/>
        <w:jc w:val="both"/>
        <w:rPr>
          <w:rFonts w:ascii="Arial" w:hAnsi="Arial" w:cs="Arial"/>
          <w:sz w:val="24"/>
          <w:szCs w:val="24"/>
        </w:rPr>
      </w:pPr>
      <w:r w:rsidRPr="00E67AC3">
        <w:rPr>
          <w:rFonts w:ascii="Arial" w:hAnsi="Arial" w:cs="Arial"/>
          <w:sz w:val="24"/>
          <w:szCs w:val="24"/>
        </w:rPr>
        <w:t>Source: (Shangri-La Group, 2023; Whitebread PLC, 2024)</w:t>
      </w:r>
    </w:p>
    <w:p w14:paraId="53EBF000" w14:textId="77777777" w:rsidR="00E67AC3" w:rsidRDefault="00E67AC3" w:rsidP="003358CE">
      <w:pPr>
        <w:rPr>
          <w:b/>
          <w:bCs/>
        </w:rPr>
      </w:pPr>
    </w:p>
    <w:p w14:paraId="35AA0F42" w14:textId="5C0200F7" w:rsidR="003358CE" w:rsidRPr="00E67AC3" w:rsidRDefault="003358CE" w:rsidP="00E67AC3">
      <w:pPr>
        <w:spacing w:line="360" w:lineRule="auto"/>
        <w:jc w:val="both"/>
        <w:rPr>
          <w:rFonts w:ascii="Arial" w:hAnsi="Arial" w:cs="Arial"/>
          <w:b/>
          <w:bCs/>
          <w:sz w:val="24"/>
          <w:szCs w:val="24"/>
        </w:rPr>
      </w:pPr>
      <w:r w:rsidRPr="00E67AC3">
        <w:rPr>
          <w:rFonts w:ascii="Arial" w:hAnsi="Arial" w:cs="Arial"/>
          <w:b/>
          <w:bCs/>
          <w:sz w:val="24"/>
          <w:szCs w:val="24"/>
        </w:rPr>
        <w:t>Appendix 2: Operational Costs and COGS (2018-2023)</w:t>
      </w:r>
    </w:p>
    <w:tbl>
      <w:tblPr>
        <w:tblStyle w:val="TableGrid"/>
        <w:tblW w:w="9634" w:type="dxa"/>
        <w:tblLook w:val="04A0" w:firstRow="1" w:lastRow="0" w:firstColumn="1" w:lastColumn="0" w:noHBand="0" w:noVBand="1"/>
      </w:tblPr>
      <w:tblGrid>
        <w:gridCol w:w="1558"/>
        <w:gridCol w:w="1981"/>
        <w:gridCol w:w="1701"/>
        <w:gridCol w:w="1985"/>
        <w:gridCol w:w="2409"/>
      </w:tblGrid>
      <w:tr w:rsidR="003358CE" w:rsidRPr="00E67AC3" w14:paraId="0379511E" w14:textId="77777777" w:rsidTr="003B6998">
        <w:tc>
          <w:tcPr>
            <w:tcW w:w="1558" w:type="dxa"/>
            <w:vAlign w:val="center"/>
          </w:tcPr>
          <w:p w14:paraId="58182EB7" w14:textId="77777777" w:rsidR="003358CE" w:rsidRPr="00E67AC3" w:rsidRDefault="003358CE" w:rsidP="00253850">
            <w:pPr>
              <w:spacing w:line="360" w:lineRule="auto"/>
              <w:jc w:val="center"/>
              <w:rPr>
                <w:rFonts w:ascii="Arial" w:hAnsi="Arial" w:cs="Arial"/>
                <w:b/>
                <w:bCs/>
                <w:sz w:val="24"/>
                <w:szCs w:val="24"/>
              </w:rPr>
            </w:pPr>
            <w:r w:rsidRPr="00E67AC3">
              <w:rPr>
                <w:rFonts w:ascii="Arial" w:hAnsi="Arial" w:cs="Arial"/>
                <w:b/>
                <w:bCs/>
                <w:sz w:val="24"/>
                <w:szCs w:val="24"/>
              </w:rPr>
              <w:t>Year</w:t>
            </w:r>
          </w:p>
        </w:tc>
        <w:tc>
          <w:tcPr>
            <w:tcW w:w="1981" w:type="dxa"/>
            <w:vAlign w:val="center"/>
          </w:tcPr>
          <w:p w14:paraId="32C51738" w14:textId="77777777" w:rsidR="003358CE" w:rsidRPr="00E67AC3" w:rsidRDefault="003358CE" w:rsidP="00253850">
            <w:pPr>
              <w:spacing w:line="360" w:lineRule="auto"/>
              <w:jc w:val="center"/>
              <w:rPr>
                <w:rFonts w:ascii="Arial" w:hAnsi="Arial" w:cs="Arial"/>
                <w:b/>
                <w:bCs/>
                <w:sz w:val="24"/>
                <w:szCs w:val="24"/>
              </w:rPr>
            </w:pPr>
            <w:r w:rsidRPr="00E67AC3">
              <w:rPr>
                <w:rFonts w:ascii="Arial" w:hAnsi="Arial" w:cs="Arial"/>
                <w:b/>
                <w:bCs/>
                <w:sz w:val="24"/>
                <w:szCs w:val="24"/>
              </w:rPr>
              <w:t>Shangri-La Operational Costs (USD Million)</w:t>
            </w:r>
          </w:p>
        </w:tc>
        <w:tc>
          <w:tcPr>
            <w:tcW w:w="1701" w:type="dxa"/>
            <w:vAlign w:val="center"/>
          </w:tcPr>
          <w:p w14:paraId="4E189908" w14:textId="77777777" w:rsidR="003358CE" w:rsidRPr="00E67AC3" w:rsidRDefault="003358CE" w:rsidP="00253850">
            <w:pPr>
              <w:spacing w:line="360" w:lineRule="auto"/>
              <w:jc w:val="center"/>
              <w:rPr>
                <w:rFonts w:ascii="Arial" w:hAnsi="Arial" w:cs="Arial"/>
                <w:b/>
                <w:bCs/>
                <w:sz w:val="24"/>
                <w:szCs w:val="24"/>
              </w:rPr>
            </w:pPr>
            <w:r w:rsidRPr="00E67AC3">
              <w:rPr>
                <w:rFonts w:ascii="Arial" w:hAnsi="Arial" w:cs="Arial"/>
                <w:b/>
                <w:bCs/>
                <w:sz w:val="24"/>
                <w:szCs w:val="24"/>
              </w:rPr>
              <w:t>Shangri-La COGS (USD Million)</w:t>
            </w:r>
          </w:p>
        </w:tc>
        <w:tc>
          <w:tcPr>
            <w:tcW w:w="1985" w:type="dxa"/>
            <w:vAlign w:val="center"/>
          </w:tcPr>
          <w:p w14:paraId="20B3B202" w14:textId="77777777" w:rsidR="003358CE" w:rsidRPr="00E67AC3" w:rsidRDefault="003358CE" w:rsidP="00253850">
            <w:pPr>
              <w:spacing w:line="360" w:lineRule="auto"/>
              <w:jc w:val="center"/>
              <w:rPr>
                <w:rFonts w:ascii="Arial" w:hAnsi="Arial" w:cs="Arial"/>
                <w:b/>
                <w:bCs/>
                <w:sz w:val="24"/>
                <w:szCs w:val="24"/>
              </w:rPr>
            </w:pPr>
            <w:r w:rsidRPr="00E67AC3">
              <w:rPr>
                <w:rFonts w:ascii="Arial" w:hAnsi="Arial" w:cs="Arial"/>
                <w:b/>
                <w:bCs/>
                <w:sz w:val="24"/>
                <w:szCs w:val="24"/>
              </w:rPr>
              <w:t>Premier Inn (Whitbread) Operational Costs (GBP Million)</w:t>
            </w:r>
          </w:p>
        </w:tc>
        <w:tc>
          <w:tcPr>
            <w:tcW w:w="2409" w:type="dxa"/>
            <w:vAlign w:val="center"/>
          </w:tcPr>
          <w:p w14:paraId="28C0B1FF" w14:textId="77777777" w:rsidR="003358CE" w:rsidRPr="00E67AC3" w:rsidRDefault="003358CE" w:rsidP="00253850">
            <w:pPr>
              <w:spacing w:line="360" w:lineRule="auto"/>
              <w:jc w:val="center"/>
              <w:rPr>
                <w:rFonts w:ascii="Arial" w:hAnsi="Arial" w:cs="Arial"/>
                <w:b/>
                <w:bCs/>
                <w:sz w:val="24"/>
                <w:szCs w:val="24"/>
              </w:rPr>
            </w:pPr>
            <w:r w:rsidRPr="00E67AC3">
              <w:rPr>
                <w:rFonts w:ascii="Arial" w:hAnsi="Arial" w:cs="Arial"/>
                <w:b/>
                <w:bCs/>
                <w:sz w:val="24"/>
                <w:szCs w:val="24"/>
              </w:rPr>
              <w:t>Premier Inn (Whitbread) COGS (GBP Million)</w:t>
            </w:r>
          </w:p>
        </w:tc>
      </w:tr>
      <w:tr w:rsidR="003358CE" w:rsidRPr="00E67AC3" w14:paraId="12A26FAD" w14:textId="77777777" w:rsidTr="003B6998">
        <w:tc>
          <w:tcPr>
            <w:tcW w:w="1558" w:type="dxa"/>
            <w:vAlign w:val="center"/>
          </w:tcPr>
          <w:p w14:paraId="60299854"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2018</w:t>
            </w:r>
          </w:p>
        </w:tc>
        <w:tc>
          <w:tcPr>
            <w:tcW w:w="1981" w:type="dxa"/>
            <w:vAlign w:val="center"/>
          </w:tcPr>
          <w:p w14:paraId="36C5C3B4"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650.4</w:t>
            </w:r>
          </w:p>
        </w:tc>
        <w:tc>
          <w:tcPr>
            <w:tcW w:w="1701" w:type="dxa"/>
            <w:vAlign w:val="center"/>
          </w:tcPr>
          <w:p w14:paraId="5BF1AD86"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318.4</w:t>
            </w:r>
          </w:p>
        </w:tc>
        <w:tc>
          <w:tcPr>
            <w:tcW w:w="1985" w:type="dxa"/>
            <w:vAlign w:val="center"/>
          </w:tcPr>
          <w:p w14:paraId="619AE56A"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1,642</w:t>
            </w:r>
          </w:p>
        </w:tc>
        <w:tc>
          <w:tcPr>
            <w:tcW w:w="2409" w:type="dxa"/>
            <w:vAlign w:val="center"/>
          </w:tcPr>
          <w:p w14:paraId="0E5FF764"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871</w:t>
            </w:r>
          </w:p>
        </w:tc>
      </w:tr>
      <w:tr w:rsidR="003358CE" w:rsidRPr="00E67AC3" w14:paraId="605A40E2" w14:textId="77777777" w:rsidTr="003B6998">
        <w:tc>
          <w:tcPr>
            <w:tcW w:w="1558" w:type="dxa"/>
            <w:vAlign w:val="center"/>
          </w:tcPr>
          <w:p w14:paraId="7CA30A19"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2019</w:t>
            </w:r>
          </w:p>
        </w:tc>
        <w:tc>
          <w:tcPr>
            <w:tcW w:w="1981" w:type="dxa"/>
            <w:vAlign w:val="center"/>
          </w:tcPr>
          <w:p w14:paraId="15C76183"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707.4</w:t>
            </w:r>
          </w:p>
        </w:tc>
        <w:tc>
          <w:tcPr>
            <w:tcW w:w="1701" w:type="dxa"/>
            <w:vAlign w:val="center"/>
          </w:tcPr>
          <w:p w14:paraId="1CF49EF5"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299.5</w:t>
            </w:r>
          </w:p>
        </w:tc>
        <w:tc>
          <w:tcPr>
            <w:tcW w:w="1985" w:type="dxa"/>
            <w:vAlign w:val="center"/>
          </w:tcPr>
          <w:p w14:paraId="6F82D19A"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1,837</w:t>
            </w:r>
          </w:p>
        </w:tc>
        <w:tc>
          <w:tcPr>
            <w:tcW w:w="2409" w:type="dxa"/>
            <w:vAlign w:val="center"/>
          </w:tcPr>
          <w:p w14:paraId="08AFEE6B"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892</w:t>
            </w:r>
          </w:p>
        </w:tc>
      </w:tr>
      <w:tr w:rsidR="003358CE" w:rsidRPr="00E67AC3" w14:paraId="0DDC9411" w14:textId="77777777" w:rsidTr="003B6998">
        <w:tc>
          <w:tcPr>
            <w:tcW w:w="1558" w:type="dxa"/>
            <w:vAlign w:val="center"/>
          </w:tcPr>
          <w:p w14:paraId="0177F8EB"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2020</w:t>
            </w:r>
          </w:p>
        </w:tc>
        <w:tc>
          <w:tcPr>
            <w:tcW w:w="1981" w:type="dxa"/>
            <w:vAlign w:val="center"/>
          </w:tcPr>
          <w:p w14:paraId="7295088A"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529.9</w:t>
            </w:r>
          </w:p>
        </w:tc>
        <w:tc>
          <w:tcPr>
            <w:tcW w:w="1701" w:type="dxa"/>
            <w:vAlign w:val="center"/>
          </w:tcPr>
          <w:p w14:paraId="5A7586AD"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156.2</w:t>
            </w:r>
          </w:p>
        </w:tc>
        <w:tc>
          <w:tcPr>
            <w:tcW w:w="1985" w:type="dxa"/>
            <w:vAlign w:val="center"/>
          </w:tcPr>
          <w:p w14:paraId="69BC797B"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1,176</w:t>
            </w:r>
          </w:p>
        </w:tc>
        <w:tc>
          <w:tcPr>
            <w:tcW w:w="2409" w:type="dxa"/>
            <w:vAlign w:val="center"/>
          </w:tcPr>
          <w:p w14:paraId="7E8D4D54"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654</w:t>
            </w:r>
          </w:p>
        </w:tc>
      </w:tr>
      <w:tr w:rsidR="003358CE" w:rsidRPr="00E67AC3" w14:paraId="30D45D15" w14:textId="77777777" w:rsidTr="003B6998">
        <w:tc>
          <w:tcPr>
            <w:tcW w:w="1558" w:type="dxa"/>
            <w:vAlign w:val="center"/>
          </w:tcPr>
          <w:p w14:paraId="62291016"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2021</w:t>
            </w:r>
          </w:p>
        </w:tc>
        <w:tc>
          <w:tcPr>
            <w:tcW w:w="1981" w:type="dxa"/>
            <w:vAlign w:val="center"/>
          </w:tcPr>
          <w:p w14:paraId="5C5B19DF"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561.1</w:t>
            </w:r>
          </w:p>
        </w:tc>
        <w:tc>
          <w:tcPr>
            <w:tcW w:w="1701" w:type="dxa"/>
            <w:vAlign w:val="center"/>
          </w:tcPr>
          <w:p w14:paraId="2DFC5FD9"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210.8</w:t>
            </w:r>
          </w:p>
        </w:tc>
        <w:tc>
          <w:tcPr>
            <w:tcW w:w="1985" w:type="dxa"/>
            <w:vAlign w:val="center"/>
          </w:tcPr>
          <w:p w14:paraId="45F5C785"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1,410</w:t>
            </w:r>
          </w:p>
        </w:tc>
        <w:tc>
          <w:tcPr>
            <w:tcW w:w="2409" w:type="dxa"/>
            <w:vAlign w:val="center"/>
          </w:tcPr>
          <w:p w14:paraId="00F4224C"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744</w:t>
            </w:r>
          </w:p>
        </w:tc>
      </w:tr>
      <w:tr w:rsidR="003358CE" w:rsidRPr="00E67AC3" w14:paraId="2E088532" w14:textId="77777777" w:rsidTr="003B6998">
        <w:tc>
          <w:tcPr>
            <w:tcW w:w="1558" w:type="dxa"/>
            <w:vAlign w:val="center"/>
          </w:tcPr>
          <w:p w14:paraId="5E03AD32"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2022</w:t>
            </w:r>
          </w:p>
        </w:tc>
        <w:tc>
          <w:tcPr>
            <w:tcW w:w="1981" w:type="dxa"/>
            <w:vAlign w:val="center"/>
          </w:tcPr>
          <w:p w14:paraId="4E182FD7"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975.1</w:t>
            </w:r>
          </w:p>
        </w:tc>
        <w:tc>
          <w:tcPr>
            <w:tcW w:w="1701" w:type="dxa"/>
            <w:vAlign w:val="center"/>
          </w:tcPr>
          <w:p w14:paraId="10F03701"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279.2</w:t>
            </w:r>
          </w:p>
        </w:tc>
        <w:tc>
          <w:tcPr>
            <w:tcW w:w="1985" w:type="dxa"/>
            <w:vAlign w:val="center"/>
          </w:tcPr>
          <w:p w14:paraId="6A7AEA6B"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1,523</w:t>
            </w:r>
          </w:p>
        </w:tc>
        <w:tc>
          <w:tcPr>
            <w:tcW w:w="2409" w:type="dxa"/>
            <w:vAlign w:val="center"/>
          </w:tcPr>
          <w:p w14:paraId="087FE889"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803</w:t>
            </w:r>
          </w:p>
        </w:tc>
      </w:tr>
      <w:tr w:rsidR="003358CE" w:rsidRPr="00E67AC3" w14:paraId="79218D69" w14:textId="77777777" w:rsidTr="003B6998">
        <w:tc>
          <w:tcPr>
            <w:tcW w:w="1558" w:type="dxa"/>
            <w:vAlign w:val="center"/>
          </w:tcPr>
          <w:p w14:paraId="17EA9633"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2023</w:t>
            </w:r>
          </w:p>
        </w:tc>
        <w:tc>
          <w:tcPr>
            <w:tcW w:w="1981" w:type="dxa"/>
            <w:vAlign w:val="center"/>
          </w:tcPr>
          <w:p w14:paraId="1D90DD80"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1,191.60</w:t>
            </w:r>
          </w:p>
        </w:tc>
        <w:tc>
          <w:tcPr>
            <w:tcW w:w="1701" w:type="dxa"/>
            <w:vAlign w:val="center"/>
          </w:tcPr>
          <w:p w14:paraId="598E291A"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299.5</w:t>
            </w:r>
          </w:p>
        </w:tc>
        <w:tc>
          <w:tcPr>
            <w:tcW w:w="1985" w:type="dxa"/>
            <w:vAlign w:val="center"/>
          </w:tcPr>
          <w:p w14:paraId="3DCBADBA"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1,758</w:t>
            </w:r>
          </w:p>
        </w:tc>
        <w:tc>
          <w:tcPr>
            <w:tcW w:w="2409" w:type="dxa"/>
            <w:vAlign w:val="center"/>
          </w:tcPr>
          <w:p w14:paraId="49D485E5" w14:textId="77777777" w:rsidR="003358CE" w:rsidRPr="00E67AC3" w:rsidRDefault="003358CE" w:rsidP="00253850">
            <w:pPr>
              <w:spacing w:line="360" w:lineRule="auto"/>
              <w:jc w:val="center"/>
              <w:rPr>
                <w:rFonts w:ascii="Arial" w:hAnsi="Arial" w:cs="Arial"/>
                <w:sz w:val="24"/>
                <w:szCs w:val="24"/>
              </w:rPr>
            </w:pPr>
            <w:r w:rsidRPr="00E67AC3">
              <w:rPr>
                <w:rFonts w:ascii="Arial" w:hAnsi="Arial" w:cs="Arial"/>
                <w:sz w:val="24"/>
                <w:szCs w:val="24"/>
              </w:rPr>
              <w:t>854</w:t>
            </w:r>
          </w:p>
        </w:tc>
      </w:tr>
    </w:tbl>
    <w:p w14:paraId="173AF294" w14:textId="77777777" w:rsidR="003358CE" w:rsidRPr="00E67AC3" w:rsidRDefault="003358CE" w:rsidP="00E67AC3">
      <w:pPr>
        <w:spacing w:line="360" w:lineRule="auto"/>
        <w:jc w:val="both"/>
        <w:rPr>
          <w:rFonts w:ascii="Arial" w:hAnsi="Arial" w:cs="Arial"/>
          <w:sz w:val="24"/>
          <w:szCs w:val="24"/>
        </w:rPr>
      </w:pPr>
      <w:r w:rsidRPr="00E67AC3">
        <w:rPr>
          <w:rFonts w:ascii="Arial" w:hAnsi="Arial" w:cs="Arial"/>
          <w:sz w:val="24"/>
          <w:szCs w:val="24"/>
        </w:rPr>
        <w:t>Source: (Shangri-La Group, 2023; Whitebread PLC, 2024)</w:t>
      </w:r>
    </w:p>
    <w:p w14:paraId="4B78CDF0" w14:textId="77777777" w:rsidR="003358CE" w:rsidRDefault="003358CE" w:rsidP="003358CE">
      <w:r w:rsidRPr="006D4CC6">
        <w:tab/>
      </w:r>
    </w:p>
    <w:p w14:paraId="3012481E" w14:textId="77777777" w:rsidR="003358CE" w:rsidRPr="003358CE" w:rsidRDefault="003358CE" w:rsidP="003358CE">
      <w:pPr>
        <w:spacing w:line="360" w:lineRule="auto"/>
        <w:jc w:val="both"/>
        <w:rPr>
          <w:rFonts w:ascii="Arial" w:hAnsi="Arial" w:cs="Arial"/>
          <w:sz w:val="24"/>
          <w:szCs w:val="24"/>
        </w:rPr>
      </w:pPr>
    </w:p>
    <w:sectPr w:rsidR="003358CE" w:rsidRPr="003358CE" w:rsidSect="003358CE">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5A6888" w14:textId="77777777" w:rsidR="0052724C" w:rsidRDefault="0052724C" w:rsidP="00141FC4">
      <w:pPr>
        <w:spacing w:after="0" w:line="240" w:lineRule="auto"/>
      </w:pPr>
      <w:r>
        <w:separator/>
      </w:r>
    </w:p>
  </w:endnote>
  <w:endnote w:type="continuationSeparator" w:id="0">
    <w:p w14:paraId="309D1A56" w14:textId="77777777" w:rsidR="0052724C" w:rsidRDefault="0052724C" w:rsidP="00141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3397643"/>
      <w:docPartObj>
        <w:docPartGallery w:val="Page Numbers (Bottom of Page)"/>
        <w:docPartUnique/>
      </w:docPartObj>
    </w:sdtPr>
    <w:sdtContent>
      <w:p w14:paraId="17657AFF" w14:textId="77777777" w:rsidR="00573BF4" w:rsidRDefault="00573BF4">
        <w:pPr>
          <w:pStyle w:val="Footer"/>
        </w:pPr>
        <w:r>
          <w:fldChar w:fldCharType="begin"/>
        </w:r>
        <w:r>
          <w:instrText>PAGE   \* MERGEFORMAT</w:instrText>
        </w:r>
        <w:r>
          <w:fldChar w:fldCharType="separate"/>
        </w:r>
        <w:r>
          <w:t>2</w:t>
        </w:r>
        <w:r>
          <w:fldChar w:fldCharType="end"/>
        </w:r>
      </w:p>
    </w:sdtContent>
  </w:sdt>
  <w:p w14:paraId="2B2C488D" w14:textId="77777777" w:rsidR="00573BF4" w:rsidRDefault="00573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0FFA8" w14:textId="77777777" w:rsidR="0052724C" w:rsidRDefault="0052724C" w:rsidP="00141FC4">
      <w:pPr>
        <w:spacing w:after="0" w:line="240" w:lineRule="auto"/>
      </w:pPr>
      <w:r>
        <w:separator/>
      </w:r>
    </w:p>
  </w:footnote>
  <w:footnote w:type="continuationSeparator" w:id="0">
    <w:p w14:paraId="66C50838" w14:textId="77777777" w:rsidR="0052724C" w:rsidRDefault="0052724C" w:rsidP="00141F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84B4E"/>
    <w:multiLevelType w:val="hybridMultilevel"/>
    <w:tmpl w:val="8BE2F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2F38B0"/>
    <w:multiLevelType w:val="hybridMultilevel"/>
    <w:tmpl w:val="0DAAAA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45893874">
    <w:abstractNumId w:val="1"/>
  </w:num>
  <w:num w:numId="2" w16cid:durableId="1417937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451"/>
    <w:rsid w:val="00007565"/>
    <w:rsid w:val="00017E82"/>
    <w:rsid w:val="00043832"/>
    <w:rsid w:val="00083EEF"/>
    <w:rsid w:val="0009146A"/>
    <w:rsid w:val="000A708A"/>
    <w:rsid w:val="000B470D"/>
    <w:rsid w:val="00110F47"/>
    <w:rsid w:val="00141FC4"/>
    <w:rsid w:val="0016786B"/>
    <w:rsid w:val="001832AA"/>
    <w:rsid w:val="00194865"/>
    <w:rsid w:val="001C36E4"/>
    <w:rsid w:val="001F18A4"/>
    <w:rsid w:val="001F50BD"/>
    <w:rsid w:val="002125D8"/>
    <w:rsid w:val="002147F9"/>
    <w:rsid w:val="00241BBE"/>
    <w:rsid w:val="0025212F"/>
    <w:rsid w:val="00253850"/>
    <w:rsid w:val="00257D20"/>
    <w:rsid w:val="00295C10"/>
    <w:rsid w:val="002D625D"/>
    <w:rsid w:val="002E297D"/>
    <w:rsid w:val="002E4379"/>
    <w:rsid w:val="003358CE"/>
    <w:rsid w:val="00344896"/>
    <w:rsid w:val="00353DA9"/>
    <w:rsid w:val="00365C05"/>
    <w:rsid w:val="00385907"/>
    <w:rsid w:val="003D05C5"/>
    <w:rsid w:val="003E6325"/>
    <w:rsid w:val="00477C63"/>
    <w:rsid w:val="00490752"/>
    <w:rsid w:val="004E1278"/>
    <w:rsid w:val="004E162E"/>
    <w:rsid w:val="004E7A56"/>
    <w:rsid w:val="004F23EF"/>
    <w:rsid w:val="005002EC"/>
    <w:rsid w:val="00507772"/>
    <w:rsid w:val="005204A3"/>
    <w:rsid w:val="0052724C"/>
    <w:rsid w:val="00572BD4"/>
    <w:rsid w:val="00573BF4"/>
    <w:rsid w:val="005E0A76"/>
    <w:rsid w:val="00641E1C"/>
    <w:rsid w:val="00660C5D"/>
    <w:rsid w:val="00661472"/>
    <w:rsid w:val="00691DBE"/>
    <w:rsid w:val="006A1915"/>
    <w:rsid w:val="006B3649"/>
    <w:rsid w:val="006E345C"/>
    <w:rsid w:val="00755AEE"/>
    <w:rsid w:val="00763AAD"/>
    <w:rsid w:val="007747B5"/>
    <w:rsid w:val="00805F61"/>
    <w:rsid w:val="00810797"/>
    <w:rsid w:val="00815E2D"/>
    <w:rsid w:val="00846F84"/>
    <w:rsid w:val="008554F6"/>
    <w:rsid w:val="00896B70"/>
    <w:rsid w:val="008D086A"/>
    <w:rsid w:val="00914F27"/>
    <w:rsid w:val="00927451"/>
    <w:rsid w:val="00973A8E"/>
    <w:rsid w:val="00975B9C"/>
    <w:rsid w:val="009D5178"/>
    <w:rsid w:val="009E3ABF"/>
    <w:rsid w:val="00A56CC8"/>
    <w:rsid w:val="00A61288"/>
    <w:rsid w:val="00AB0BA2"/>
    <w:rsid w:val="00AC29AD"/>
    <w:rsid w:val="00AE587E"/>
    <w:rsid w:val="00AF1B33"/>
    <w:rsid w:val="00AF53E5"/>
    <w:rsid w:val="00B024BE"/>
    <w:rsid w:val="00B4389C"/>
    <w:rsid w:val="00B54DE6"/>
    <w:rsid w:val="00B96E79"/>
    <w:rsid w:val="00BA4159"/>
    <w:rsid w:val="00BD3F3A"/>
    <w:rsid w:val="00BE2C2D"/>
    <w:rsid w:val="00BE432C"/>
    <w:rsid w:val="00C039D2"/>
    <w:rsid w:val="00C2111B"/>
    <w:rsid w:val="00C60EAE"/>
    <w:rsid w:val="00C9365D"/>
    <w:rsid w:val="00CD5094"/>
    <w:rsid w:val="00CF22B7"/>
    <w:rsid w:val="00D01FCB"/>
    <w:rsid w:val="00D02EFF"/>
    <w:rsid w:val="00DA678D"/>
    <w:rsid w:val="00DA6B16"/>
    <w:rsid w:val="00DA79DA"/>
    <w:rsid w:val="00DB3638"/>
    <w:rsid w:val="00DD3E1E"/>
    <w:rsid w:val="00DF7EF1"/>
    <w:rsid w:val="00E2256C"/>
    <w:rsid w:val="00E44346"/>
    <w:rsid w:val="00E67AC3"/>
    <w:rsid w:val="00E9310A"/>
    <w:rsid w:val="00EA1D70"/>
    <w:rsid w:val="00EC1B56"/>
    <w:rsid w:val="00F84F40"/>
    <w:rsid w:val="00FF35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126DA5"/>
  <w15:chartTrackingRefBased/>
  <w15:docId w15:val="{5680FCD1-6DC2-4105-9EA2-60E23AEAC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11B"/>
  </w:style>
  <w:style w:type="paragraph" w:styleId="Heading1">
    <w:name w:val="heading 1"/>
    <w:basedOn w:val="Normal"/>
    <w:next w:val="Normal"/>
    <w:link w:val="Heading1Char"/>
    <w:uiPriority w:val="9"/>
    <w:qFormat/>
    <w:rsid w:val="00927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451"/>
    <w:rPr>
      <w:rFonts w:eastAsiaTheme="majorEastAsia" w:cstheme="majorBidi"/>
      <w:color w:val="272727" w:themeColor="text1" w:themeTint="D8"/>
    </w:rPr>
  </w:style>
  <w:style w:type="paragraph" w:styleId="Title">
    <w:name w:val="Title"/>
    <w:basedOn w:val="Normal"/>
    <w:next w:val="Normal"/>
    <w:link w:val="TitleChar"/>
    <w:uiPriority w:val="10"/>
    <w:qFormat/>
    <w:rsid w:val="00927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451"/>
    <w:pPr>
      <w:spacing w:before="160"/>
      <w:jc w:val="center"/>
    </w:pPr>
    <w:rPr>
      <w:i/>
      <w:iCs/>
      <w:color w:val="404040" w:themeColor="text1" w:themeTint="BF"/>
    </w:rPr>
  </w:style>
  <w:style w:type="character" w:customStyle="1" w:styleId="QuoteChar">
    <w:name w:val="Quote Char"/>
    <w:basedOn w:val="DefaultParagraphFont"/>
    <w:link w:val="Quote"/>
    <w:uiPriority w:val="29"/>
    <w:rsid w:val="00927451"/>
    <w:rPr>
      <w:i/>
      <w:iCs/>
      <w:color w:val="404040" w:themeColor="text1" w:themeTint="BF"/>
    </w:rPr>
  </w:style>
  <w:style w:type="paragraph" w:styleId="ListParagraph">
    <w:name w:val="List Paragraph"/>
    <w:basedOn w:val="Normal"/>
    <w:uiPriority w:val="34"/>
    <w:qFormat/>
    <w:rsid w:val="00927451"/>
    <w:pPr>
      <w:ind w:left="720"/>
      <w:contextualSpacing/>
    </w:pPr>
  </w:style>
  <w:style w:type="character" w:styleId="IntenseEmphasis">
    <w:name w:val="Intense Emphasis"/>
    <w:basedOn w:val="DefaultParagraphFont"/>
    <w:uiPriority w:val="21"/>
    <w:qFormat/>
    <w:rsid w:val="00927451"/>
    <w:rPr>
      <w:i/>
      <w:iCs/>
      <w:color w:val="0F4761" w:themeColor="accent1" w:themeShade="BF"/>
    </w:rPr>
  </w:style>
  <w:style w:type="paragraph" w:styleId="IntenseQuote">
    <w:name w:val="Intense Quote"/>
    <w:basedOn w:val="Normal"/>
    <w:next w:val="Normal"/>
    <w:link w:val="IntenseQuoteChar"/>
    <w:uiPriority w:val="30"/>
    <w:qFormat/>
    <w:rsid w:val="00927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451"/>
    <w:rPr>
      <w:i/>
      <w:iCs/>
      <w:color w:val="0F4761" w:themeColor="accent1" w:themeShade="BF"/>
    </w:rPr>
  </w:style>
  <w:style w:type="character" w:styleId="IntenseReference">
    <w:name w:val="Intense Reference"/>
    <w:basedOn w:val="DefaultParagraphFont"/>
    <w:uiPriority w:val="32"/>
    <w:qFormat/>
    <w:rsid w:val="00927451"/>
    <w:rPr>
      <w:b/>
      <w:bCs/>
      <w:smallCaps/>
      <w:color w:val="0F4761" w:themeColor="accent1" w:themeShade="BF"/>
      <w:spacing w:val="5"/>
    </w:rPr>
  </w:style>
  <w:style w:type="table" w:styleId="TableGrid">
    <w:name w:val="Table Grid"/>
    <w:basedOn w:val="TableNormal"/>
    <w:uiPriority w:val="39"/>
    <w:rsid w:val="00B02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24BE"/>
    <w:rPr>
      <w:color w:val="467886" w:themeColor="hyperlink"/>
      <w:u w:val="single"/>
    </w:rPr>
  </w:style>
  <w:style w:type="paragraph" w:styleId="TOCHeading">
    <w:name w:val="TOC Heading"/>
    <w:basedOn w:val="Heading1"/>
    <w:next w:val="Normal"/>
    <w:uiPriority w:val="39"/>
    <w:unhideWhenUsed/>
    <w:qFormat/>
    <w:rsid w:val="00B024BE"/>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B024BE"/>
    <w:pPr>
      <w:spacing w:after="100" w:line="360" w:lineRule="auto"/>
      <w:jc w:val="both"/>
    </w:pPr>
    <w:rPr>
      <w:rFonts w:ascii="Times New Roman" w:hAnsi="Times New Roman"/>
      <w:color w:val="000000" w:themeColor="text1"/>
      <w:sz w:val="24"/>
    </w:rPr>
  </w:style>
  <w:style w:type="paragraph" w:styleId="Header">
    <w:name w:val="header"/>
    <w:basedOn w:val="Normal"/>
    <w:link w:val="HeaderChar"/>
    <w:uiPriority w:val="99"/>
    <w:unhideWhenUsed/>
    <w:rsid w:val="00141F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FC4"/>
  </w:style>
  <w:style w:type="paragraph" w:styleId="Footer">
    <w:name w:val="footer"/>
    <w:basedOn w:val="Normal"/>
    <w:link w:val="FooterChar"/>
    <w:uiPriority w:val="99"/>
    <w:unhideWhenUsed/>
    <w:rsid w:val="00141F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FC4"/>
  </w:style>
  <w:style w:type="paragraph" w:styleId="TOC2">
    <w:name w:val="toc 2"/>
    <w:basedOn w:val="Normal"/>
    <w:next w:val="Normal"/>
    <w:autoRedefine/>
    <w:uiPriority w:val="39"/>
    <w:unhideWhenUsed/>
    <w:rsid w:val="003358CE"/>
    <w:pPr>
      <w:spacing w:after="100"/>
      <w:ind w:left="220"/>
    </w:pPr>
    <w:rPr>
      <w:rFonts w:eastAsiaTheme="minorEastAsia" w:cs="Times New Roman"/>
      <w:lang w:eastAsia="en-GB"/>
      <w14:ligatures w14:val="none"/>
    </w:rPr>
  </w:style>
  <w:style w:type="paragraph" w:styleId="TOC3">
    <w:name w:val="toc 3"/>
    <w:basedOn w:val="Normal"/>
    <w:next w:val="Normal"/>
    <w:autoRedefine/>
    <w:uiPriority w:val="39"/>
    <w:unhideWhenUsed/>
    <w:rsid w:val="003358CE"/>
    <w:pPr>
      <w:spacing w:after="100"/>
      <w:ind w:left="440"/>
    </w:pPr>
    <w:rPr>
      <w:rFonts w:eastAsiaTheme="minorEastAsia" w:cs="Times New Roman"/>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922942">
      <w:bodyDiv w:val="1"/>
      <w:marLeft w:val="0"/>
      <w:marRight w:val="0"/>
      <w:marTop w:val="0"/>
      <w:marBottom w:val="0"/>
      <w:divBdr>
        <w:top w:val="none" w:sz="0" w:space="0" w:color="auto"/>
        <w:left w:val="none" w:sz="0" w:space="0" w:color="auto"/>
        <w:bottom w:val="none" w:sz="0" w:space="0" w:color="auto"/>
        <w:right w:val="none" w:sz="0" w:space="0" w:color="auto"/>
      </w:divBdr>
    </w:div>
    <w:div w:id="105928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Revenue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Sheet1!$B$2</c:f>
              <c:strCache>
                <c:ptCount val="1"/>
                <c:pt idx="0">
                  <c:v>Shangri-La Total Revenue (USD Million)</c:v>
                </c:pt>
              </c:strCache>
            </c:strRef>
          </c:tx>
          <c:spPr>
            <a:ln w="28575" cap="rnd">
              <a:solidFill>
                <a:schemeClr val="accent1"/>
              </a:solidFill>
              <a:round/>
            </a:ln>
            <a:effectLst/>
          </c:spPr>
          <c:marker>
            <c:symbol val="none"/>
          </c:marker>
          <c:val>
            <c:numRef>
              <c:f>Sheet1!$B$3:$B$8</c:f>
              <c:numCache>
                <c:formatCode>#,##0.00</c:formatCode>
                <c:ptCount val="6"/>
                <c:pt idx="0">
                  <c:v>2517.9</c:v>
                </c:pt>
                <c:pt idx="1">
                  <c:v>2431.1999999999998</c:v>
                </c:pt>
                <c:pt idx="2">
                  <c:v>1033.4000000000001</c:v>
                </c:pt>
                <c:pt idx="3">
                  <c:v>1241</c:v>
                </c:pt>
                <c:pt idx="4">
                  <c:v>1462.1</c:v>
                </c:pt>
                <c:pt idx="5">
                  <c:v>2141.8000000000002</c:v>
                </c:pt>
              </c:numCache>
            </c:numRef>
          </c:val>
          <c:smooth val="0"/>
          <c:extLst>
            <c:ext xmlns:c16="http://schemas.microsoft.com/office/drawing/2014/chart" uri="{C3380CC4-5D6E-409C-BE32-E72D297353CC}">
              <c16:uniqueId val="{00000000-DF3A-47AD-86B6-383D704D97DB}"/>
            </c:ext>
          </c:extLst>
        </c:ser>
        <c:ser>
          <c:idx val="1"/>
          <c:order val="1"/>
          <c:tx>
            <c:strRef>
              <c:f>Sheet1!$C$2</c:f>
              <c:strCache>
                <c:ptCount val="1"/>
                <c:pt idx="0">
                  <c:v>Premier Inn (GBP Million)</c:v>
                </c:pt>
              </c:strCache>
            </c:strRef>
          </c:tx>
          <c:spPr>
            <a:ln w="28575" cap="rnd">
              <a:solidFill>
                <a:schemeClr val="accent2"/>
              </a:solidFill>
              <a:round/>
            </a:ln>
            <a:effectLst/>
          </c:spPr>
          <c:marker>
            <c:symbol val="none"/>
          </c:marker>
          <c:val>
            <c:numRef>
              <c:f>Sheet1!$C$3:$C$8</c:f>
              <c:numCache>
                <c:formatCode>#,##0</c:formatCode>
                <c:ptCount val="6"/>
                <c:pt idx="0">
                  <c:v>3295</c:v>
                </c:pt>
                <c:pt idx="1">
                  <c:v>2049</c:v>
                </c:pt>
                <c:pt idx="2">
                  <c:v>2072</c:v>
                </c:pt>
                <c:pt idx="3" formatCode="General">
                  <c:v>590</c:v>
                </c:pt>
                <c:pt idx="4">
                  <c:v>1703</c:v>
                </c:pt>
                <c:pt idx="5">
                  <c:v>2625</c:v>
                </c:pt>
              </c:numCache>
            </c:numRef>
          </c:val>
          <c:smooth val="0"/>
          <c:extLst>
            <c:ext xmlns:c16="http://schemas.microsoft.com/office/drawing/2014/chart" uri="{C3380CC4-5D6E-409C-BE32-E72D297353CC}">
              <c16:uniqueId val="{00000001-DF3A-47AD-86B6-383D704D97DB}"/>
            </c:ext>
          </c:extLst>
        </c:ser>
        <c:dLbls>
          <c:showLegendKey val="0"/>
          <c:showVal val="0"/>
          <c:showCatName val="0"/>
          <c:showSerName val="0"/>
          <c:showPercent val="0"/>
          <c:showBubbleSize val="0"/>
        </c:dLbls>
        <c:smooth val="0"/>
        <c:axId val="1432775887"/>
        <c:axId val="1432776847"/>
      </c:lineChart>
      <c:catAx>
        <c:axId val="143277588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2776847"/>
        <c:crosses val="autoZero"/>
        <c:auto val="1"/>
        <c:lblAlgn val="ctr"/>
        <c:lblOffset val="100"/>
        <c:noMultiLvlLbl val="0"/>
      </c:catAx>
      <c:valAx>
        <c:axId val="143277684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27758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Operational Costs and COGS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Sheet1!$B$11</c:f>
              <c:strCache>
                <c:ptCount val="1"/>
                <c:pt idx="0">
                  <c:v>Shangri-La Operational Costs (USD Million)</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val>
            <c:numRef>
              <c:f>Sheet1!$B$12:$B$17</c:f>
              <c:numCache>
                <c:formatCode>General</c:formatCode>
                <c:ptCount val="6"/>
                <c:pt idx="0">
                  <c:v>650.4</c:v>
                </c:pt>
                <c:pt idx="1">
                  <c:v>707.4</c:v>
                </c:pt>
                <c:pt idx="2">
                  <c:v>529.9</c:v>
                </c:pt>
                <c:pt idx="3">
                  <c:v>561.1</c:v>
                </c:pt>
                <c:pt idx="4">
                  <c:v>975.1</c:v>
                </c:pt>
                <c:pt idx="5" formatCode="#,##0.00">
                  <c:v>1191.5999999999999</c:v>
                </c:pt>
              </c:numCache>
            </c:numRef>
          </c:val>
          <c:smooth val="0"/>
          <c:extLst>
            <c:ext xmlns:c16="http://schemas.microsoft.com/office/drawing/2014/chart" uri="{C3380CC4-5D6E-409C-BE32-E72D297353CC}">
              <c16:uniqueId val="{00000000-90C9-4921-A45D-F3B1B0EE4278}"/>
            </c:ext>
          </c:extLst>
        </c:ser>
        <c:ser>
          <c:idx val="1"/>
          <c:order val="1"/>
          <c:tx>
            <c:strRef>
              <c:f>Sheet1!$C$11</c:f>
              <c:strCache>
                <c:ptCount val="1"/>
                <c:pt idx="0">
                  <c:v>Shangri-La COGS (USD Million)</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val>
            <c:numRef>
              <c:f>Sheet1!$C$12:$C$17</c:f>
              <c:numCache>
                <c:formatCode>General</c:formatCode>
                <c:ptCount val="6"/>
                <c:pt idx="0">
                  <c:v>318.39999999999998</c:v>
                </c:pt>
                <c:pt idx="1">
                  <c:v>299.5</c:v>
                </c:pt>
                <c:pt idx="2">
                  <c:v>156.19999999999999</c:v>
                </c:pt>
                <c:pt idx="3">
                  <c:v>210.8</c:v>
                </c:pt>
                <c:pt idx="4">
                  <c:v>279.2</c:v>
                </c:pt>
                <c:pt idx="5">
                  <c:v>299.5</c:v>
                </c:pt>
              </c:numCache>
            </c:numRef>
          </c:val>
          <c:smooth val="0"/>
          <c:extLst>
            <c:ext xmlns:c16="http://schemas.microsoft.com/office/drawing/2014/chart" uri="{C3380CC4-5D6E-409C-BE32-E72D297353CC}">
              <c16:uniqueId val="{00000001-90C9-4921-A45D-F3B1B0EE4278}"/>
            </c:ext>
          </c:extLst>
        </c:ser>
        <c:ser>
          <c:idx val="2"/>
          <c:order val="2"/>
          <c:tx>
            <c:strRef>
              <c:f>Sheet1!$D$11</c:f>
              <c:strCache>
                <c:ptCount val="1"/>
                <c:pt idx="0">
                  <c:v>Premier Inn (Whitbread) Operational Costs (GBP Million)</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val>
            <c:numRef>
              <c:f>Sheet1!$D$12:$D$17</c:f>
              <c:numCache>
                <c:formatCode>#,##0</c:formatCode>
                <c:ptCount val="6"/>
                <c:pt idx="0">
                  <c:v>1642</c:v>
                </c:pt>
                <c:pt idx="1">
                  <c:v>1837</c:v>
                </c:pt>
                <c:pt idx="2">
                  <c:v>1176</c:v>
                </c:pt>
                <c:pt idx="3">
                  <c:v>1410</c:v>
                </c:pt>
                <c:pt idx="4">
                  <c:v>1523</c:v>
                </c:pt>
                <c:pt idx="5">
                  <c:v>1758</c:v>
                </c:pt>
              </c:numCache>
            </c:numRef>
          </c:val>
          <c:smooth val="0"/>
          <c:extLst>
            <c:ext xmlns:c16="http://schemas.microsoft.com/office/drawing/2014/chart" uri="{C3380CC4-5D6E-409C-BE32-E72D297353CC}">
              <c16:uniqueId val="{00000002-90C9-4921-A45D-F3B1B0EE4278}"/>
            </c:ext>
          </c:extLst>
        </c:ser>
        <c:ser>
          <c:idx val="3"/>
          <c:order val="3"/>
          <c:tx>
            <c:strRef>
              <c:f>Sheet1!$E$11</c:f>
              <c:strCache>
                <c:ptCount val="1"/>
                <c:pt idx="0">
                  <c:v>Premier Inn (Whitbread) COGS (GBP Million)</c:v>
                </c:pt>
              </c:strCache>
            </c:strRef>
          </c:tx>
          <c:spPr>
            <a:ln w="22225" cap="rnd">
              <a:solidFill>
                <a:schemeClr val="accent4"/>
              </a:solidFill>
              <a:round/>
            </a:ln>
            <a:effectLst/>
          </c:spPr>
          <c:marker>
            <c:symbol val="x"/>
            <c:size val="6"/>
            <c:spPr>
              <a:noFill/>
              <a:ln w="9525">
                <a:solidFill>
                  <a:schemeClr val="accent4"/>
                </a:solidFill>
                <a:round/>
              </a:ln>
              <a:effectLst/>
            </c:spPr>
          </c:marker>
          <c:val>
            <c:numRef>
              <c:f>Sheet1!$E$12:$E$17</c:f>
              <c:numCache>
                <c:formatCode>General</c:formatCode>
                <c:ptCount val="6"/>
                <c:pt idx="0">
                  <c:v>871</c:v>
                </c:pt>
                <c:pt idx="1">
                  <c:v>892</c:v>
                </c:pt>
                <c:pt idx="2">
                  <c:v>654</c:v>
                </c:pt>
                <c:pt idx="3">
                  <c:v>744</c:v>
                </c:pt>
                <c:pt idx="4">
                  <c:v>803</c:v>
                </c:pt>
                <c:pt idx="5">
                  <c:v>854</c:v>
                </c:pt>
              </c:numCache>
            </c:numRef>
          </c:val>
          <c:smooth val="0"/>
          <c:extLst>
            <c:ext xmlns:c16="http://schemas.microsoft.com/office/drawing/2014/chart" uri="{C3380CC4-5D6E-409C-BE32-E72D297353CC}">
              <c16:uniqueId val="{00000003-90C9-4921-A45D-F3B1B0EE4278}"/>
            </c:ext>
          </c:extLst>
        </c:ser>
        <c:dLbls>
          <c:showLegendKey val="0"/>
          <c:showVal val="0"/>
          <c:showCatName val="0"/>
          <c:showSerName val="0"/>
          <c:showPercent val="0"/>
          <c:showBubbleSize val="0"/>
        </c:dLbls>
        <c:marker val="1"/>
        <c:smooth val="0"/>
        <c:axId val="1526356479"/>
        <c:axId val="1526359359"/>
      </c:lineChart>
      <c:catAx>
        <c:axId val="1526356479"/>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526359359"/>
        <c:crosses val="autoZero"/>
        <c:auto val="1"/>
        <c:lblAlgn val="ctr"/>
        <c:lblOffset val="100"/>
        <c:noMultiLvlLbl val="0"/>
      </c:catAx>
      <c:valAx>
        <c:axId val="1526359359"/>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635647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FDA90-D372-4A8D-BA29-901A542EE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19</Pages>
  <Words>3170</Words>
  <Characters>19660</Characters>
  <Application>Microsoft Office Word</Application>
  <DocSecurity>0</DocSecurity>
  <Lines>561</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Mihalcea</dc:creator>
  <cp:keywords/>
  <dc:description/>
  <cp:lastModifiedBy>Robert Mihalcea</cp:lastModifiedBy>
  <cp:revision>90</cp:revision>
  <dcterms:created xsi:type="dcterms:W3CDTF">2024-09-30T09:19:00Z</dcterms:created>
  <dcterms:modified xsi:type="dcterms:W3CDTF">2024-10-17T09:43:00Z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9cb76d67d1ead5e6362fec9a43c48981f7f6ee57a3378c3b6d07337acf6d72ee</vt:lpwstr>
  </property>
</Properties>
</file>