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pict>
          <v:rect id="_x0000_s1027" o:spid="_x0000_s1027" o:spt="1" style="position:absolute;left:0pt;margin-left:2.35pt;margin-top:469.65pt;height:54pt;width:431.1pt;mso-wrap-style:none;z-index:251661312;mso-width-relative:page;mso-height-relative:page;" stroked="f" coordsize="21600,21600">
            <v:path/>
            <v:fill focussize="0,0"/>
            <v:stroke on="f"/>
            <v:imagedata o:title=""/>
            <o:lock v:ext="edit" grouping="f" rotation="f" text="f" aspectratio="f"/>
            <v:textbox style="mso-fit-shape-to-text:t;">
              <w:txbxContent>
                <w:p>
                  <w:pPr>
                    <w:rPr>
                      <w:rFonts w:hint="default" w:ascii="Times New Roman" w:hAnsi="Times New Roman" w:cs="Times New Roman"/>
                      <w:b/>
                      <w:bCs/>
                      <w:sz w:val="84"/>
                    </w:rPr>
                  </w:pPr>
                </w:p>
              </w:txbxContent>
            </v:textbox>
          </v:rect>
        </w:pict>
      </w:r>
      <w:r>
        <w:pict>
          <v:rect id="_x0000_s1028" o:spid="_x0000_s1028" o:spt="1" style="position:absolute;left:0pt;margin-left:4.6pt;margin-top:388.55pt;height:132pt;width:448.85pt;z-index:251660288;mso-width-relative:page;mso-height-relative:page;" stroked="f" coordsize="21600,21600">
            <v:path/>
            <v:fill focussize="0,0"/>
            <v:stroke on="f"/>
            <v:imagedata o:title=""/>
            <o:lock v:ext="edit" grouping="f" rotation="f" text="f" aspectratio="f"/>
            <v:textbox>
              <w:txbxContent>
                <w:p>
                  <w:pPr>
                    <w:pStyle w:val="14"/>
                    <w:rPr>
                      <w:rFonts w:hint="default"/>
                      <w:sz w:val="84"/>
                      <w:lang w:val="en-US"/>
                    </w:rPr>
                  </w:pPr>
                  <w:r>
                    <w:rPr>
                      <w:rFonts w:hint="default"/>
                      <w:sz w:val="84"/>
                      <w:lang w:val="en-US"/>
                    </w:rPr>
                    <w:t>Management Accounting</w:t>
                  </w:r>
                </w:p>
                <w:p>
                  <w:pPr>
                    <w:pStyle w:val="14"/>
                    <w:rPr>
                      <w:rFonts w:hint="default"/>
                      <w:sz w:val="48"/>
                      <w:szCs w:val="13"/>
                      <w:lang w:val="en-US"/>
                    </w:rPr>
                  </w:pPr>
                  <w:r>
                    <w:rPr>
                      <w:rFonts w:hint="default"/>
                      <w:sz w:val="48"/>
                      <w:szCs w:val="13"/>
                      <w:lang w:val="en-US"/>
                    </w:rPr>
                    <w:t>Assessment 2</w:t>
                  </w:r>
                </w:p>
              </w:txbxContent>
            </v:textbox>
          </v:rect>
        </w:pict>
      </w:r>
      <w:r>
        <w:rPr>
          <w:rFonts w:hint="eastAsia" w:eastAsia="SimSun"/>
          <w:lang w:eastAsia="zh-CN"/>
        </w:rPr>
        <w:pict>
          <v:shape id="_x0000_s1029" o:spid="_x0000_s1029" o:spt="75" type="#_x0000_t75" style="position:absolute;left:0pt;height:453.4pt;width:612.5pt;mso-position-horizontal:left;mso-position-horizontal-relative:page;mso-position-vertical:top;mso-position-vertical-relative:page;z-index:-251657216;mso-width-relative:page;mso-height-relative:page;" filled="f" o:preferrelative="t" stroked="f" coordsize="21600,21600">
            <v:path/>
            <v:fill on="f" focussize="0,0"/>
            <v:stroke on="f"/>
            <v:imagedata r:id="rId12" o:title="未标题-1"/>
            <o:lock v:ext="edit" grouping="f" rotation="f" text="f" aspectratio="t"/>
          </v:shape>
        </w:pict>
      </w:r>
    </w:p>
    <w:p>
      <w:pPr>
        <w:pStyle w:val="10"/>
        <w:rPr>
          <w:rFonts w:asciiTheme="minorHAnsi" w:hAnsiTheme="minorHAnsi" w:eastAsiaTheme="minorHAnsi" w:cstheme="minorBidi"/>
          <w:b w:val="0"/>
          <w:bCs w:val="0"/>
          <w:color w:val="auto"/>
          <w:sz w:val="22"/>
          <w:szCs w:val="22"/>
          <w:lang w:val="en-GB"/>
        </w:rPr>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08" w:footer="708" w:gutter="0"/>
          <w:pgNumType w:start="0"/>
          <w:cols w:space="708" w:num="1"/>
          <w:docGrid w:linePitch="360" w:charSpace="0"/>
        </w:sectPr>
      </w:pPr>
      <w:r>
        <w:pict>
          <v:rect id="_x0000_s1026" o:spid="_x0000_s1026" o:spt="1" style="position:absolute;left:0pt;margin-left:41.05pt;margin-top:524pt;height:100.2pt;width:441pt;z-index:251662336;v-text-anchor:bottom;mso-width-relative:page;mso-height-relative:page;" filled="f" stroked="f" coordsize="21600,21600">
            <v:path/>
            <v:fill on="f" focussize="0,0"/>
            <v:stroke on="f"/>
            <v:imagedata o:title=""/>
            <o:lock v:ext="edit" aspectratio="f"/>
            <v:textbox inset="0mm,1.27mm,2.54mm,1.27mm">
              <w:txbxContent>
                <w:p>
                  <w:pPr>
                    <w:jc w:val="left"/>
                    <w:rPr>
                      <w:rFonts w:hint="default" w:cs="Times New Roman"/>
                      <w:b/>
                      <w:color w:val="000000"/>
                      <w:spacing w:val="60"/>
                      <w:lang w:val="en-US"/>
                    </w:rPr>
                  </w:pPr>
                  <w:r>
                    <w:rPr>
                      <w:rFonts w:hint="default" w:ascii="Times New Roman" w:hAnsi="Times New Roman" w:cs="Times New Roman"/>
                      <w:b/>
                      <w:color w:val="000000"/>
                      <w:spacing w:val="60"/>
                    </w:rPr>
                    <w:t xml:space="preserve"> </w:t>
                  </w:r>
                  <w:r>
                    <w:rPr>
                      <w:rFonts w:hint="default" w:cs="Times New Roman"/>
                      <w:b/>
                      <w:color w:val="000000"/>
                      <w:spacing w:val="60"/>
                      <w:lang w:val="en-US"/>
                    </w:rPr>
                    <w:t>Student Name: Carolina Cioinac</w:t>
                  </w:r>
                </w:p>
                <w:p>
                  <w:pPr>
                    <w:jc w:val="left"/>
                    <w:rPr>
                      <w:rFonts w:hint="default" w:cs="Times New Roman"/>
                      <w:b/>
                      <w:color w:val="000000"/>
                      <w:spacing w:val="60"/>
                      <w:lang w:val="en-US"/>
                    </w:rPr>
                  </w:pPr>
                  <w:r>
                    <w:rPr>
                      <w:rFonts w:hint="default" w:cs="Times New Roman"/>
                      <w:b/>
                      <w:color w:val="000000"/>
                      <w:spacing w:val="60"/>
                      <w:lang w:val="en-US"/>
                    </w:rPr>
                    <w:t>Lecturer:Zainab Atta</w:t>
                  </w:r>
                </w:p>
                <w:p>
                  <w:pPr>
                    <w:jc w:val="left"/>
                    <w:rPr>
                      <w:rFonts w:hint="default" w:cs="Times New Roman"/>
                      <w:b/>
                      <w:color w:val="000000"/>
                      <w:spacing w:val="60"/>
                      <w:lang w:val="en-US"/>
                    </w:rPr>
                  </w:pPr>
                </w:p>
                <w:p>
                  <w:pPr>
                    <w:ind w:left="0" w:leftChars="0" w:right="0" w:rightChars="0" w:firstLine="0" w:firstLineChars="0"/>
                    <w:jc w:val="center"/>
                    <w:rPr>
                      <w:lang w:val="en-US"/>
                    </w:rPr>
                  </w:pPr>
                </w:p>
              </w:txbxContent>
            </v:textbox>
          </v:rect>
        </w:pict>
      </w:r>
    </w:p>
    <w:sdt>
      <w:sdtPr>
        <w:rPr>
          <w:rFonts w:asciiTheme="minorHAnsi" w:hAnsiTheme="minorHAnsi" w:eastAsiaTheme="minorHAnsi" w:cstheme="minorBidi"/>
          <w:b w:val="0"/>
          <w:bCs w:val="0"/>
          <w:color w:val="auto"/>
          <w:sz w:val="22"/>
          <w:szCs w:val="22"/>
          <w:lang w:val="en-GB"/>
        </w:rPr>
        <w:id w:val="871716861"/>
        <w:docPartObj>
          <w:docPartGallery w:val="Table of Contents"/>
          <w:docPartUnique/>
        </w:docPartObj>
      </w:sdtPr>
      <w:sdtEndPr>
        <w:rPr>
          <w:rFonts w:ascii="Times New Roman" w:hAnsi="Times New Roman" w:eastAsia="Arial MT" w:cs="Arial MT"/>
          <w:b w:val="0"/>
          <w:bCs w:val="0"/>
          <w:color w:val="auto"/>
          <w:sz w:val="24"/>
          <w:szCs w:val="22"/>
          <w:lang w:val="en-GB"/>
        </w:rPr>
      </w:sdtEndPr>
      <w:sdtContent>
        <w:p>
          <w:pPr>
            <w:pStyle w:val="10"/>
          </w:pPr>
          <w:r>
            <w:t>Contents</w:t>
          </w:r>
        </w:p>
        <w:p>
          <w:pPr>
            <w:pStyle w:val="8"/>
            <w:tabs>
              <w:tab w:val="right" w:leader="dot" w:pos="9016"/>
            </w:tabs>
            <w:rPr>
              <w:rFonts w:eastAsiaTheme="minorEastAsia"/>
            </w:rPr>
          </w:pPr>
          <w:r>
            <w:fldChar w:fldCharType="begin"/>
          </w:r>
          <w:r>
            <w:instrText xml:space="preserve"> TOC \o "1-3" \h \z \u </w:instrText>
          </w:r>
          <w:r>
            <w:fldChar w:fldCharType="separate"/>
          </w:r>
          <w:r>
            <w:fldChar w:fldCharType="begin"/>
          </w:r>
          <w:r>
            <w:instrText xml:space="preserve"> HYPERLINK \l "_Toc101945399" </w:instrText>
          </w:r>
          <w:r>
            <w:fldChar w:fldCharType="separate"/>
          </w:r>
          <w:r>
            <w:rPr>
              <w:rStyle w:val="6"/>
              <w:lang w:val="en-IN"/>
            </w:rPr>
            <w:t>Introduction</w:t>
          </w:r>
          <w:r>
            <w:tab/>
          </w:r>
          <w:r>
            <w:fldChar w:fldCharType="begin"/>
          </w:r>
          <w:r>
            <w:instrText xml:space="preserve"> PAGEREF _Toc101945399 \h </w:instrText>
          </w:r>
          <w:r>
            <w:fldChar w:fldCharType="separate"/>
          </w:r>
          <w:r>
            <w:t>1</w:t>
          </w:r>
          <w:r>
            <w:fldChar w:fldCharType="end"/>
          </w:r>
          <w:r>
            <w:fldChar w:fldCharType="end"/>
          </w:r>
        </w:p>
        <w:p>
          <w:pPr>
            <w:pStyle w:val="8"/>
            <w:tabs>
              <w:tab w:val="right" w:leader="dot" w:pos="9016"/>
            </w:tabs>
            <w:rPr>
              <w:rFonts w:eastAsiaTheme="minorEastAsia"/>
            </w:rPr>
          </w:pPr>
          <w:r>
            <w:fldChar w:fldCharType="begin"/>
          </w:r>
          <w:r>
            <w:instrText xml:space="preserve"> HYPERLINK \l "_Toc101945400" </w:instrText>
          </w:r>
          <w:r>
            <w:fldChar w:fldCharType="separate"/>
          </w:r>
          <w:r>
            <w:rPr>
              <w:rStyle w:val="6"/>
              <w:lang w:val="en-IN"/>
            </w:rPr>
            <w:t>Part A</w:t>
          </w:r>
          <w:r>
            <w:tab/>
          </w:r>
          <w:r>
            <w:fldChar w:fldCharType="begin"/>
          </w:r>
          <w:r>
            <w:instrText xml:space="preserve"> PAGEREF _Toc101945400 \h </w:instrText>
          </w:r>
          <w:r>
            <w:fldChar w:fldCharType="separate"/>
          </w:r>
          <w:r>
            <w:t>2</w:t>
          </w:r>
          <w:r>
            <w:fldChar w:fldCharType="end"/>
          </w:r>
          <w:r>
            <w:fldChar w:fldCharType="end"/>
          </w:r>
        </w:p>
        <w:p>
          <w:pPr>
            <w:pStyle w:val="8"/>
            <w:tabs>
              <w:tab w:val="right" w:leader="dot" w:pos="9016"/>
            </w:tabs>
            <w:rPr>
              <w:rFonts w:eastAsiaTheme="minorEastAsia"/>
            </w:rPr>
          </w:pPr>
          <w:r>
            <w:fldChar w:fldCharType="begin"/>
          </w:r>
          <w:r>
            <w:instrText xml:space="preserve"> HYPERLINK \l "_Toc101945401" </w:instrText>
          </w:r>
          <w:r>
            <w:fldChar w:fldCharType="separate"/>
          </w:r>
          <w:r>
            <w:rPr>
              <w:rStyle w:val="6"/>
              <w:lang w:val="en-IN"/>
            </w:rPr>
            <w:t>Part B</w:t>
          </w:r>
          <w:r>
            <w:tab/>
          </w:r>
          <w:r>
            <w:fldChar w:fldCharType="begin"/>
          </w:r>
          <w:r>
            <w:instrText xml:space="preserve"> PAGEREF _Toc101945401 \h </w:instrText>
          </w:r>
          <w:r>
            <w:fldChar w:fldCharType="separate"/>
          </w:r>
          <w:r>
            <w:t>6</w:t>
          </w:r>
          <w:r>
            <w:fldChar w:fldCharType="end"/>
          </w:r>
          <w:r>
            <w:fldChar w:fldCharType="end"/>
          </w:r>
        </w:p>
        <w:p>
          <w:pPr>
            <w:pStyle w:val="8"/>
            <w:tabs>
              <w:tab w:val="right" w:leader="dot" w:pos="9016"/>
            </w:tabs>
            <w:rPr>
              <w:rFonts w:eastAsiaTheme="minorEastAsia"/>
            </w:rPr>
          </w:pPr>
          <w:r>
            <w:fldChar w:fldCharType="begin"/>
          </w:r>
          <w:r>
            <w:instrText xml:space="preserve"> HYPERLINK \l "_Toc101945402" </w:instrText>
          </w:r>
          <w:r>
            <w:fldChar w:fldCharType="separate"/>
          </w:r>
          <w:r>
            <w:rPr>
              <w:rStyle w:val="6"/>
              <w:lang w:val="en-IN"/>
            </w:rPr>
            <w:t>Conclusion</w:t>
          </w:r>
          <w:r>
            <w:tab/>
          </w:r>
          <w:r>
            <w:fldChar w:fldCharType="begin"/>
          </w:r>
          <w:r>
            <w:instrText xml:space="preserve"> PAGEREF _Toc101945402 \h </w:instrText>
          </w:r>
          <w:r>
            <w:fldChar w:fldCharType="separate"/>
          </w:r>
          <w:r>
            <w:t>8</w:t>
          </w:r>
          <w:r>
            <w:fldChar w:fldCharType="end"/>
          </w:r>
          <w:r>
            <w:fldChar w:fldCharType="end"/>
          </w:r>
        </w:p>
        <w:p>
          <w:pPr>
            <w:pStyle w:val="8"/>
            <w:tabs>
              <w:tab w:val="right" w:leader="dot" w:pos="9016"/>
            </w:tabs>
            <w:rPr>
              <w:rFonts w:eastAsiaTheme="minorEastAsia"/>
            </w:rPr>
          </w:pPr>
          <w:r>
            <w:fldChar w:fldCharType="begin"/>
          </w:r>
          <w:r>
            <w:instrText xml:space="preserve"> HYPERLINK \l "_Toc101945403" </w:instrText>
          </w:r>
          <w:r>
            <w:fldChar w:fldCharType="separate"/>
          </w:r>
          <w:r>
            <w:rPr>
              <w:rStyle w:val="6"/>
              <w:lang w:val="en-IN"/>
            </w:rPr>
            <w:t>Reference List</w:t>
          </w:r>
          <w:r>
            <w:tab/>
          </w:r>
          <w:r>
            <w:fldChar w:fldCharType="begin"/>
          </w:r>
          <w:r>
            <w:instrText xml:space="preserve"> PAGEREF _Toc101945403 \h </w:instrText>
          </w:r>
          <w:r>
            <w:fldChar w:fldCharType="separate"/>
          </w:r>
          <w:r>
            <w:t>9</w:t>
          </w:r>
          <w:r>
            <w:fldChar w:fldCharType="end"/>
          </w:r>
          <w:r>
            <w:fldChar w:fldCharType="end"/>
          </w:r>
        </w:p>
        <w:p>
          <w:r>
            <w:fldChar w:fldCharType="end"/>
          </w:r>
        </w:p>
      </w:sdtContent>
    </w:sdt>
    <w:p>
      <w:pPr>
        <w:widowControl/>
        <w:autoSpaceDE/>
        <w:autoSpaceDN/>
        <w:spacing w:after="200" w:line="276" w:lineRule="auto"/>
        <w:jc w:val="left"/>
        <w:rPr>
          <w:rFonts w:eastAsiaTheme="majorEastAsia" w:cstheme="majorBidi"/>
          <w:b/>
          <w:color w:val="000000" w:themeColor="text1"/>
          <w:szCs w:val="32"/>
          <w:lang w:val="en-IN"/>
          <w14:textFill>
            <w14:solidFill>
              <w14:schemeClr w14:val="tx1"/>
            </w14:solidFill>
          </w14:textFill>
        </w:rPr>
      </w:pPr>
    </w:p>
    <w:p>
      <w:pPr>
        <w:widowControl/>
        <w:autoSpaceDE/>
        <w:autoSpaceDN/>
        <w:spacing w:after="200" w:line="276" w:lineRule="auto"/>
        <w:jc w:val="left"/>
        <w:rPr>
          <w:rFonts w:eastAsiaTheme="majorEastAsia" w:cstheme="majorBidi"/>
          <w:b/>
          <w:color w:val="000000" w:themeColor="text1"/>
          <w:szCs w:val="32"/>
          <w:lang w:val="en-IN"/>
          <w14:textFill>
            <w14:solidFill>
              <w14:schemeClr w14:val="tx1"/>
            </w14:solidFill>
          </w14:textFill>
        </w:rPr>
      </w:pPr>
      <w:r>
        <w:rPr>
          <w:lang w:val="en-IN"/>
        </w:rPr>
        <w:br w:type="page"/>
      </w:r>
    </w:p>
    <w:p>
      <w:pPr>
        <w:pStyle w:val="2"/>
        <w:rPr>
          <w:sz w:val="36"/>
          <w:szCs w:val="44"/>
          <w:lang w:val="en-IN"/>
        </w:rPr>
      </w:pPr>
      <w:bookmarkStart w:id="0" w:name="_Toc101945399"/>
      <w:r>
        <w:rPr>
          <w:sz w:val="36"/>
          <w:szCs w:val="44"/>
          <w:lang w:val="en-IN"/>
        </w:rPr>
        <w:t>Introduction</w:t>
      </w:r>
      <w:bookmarkEnd w:id="0"/>
    </w:p>
    <w:p>
      <w:pPr>
        <w:rPr>
          <w:lang w:val="en-IN"/>
        </w:rPr>
      </w:pPr>
      <w:r>
        <w:rPr>
          <w:lang w:val="en-IN"/>
        </w:rPr>
        <w:t xml:space="preserve">Managerial accounting is a type of accounting that firms employ to track their operating cost. It's a broad area with a lot of overlap with the fundamental concepts of financial reporting. Management accounting's key concepts help a company's functions become more cost-effective. In essence, it can be stated that if a firm association is effectively equipped to incorporate cost accounting characteristics, it would be able to cut operational expenditures. </w:t>
      </w:r>
      <w:r>
        <w:rPr>
          <w:rFonts w:cs="Times New Roman"/>
          <w:szCs w:val="24"/>
          <w:shd w:val="clear" w:color="auto" w:fill="FFFFFF"/>
        </w:rPr>
        <w:t xml:space="preserve">(Sheng, 2019) </w:t>
      </w:r>
      <w:r>
        <w:rPr>
          <w:lang w:val="en-IN"/>
        </w:rPr>
        <w:t>One of the main motives a corporation would be unable to control expenses is that management accounting does not guarantee cost reduction; all it shows is an evaluation of the company's important costs. The deviation analysis can show how the firm has deviated from its intended budget. In addition, a company should employ the major elements of the control report to boost its administrative performance. (</w:t>
      </w:r>
      <w:r>
        <w:rPr>
          <w:shd w:val="clear" w:color="auto" w:fill="FFFFFF"/>
        </w:rPr>
        <w:t>O’Hara</w:t>
      </w:r>
      <w:r>
        <w:t xml:space="preserve"> and </w:t>
      </w:r>
      <w:r>
        <w:rPr>
          <w:shd w:val="clear" w:color="auto" w:fill="FFFFFF"/>
        </w:rPr>
        <w:t>Low, 2020</w:t>
      </w:r>
      <w:r>
        <w:rPr>
          <w:lang w:val="en-IN"/>
        </w:rPr>
        <w:t>)</w:t>
      </w:r>
    </w:p>
    <w:p>
      <w:pPr>
        <w:widowControl/>
        <w:autoSpaceDE/>
        <w:autoSpaceDN/>
        <w:spacing w:before="72"/>
        <w:ind w:left="62" w:right="79"/>
        <w:jc w:val="center"/>
        <w:rPr>
          <w:lang w:val="en-IN"/>
        </w:rPr>
      </w:pPr>
      <w:r>
        <w:rPr>
          <w:lang w:val="en-IN"/>
        </w:rPr>
        <w:br w:type="page"/>
      </w:r>
    </w:p>
    <w:p>
      <w:pPr>
        <w:pStyle w:val="2"/>
        <w:rPr>
          <w:sz w:val="36"/>
          <w:szCs w:val="44"/>
          <w:lang w:val="en-IN"/>
        </w:rPr>
      </w:pPr>
      <w:bookmarkStart w:id="1" w:name="_Toc101945400"/>
      <w:bookmarkStart w:id="2" w:name="_Toc100421828"/>
      <w:r>
        <w:rPr>
          <w:sz w:val="36"/>
          <w:szCs w:val="44"/>
          <w:lang w:val="en-IN"/>
        </w:rPr>
        <w:t>Part A</w:t>
      </w:r>
      <w:bookmarkEnd w:id="1"/>
      <w:bookmarkEnd w:id="2"/>
    </w:p>
    <w:p>
      <w:pPr>
        <w:pStyle w:val="11"/>
        <w:numPr>
          <w:ilvl w:val="0"/>
          <w:numId w:val="1"/>
        </w:numPr>
        <w:rPr>
          <w:b/>
          <w:bCs/>
          <w:lang w:val="en-IN"/>
        </w:rPr>
      </w:pPr>
      <w:r>
        <w:rPr>
          <w:b/>
          <w:bCs/>
        </w:rPr>
        <w:t>Prepare the monthly control report showing original budget, flexed budget, and variances</w:t>
      </w:r>
    </w:p>
    <w:p>
      <w:pPr>
        <w:rPr>
          <w:lang w:val="en-IN"/>
        </w:rPr>
      </w:pPr>
      <w:r>
        <w:rPr>
          <w:b/>
          <w:bCs/>
          <w:lang w:val="en-IN"/>
        </w:rPr>
        <w:t xml:space="preserve">Control Report </w:t>
      </w:r>
    </w:p>
    <w:p>
      <w:pPr>
        <w:rPr>
          <w:lang w:val="en-IN"/>
        </w:rPr>
      </w:pPr>
      <w:r>
        <w:rPr>
          <w:lang w:val="en-IN"/>
        </w:rPr>
        <w:t>A controlling report is generated by a firm in connection with its budget and is used for purposes such as controlling costs from the next fiscal year. The control reports may be used to assess the performance of the firm corporation. Several times, it has been observed that a business firm spends far excessively on a specific spending for illegitimate purposes. The cost accounting system will aid the organisation in determining how it is slipping behind its rivals. The firm has two options related to budgeting and those are standard flexible and budgeting budgeting. (</w:t>
      </w:r>
      <w:r>
        <w:rPr>
          <w:shd w:val="clear" w:color="auto" w:fill="FFFFFF"/>
        </w:rPr>
        <w:t>Pebrianti and Aziza, 2019</w:t>
      </w:r>
      <w:r>
        <w:rPr>
          <w:lang w:val="en-IN"/>
        </w:rPr>
        <w:t xml:space="preserve">). The budgeting strategy adopted is decided by the demands of the company. It may be argued that the business must ensure that it chooses the most suited budgetary approach for its needs. </w:t>
      </w:r>
    </w:p>
    <w:p>
      <w:pPr>
        <w:rPr>
          <w:lang w:val="en-IN"/>
        </w:rPr>
      </w:pPr>
      <w:r>
        <w:rPr>
          <w:lang w:val="en-IN"/>
        </w:rPr>
        <w:t>A versatile budget analysis is a type of budget analysis in which the organisation’s precise expenditure is compared to its estimated costs. Managers may use it to precisely evaluate the expenditure and its effectiveness. There are various techniques for the firm to determine where its money is being misdirected. (</w:t>
      </w:r>
      <w:r>
        <w:rPr>
          <w:shd w:val="clear" w:color="auto" w:fill="FFFFFF"/>
        </w:rPr>
        <w:t>Yusupov, 2021</w:t>
      </w:r>
      <w:r>
        <w:rPr>
          <w:lang w:val="en-IN"/>
        </w:rPr>
        <w:t>) In different words, a business will be able to assure that there are several ways in which it may control the firm's unwanted spending. A versatile budget provides a number of advantages, several of them are given below:</w:t>
      </w:r>
    </w:p>
    <w:p>
      <w:pPr>
        <w:pStyle w:val="11"/>
        <w:numPr>
          <w:ilvl w:val="0"/>
          <w:numId w:val="2"/>
        </w:numPr>
        <w:rPr>
          <w:lang w:val="en-IN"/>
        </w:rPr>
      </w:pPr>
      <w:r>
        <w:rPr>
          <w:lang w:val="en-IN"/>
        </w:rPr>
        <w:t>Makes innovative expenditure recommendations for the company.</w:t>
      </w:r>
    </w:p>
    <w:p>
      <w:pPr>
        <w:pStyle w:val="11"/>
        <w:numPr>
          <w:ilvl w:val="0"/>
          <w:numId w:val="2"/>
        </w:numPr>
        <w:rPr>
          <w:lang w:val="en-IN"/>
        </w:rPr>
      </w:pPr>
      <w:r>
        <w:rPr>
          <w:lang w:val="en-IN"/>
        </w:rPr>
        <w:t>It also takes into consideration hidden charges. By glancing at the versatile budget, the client will be likely to assess how well the business preserves the standard of its offerings.</w:t>
      </w:r>
    </w:p>
    <w:p>
      <w:pPr>
        <w:pStyle w:val="11"/>
        <w:numPr>
          <w:ilvl w:val="0"/>
          <w:numId w:val="2"/>
        </w:numPr>
        <w:rPr>
          <w:lang w:val="en-IN"/>
        </w:rPr>
      </w:pPr>
      <w:r>
        <w:rPr>
          <w:lang w:val="en-IN"/>
        </w:rPr>
        <w:t>Consequently, the company will be able to employ this adaptable budget to ensure that the firm's operational skills are enhanced. (</w:t>
      </w:r>
      <w:r>
        <w:rPr>
          <w:rFonts w:cs="Times New Roman"/>
          <w:color w:val="222222"/>
          <w:szCs w:val="24"/>
          <w:shd w:val="clear" w:color="auto" w:fill="FFFFFF"/>
        </w:rPr>
        <w:t>King and Watson, 2012)</w:t>
      </w:r>
    </w:p>
    <w:p>
      <w:pPr>
        <w:pStyle w:val="11"/>
        <w:numPr>
          <w:ilvl w:val="0"/>
          <w:numId w:val="2"/>
        </w:numPr>
        <w:rPr>
          <w:lang w:val="en-IN"/>
        </w:rPr>
      </w:pPr>
      <w:r>
        <w:rPr>
          <w:lang w:val="en-IN"/>
        </w:rPr>
        <w:t>It enables the firm to maintain proper record of the spending required for greater strategic and tactical productivity.</w:t>
      </w:r>
    </w:p>
    <w:p>
      <w:pPr>
        <w:rPr>
          <w:lang w:val="en-IN"/>
        </w:rPr>
      </w:pPr>
      <w:r>
        <w:rPr>
          <w:lang w:val="en-IN"/>
        </w:rPr>
        <w:t>The elastic budget's Variance feature is a highly valuable tool. It shows the number of differences between precise and anticipated expenditures. The deviation will advise administrators of the major variables that lead to budget adjustments and the way they can be regulated more efficiently in the future. (</w:t>
      </w:r>
      <w:r>
        <w:rPr>
          <w:shd w:val="clear" w:color="auto" w:fill="FFFFFF"/>
        </w:rPr>
        <w:t xml:space="preserve">Oyadomari </w:t>
      </w:r>
      <w:r>
        <w:rPr>
          <w:i/>
          <w:iCs/>
          <w:shd w:val="clear" w:color="auto" w:fill="FFFFFF"/>
        </w:rPr>
        <w:t>et a</w:t>
      </w:r>
      <w:r>
        <w:rPr>
          <w:shd w:val="clear" w:color="auto" w:fill="FFFFFF"/>
        </w:rPr>
        <w:t>., 2018</w:t>
      </w:r>
      <w:r>
        <w:rPr>
          <w:lang w:val="en-IN"/>
        </w:rPr>
        <w:t>) Although control assessments will show how the firm did in terms of outlays, how the control assessment results are presented is mostly up to administration. A financial plan, meanwhile, may not necessarily be feasible due to changeable factors such as hyperinflation and economic downturn. As a consequence, a flexible budget may be used to do analysis using just clear hypotheses.</w:t>
      </w:r>
    </w:p>
    <w:p>
      <w:pPr>
        <w:rPr>
          <w:lang w:val="en-IN"/>
        </w:rPr>
      </w:pPr>
      <w:r>
        <w:rPr>
          <w:lang w:val="en-IN"/>
        </w:rPr>
        <w:t>Control report of Amana Ltd.:</w:t>
      </w:r>
    </w:p>
    <w:p>
      <w:pPr>
        <w:jc w:val="center"/>
        <w:rPr>
          <w:b/>
          <w:bCs/>
          <w:lang w:val="en-IN"/>
        </w:rPr>
      </w:pPr>
      <w:r>
        <w:rPr>
          <w:b/>
          <w:bCs/>
          <w:lang w:val="en-IN"/>
        </w:rPr>
        <w:t>Control Report</w:t>
      </w:r>
    </w:p>
    <w:tbl>
      <w:tblPr>
        <w:tblStyle w:val="12"/>
        <w:tblW w:w="0" w:type="auto"/>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autofit"/>
        <w:tblCellMar>
          <w:top w:w="0" w:type="dxa"/>
          <w:left w:w="108" w:type="dxa"/>
          <w:bottom w:w="0" w:type="dxa"/>
          <w:right w:w="108" w:type="dxa"/>
        </w:tblCellMar>
      </w:tblPr>
      <w:tblGrid>
        <w:gridCol w:w="1798"/>
        <w:gridCol w:w="1562"/>
        <w:gridCol w:w="1551"/>
        <w:gridCol w:w="1608"/>
        <w:gridCol w:w="2723"/>
      </w:tblGrid>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c>
          <w:tcPr>
            <w:tcW w:w="1913" w:type="dxa"/>
            <w:tcBorders>
              <w:top w:val="single" w:color="000000" w:themeColor="text1" w:sz="8" w:space="0"/>
              <w:left w:val="single" w:color="000000" w:themeColor="text1" w:sz="8" w:space="0"/>
              <w:bottom w:val="single" w:color="000000" w:themeColor="text1" w:sz="18" w:space="0"/>
              <w:right w:val="single" w:color="000000" w:themeColor="text1" w:sz="8" w:space="0"/>
              <w:insideH w:val="single" w:sz="18" w:space="0"/>
              <w:insideV w:val="single" w:sz="8" w:space="0"/>
            </w:tcBorders>
          </w:tcPr>
          <w:p>
            <w:pPr>
              <w:spacing w:before="0"/>
              <w:rPr>
                <w:rFonts w:cs="Times New Roman"/>
                <w:b/>
                <w:bCs/>
                <w:sz w:val="24"/>
                <w:szCs w:val="24"/>
              </w:rPr>
            </w:pPr>
          </w:p>
        </w:tc>
        <w:tc>
          <w:tcPr>
            <w:tcW w:w="1751" w:type="dxa"/>
            <w:tcBorders>
              <w:top w:val="single" w:color="000000" w:themeColor="text1" w:sz="8" w:space="0"/>
              <w:bottom w:val="single" w:color="000000" w:themeColor="text1" w:sz="18" w:space="0"/>
              <w:right w:val="single" w:color="000000" w:themeColor="text1" w:sz="8" w:space="0"/>
              <w:insideH w:val="single" w:sz="18" w:space="0"/>
              <w:insideV w:val="single" w:sz="8" w:space="0"/>
            </w:tcBorders>
          </w:tcPr>
          <w:p>
            <w:pPr>
              <w:spacing w:before="0"/>
              <w:rPr>
                <w:rFonts w:cs="Times New Roman"/>
                <w:b/>
                <w:bCs/>
                <w:sz w:val="24"/>
                <w:szCs w:val="24"/>
              </w:rPr>
            </w:pPr>
            <w:r>
              <w:rPr>
                <w:rFonts w:cs="Times New Roman"/>
                <w:b/>
                <w:bCs/>
                <w:sz w:val="24"/>
                <w:szCs w:val="24"/>
              </w:rPr>
              <w:t>Actual budget (a)</w:t>
            </w:r>
          </w:p>
        </w:tc>
        <w:tc>
          <w:tcPr>
            <w:tcW w:w="1734" w:type="dxa"/>
            <w:tcBorders>
              <w:top w:val="single" w:color="000000" w:themeColor="text1" w:sz="8" w:space="0"/>
              <w:bottom w:val="single" w:color="000000" w:themeColor="text1" w:sz="18" w:space="0"/>
              <w:right w:val="single" w:color="000000" w:themeColor="text1" w:sz="8" w:space="0"/>
              <w:insideH w:val="single" w:sz="18" w:space="0"/>
              <w:insideV w:val="single" w:sz="8" w:space="0"/>
            </w:tcBorders>
          </w:tcPr>
          <w:p>
            <w:pPr>
              <w:spacing w:before="0"/>
              <w:rPr>
                <w:rFonts w:cs="Times New Roman"/>
                <w:b/>
                <w:bCs/>
                <w:sz w:val="24"/>
                <w:szCs w:val="24"/>
              </w:rPr>
            </w:pPr>
            <w:r>
              <w:rPr>
                <w:rFonts w:cs="Times New Roman"/>
                <w:b/>
                <w:bCs/>
                <w:sz w:val="24"/>
                <w:szCs w:val="24"/>
              </w:rPr>
              <w:t xml:space="preserve">Flexed budget (b) </w:t>
            </w:r>
          </w:p>
        </w:tc>
        <w:tc>
          <w:tcPr>
            <w:tcW w:w="1787" w:type="dxa"/>
            <w:tcBorders>
              <w:top w:val="single" w:color="000000" w:themeColor="text1" w:sz="8" w:space="0"/>
              <w:bottom w:val="single" w:color="000000" w:themeColor="text1" w:sz="18" w:space="0"/>
              <w:right w:val="single" w:color="000000" w:themeColor="text1" w:sz="8" w:space="0"/>
              <w:insideH w:val="single" w:sz="18" w:space="0"/>
              <w:insideV w:val="single" w:sz="8" w:space="0"/>
            </w:tcBorders>
          </w:tcPr>
          <w:p>
            <w:pPr>
              <w:spacing w:before="0"/>
              <w:rPr>
                <w:rFonts w:cs="Times New Roman"/>
                <w:b/>
                <w:bCs/>
                <w:sz w:val="24"/>
                <w:szCs w:val="24"/>
              </w:rPr>
            </w:pPr>
            <w:r>
              <w:rPr>
                <w:rFonts w:cs="Times New Roman"/>
                <w:b/>
                <w:bCs/>
                <w:sz w:val="24"/>
                <w:szCs w:val="24"/>
              </w:rPr>
              <w:t xml:space="preserve">Variances (a-b) </w:t>
            </w:r>
          </w:p>
        </w:tc>
        <w:tc>
          <w:tcPr>
            <w:tcW w:w="2391" w:type="dxa"/>
            <w:tcBorders>
              <w:top w:val="single" w:color="000000" w:themeColor="text1" w:sz="8" w:space="0"/>
              <w:bottom w:val="single" w:color="000000" w:themeColor="text1" w:sz="18" w:space="0"/>
              <w:right w:val="single" w:color="000000" w:themeColor="text1" w:sz="8" w:space="0"/>
              <w:insideH w:val="single" w:sz="18" w:space="0"/>
              <w:insideV w:val="single" w:sz="8" w:space="0"/>
            </w:tcBorders>
          </w:tcPr>
          <w:p>
            <w:pPr>
              <w:spacing w:before="0"/>
              <w:rPr>
                <w:rFonts w:cs="Times New Roman"/>
                <w:b/>
                <w:bCs/>
                <w:sz w:val="24"/>
                <w:szCs w:val="24"/>
              </w:rPr>
            </w:pPr>
            <w:r>
              <w:rPr>
                <w:rFonts w:cs="Times New Roman"/>
                <w:b/>
                <w:bCs/>
                <w:sz w:val="24"/>
                <w:szCs w:val="24"/>
              </w:rPr>
              <w:t>Outcome (Favorable/unfavorable)</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1913" w:type="dxa"/>
            <w:tcBorders>
              <w:top w:val="single" w:color="000000" w:themeColor="text1" w:sz="8" w:space="0"/>
              <w:left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b/>
                <w:bCs/>
                <w:sz w:val="24"/>
                <w:szCs w:val="24"/>
              </w:rPr>
            </w:pPr>
            <w:r>
              <w:rPr>
                <w:rFonts w:cs="Times New Roman"/>
                <w:b/>
                <w:bCs/>
                <w:sz w:val="24"/>
                <w:szCs w:val="24"/>
              </w:rPr>
              <w:t>Units</w:t>
            </w:r>
          </w:p>
        </w:tc>
        <w:tc>
          <w:tcPr>
            <w:tcW w:w="175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80,000</w:t>
            </w:r>
          </w:p>
        </w:tc>
        <w:tc>
          <w:tcPr>
            <w:tcW w:w="1734"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80,000</w:t>
            </w:r>
          </w:p>
        </w:tc>
        <w:tc>
          <w:tcPr>
            <w:tcW w:w="1787"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p>
        </w:tc>
        <w:tc>
          <w:tcPr>
            <w:tcW w:w="239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c>
          <w:tcPr>
            <w:tcW w:w="1913" w:type="dxa"/>
            <w:tcBorders>
              <w:top w:val="single" w:color="000000" w:themeColor="text1" w:sz="8" w:space="0"/>
              <w:left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b/>
                <w:bCs/>
                <w:sz w:val="24"/>
                <w:szCs w:val="24"/>
              </w:rPr>
            </w:pPr>
            <w:r>
              <w:rPr>
                <w:rFonts w:cs="Times New Roman"/>
                <w:b/>
                <w:bCs/>
                <w:sz w:val="24"/>
                <w:szCs w:val="24"/>
              </w:rPr>
              <w:t>Selling price</w:t>
            </w:r>
          </w:p>
        </w:tc>
        <w:tc>
          <w:tcPr>
            <w:tcW w:w="175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20</w:t>
            </w:r>
          </w:p>
        </w:tc>
        <w:tc>
          <w:tcPr>
            <w:tcW w:w="1734"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25</w:t>
            </w:r>
          </w:p>
        </w:tc>
        <w:tc>
          <w:tcPr>
            <w:tcW w:w="1787"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p>
        </w:tc>
        <w:tc>
          <w:tcPr>
            <w:tcW w:w="239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c>
          <w:tcPr>
            <w:tcW w:w="1913" w:type="dxa"/>
            <w:tcBorders>
              <w:top w:val="single" w:color="000000" w:themeColor="text1" w:sz="8" w:space="0"/>
              <w:left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b/>
                <w:bCs/>
                <w:sz w:val="24"/>
                <w:szCs w:val="24"/>
              </w:rPr>
            </w:pPr>
            <w:r>
              <w:rPr>
                <w:rFonts w:cs="Times New Roman"/>
                <w:b/>
                <w:bCs/>
                <w:sz w:val="24"/>
                <w:szCs w:val="24"/>
              </w:rPr>
              <w:t xml:space="preserve">Sales </w:t>
            </w:r>
          </w:p>
        </w:tc>
        <w:tc>
          <w:tcPr>
            <w:tcW w:w="175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1,600,000</w:t>
            </w:r>
          </w:p>
        </w:tc>
        <w:tc>
          <w:tcPr>
            <w:tcW w:w="1734"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2,000,000</w:t>
            </w:r>
          </w:p>
        </w:tc>
        <w:tc>
          <w:tcPr>
            <w:tcW w:w="1787"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color w:val="000000"/>
                <w:sz w:val="24"/>
                <w:szCs w:val="24"/>
              </w:rPr>
            </w:pPr>
            <w:r>
              <w:rPr>
                <w:rFonts w:cs="Times New Roman"/>
                <w:color w:val="000000"/>
                <w:sz w:val="24"/>
                <w:szCs w:val="24"/>
              </w:rPr>
              <w:t>-4,00,000</w:t>
            </w:r>
          </w:p>
        </w:tc>
        <w:tc>
          <w:tcPr>
            <w:tcW w:w="239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U</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c>
          <w:tcPr>
            <w:tcW w:w="1913" w:type="dxa"/>
            <w:tcBorders>
              <w:top w:val="single" w:color="000000" w:themeColor="text1" w:sz="8" w:space="0"/>
              <w:left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b/>
                <w:bCs/>
                <w:sz w:val="24"/>
                <w:szCs w:val="24"/>
              </w:rPr>
            </w:pPr>
            <w:r>
              <w:rPr>
                <w:rFonts w:cs="Times New Roman"/>
                <w:b/>
                <w:bCs/>
                <w:sz w:val="24"/>
                <w:szCs w:val="24"/>
              </w:rPr>
              <w:t>Variable cost:</w:t>
            </w:r>
          </w:p>
        </w:tc>
        <w:tc>
          <w:tcPr>
            <w:tcW w:w="175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p>
        </w:tc>
        <w:tc>
          <w:tcPr>
            <w:tcW w:w="1734"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p>
        </w:tc>
        <w:tc>
          <w:tcPr>
            <w:tcW w:w="1787"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color w:val="000000"/>
                <w:sz w:val="24"/>
                <w:szCs w:val="24"/>
              </w:rPr>
            </w:pPr>
          </w:p>
        </w:tc>
        <w:tc>
          <w:tcPr>
            <w:tcW w:w="239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c>
          <w:tcPr>
            <w:tcW w:w="1913" w:type="dxa"/>
            <w:tcBorders>
              <w:top w:val="single" w:color="000000" w:themeColor="text1" w:sz="8" w:space="0"/>
              <w:left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b/>
                <w:bCs/>
                <w:sz w:val="24"/>
                <w:szCs w:val="24"/>
              </w:rPr>
            </w:pPr>
            <w:r>
              <w:rPr>
                <w:rFonts w:cs="Times New Roman"/>
                <w:b/>
                <w:bCs/>
                <w:sz w:val="24"/>
                <w:szCs w:val="24"/>
              </w:rPr>
              <w:t xml:space="preserve">Materials </w:t>
            </w:r>
          </w:p>
        </w:tc>
        <w:tc>
          <w:tcPr>
            <w:tcW w:w="175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280,000</w:t>
            </w:r>
          </w:p>
        </w:tc>
        <w:tc>
          <w:tcPr>
            <w:tcW w:w="1734"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200,000</w:t>
            </w:r>
          </w:p>
        </w:tc>
        <w:tc>
          <w:tcPr>
            <w:tcW w:w="1787"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color w:val="000000"/>
                <w:sz w:val="24"/>
                <w:szCs w:val="24"/>
              </w:rPr>
            </w:pPr>
            <w:r>
              <w:rPr>
                <w:rFonts w:cs="Times New Roman"/>
                <w:color w:val="000000"/>
                <w:sz w:val="24"/>
                <w:szCs w:val="24"/>
              </w:rPr>
              <w:t>80,000</w:t>
            </w:r>
          </w:p>
        </w:tc>
        <w:tc>
          <w:tcPr>
            <w:tcW w:w="239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U</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c>
          <w:tcPr>
            <w:tcW w:w="1913" w:type="dxa"/>
            <w:tcBorders>
              <w:top w:val="single" w:color="000000" w:themeColor="text1" w:sz="8" w:space="0"/>
              <w:left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b/>
                <w:bCs/>
                <w:sz w:val="24"/>
                <w:szCs w:val="24"/>
              </w:rPr>
            </w:pPr>
            <w:r>
              <w:rPr>
                <w:rFonts w:cs="Times New Roman"/>
                <w:b/>
                <w:bCs/>
                <w:sz w:val="24"/>
                <w:szCs w:val="24"/>
              </w:rPr>
              <w:t xml:space="preserve">Labour </w:t>
            </w:r>
          </w:p>
        </w:tc>
        <w:tc>
          <w:tcPr>
            <w:tcW w:w="175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440,000</w:t>
            </w:r>
          </w:p>
        </w:tc>
        <w:tc>
          <w:tcPr>
            <w:tcW w:w="1734"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320,000</w:t>
            </w:r>
          </w:p>
        </w:tc>
        <w:tc>
          <w:tcPr>
            <w:tcW w:w="1787"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color w:val="000000"/>
                <w:sz w:val="24"/>
                <w:szCs w:val="24"/>
              </w:rPr>
            </w:pPr>
            <w:r>
              <w:rPr>
                <w:rFonts w:cs="Times New Roman"/>
                <w:color w:val="000000"/>
                <w:sz w:val="24"/>
                <w:szCs w:val="24"/>
              </w:rPr>
              <w:t>1,20,000</w:t>
            </w:r>
          </w:p>
        </w:tc>
        <w:tc>
          <w:tcPr>
            <w:tcW w:w="239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U</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c>
          <w:tcPr>
            <w:tcW w:w="1913" w:type="dxa"/>
            <w:tcBorders>
              <w:top w:val="single" w:color="000000" w:themeColor="text1" w:sz="8" w:space="0"/>
              <w:left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b/>
                <w:bCs/>
                <w:sz w:val="24"/>
                <w:szCs w:val="24"/>
              </w:rPr>
            </w:pPr>
            <w:r>
              <w:rPr>
                <w:rFonts w:cs="Times New Roman"/>
                <w:b/>
                <w:bCs/>
                <w:sz w:val="24"/>
                <w:szCs w:val="24"/>
              </w:rPr>
              <w:t>Over head</w:t>
            </w:r>
          </w:p>
        </w:tc>
        <w:tc>
          <w:tcPr>
            <w:tcW w:w="175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120,000</w:t>
            </w:r>
          </w:p>
        </w:tc>
        <w:tc>
          <w:tcPr>
            <w:tcW w:w="1734"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120,000</w:t>
            </w:r>
          </w:p>
        </w:tc>
        <w:tc>
          <w:tcPr>
            <w:tcW w:w="1787"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color w:val="000000"/>
                <w:sz w:val="24"/>
                <w:szCs w:val="24"/>
              </w:rPr>
            </w:pPr>
            <w:r>
              <w:rPr>
                <w:rFonts w:cs="Times New Roman"/>
                <w:color w:val="000000"/>
                <w:sz w:val="24"/>
                <w:szCs w:val="24"/>
              </w:rPr>
              <w:t>0</w:t>
            </w:r>
          </w:p>
        </w:tc>
        <w:tc>
          <w:tcPr>
            <w:tcW w:w="239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c>
          <w:tcPr>
            <w:tcW w:w="1913" w:type="dxa"/>
            <w:tcBorders>
              <w:top w:val="single" w:color="000000" w:themeColor="text1" w:sz="8" w:space="0"/>
              <w:left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b/>
                <w:bCs/>
                <w:sz w:val="24"/>
                <w:szCs w:val="24"/>
              </w:rPr>
            </w:pPr>
            <w:r>
              <w:rPr>
                <w:rFonts w:cs="Times New Roman"/>
                <w:b/>
                <w:bCs/>
                <w:sz w:val="24"/>
                <w:szCs w:val="24"/>
              </w:rPr>
              <w:t>Contribution</w:t>
            </w:r>
          </w:p>
        </w:tc>
        <w:tc>
          <w:tcPr>
            <w:tcW w:w="175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760,000</w:t>
            </w:r>
          </w:p>
        </w:tc>
        <w:tc>
          <w:tcPr>
            <w:tcW w:w="1734"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1,360,000</w:t>
            </w:r>
          </w:p>
        </w:tc>
        <w:tc>
          <w:tcPr>
            <w:tcW w:w="1787"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color w:val="000000"/>
                <w:sz w:val="24"/>
                <w:szCs w:val="24"/>
              </w:rPr>
            </w:pPr>
            <w:r>
              <w:rPr>
                <w:rFonts w:cs="Times New Roman"/>
                <w:color w:val="000000"/>
                <w:sz w:val="24"/>
                <w:szCs w:val="24"/>
              </w:rPr>
              <w:t>-6,00,000</w:t>
            </w:r>
          </w:p>
        </w:tc>
        <w:tc>
          <w:tcPr>
            <w:tcW w:w="239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U</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c>
          <w:tcPr>
            <w:tcW w:w="1913" w:type="dxa"/>
            <w:tcBorders>
              <w:top w:val="single" w:color="000000" w:themeColor="text1" w:sz="8" w:space="0"/>
              <w:left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b/>
                <w:bCs/>
                <w:sz w:val="24"/>
                <w:szCs w:val="24"/>
              </w:rPr>
            </w:pPr>
            <w:r>
              <w:rPr>
                <w:rFonts w:cs="Times New Roman"/>
                <w:b/>
                <w:bCs/>
                <w:sz w:val="24"/>
                <w:szCs w:val="24"/>
              </w:rPr>
              <w:t>Fixed overhead:</w:t>
            </w:r>
          </w:p>
        </w:tc>
        <w:tc>
          <w:tcPr>
            <w:tcW w:w="175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p>
        </w:tc>
        <w:tc>
          <w:tcPr>
            <w:tcW w:w="1734"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p>
        </w:tc>
        <w:tc>
          <w:tcPr>
            <w:tcW w:w="1787"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color w:val="000000"/>
                <w:sz w:val="24"/>
                <w:szCs w:val="24"/>
              </w:rPr>
            </w:pPr>
          </w:p>
        </w:tc>
        <w:tc>
          <w:tcPr>
            <w:tcW w:w="239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c>
          <w:tcPr>
            <w:tcW w:w="1913" w:type="dxa"/>
            <w:tcBorders>
              <w:top w:val="single" w:color="000000" w:themeColor="text1" w:sz="8" w:space="0"/>
              <w:left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b/>
                <w:bCs/>
                <w:sz w:val="24"/>
                <w:szCs w:val="24"/>
              </w:rPr>
            </w:pPr>
            <w:r>
              <w:rPr>
                <w:rFonts w:cs="Times New Roman"/>
                <w:b/>
                <w:bCs/>
                <w:sz w:val="24"/>
                <w:szCs w:val="24"/>
              </w:rPr>
              <w:t>Warehouse rental</w:t>
            </w:r>
          </w:p>
        </w:tc>
        <w:tc>
          <w:tcPr>
            <w:tcW w:w="175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170,000</w:t>
            </w:r>
          </w:p>
        </w:tc>
        <w:tc>
          <w:tcPr>
            <w:tcW w:w="1734"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200,000</w:t>
            </w:r>
          </w:p>
        </w:tc>
        <w:tc>
          <w:tcPr>
            <w:tcW w:w="1787"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color w:val="000000"/>
                <w:sz w:val="24"/>
                <w:szCs w:val="24"/>
              </w:rPr>
            </w:pPr>
            <w:r>
              <w:rPr>
                <w:rFonts w:cs="Times New Roman"/>
                <w:color w:val="000000"/>
                <w:sz w:val="24"/>
                <w:szCs w:val="24"/>
              </w:rPr>
              <w:t>-30,000</w:t>
            </w:r>
          </w:p>
        </w:tc>
        <w:tc>
          <w:tcPr>
            <w:tcW w:w="239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F</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c>
          <w:tcPr>
            <w:tcW w:w="1913" w:type="dxa"/>
            <w:tcBorders>
              <w:top w:val="single" w:color="000000" w:themeColor="text1" w:sz="8" w:space="0"/>
              <w:left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b/>
                <w:bCs/>
                <w:sz w:val="24"/>
                <w:szCs w:val="24"/>
              </w:rPr>
            </w:pPr>
            <w:r>
              <w:rPr>
                <w:rFonts w:cs="Times New Roman"/>
                <w:b/>
                <w:bCs/>
                <w:sz w:val="24"/>
                <w:szCs w:val="24"/>
              </w:rPr>
              <w:t>Insurance</w:t>
            </w:r>
          </w:p>
        </w:tc>
        <w:tc>
          <w:tcPr>
            <w:tcW w:w="175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100,000</w:t>
            </w:r>
          </w:p>
        </w:tc>
        <w:tc>
          <w:tcPr>
            <w:tcW w:w="1734"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100,000</w:t>
            </w:r>
          </w:p>
        </w:tc>
        <w:tc>
          <w:tcPr>
            <w:tcW w:w="1787"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color w:val="000000"/>
                <w:sz w:val="24"/>
                <w:szCs w:val="24"/>
              </w:rPr>
            </w:pPr>
            <w:r>
              <w:rPr>
                <w:rFonts w:cs="Times New Roman"/>
                <w:color w:val="000000"/>
                <w:sz w:val="24"/>
                <w:szCs w:val="24"/>
              </w:rPr>
              <w:t>0</w:t>
            </w:r>
          </w:p>
        </w:tc>
        <w:tc>
          <w:tcPr>
            <w:tcW w:w="239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1913" w:type="dxa"/>
            <w:tcBorders>
              <w:top w:val="single" w:color="000000" w:themeColor="text1" w:sz="8" w:space="0"/>
              <w:left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b/>
                <w:bCs/>
                <w:sz w:val="24"/>
                <w:szCs w:val="24"/>
              </w:rPr>
            </w:pPr>
            <w:r>
              <w:rPr>
                <w:rFonts w:cs="Times New Roman"/>
                <w:b/>
                <w:bCs/>
                <w:sz w:val="24"/>
                <w:szCs w:val="24"/>
              </w:rPr>
              <w:t xml:space="preserve">Fulltime warehouse supervisor salary </w:t>
            </w:r>
          </w:p>
        </w:tc>
        <w:tc>
          <w:tcPr>
            <w:tcW w:w="175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35,000</w:t>
            </w:r>
          </w:p>
        </w:tc>
        <w:tc>
          <w:tcPr>
            <w:tcW w:w="1734"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50,000</w:t>
            </w:r>
          </w:p>
        </w:tc>
        <w:tc>
          <w:tcPr>
            <w:tcW w:w="1787"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color w:val="000000"/>
                <w:sz w:val="24"/>
                <w:szCs w:val="24"/>
              </w:rPr>
            </w:pPr>
            <w:r>
              <w:rPr>
                <w:rFonts w:cs="Times New Roman"/>
                <w:color w:val="000000"/>
                <w:sz w:val="24"/>
                <w:szCs w:val="24"/>
              </w:rPr>
              <w:t>-15,000</w:t>
            </w:r>
          </w:p>
        </w:tc>
        <w:tc>
          <w:tcPr>
            <w:tcW w:w="239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tcPr>
          <w:p>
            <w:pPr>
              <w:rPr>
                <w:rFonts w:cs="Times New Roman"/>
                <w:sz w:val="24"/>
                <w:szCs w:val="24"/>
              </w:rPr>
            </w:pPr>
            <w:r>
              <w:rPr>
                <w:rFonts w:cs="Times New Roman"/>
                <w:sz w:val="24"/>
                <w:szCs w:val="24"/>
              </w:rPr>
              <w:t>F</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c>
          <w:tcPr>
            <w:tcW w:w="1913" w:type="dxa"/>
            <w:tcBorders>
              <w:top w:val="single" w:color="000000" w:themeColor="text1" w:sz="8" w:space="0"/>
              <w:left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b/>
                <w:bCs/>
                <w:sz w:val="24"/>
                <w:szCs w:val="24"/>
              </w:rPr>
            </w:pPr>
            <w:r>
              <w:rPr>
                <w:rFonts w:cs="Times New Roman"/>
                <w:b/>
                <w:bCs/>
                <w:sz w:val="24"/>
                <w:szCs w:val="24"/>
              </w:rPr>
              <w:t xml:space="preserve">Net profit </w:t>
            </w:r>
          </w:p>
        </w:tc>
        <w:tc>
          <w:tcPr>
            <w:tcW w:w="175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455,000</w:t>
            </w:r>
          </w:p>
        </w:tc>
        <w:tc>
          <w:tcPr>
            <w:tcW w:w="1734"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1,010,000</w:t>
            </w:r>
          </w:p>
        </w:tc>
        <w:tc>
          <w:tcPr>
            <w:tcW w:w="1787"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color w:val="000000"/>
                <w:sz w:val="24"/>
                <w:szCs w:val="24"/>
              </w:rPr>
            </w:pPr>
            <w:r>
              <w:rPr>
                <w:rFonts w:cs="Times New Roman"/>
                <w:color w:val="000000"/>
                <w:sz w:val="24"/>
                <w:szCs w:val="24"/>
              </w:rPr>
              <w:t>-5,55,000</w:t>
            </w:r>
          </w:p>
        </w:tc>
        <w:tc>
          <w:tcPr>
            <w:tcW w:w="2391" w:type="dxa"/>
            <w:tcBorders>
              <w:top w:val="single" w:color="000000" w:themeColor="text1" w:sz="8" w:space="0"/>
              <w:bottom w:val="single" w:color="000000" w:themeColor="text1" w:sz="8" w:space="0"/>
              <w:right w:val="single" w:color="000000" w:themeColor="text1" w:sz="8" w:space="0"/>
              <w:insideH w:val="single" w:sz="8" w:space="0"/>
              <w:insideV w:val="single" w:sz="8" w:space="0"/>
            </w:tcBorders>
            <w:shd w:val="clear" w:color="auto" w:fill="BFBFBF" w:themeFill="text1" w:themeFillTint="3F"/>
          </w:tcPr>
          <w:p>
            <w:pPr>
              <w:rPr>
                <w:rFonts w:cs="Times New Roman"/>
                <w:sz w:val="24"/>
                <w:szCs w:val="24"/>
              </w:rPr>
            </w:pPr>
            <w:r>
              <w:rPr>
                <w:rFonts w:cs="Times New Roman"/>
                <w:sz w:val="24"/>
                <w:szCs w:val="24"/>
              </w:rPr>
              <w:t>U</w:t>
            </w:r>
          </w:p>
        </w:tc>
      </w:tr>
    </w:tbl>
    <w:p>
      <w:pPr>
        <w:rPr>
          <w:lang w:val="en-IN"/>
        </w:rPr>
      </w:pPr>
    </w:p>
    <w:p>
      <w:pPr>
        <w:pStyle w:val="11"/>
        <w:numPr>
          <w:ilvl w:val="0"/>
          <w:numId w:val="1"/>
        </w:numPr>
        <w:rPr>
          <w:b/>
          <w:bCs/>
          <w:lang w:val="en-IN"/>
        </w:rPr>
      </w:pPr>
      <w:r>
        <w:rPr>
          <w:b/>
          <w:bCs/>
        </w:rPr>
        <w:t>Using your control report prepared in (i) above, prepare a report on Amana’s performance during the year 2020</w:t>
      </w:r>
    </w:p>
    <w:p>
      <w:pPr>
        <w:rPr>
          <w:lang w:val="en-IN"/>
        </w:rPr>
      </w:pPr>
      <w:r>
        <w:rPr>
          <w:lang w:val="en-IN"/>
        </w:rPr>
        <w:t xml:space="preserve">The control report demonstrates how effectively Amana LTD performed in terms of budgeting and costing. It is easy to say that a corporate organisation may check where their forecasting has gone awry. It must be verified that an organization's budgetary development is entirely dependent on forecasts. One of the key ways in which this type of planning will assist the organisation is in its ability to handle expenses efficiently. (Bhimani </w:t>
      </w:r>
      <w:r>
        <w:rPr>
          <w:i/>
          <w:iCs/>
          <w:lang w:val="en-IN"/>
        </w:rPr>
        <w:t xml:space="preserve">et al., </w:t>
      </w:r>
      <w:r>
        <w:rPr>
          <w:lang w:val="en-IN"/>
        </w:rPr>
        <w:t>2018) On the surface, it appears that the company is primarily necessary to set its market value. Boosting the market value will boost the firm's earnings and make it easier for the organization to cover the additional expenditures.</w:t>
      </w:r>
    </w:p>
    <w:p>
      <w:pPr>
        <w:rPr>
          <w:lang w:val="en-IN"/>
        </w:rPr>
      </w:pPr>
      <w:r>
        <w:rPr>
          <w:lang w:val="en-IN"/>
        </w:rPr>
        <w:t>Additionally, the corporation's resource costs are out of line. It adopts an undesirable position that must be treated carefully. As one successful approach for cutting material expenses, the corporation will be required to obtain from a vendor that supplies them at a lesser price. (</w:t>
      </w:r>
      <w:r>
        <w:rPr>
          <w:shd w:val="clear" w:color="auto" w:fill="FFFFFF"/>
        </w:rPr>
        <w:t>Sheng, 2019</w:t>
      </w:r>
      <w:r>
        <w:rPr>
          <w:lang w:val="en-IN"/>
        </w:rPr>
        <w:t>). It is critical to emphasise that, in effort to conserve funds, the organization must not sacrifice the standard of its commodity or service. It has a major negative impact on the company's reputation and brand awareness. To commence, the control analysis has shown that the undesirable situations must be dealt with skilfully.</w:t>
      </w:r>
    </w:p>
    <w:p>
      <w:pPr>
        <w:rPr>
          <w:lang w:val="en-IN"/>
        </w:rPr>
      </w:pPr>
      <w:r>
        <w:rPr>
          <w:lang w:val="en-IN"/>
        </w:rPr>
        <w:t>Labour costs are among the examples of highly significant forms of fluctuating expenses that a company must deal with. The control report confirms that such expenditures are effectively handled for the functional effectiveness of the company. It casts a negative light on the firm's labour costs. Proving that if the corporation can keep labour costs under control, it will be willing to work harder. Labour expenses can be minimized by using innovative production innovations and guaranteeing that overheads are handled properly within the area of corporate effectiveness. (</w:t>
      </w:r>
      <w:r>
        <w:rPr>
          <w:shd w:val="clear" w:color="auto" w:fill="FFFFFF"/>
        </w:rPr>
        <w:t>Zofchak, 2020</w:t>
      </w:r>
      <w:r>
        <w:rPr>
          <w:lang w:val="en-IN"/>
        </w:rPr>
        <w:t>).).</w:t>
      </w:r>
    </w:p>
    <w:p>
      <w:pPr>
        <w:pStyle w:val="11"/>
        <w:ind w:left="0"/>
        <w:rPr>
          <w:lang w:val="en-IN"/>
        </w:rPr>
      </w:pPr>
      <w:r>
        <w:rPr>
          <w:lang w:val="en-IN"/>
        </w:rPr>
        <w:t>The organization's donation expenditures, on the contrary extreme, show a very positive trend. According to the company's control assessment, the contributions costs are advantageous. Another important aspect to highlight from the supervision report would be that the company will be required to establish equilibrium among fixed and adjustable expenditures in a multitude of situations. The control report indicates that the firm's static costs are properly managed. It is in healthier form than the fluctuating expenses of the business organisation. This illustrates that the firm's fixed expenditures are consistent and do not place financial burden on the business. It is simple to state that a corporation must ensure that flexible expenditures are appropriately handled. (</w:t>
      </w:r>
      <w:r>
        <w:rPr>
          <w:rFonts w:cs="Times New Roman"/>
          <w:color w:val="222222"/>
          <w:szCs w:val="24"/>
          <w:shd w:val="clear" w:color="auto" w:fill="FFFFFF"/>
        </w:rPr>
        <w:t>Maher, Fakhar and Karimi, 2018)</w:t>
      </w:r>
    </w:p>
    <w:p>
      <w:pPr>
        <w:rPr>
          <w:b/>
          <w:bCs/>
          <w:lang w:val="en-IN"/>
        </w:rPr>
      </w:pPr>
      <w:r>
        <w:rPr>
          <w:lang w:val="en-IN"/>
        </w:rPr>
        <w:t>Another important aspect to consider is whether or not a firm has been able to maintain its listing price consistent. At quite a cheap market value, the business organization, on the contrary extreme, cannot earn revenue. The firm has two alternatives accessible to it. The first benefit is that it can reduce the expenditure incurred on fluctuating expenditures. Furthermore, if the firm is unable to reduce its expenses, it will be obliged to raise its market value. It will compensate the higher expenditures incurred by the organisation as a consequence of growing hyperinflation.</w:t>
      </w:r>
    </w:p>
    <w:p>
      <w:pPr>
        <w:pStyle w:val="11"/>
        <w:numPr>
          <w:ilvl w:val="0"/>
          <w:numId w:val="1"/>
        </w:numPr>
        <w:rPr>
          <w:b/>
          <w:bCs/>
          <w:lang w:val="en-IN"/>
        </w:rPr>
      </w:pPr>
      <w:r>
        <w:rPr>
          <w:b/>
          <w:bCs/>
        </w:rPr>
        <w:t>Provide recommendations to Amana’s CEO on areas of improvement.</w:t>
      </w:r>
    </w:p>
    <w:p>
      <w:pPr>
        <w:ind w:left="360"/>
        <w:rPr>
          <w:lang w:val="en-IN"/>
        </w:rPr>
      </w:pPr>
      <w:r>
        <w:rPr>
          <w:lang w:val="en-IN"/>
        </w:rPr>
        <w:t>It is recommended that the company increase its market value by a specified amount. This will help the organisation to generate more income while also covering the higher variable expenses. Furthermore, improved technological aspects may be used to drastically reduce labour expenses. On multiple events, it has been observed that a organization may be unlikely to reach break-even owing to its failure to adequately control fluctuating expenditures. On a more optimistic way, the industry's fixed costs have been kept in extremely good shape, and it is recommended that this persist. Sustaining desirable operating expenses allows a corporation to keep a strategic edge over its competitors. Additionally, the corporation may be said to ensure full uniformity in broad components. Among the most essential ways the firm may improve its functionary is to improve how it regulates its volatile expenditures.</w:t>
      </w:r>
    </w:p>
    <w:p>
      <w:pPr>
        <w:ind w:left="360"/>
        <w:rPr>
          <w:rFonts w:eastAsiaTheme="minorEastAsia" w:cstheme="minorBidi"/>
          <w:color w:val="000000" w:themeColor="text1"/>
          <w:lang w:val="en-IN" w:eastAsia="zh-CN"/>
          <w14:textFill>
            <w14:solidFill>
              <w14:schemeClr w14:val="tx1"/>
            </w14:solidFill>
          </w14:textFill>
        </w:rPr>
      </w:pPr>
      <w:r>
        <w:rPr>
          <w:lang w:val="en-IN"/>
        </w:rPr>
        <w:t>Out-of-control fluctuating expenditures can lead to ineffective internal activities. The company will be equipped to control these fluctuating costs in a multitude of ways. If the organisation can keep a positive relationship with the provider's aspect of the trade, it might be eligible to receive special deals, reducing the amount of variable expenditures. Moreover, credit payments must not be utilised to diminish a business entity's purchasing volume. This will inevitably lead to a credit accumulation and a spike in the expense. Another important consideration is that a corporation must be capable of sustaining a well found market value.</w:t>
      </w:r>
      <w:r>
        <w:rPr>
          <w:lang w:val="en-IN"/>
        </w:rPr>
        <w:br w:type="page"/>
      </w:r>
    </w:p>
    <w:p>
      <w:pPr>
        <w:pStyle w:val="2"/>
        <w:rPr>
          <w:sz w:val="36"/>
          <w:szCs w:val="44"/>
          <w:lang w:val="en-IN"/>
        </w:rPr>
      </w:pPr>
      <w:bookmarkStart w:id="3" w:name="_Toc101945401"/>
      <w:bookmarkStart w:id="4" w:name="_Toc100421829"/>
      <w:r>
        <w:rPr>
          <w:sz w:val="36"/>
          <w:szCs w:val="44"/>
          <w:lang w:val="en-IN"/>
        </w:rPr>
        <w:t>Part B</w:t>
      </w:r>
      <w:bookmarkEnd w:id="3"/>
      <w:bookmarkEnd w:id="4"/>
    </w:p>
    <w:p>
      <w:pPr>
        <w:rPr>
          <w:b/>
          <w:bCs/>
          <w:lang w:val="en-IN"/>
        </w:rPr>
      </w:pPr>
      <w:r>
        <w:rPr>
          <w:b/>
          <w:bCs/>
        </w:rPr>
        <w:t xml:space="preserve">In your report, provide an analysis of Mr Amana’s decision to go online and advise if they should set up their own online shop or sell on Amazon. You should take into consideration all the relevant costs. </w:t>
      </w:r>
    </w:p>
    <w:p>
      <w:pPr>
        <w:rPr>
          <w:lang w:val="en-IN"/>
        </w:rPr>
      </w:pPr>
      <w:r>
        <w:rPr>
          <w:lang w:val="en-IN"/>
        </w:rPr>
        <w:t>Sales may be viewed as the most crucial aspect of pr</w:t>
      </w:r>
      <w:bookmarkStart w:id="9" w:name="_GoBack"/>
      <w:bookmarkEnd w:id="9"/>
      <w:r>
        <w:rPr>
          <w:lang w:val="en-IN"/>
        </w:rPr>
        <w:t>ofitability for any form of business enterprise. It represents the firm's achievement in a measurable way. Among the most crucial things to remember is that the firm would need to find out a variety of strategies to increase its earnings. In todays company arrangements, corporate organisations may sell more effectively in virtual environments. Digital commerce gateways have made it possible for firms to function more efficiently. Another thing to bear in consideration is that the firm must ensure that it can boost revenues both physically and digitally.</w:t>
      </w:r>
    </w:p>
    <w:p>
      <w:pPr>
        <w:rPr>
          <w:rFonts w:cs="Times New Roman"/>
          <w:lang w:val="en-IN"/>
        </w:rPr>
      </w:pPr>
      <w:r>
        <w:rPr>
          <w:lang w:val="en-IN"/>
        </w:rPr>
        <w:t>Amana Ltd has decided to shut some of its conventional sites and relocated some of its activities digitally. One factor to remember is that the corporation must ensure that they are appropriately evaluating the online sales gateway for the organisation. As per the research study, the company will have two alternatives for an ecommerce setup: establish a shop that offers necessary sales of 100,000 units with a high start up amount of £2,00,000; or develop a website that guarantees minimal sales of 100,000 units with a high start up cost of £2,00,000.</w:t>
      </w:r>
      <w:r>
        <w:t xml:space="preserve"> </w:t>
      </w:r>
      <w:r>
        <w:rPr>
          <w:rFonts w:cs="Times New Roman"/>
          <w:lang w:val="en-IN"/>
        </w:rPr>
        <w:t>A recurring expenditure of £35,000 is also mentioned. It is critical to memorise that recurring charges must be covered on a consistent manner. The firm's second option is to sell via online platform named Amazon, which pledges to sell 65,000 copies every month for a recurring cost of £50,000.</w:t>
      </w:r>
    </w:p>
    <w:p>
      <w:pPr>
        <w:rPr>
          <w:rFonts w:cs="Times New Roman"/>
          <w:lang w:val="en-IN"/>
        </w:rPr>
      </w:pPr>
      <w:r>
        <w:rPr>
          <w:rFonts w:cs="Times New Roman"/>
          <w:lang w:val="en-IN"/>
        </w:rPr>
        <w:t xml:space="preserve">Accounting for mobile commerce may be tricky. It might be argued that a corporation firm would be required to ensure that their products are efficiently promoted to clients. As an outcome, the firm's items must be conveniently promoted in the trade. Additionally, it is accurate that generating a high selling prospect might be difficult at first. Among the most important advantages of distributing through several platforms is that the firm's earnings will increase. </w:t>
      </w:r>
      <w:r>
        <w:rPr>
          <w:rFonts w:cs="Times New Roman"/>
          <w:color w:val="222222"/>
          <w:szCs w:val="24"/>
          <w:shd w:val="clear" w:color="auto" w:fill="FFFFFF"/>
        </w:rPr>
        <w:t xml:space="preserve">(Bhimani, 2020) </w:t>
      </w:r>
      <w:r>
        <w:rPr>
          <w:rFonts w:cs="Times New Roman"/>
          <w:lang w:val="en-IN"/>
        </w:rPr>
        <w:t>The company will be required to promote the items they intend to promote in a number of ways. With these kinds of large expenses, building a completely new doorway might not be sufficient for the organisation. It may be claimed that a corporation needs guarantee that the suitable doorway is chosen in order to increase revenues and prospects.</w:t>
      </w:r>
    </w:p>
    <w:p>
      <w:pPr>
        <w:rPr>
          <w:rFonts w:cs="Times New Roman"/>
          <w:lang w:val="en-IN"/>
        </w:rPr>
      </w:pPr>
      <w:r>
        <w:rPr>
          <w:rFonts w:cs="Times New Roman"/>
          <w:lang w:val="en-IN"/>
        </w:rPr>
        <w:t>It is recommended that the firm distributes via Amazon for the initial few periods, because this will enable the firm to ensure that the commodity is quite well. Additionally, it could be argued that the corporation will profit extra if it distributes in a better secure way. It has been noticed that a firm entity would need to choose the best portal by which to provide its items. As a consequence, picking the best approachable doorway to sell via will enable the firm to make more revenue and boost market awareness.</w:t>
      </w:r>
    </w:p>
    <w:p>
      <w:pPr>
        <w:rPr>
          <w:rFonts w:cs="Times New Roman"/>
          <w:lang w:val="en-IN"/>
        </w:rPr>
      </w:pPr>
      <w:r>
        <w:rPr>
          <w:rFonts w:cs="Times New Roman"/>
          <w:lang w:val="en-IN"/>
        </w:rPr>
        <w:t>Amana Ltd has been advised to eventually sell on Amazon's online webpage. It will allow the business to ensure that the effort is profitable and secure from the start. In so many ways, the corporation may not be allowed to benefit from the items offered via its route. It's likely that marketing via Amazon may limit the firm's ability to sell as substantially as it might on its own webpage. As a consequence, it is possible to assert that the company need to make wise selections. (</w:t>
      </w:r>
      <w:r>
        <w:rPr>
          <w:shd w:val="clear" w:color="auto" w:fill="FFFFFF"/>
        </w:rPr>
        <w:t xml:space="preserve">Warokka </w:t>
      </w:r>
      <w:r>
        <w:rPr>
          <w:i/>
          <w:iCs/>
          <w:shd w:val="clear" w:color="auto" w:fill="FFFFFF"/>
        </w:rPr>
        <w:t>et al</w:t>
      </w:r>
      <w:r>
        <w:rPr>
          <w:shd w:val="clear" w:color="auto" w:fill="FFFFFF"/>
        </w:rPr>
        <w:t>., 2020</w:t>
      </w:r>
      <w:r>
        <w:rPr>
          <w:rFonts w:cs="Times New Roman"/>
          <w:lang w:val="en-IN"/>
        </w:rPr>
        <w:t>) In the instance of its website, the costs will be exceedingly expensive, but the company will be likely to ensure that it sell so much of the merchandise as a consequence. As a consequence, retailing through the Amazon webpage will be secure for the company. It would also provide appropriate marketing for the organisation. Therefore, it can be mentioned that the company would be able to select the channel on which to trade in a number of ways.</w:t>
      </w:r>
    </w:p>
    <w:p>
      <w:pPr>
        <w:widowControl/>
        <w:autoSpaceDE/>
        <w:autoSpaceDN/>
        <w:spacing w:before="72"/>
        <w:ind w:left="62" w:right="79"/>
        <w:jc w:val="center"/>
        <w:rPr>
          <w:rFonts w:cs="Times New Roman"/>
          <w:lang w:val="en-IN"/>
        </w:rPr>
      </w:pPr>
      <w:r>
        <w:rPr>
          <w:rFonts w:cs="Times New Roman"/>
          <w:lang w:val="en-IN"/>
        </w:rPr>
        <w:br w:type="page"/>
      </w:r>
    </w:p>
    <w:p>
      <w:pPr>
        <w:pStyle w:val="2"/>
        <w:rPr>
          <w:sz w:val="36"/>
          <w:szCs w:val="44"/>
          <w:lang w:val="en-IN"/>
        </w:rPr>
      </w:pPr>
      <w:bookmarkStart w:id="5" w:name="_Toc100421830"/>
      <w:bookmarkStart w:id="6" w:name="_Toc101945402"/>
      <w:r>
        <w:rPr>
          <w:sz w:val="36"/>
          <w:szCs w:val="44"/>
          <w:lang w:val="en-IN"/>
        </w:rPr>
        <w:t>Conclusion</w:t>
      </w:r>
      <w:bookmarkEnd w:id="5"/>
      <w:bookmarkEnd w:id="6"/>
    </w:p>
    <w:p>
      <w:pPr>
        <w:rPr>
          <w:lang w:val="en-IN"/>
        </w:rPr>
      </w:pPr>
      <w:r>
        <w:rPr>
          <w:lang w:val="en-IN"/>
        </w:rPr>
        <w:t>At the end of the research, it can be stated that “that the successful business need to control this in a cost-effective approach and ensure that it is competent enough to do so". The deviation analysis ensures that the organisation knows the difference among the intended budget and the absolute cost. As a response, the company will be required to keep costs under check. Moreover, it may be argued that a corporation firm would be required to ensure that component costs are successfully maintained while not sacrificing production integrity. The organization's workforce costs could be reduced with the assistance of a superior technological perspective on the production procedure. Further, it could be argued that in addition to sustaining operational productivity, a production operation must be appropriately sustained.</w:t>
      </w:r>
    </w:p>
    <w:p>
      <w:pPr>
        <w:widowControl/>
        <w:autoSpaceDE/>
        <w:autoSpaceDN/>
        <w:spacing w:before="72"/>
        <w:ind w:left="62" w:right="79"/>
        <w:jc w:val="both"/>
        <w:rPr>
          <w:lang w:val="en-IN"/>
        </w:rPr>
      </w:pPr>
      <w:r>
        <w:rPr>
          <w:lang w:val="en-IN"/>
        </w:rPr>
        <w:br w:type="page"/>
      </w:r>
      <w:bookmarkStart w:id="7" w:name="_Toc100421831"/>
      <w:bookmarkStart w:id="8" w:name="_Toc101945403"/>
      <w:r>
        <w:rPr>
          <w:b/>
          <w:bCs/>
          <w:lang w:val="en-IN"/>
        </w:rPr>
        <w:t>Reference List</w:t>
      </w:r>
      <w:bookmarkEnd w:id="7"/>
      <w:bookmarkEnd w:id="8"/>
    </w:p>
    <w:p>
      <w:pPr>
        <w:rPr>
          <w:rFonts w:cs="Times New Roman"/>
          <w:sz w:val="22"/>
          <w:szCs w:val="22"/>
          <w:shd w:val="clear" w:color="auto" w:fill="FFFFFF"/>
        </w:rPr>
      </w:pPr>
      <w:r>
        <w:rPr>
          <w:rFonts w:cs="Times New Roman"/>
          <w:color w:val="222222"/>
          <w:sz w:val="22"/>
          <w:szCs w:val="22"/>
          <w:shd w:val="clear" w:color="auto" w:fill="FFFFFF"/>
        </w:rPr>
        <w:t>Bhimani, A., (2020). Digital data and management accounting: why we need to rethink research methods. </w:t>
      </w:r>
      <w:r>
        <w:rPr>
          <w:rFonts w:cs="Times New Roman"/>
          <w:i/>
          <w:iCs/>
          <w:color w:val="222222"/>
          <w:sz w:val="22"/>
          <w:szCs w:val="22"/>
          <w:shd w:val="clear" w:color="auto" w:fill="FFFFFF"/>
        </w:rPr>
        <w:t>Journal of Management Control</w:t>
      </w:r>
      <w:r>
        <w:rPr>
          <w:rFonts w:cs="Times New Roman"/>
          <w:color w:val="222222"/>
          <w:sz w:val="22"/>
          <w:szCs w:val="22"/>
          <w:shd w:val="clear" w:color="auto" w:fill="FFFFFF"/>
        </w:rPr>
        <w:t>, </w:t>
      </w:r>
      <w:r>
        <w:rPr>
          <w:rFonts w:cs="Times New Roman"/>
          <w:i/>
          <w:iCs/>
          <w:color w:val="222222"/>
          <w:sz w:val="22"/>
          <w:szCs w:val="22"/>
          <w:shd w:val="clear" w:color="auto" w:fill="FFFFFF"/>
        </w:rPr>
        <w:t>31</w:t>
      </w:r>
      <w:r>
        <w:rPr>
          <w:rFonts w:cs="Times New Roman"/>
          <w:color w:val="222222"/>
          <w:sz w:val="22"/>
          <w:szCs w:val="22"/>
          <w:shd w:val="clear" w:color="auto" w:fill="FFFFFF"/>
        </w:rPr>
        <w:t>(1), pp.9-23.</w:t>
      </w:r>
    </w:p>
    <w:p>
      <w:pPr>
        <w:rPr>
          <w:sz w:val="22"/>
          <w:szCs w:val="21"/>
          <w:shd w:val="clear" w:color="auto" w:fill="FFFFFF"/>
        </w:rPr>
      </w:pPr>
      <w:r>
        <w:rPr>
          <w:sz w:val="22"/>
          <w:szCs w:val="21"/>
          <w:shd w:val="clear" w:color="auto" w:fill="FFFFFF"/>
        </w:rPr>
        <w:t>Bhimani, A., Sivabalan, P. and Soonawalla, K., (2018). A study of the linkages between rolling budget forms, uncertainty and strategy. </w:t>
      </w:r>
      <w:r>
        <w:rPr>
          <w:i/>
          <w:iCs/>
          <w:sz w:val="22"/>
          <w:szCs w:val="21"/>
          <w:shd w:val="clear" w:color="auto" w:fill="FFFFFF"/>
        </w:rPr>
        <w:t>The British Accounting Review</w:t>
      </w:r>
      <w:r>
        <w:rPr>
          <w:sz w:val="22"/>
          <w:szCs w:val="21"/>
          <w:shd w:val="clear" w:color="auto" w:fill="FFFFFF"/>
        </w:rPr>
        <w:t>, </w:t>
      </w:r>
      <w:r>
        <w:rPr>
          <w:i/>
          <w:iCs/>
          <w:sz w:val="22"/>
          <w:szCs w:val="21"/>
          <w:shd w:val="clear" w:color="auto" w:fill="FFFFFF"/>
        </w:rPr>
        <w:t>50</w:t>
      </w:r>
      <w:r>
        <w:rPr>
          <w:sz w:val="22"/>
          <w:szCs w:val="21"/>
          <w:shd w:val="clear" w:color="auto" w:fill="FFFFFF"/>
        </w:rPr>
        <w:t>(3), pp.306-323.</w:t>
      </w:r>
    </w:p>
    <w:p>
      <w:pPr>
        <w:rPr>
          <w:rFonts w:cs="Times New Roman"/>
          <w:color w:val="222222"/>
          <w:sz w:val="22"/>
          <w:szCs w:val="22"/>
          <w:shd w:val="clear" w:color="auto" w:fill="FFFFFF"/>
        </w:rPr>
      </w:pPr>
      <w:r>
        <w:rPr>
          <w:rFonts w:cs="Times New Roman"/>
          <w:color w:val="222222"/>
          <w:sz w:val="22"/>
          <w:szCs w:val="22"/>
          <w:shd w:val="clear" w:color="auto" w:fill="FFFFFF"/>
        </w:rPr>
        <w:t>King, R.G. and Watson, M.W., (2012). Inflation and unit labor cost. </w:t>
      </w:r>
      <w:r>
        <w:rPr>
          <w:rFonts w:cs="Times New Roman"/>
          <w:i/>
          <w:iCs/>
          <w:color w:val="222222"/>
          <w:sz w:val="22"/>
          <w:szCs w:val="22"/>
          <w:shd w:val="clear" w:color="auto" w:fill="FFFFFF"/>
        </w:rPr>
        <w:t>Journal of Money, credit and Banking</w:t>
      </w:r>
      <w:r>
        <w:rPr>
          <w:rFonts w:cs="Times New Roman"/>
          <w:color w:val="222222"/>
          <w:sz w:val="22"/>
          <w:szCs w:val="22"/>
          <w:shd w:val="clear" w:color="auto" w:fill="FFFFFF"/>
        </w:rPr>
        <w:t>, </w:t>
      </w:r>
      <w:r>
        <w:rPr>
          <w:rFonts w:cs="Times New Roman"/>
          <w:i/>
          <w:iCs/>
          <w:color w:val="222222"/>
          <w:sz w:val="22"/>
          <w:szCs w:val="22"/>
          <w:shd w:val="clear" w:color="auto" w:fill="FFFFFF"/>
        </w:rPr>
        <w:t>44</w:t>
      </w:r>
      <w:r>
        <w:rPr>
          <w:rFonts w:cs="Times New Roman"/>
          <w:color w:val="222222"/>
          <w:sz w:val="22"/>
          <w:szCs w:val="22"/>
          <w:shd w:val="clear" w:color="auto" w:fill="FFFFFF"/>
        </w:rPr>
        <w:t>, pp.111-149.</w:t>
      </w:r>
    </w:p>
    <w:p>
      <w:pPr>
        <w:rPr>
          <w:rFonts w:cs="Times New Roman"/>
          <w:color w:val="222222"/>
          <w:sz w:val="22"/>
          <w:szCs w:val="22"/>
          <w:shd w:val="clear" w:color="auto" w:fill="FFFFFF"/>
        </w:rPr>
      </w:pPr>
      <w:r>
        <w:rPr>
          <w:rFonts w:cs="Times New Roman"/>
          <w:color w:val="222222"/>
          <w:sz w:val="22"/>
          <w:szCs w:val="22"/>
          <w:shd w:val="clear" w:color="auto" w:fill="FFFFFF"/>
        </w:rPr>
        <w:t>Maher, M.H., Fakhar, M.S. and Karimi, Z., (2018). The relationship between budget emphasis, budget planning models and performance. </w:t>
      </w:r>
      <w:r>
        <w:rPr>
          <w:rFonts w:cs="Times New Roman"/>
          <w:i/>
          <w:iCs/>
          <w:color w:val="222222"/>
          <w:sz w:val="22"/>
          <w:szCs w:val="22"/>
          <w:shd w:val="clear" w:color="auto" w:fill="FFFFFF"/>
        </w:rPr>
        <w:t>Journal of Health Management &amp; Information Science</w:t>
      </w:r>
      <w:r>
        <w:rPr>
          <w:rFonts w:cs="Times New Roman"/>
          <w:color w:val="222222"/>
          <w:sz w:val="22"/>
          <w:szCs w:val="22"/>
          <w:shd w:val="clear" w:color="auto" w:fill="FFFFFF"/>
        </w:rPr>
        <w:t>, </w:t>
      </w:r>
      <w:r>
        <w:rPr>
          <w:rFonts w:cs="Times New Roman"/>
          <w:i/>
          <w:iCs/>
          <w:color w:val="222222"/>
          <w:sz w:val="22"/>
          <w:szCs w:val="22"/>
          <w:shd w:val="clear" w:color="auto" w:fill="FFFFFF"/>
        </w:rPr>
        <w:t>5</w:t>
      </w:r>
      <w:r>
        <w:rPr>
          <w:rFonts w:cs="Times New Roman"/>
          <w:color w:val="222222"/>
          <w:sz w:val="22"/>
          <w:szCs w:val="22"/>
          <w:shd w:val="clear" w:color="auto" w:fill="FFFFFF"/>
        </w:rPr>
        <w:t>(1), pp.16-20.</w:t>
      </w:r>
    </w:p>
    <w:p>
      <w:pPr>
        <w:rPr>
          <w:sz w:val="22"/>
          <w:szCs w:val="21"/>
          <w:shd w:val="clear" w:color="auto" w:fill="FFFFFF"/>
        </w:rPr>
      </w:pPr>
      <w:r>
        <w:rPr>
          <w:sz w:val="22"/>
          <w:szCs w:val="21"/>
          <w:shd w:val="clear" w:color="auto" w:fill="FFFFFF"/>
        </w:rPr>
        <w:t>O’Hara, J.K. and Low, S.A., (2020) Online sales: A direct marketing opportunity for rural farms?. </w:t>
      </w:r>
      <w:r>
        <w:rPr>
          <w:i/>
          <w:iCs/>
          <w:sz w:val="22"/>
          <w:szCs w:val="21"/>
          <w:shd w:val="clear" w:color="auto" w:fill="FFFFFF"/>
        </w:rPr>
        <w:t>Journal of Agricultural and Applied Economics</w:t>
      </w:r>
      <w:r>
        <w:rPr>
          <w:sz w:val="22"/>
          <w:szCs w:val="21"/>
          <w:shd w:val="clear" w:color="auto" w:fill="FFFFFF"/>
        </w:rPr>
        <w:t>, </w:t>
      </w:r>
      <w:r>
        <w:rPr>
          <w:i/>
          <w:iCs/>
          <w:sz w:val="22"/>
          <w:szCs w:val="21"/>
          <w:shd w:val="clear" w:color="auto" w:fill="FFFFFF"/>
        </w:rPr>
        <w:t>52</w:t>
      </w:r>
      <w:r>
        <w:rPr>
          <w:sz w:val="22"/>
          <w:szCs w:val="21"/>
          <w:shd w:val="clear" w:color="auto" w:fill="FFFFFF"/>
        </w:rPr>
        <w:t>(2), pp.222-239.</w:t>
      </w:r>
    </w:p>
    <w:p>
      <w:pPr>
        <w:rPr>
          <w:sz w:val="22"/>
          <w:szCs w:val="21"/>
          <w:lang w:val="en-IN"/>
        </w:rPr>
      </w:pPr>
      <w:r>
        <w:rPr>
          <w:sz w:val="22"/>
          <w:szCs w:val="21"/>
          <w:shd w:val="clear" w:color="auto" w:fill="FFFFFF"/>
        </w:rPr>
        <w:t>Oyadomari, J.C.T., Afonso, P.S.L.P., Dultra-de-Lima, R.G., Neto, O.R.R.M. and Righetti, M.C.G., (2018) Flexible budgeting influence organizational inertia and flexibility. </w:t>
      </w:r>
      <w:r>
        <w:rPr>
          <w:i/>
          <w:iCs/>
          <w:sz w:val="22"/>
          <w:szCs w:val="21"/>
          <w:shd w:val="clear" w:color="auto" w:fill="FFFFFF"/>
        </w:rPr>
        <w:t>International Journal of Productivity and Performance Management</w:t>
      </w:r>
      <w:r>
        <w:rPr>
          <w:sz w:val="22"/>
          <w:szCs w:val="21"/>
          <w:shd w:val="clear" w:color="auto" w:fill="FFFFFF"/>
        </w:rPr>
        <w:t>.</w:t>
      </w:r>
    </w:p>
    <w:p>
      <w:pPr>
        <w:rPr>
          <w:sz w:val="22"/>
          <w:szCs w:val="21"/>
          <w:shd w:val="clear" w:color="auto" w:fill="FFFFFF"/>
        </w:rPr>
      </w:pPr>
      <w:r>
        <w:rPr>
          <w:sz w:val="22"/>
          <w:szCs w:val="21"/>
          <w:shd w:val="clear" w:color="auto" w:fill="FFFFFF"/>
        </w:rPr>
        <w:t xml:space="preserve">Pebrianti, S. and Aziza, N., (2019) Effect of clarity of budget objectives, accounting control, reporting systems, compliance with the regulation on performance accountability of government agencies. In </w:t>
      </w:r>
      <w:r>
        <w:rPr>
          <w:i/>
          <w:iCs/>
          <w:sz w:val="22"/>
          <w:szCs w:val="21"/>
          <w:shd w:val="clear" w:color="auto" w:fill="FFFFFF"/>
        </w:rPr>
        <w:t>1st Aceh Global Conference (AGC 2018)</w:t>
      </w:r>
      <w:r>
        <w:rPr>
          <w:sz w:val="22"/>
          <w:szCs w:val="21"/>
          <w:shd w:val="clear" w:color="auto" w:fill="FFFFFF"/>
        </w:rPr>
        <w:t> (pp. 396-410). Atlantis Press.</w:t>
      </w:r>
    </w:p>
    <w:p>
      <w:pPr>
        <w:rPr>
          <w:sz w:val="22"/>
          <w:szCs w:val="21"/>
        </w:rPr>
      </w:pPr>
      <w:r>
        <w:rPr>
          <w:sz w:val="22"/>
          <w:szCs w:val="21"/>
          <w:shd w:val="clear" w:color="auto" w:fill="FFFFFF"/>
        </w:rPr>
        <w:t>Seal, W., Rohde, C., Garrison, R. and Noreen, E. (2018) </w:t>
      </w:r>
      <w:r>
        <w:rPr>
          <w:rStyle w:val="5"/>
          <w:rFonts w:cs="Times New Roman"/>
          <w:color w:val="1C1C1C"/>
          <w:sz w:val="22"/>
          <w:szCs w:val="21"/>
          <w:shd w:val="clear" w:color="auto" w:fill="FFFFFF"/>
        </w:rPr>
        <w:t>EBOOK: Management Accounting</w:t>
      </w:r>
      <w:r>
        <w:rPr>
          <w:rStyle w:val="5"/>
          <w:rFonts w:ascii="Roboto" w:hAnsi="Roboto"/>
          <w:color w:val="1C1C1C"/>
          <w:sz w:val="22"/>
          <w:szCs w:val="21"/>
          <w:shd w:val="clear" w:color="auto" w:fill="FFFFFF"/>
        </w:rPr>
        <w:t>, 6e</w:t>
      </w:r>
      <w:r>
        <w:rPr>
          <w:sz w:val="22"/>
          <w:szCs w:val="21"/>
          <w:shd w:val="clear" w:color="auto" w:fill="FFFFFF"/>
        </w:rPr>
        <w:t>. 6th Edition. [Insert Publisher Location]: McGraw-Hill UK.</w:t>
      </w:r>
      <w:r>
        <w:rPr>
          <w:sz w:val="22"/>
          <w:szCs w:val="21"/>
          <w:shd w:val="clear" w:color="auto" w:fill="FFFFFF"/>
        </w:rPr>
        <w:tab/>
      </w:r>
    </w:p>
    <w:p>
      <w:pPr>
        <w:rPr>
          <w:sz w:val="22"/>
          <w:szCs w:val="21"/>
          <w:shd w:val="clear" w:color="auto" w:fill="FFFFFF"/>
        </w:rPr>
      </w:pPr>
      <w:r>
        <w:rPr>
          <w:sz w:val="22"/>
          <w:szCs w:val="21"/>
          <w:shd w:val="clear" w:color="auto" w:fill="FFFFFF"/>
        </w:rPr>
        <w:t>Sheng, S., (2019) Literature Review on the Budget Slack. In </w:t>
      </w:r>
      <w:r>
        <w:rPr>
          <w:i/>
          <w:iCs/>
          <w:sz w:val="22"/>
          <w:szCs w:val="21"/>
          <w:shd w:val="clear" w:color="auto" w:fill="FFFFFF"/>
        </w:rPr>
        <w:t>2019 3rd International Conference on Education, Management Science and Economics (ICEMSE 2019)</w:t>
      </w:r>
      <w:r>
        <w:rPr>
          <w:sz w:val="22"/>
          <w:szCs w:val="21"/>
          <w:shd w:val="clear" w:color="auto" w:fill="FFFFFF"/>
        </w:rPr>
        <w:t> (pp. 206-209). Atlantis Press.</w:t>
      </w:r>
    </w:p>
    <w:p>
      <w:pPr>
        <w:rPr>
          <w:rFonts w:cs="Times New Roman"/>
          <w:sz w:val="22"/>
          <w:szCs w:val="22"/>
          <w:shd w:val="clear" w:color="auto" w:fill="FFFFFF"/>
        </w:rPr>
      </w:pPr>
      <w:r>
        <w:rPr>
          <w:rFonts w:cs="Times New Roman"/>
          <w:sz w:val="22"/>
          <w:szCs w:val="22"/>
          <w:shd w:val="clear" w:color="auto" w:fill="FFFFFF"/>
        </w:rPr>
        <w:t>Sheng, S., (2019) Literature Review on the Budget Slack. In </w:t>
      </w:r>
      <w:r>
        <w:rPr>
          <w:rFonts w:cs="Times New Roman"/>
          <w:i/>
          <w:iCs/>
          <w:sz w:val="22"/>
          <w:szCs w:val="22"/>
          <w:shd w:val="clear" w:color="auto" w:fill="FFFFFF"/>
        </w:rPr>
        <w:t>2019 3rd International Conference on Education, Management Science and Economics (ICEMSE 2019)</w:t>
      </w:r>
      <w:r>
        <w:rPr>
          <w:rFonts w:cs="Times New Roman"/>
          <w:sz w:val="22"/>
          <w:szCs w:val="22"/>
          <w:shd w:val="clear" w:color="auto" w:fill="FFFFFF"/>
        </w:rPr>
        <w:t> (pp. 206-209). Atlantis Press.</w:t>
      </w:r>
    </w:p>
    <w:p>
      <w:pPr>
        <w:rPr>
          <w:sz w:val="22"/>
          <w:szCs w:val="21"/>
          <w:shd w:val="clear" w:color="auto" w:fill="FFFFFF"/>
        </w:rPr>
      </w:pPr>
      <w:r>
        <w:rPr>
          <w:sz w:val="22"/>
          <w:szCs w:val="21"/>
          <w:shd w:val="clear" w:color="auto" w:fill="FFFFFF"/>
        </w:rPr>
        <w:t>Warokka, A., Sjahruddin, H., Sriyanto, S., Noerhartati, E. and Saddhono, K., (2020) Digital marketing support and business development using online marketing tools: An experimental analysis. </w:t>
      </w:r>
      <w:r>
        <w:rPr>
          <w:i/>
          <w:iCs/>
          <w:sz w:val="22"/>
          <w:szCs w:val="21"/>
          <w:shd w:val="clear" w:color="auto" w:fill="FFFFFF"/>
        </w:rPr>
        <w:t>International Journal of Psychosocial Rehabilitation</w:t>
      </w:r>
      <w:r>
        <w:rPr>
          <w:sz w:val="22"/>
          <w:szCs w:val="21"/>
          <w:shd w:val="clear" w:color="auto" w:fill="FFFFFF"/>
        </w:rPr>
        <w:t>, </w:t>
      </w:r>
      <w:r>
        <w:rPr>
          <w:i/>
          <w:iCs/>
          <w:sz w:val="22"/>
          <w:szCs w:val="21"/>
          <w:shd w:val="clear" w:color="auto" w:fill="FFFFFF"/>
        </w:rPr>
        <w:t>24</w:t>
      </w:r>
      <w:r>
        <w:rPr>
          <w:sz w:val="22"/>
          <w:szCs w:val="21"/>
          <w:shd w:val="clear" w:color="auto" w:fill="FFFFFF"/>
        </w:rPr>
        <w:t>(1), pp.1181-1188.</w:t>
      </w:r>
    </w:p>
    <w:p>
      <w:pPr>
        <w:rPr>
          <w:sz w:val="22"/>
          <w:szCs w:val="21"/>
          <w:shd w:val="clear" w:color="auto" w:fill="FFFFFF"/>
        </w:rPr>
      </w:pPr>
      <w:r>
        <w:rPr>
          <w:sz w:val="22"/>
          <w:szCs w:val="21"/>
          <w:shd w:val="clear" w:color="auto" w:fill="FFFFFF"/>
        </w:rPr>
        <w:t xml:space="preserve"> Yusupov, S., (2021) Some issues of parliamentary control over the state budget in the constitution legal order. </w:t>
      </w:r>
      <w:r>
        <w:rPr>
          <w:i/>
          <w:iCs/>
          <w:sz w:val="22"/>
          <w:szCs w:val="21"/>
          <w:shd w:val="clear" w:color="auto" w:fill="FFFFFF"/>
        </w:rPr>
        <w:t>In</w:t>
      </w:r>
      <w:r>
        <w:rPr>
          <w:sz w:val="22"/>
          <w:szCs w:val="21"/>
          <w:shd w:val="clear" w:color="auto" w:fill="FFFFFF"/>
        </w:rPr>
        <w:t> </w:t>
      </w:r>
      <w:r>
        <w:rPr>
          <w:i/>
          <w:iCs/>
          <w:sz w:val="22"/>
          <w:szCs w:val="21"/>
          <w:shd w:val="clear" w:color="auto" w:fill="FFFFFF"/>
        </w:rPr>
        <w:t>International Scientific and Current Research Conferences</w:t>
      </w:r>
      <w:r>
        <w:rPr>
          <w:sz w:val="22"/>
          <w:szCs w:val="21"/>
          <w:shd w:val="clear" w:color="auto" w:fill="FFFFFF"/>
        </w:rPr>
        <w:t> (pp. 107-110).</w:t>
      </w:r>
    </w:p>
    <w:p>
      <w:pPr>
        <w:rPr>
          <w:sz w:val="22"/>
          <w:szCs w:val="21"/>
          <w:shd w:val="clear" w:color="auto" w:fill="FFFFFF"/>
        </w:rPr>
      </w:pPr>
      <w:r>
        <w:rPr>
          <w:sz w:val="22"/>
          <w:szCs w:val="21"/>
          <w:shd w:val="clear" w:color="auto" w:fill="FFFFFF"/>
        </w:rPr>
        <w:t>Zofchak, A., (2020) The Budget Control Act: Effects and Unintended Consequences for DoD.</w:t>
      </w:r>
    </w:p>
    <w:p/>
    <w:p/>
    <w:sectPr>
      <w:pgSz w:w="11906" w:h="16838"/>
      <w:pgMar w:top="1440" w:right="1440" w:bottom="1440" w:left="1440" w:header="708" w:footer="708" w:gutter="0"/>
      <w:pgNumType w:start="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Roboto">
    <w:altName w:val="Times New Roman"/>
    <w:panose1 w:val="00000000000000000000"/>
    <w:charset w:val="00"/>
    <w:family w:val="auto"/>
    <w:pitch w:val="default"/>
    <w:sig w:usb0="00000000" w:usb1="00000000" w:usb2="0000002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Текстовое пол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pDVo0EECAABzBAAADgAAAAAAAAABACAAAAAfAQAAZHJz&#10;L2Uyb0RvYy54bWxQSwUGAAAAAAYABgBZAQAA0g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A547DD"/>
    <w:multiLevelType w:val="multilevel"/>
    <w:tmpl w:val="1EA547D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554B5399"/>
    <w:multiLevelType w:val="multilevel"/>
    <w:tmpl w:val="554B5399"/>
    <w:lvl w:ilvl="0" w:tentative="0">
      <w:start w:val="1"/>
      <w:numFmt w:val="low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18737F"/>
    <w:rsid w:val="7DD569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widowControl w:val="0"/>
      <w:autoSpaceDE w:val="0"/>
      <w:autoSpaceDN w:val="0"/>
      <w:spacing w:after="0" w:line="360" w:lineRule="auto"/>
      <w:jc w:val="both"/>
    </w:pPr>
    <w:rPr>
      <w:rFonts w:ascii="Times New Roman" w:hAnsi="Times New Roman" w:eastAsia="Arial MT" w:cs="Arial MT"/>
      <w:sz w:val="24"/>
      <w:szCs w:val="22"/>
      <w:lang w:val="en-GB" w:eastAsia="en-US" w:bidi="ar-SA"/>
    </w:rPr>
  </w:style>
  <w:style w:type="paragraph" w:styleId="2">
    <w:name w:val="heading 1"/>
    <w:basedOn w:val="1"/>
    <w:next w:val="1"/>
    <w:qFormat/>
    <w:uiPriority w:val="9"/>
    <w:pPr>
      <w:keepNext/>
      <w:keepLines/>
      <w:spacing w:before="240"/>
      <w:outlineLvl w:val="0"/>
    </w:pPr>
    <w:rPr>
      <w:rFonts w:eastAsiaTheme="majorEastAsia" w:cstheme="majorBidi"/>
      <w:b/>
      <w:color w:val="000000" w:themeColor="text1"/>
      <w:szCs w:val="32"/>
      <w14:textFill>
        <w14:solidFill>
          <w14:schemeClr w14:val="tx1"/>
        </w14:solidFill>
      </w14:textFill>
    </w:rPr>
  </w:style>
  <w:style w:type="character" w:default="1" w:styleId="3">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Emphasis"/>
    <w:basedOn w:val="3"/>
    <w:qFormat/>
    <w:uiPriority w:val="20"/>
    <w:rPr>
      <w:i/>
      <w:iCs/>
    </w:rPr>
  </w:style>
  <w:style w:type="character" w:styleId="6">
    <w:name w:val="Hyperlink"/>
    <w:basedOn w:val="3"/>
    <w:unhideWhenUsed/>
    <w:qFormat/>
    <w:uiPriority w:val="99"/>
    <w:rPr>
      <w:color w:val="0563C1" w:themeColor="hyperlink"/>
      <w:u w:val="single"/>
      <w14:textFill>
        <w14:solidFill>
          <w14:schemeClr w14:val="hlink"/>
        </w14:solidFill>
      </w14:textFill>
    </w:rPr>
  </w:style>
  <w:style w:type="paragraph" w:styleId="7">
    <w:name w:val="header"/>
    <w:basedOn w:val="1"/>
    <w:unhideWhenUsed/>
    <w:qFormat/>
    <w:uiPriority w:val="99"/>
    <w:pPr>
      <w:tabs>
        <w:tab w:val="center" w:pos="4513"/>
        <w:tab w:val="right" w:pos="9026"/>
      </w:tabs>
      <w:spacing w:line="240" w:lineRule="auto"/>
    </w:pPr>
  </w:style>
  <w:style w:type="paragraph" w:styleId="8">
    <w:name w:val="toc 1"/>
    <w:basedOn w:val="1"/>
    <w:next w:val="1"/>
    <w:unhideWhenUsed/>
    <w:qFormat/>
    <w:uiPriority w:val="39"/>
    <w:pPr>
      <w:widowControl/>
      <w:autoSpaceDE/>
      <w:autoSpaceDN/>
      <w:spacing w:after="100" w:line="276" w:lineRule="auto"/>
      <w:jc w:val="left"/>
    </w:pPr>
    <w:rPr>
      <w:rFonts w:asciiTheme="minorHAnsi" w:hAnsiTheme="minorHAnsi" w:eastAsiaTheme="minorHAnsi" w:cstheme="minorBidi"/>
      <w:sz w:val="22"/>
      <w:lang w:val="en-US"/>
    </w:rPr>
  </w:style>
  <w:style w:type="paragraph" w:styleId="9">
    <w:name w:val="footer"/>
    <w:basedOn w:val="1"/>
    <w:unhideWhenUsed/>
    <w:qFormat/>
    <w:uiPriority w:val="99"/>
    <w:pPr>
      <w:tabs>
        <w:tab w:val="center" w:pos="4513"/>
        <w:tab w:val="right" w:pos="9026"/>
      </w:tabs>
      <w:spacing w:line="240" w:lineRule="auto"/>
    </w:pPr>
  </w:style>
  <w:style w:type="paragraph" w:customStyle="1" w:styleId="10">
    <w:name w:val="TOC Heading"/>
    <w:basedOn w:val="2"/>
    <w:next w:val="1"/>
    <w:semiHidden/>
    <w:unhideWhenUsed/>
    <w:qFormat/>
    <w:uiPriority w:val="39"/>
    <w:pPr>
      <w:widowControl/>
      <w:autoSpaceDE/>
      <w:autoSpaceDN/>
      <w:spacing w:before="480" w:line="276" w:lineRule="auto"/>
      <w:jc w:val="left"/>
      <w:outlineLvl w:val="9"/>
    </w:pPr>
    <w:rPr>
      <w:rFonts w:asciiTheme="majorHAnsi" w:hAnsiTheme="majorHAnsi"/>
      <w:bCs/>
      <w:color w:val="2E75B6" w:themeColor="accent1" w:themeShade="BF"/>
      <w:sz w:val="28"/>
      <w:szCs w:val="28"/>
      <w:lang w:val="en-US"/>
    </w:rPr>
  </w:style>
  <w:style w:type="paragraph" w:styleId="11">
    <w:name w:val="List Paragraph"/>
    <w:basedOn w:val="1"/>
    <w:qFormat/>
    <w:uiPriority w:val="34"/>
    <w:pPr>
      <w:widowControl/>
      <w:autoSpaceDE/>
      <w:autoSpaceDN/>
      <w:spacing w:after="200"/>
      <w:ind w:left="720"/>
      <w:contextualSpacing/>
    </w:pPr>
    <w:rPr>
      <w:rFonts w:eastAsiaTheme="minorEastAsia" w:cstheme="minorBidi"/>
      <w:color w:val="000000" w:themeColor="text1"/>
      <w:lang w:eastAsia="zh-CN"/>
      <w14:textFill>
        <w14:solidFill>
          <w14:schemeClr w14:val="tx1"/>
        </w14:solidFill>
      </w14:textFill>
    </w:rPr>
  </w:style>
  <w:style w:type="table" w:customStyle="1" w:styleId="12">
    <w:name w:val="Light Grid1"/>
    <w:basedOn w:val="4"/>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character" w:customStyle="1" w:styleId="13">
    <w:name w:val="无间隔 Char"/>
    <w:basedOn w:val="3"/>
    <w:link w:val="14"/>
    <w:qFormat/>
    <w:uiPriority w:val="0"/>
    <w:rPr>
      <w:rFonts w:hint="default" w:ascii="Times New Roman" w:hAnsi="Times New Roman" w:eastAsia="SimSun"/>
      <w:sz w:val="22"/>
    </w:rPr>
  </w:style>
  <w:style w:type="paragraph" w:customStyle="1" w:styleId="14">
    <w:name w:val="No Spacing"/>
    <w:link w:val="13"/>
    <w:qFormat/>
    <w:uiPriority w:val="0"/>
    <w:rPr>
      <w:rFonts w:hint="default" w:ascii="Times New Roman" w:hAnsi="Times New Roman" w:eastAsia="SimSun" w:cstheme="minorBidi"/>
      <w:sz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ner\OneDrive\Desktop\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Сетка"/>
      <sectRole val="1"/>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Office_11.2.0.11074_F1E327BC-269C-435d-A152-05C5408002CA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2022-05-03T16:46:00Z</dcterms:created>
  <dc:creator>Owner</dc:creator>
  <cp:lastModifiedBy>Beselea Alex</cp:lastModifiedBy>
  <dcterms:modified xsi:type="dcterms:W3CDTF">2022-05-03T17:00:31Z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1049-11.2.0.11074</vt:lpwstr>
  </property>
  <property fmtid="{D5CDD505-2E9C-101B-9397-08002B2CF9AE}" pid="3" name="ICV">
    <vt:lpwstr>573C8461277F46F0ACF2F667FA8AD096</vt:lpwstr>
  </property>
</Properties>
</file>