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8AA" w:rsidRDefault="002E58AA" w:rsidP="002E58AA">
      <w:pPr>
        <w:pStyle w:val="NormalWeb"/>
        <w:spacing w:before="0" w:beforeAutospacing="0" w:after="0" w:afterAutospacing="0"/>
        <w:ind w:left="-180" w:right="-334"/>
      </w:pPr>
      <w:r>
        <w:rPr>
          <w:noProof/>
          <w:lang w:eastAsia="en-GB"/>
        </w:rPr>
        <w:drawing>
          <wp:inline distT="0" distB="0" distL="0" distR="0">
            <wp:extent cx="1905000" cy="638175"/>
            <wp:effectExtent l="19050" t="19050" r="19050" b="2857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E58AA" w:rsidRDefault="002E58AA" w:rsidP="002E58AA">
      <w:pPr>
        <w:pStyle w:val="NormalWeb"/>
        <w:spacing w:before="0" w:beforeAutospacing="0" w:after="0" w:afterAutospacing="0"/>
        <w:ind w:left="-180" w:right="-334"/>
      </w:pPr>
    </w:p>
    <w:p w:rsidR="002E58AA" w:rsidRDefault="002E58AA" w:rsidP="002E58AA">
      <w:pPr>
        <w:pStyle w:val="NormalWeb"/>
        <w:spacing w:before="0" w:beforeAutospacing="0" w:after="0" w:afterAutospacing="0"/>
        <w:ind w:left="-180" w:right="-334"/>
      </w:pPr>
    </w:p>
    <w:p w:rsidR="002E58AA" w:rsidRDefault="002E58AA" w:rsidP="002E58AA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 w:rsidR="002E58AA" w:rsidRDefault="002E58AA" w:rsidP="002E58AA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 w:rsidR="002E58AA" w:rsidRDefault="002E58AA" w:rsidP="002E58AA">
      <w:pPr>
        <w:rPr>
          <w:rFonts w:ascii="Arial" w:hAnsi="Arial" w:cs="Arial"/>
          <w:sz w:val="28"/>
          <w:szCs w:val="28"/>
          <w:lang w:val="cy-GB"/>
        </w:rPr>
      </w:pPr>
    </w:p>
    <w:p w:rsidR="002E58AA" w:rsidRDefault="002E58AA" w:rsidP="002E58AA">
      <w:pPr>
        <w:pStyle w:val="Heading3"/>
        <w:jc w:val="center"/>
        <w:rPr>
          <w:rFonts w:eastAsia="SimSun"/>
          <w:lang w:val="cy-GB"/>
        </w:rPr>
      </w:pPr>
      <w:r>
        <w:rPr>
          <w:rFonts w:eastAsia="SimSun"/>
          <w:lang w:val="cy-GB"/>
        </w:rPr>
        <w:t>THIS SHEET MUST BE THE FIRST PAGE OF THE ASSIGNMENT YOU ARE SUBMITTING  (DO NOT SEND AS A SEPARATE FILE)</w:t>
      </w:r>
    </w:p>
    <w:p w:rsidR="002E58AA" w:rsidRDefault="002E58AA" w:rsidP="002E58AA">
      <w:pPr>
        <w:pStyle w:val="Heading3"/>
        <w:jc w:val="center"/>
        <w:rPr>
          <w:rFonts w:ascii="Trebuchet MS" w:eastAsia="SimSun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2E58AA" w:rsidTr="002E58AA">
        <w:trPr>
          <w:trHeight w:val="614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2E58AA" w:rsidTr="002E58AA">
        <w:trPr>
          <w:trHeight w:val="71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Name:</w:t>
            </w:r>
            <w:r w:rsidR="00251A61">
              <w:rPr>
                <w:rFonts w:ascii="Arial" w:hAnsi="Arial" w:cs="Arial"/>
                <w:sz w:val="22"/>
                <w:szCs w:val="22"/>
              </w:rPr>
              <w:t xml:space="preserve"> Michelle Holgate</w:t>
            </w:r>
          </w:p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hyperlink r:id="rId9" w:history="1">
              <w:r w:rsidR="00251A61" w:rsidRPr="00575051">
                <w:rPr>
                  <w:rStyle w:val="Hyperlink"/>
                  <w:rFonts w:ascii="Arial" w:hAnsi="Arial" w:cs="Arial"/>
                  <w:sz w:val="22"/>
                  <w:szCs w:val="22"/>
                </w:rPr>
                <w:t>1604596@student.uwtsd.ac.uk</w:t>
              </w:r>
            </w:hyperlink>
            <w:r w:rsidR="00251A6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2E58AA" w:rsidTr="002E58AA">
        <w:trPr>
          <w:trHeight w:val="849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code:</w:t>
            </w:r>
            <w:r w:rsidR="009E6728">
              <w:rPr>
                <w:rFonts w:ascii="Arial" w:hAnsi="Arial" w:cs="Arial"/>
                <w:sz w:val="22"/>
                <w:szCs w:val="22"/>
              </w:rPr>
              <w:t xml:space="preserve"> HPCA7002</w:t>
            </w:r>
          </w:p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title:</w:t>
            </w:r>
            <w:r w:rsidR="009E6728">
              <w:rPr>
                <w:rFonts w:ascii="Arial" w:hAnsi="Arial" w:cs="Arial"/>
                <w:sz w:val="22"/>
                <w:szCs w:val="22"/>
              </w:rPr>
              <w:t xml:space="preserve"> Researching Cosmologies</w:t>
            </w:r>
          </w:p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:rsidR="009E6728" w:rsidRDefault="009E672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9E6728" w:rsidRDefault="009E672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1604596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9E6728">
              <w:rPr>
                <w:rFonts w:ascii="Arial" w:hAnsi="Arial" w:cs="Arial"/>
                <w:b/>
                <w:sz w:val="22"/>
                <w:szCs w:val="22"/>
                <w:u w:val="single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>/No</w:t>
            </w:r>
          </w:p>
        </w:tc>
      </w:tr>
      <w:tr w:rsidR="002E58AA" w:rsidTr="002E58AA">
        <w:trPr>
          <w:trHeight w:val="1139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9E6728">
              <w:rPr>
                <w:rFonts w:ascii="Arial" w:hAnsi="Arial" w:cs="Arial"/>
                <w:sz w:val="22"/>
                <w:szCs w:val="22"/>
              </w:rPr>
              <w:t xml:space="preserve"> To compare and contrast the methodologies used in TWO of the research papers listed and discuss the position of the researchers in relation to their fields of research.</w:t>
            </w:r>
          </w:p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9E6728">
              <w:rPr>
                <w:rFonts w:ascii="Arial" w:hAnsi="Arial" w:cs="Arial"/>
                <w:sz w:val="22"/>
                <w:szCs w:val="22"/>
              </w:rPr>
              <w:t xml:space="preserve"> 18 March 2019</w:t>
            </w:r>
          </w:p>
        </w:tc>
      </w:tr>
      <w:tr w:rsidR="002E58AA" w:rsidTr="002E58AA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8AA" w:rsidRDefault="002E58AA" w:rsidP="009E6728">
            <w:pPr>
              <w:rPr>
                <w:rFonts w:ascii="Arial" w:hAnsi="Arial" w:cs="Arial"/>
                <w:lang w:eastAsia="zh-CN"/>
              </w:rPr>
            </w:pPr>
            <w:r>
              <w:rPr>
                <w:rFonts w:ascii="Arial" w:hAnsi="Arial" w:cs="Arial"/>
              </w:rPr>
              <w:t>This assignment is for the       1</w:t>
            </w:r>
            <w:r>
              <w:rPr>
                <w:rFonts w:ascii="Arial" w:hAnsi="Arial" w:cs="Arial"/>
                <w:vertAlign w:val="superscript"/>
              </w:rPr>
              <w:t xml:space="preserve">st </w:t>
            </w:r>
            <w:r w:rsidR="009E6728">
              <w:rPr>
                <w:rFonts w:ascii="Arial" w:hAnsi="Arial" w:cs="Arial"/>
              </w:rPr>
              <w:t>x</w:t>
            </w:r>
            <w:r>
              <w:rPr>
                <w:rFonts w:ascii="Arial" w:hAnsi="Arial" w:cs="Arial"/>
              </w:rPr>
              <w:t xml:space="preserve">   2</w:t>
            </w:r>
            <w:r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4"/>
            <w:r>
              <w:rPr>
                <w:rFonts w:ascii="Arial" w:hAnsi="Arial" w:cs="Arial"/>
              </w:rPr>
              <w:instrText xml:space="preserve"> FORMCHECKBOX </w:instrText>
            </w:r>
            <w:r w:rsidR="00C534DC">
              <w:rPr>
                <w:rFonts w:ascii="Arial" w:hAnsi="Arial" w:cs="Arial"/>
              </w:rPr>
            </w:r>
            <w:r w:rsidR="00C534DC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0"/>
            <w:r>
              <w:rPr>
                <w:rFonts w:ascii="Arial" w:hAnsi="Arial" w:cs="Arial"/>
              </w:rPr>
              <w:t xml:space="preserve">     3</w:t>
            </w:r>
            <w:r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5"/>
            <w:r>
              <w:rPr>
                <w:rFonts w:ascii="Arial" w:hAnsi="Arial" w:cs="Arial"/>
              </w:rPr>
              <w:instrText xml:space="preserve"> FORMCHECKBOX </w:instrText>
            </w:r>
            <w:r w:rsidR="00C534DC">
              <w:rPr>
                <w:rFonts w:ascii="Arial" w:hAnsi="Arial" w:cs="Arial"/>
              </w:rPr>
            </w:r>
            <w:r w:rsidR="00C534DC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  <w:r>
              <w:rPr>
                <w:rFonts w:ascii="Arial" w:hAnsi="Arial" w:cs="Arial"/>
              </w:rPr>
              <w:t xml:space="preserve">      4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>
              <w:rPr>
                <w:rFonts w:ascii="Arial" w:hAnsi="Arial" w:cs="Arial"/>
              </w:rPr>
              <w:instrText xml:space="preserve"> FORMCHECKBOX </w:instrText>
            </w:r>
            <w:r w:rsidR="00C534DC">
              <w:rPr>
                <w:rFonts w:ascii="Arial" w:hAnsi="Arial" w:cs="Arial"/>
              </w:rPr>
            </w:r>
            <w:r w:rsidR="00C534DC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  <w:r>
              <w:rPr>
                <w:rFonts w:ascii="Arial" w:hAnsi="Arial" w:cs="Arial"/>
              </w:rPr>
              <w:t xml:space="preserve">      5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>
              <w:rPr>
                <w:rFonts w:ascii="Arial" w:hAnsi="Arial" w:cs="Arial"/>
              </w:rPr>
              <w:instrText xml:space="preserve"> FORMCHECKBOX </w:instrText>
            </w:r>
            <w:r w:rsidR="00C534DC">
              <w:rPr>
                <w:rFonts w:ascii="Arial" w:hAnsi="Arial" w:cs="Arial"/>
              </w:rPr>
            </w:r>
            <w:r w:rsidR="00C534DC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"/>
            <w:r>
              <w:rPr>
                <w:rFonts w:ascii="Arial" w:hAnsi="Arial" w:cs="Arial"/>
              </w:rPr>
              <w:t xml:space="preserve">      6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>
              <w:rPr>
                <w:rFonts w:ascii="Arial" w:hAnsi="Arial" w:cs="Arial"/>
              </w:rPr>
              <w:instrText xml:space="preserve"> FORMCHECKBOX </w:instrText>
            </w:r>
            <w:r w:rsidR="00C534DC">
              <w:rPr>
                <w:rFonts w:ascii="Arial" w:hAnsi="Arial" w:cs="Arial"/>
              </w:rPr>
            </w:r>
            <w:r w:rsidR="00C534DC">
              <w:rPr>
                <w:rFonts w:ascii="Arial" w:hAnsi="Arial" w:cs="Arial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</w:rPr>
              <w:t xml:space="preserve">   </w:t>
            </w:r>
            <w:r>
              <w:rPr>
                <w:rFonts w:ascii="Arial" w:hAnsi="Arial" w:cs="Arial"/>
              </w:rPr>
              <w:t>module of the degree</w:t>
            </w:r>
          </w:p>
        </w:tc>
      </w:tr>
      <w:tr w:rsidR="002E58AA" w:rsidTr="002E58AA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Signed …………</w:t>
            </w:r>
            <w:r w:rsidR="009E6728" w:rsidRPr="009E6728">
              <w:rPr>
                <w:rFonts w:ascii="Brush Script MT" w:hAnsi="Brush Script MT" w:cs="Arial"/>
                <w:sz w:val="36"/>
                <w:szCs w:val="36"/>
              </w:rPr>
              <w:t>Michelle Holgate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</w:t>
            </w:r>
          </w:p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spellStart"/>
            <w:r>
              <w:rPr>
                <w:rFonts w:ascii="Calibri" w:hAnsi="Calibri" w:cs="Tahoma"/>
                <w:b/>
                <w:sz w:val="24"/>
                <w:szCs w:val="24"/>
              </w:rPr>
              <w:t>submission:if</w:t>
            </w:r>
            <w:proofErr w:type="spell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:rsidR="002E58AA" w:rsidRDefault="002E58AA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Calibri" w:hAnsi="Calibri" w:cs="Tahoma"/>
                <w:b/>
                <w:sz w:val="24"/>
                <w:szCs w:val="24"/>
              </w:rPr>
              <w:t>as</w:t>
            </w:r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a substitute for your signature) to confirm that you agree to the above declaration.</w:t>
            </w:r>
          </w:p>
        </w:tc>
      </w:tr>
      <w:tr w:rsidR="002E58AA" w:rsidTr="002E58AA">
        <w:trPr>
          <w:trHeight w:val="3972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8AA" w:rsidRDefault="002E58AA">
            <w:pPr>
              <w:rPr>
                <w:rFonts w:ascii="Arial" w:hAnsi="Arial"/>
                <w:b/>
                <w:sz w:val="24"/>
                <w:szCs w:val="24"/>
                <w:lang w:eastAsia="zh-CN"/>
              </w:rPr>
            </w:pPr>
          </w:p>
          <w:p w:rsidR="002E58AA" w:rsidRDefault="002E58AA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2E58AA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58AA" w:rsidRDefault="002E58A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  <w:p w:rsidR="002E58AA" w:rsidRDefault="002E58A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58AA" w:rsidRDefault="002E58A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2E58AA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58AA" w:rsidRDefault="002E58A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  <w:p w:rsidR="002E58AA" w:rsidRDefault="002E58A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58AA" w:rsidRDefault="002E58A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2E58AA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58AA" w:rsidRDefault="002E58A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  <w:p w:rsidR="002E58AA" w:rsidRDefault="002E58A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58AA" w:rsidRDefault="002E58A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2E58AA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58AA" w:rsidRDefault="002E58A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  <w:p w:rsidR="002E58AA" w:rsidRDefault="002E58AA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="002E58AA" w:rsidRDefault="002E58A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58AA" w:rsidRDefault="002E58A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:rsidR="002E58AA" w:rsidRDefault="002E58AA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:rsidR="002E58AA" w:rsidRDefault="002E58A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Marker 1 :</w:t>
            </w:r>
          </w:p>
          <w:p w:rsidR="002E58AA" w:rsidRDefault="002E58AA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Comments:</w:t>
            </w:r>
          </w:p>
          <w:p w:rsidR="002E58AA" w:rsidRDefault="002E58AA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58AA" w:rsidTr="002E58AA">
        <w:trPr>
          <w:trHeight w:val="492"/>
        </w:trPr>
        <w:tc>
          <w:tcPr>
            <w:tcW w:w="6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8AA" w:rsidRDefault="002E58AA">
            <w:pPr>
              <w:pStyle w:val="NormalWeb"/>
              <w:spacing w:beforeAutospacing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8AA" w:rsidRDefault="002E58AA">
            <w:pPr>
              <w:pStyle w:val="NormalWeb"/>
              <w:spacing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2E58AA" w:rsidTr="002E58AA"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E58AA" w:rsidTr="002E58AA">
        <w:trPr>
          <w:trHeight w:val="720"/>
        </w:trPr>
        <w:tc>
          <w:tcPr>
            <w:tcW w:w="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Marker’s Signature:</w:t>
            </w:r>
          </w:p>
        </w:tc>
        <w:tc>
          <w:tcPr>
            <w:tcW w:w="3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E58AA" w:rsidTr="002E58AA">
        <w:trPr>
          <w:trHeight w:val="720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8AA" w:rsidRDefault="002E58AA">
            <w:pPr>
              <w:rPr>
                <w:rFonts w:ascii="Arial" w:hAnsi="Arial" w:cs="Arial"/>
                <w:b/>
                <w:lang w:eastAsia="zh-CN"/>
              </w:rPr>
            </w:pPr>
            <w:r>
              <w:rPr>
                <w:rFonts w:ascii="Arial" w:hAnsi="Arial" w:cs="Arial"/>
                <w:b/>
              </w:rPr>
              <w:lastRenderedPageBreak/>
              <w:t>External Examiner’s comments (if relevant)</w:t>
            </w: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2E58AA" w:rsidRDefault="002E58AA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E58AA" w:rsidTr="002E58AA">
        <w:trPr>
          <w:trHeight w:val="720"/>
        </w:trPr>
        <w:tc>
          <w:tcPr>
            <w:tcW w:w="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8AA" w:rsidRDefault="002E58AA">
            <w:pPr>
              <w:rPr>
                <w:rFonts w:ascii="Arial" w:hAnsi="Arial" w:cs="Arial"/>
                <w:lang w:eastAsia="zh-CN"/>
              </w:rPr>
            </w:pPr>
            <w:r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8AA" w:rsidRDefault="002E58AA">
            <w:pPr>
              <w:rPr>
                <w:rFonts w:ascii="Arial" w:hAnsi="Arial" w:cs="Arial"/>
                <w:lang w:eastAsia="zh-CN"/>
              </w:rPr>
            </w:pPr>
            <w:r>
              <w:rPr>
                <w:rFonts w:ascii="Arial" w:hAnsi="Arial" w:cs="Arial"/>
              </w:rPr>
              <w:t>Date:</w:t>
            </w:r>
          </w:p>
        </w:tc>
      </w:tr>
    </w:tbl>
    <w:p w:rsidR="002E58AA" w:rsidRDefault="002E58AA" w:rsidP="002E58AA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2E58AA" w:rsidRDefault="002E58AA" w:rsidP="00C73E5A">
      <w:pPr>
        <w:jc w:val="center"/>
        <w:rPr>
          <w:b/>
        </w:rPr>
      </w:pPr>
    </w:p>
    <w:p w:rsidR="00C73E5A" w:rsidRPr="00F94459" w:rsidRDefault="00C73E5A" w:rsidP="00C73E5A">
      <w:pPr>
        <w:jc w:val="center"/>
        <w:rPr>
          <w:b/>
        </w:rPr>
      </w:pPr>
      <w:r w:rsidRPr="00F94459">
        <w:rPr>
          <w:b/>
        </w:rPr>
        <w:lastRenderedPageBreak/>
        <w:t>To compare and contrast the methodologies used in TWO of the research papers listed and discuss the position of the researchers in relation to their fields of research.</w:t>
      </w:r>
    </w:p>
    <w:p w:rsidR="00C73E5A" w:rsidRDefault="004B02C4" w:rsidP="00C73E5A">
      <w:pPr>
        <w:jc w:val="center"/>
      </w:pPr>
      <w:r>
        <w:t>Word count: 10</w:t>
      </w:r>
      <w:r w:rsidR="003D7D5F">
        <w:t>2</w:t>
      </w:r>
      <w:r w:rsidR="00AD14B3">
        <w:t>4</w:t>
      </w:r>
    </w:p>
    <w:p w:rsidR="00C64D6A" w:rsidRPr="00502EE3" w:rsidRDefault="00300134" w:rsidP="0054497C">
      <w:pPr>
        <w:jc w:val="both"/>
      </w:pPr>
      <w:r w:rsidRPr="00502EE3">
        <w:t>This paper will compare and contrast the research methods</w:t>
      </w:r>
      <w:r w:rsidR="00D100BE" w:rsidRPr="00502EE3">
        <w:t xml:space="preserve"> used</w:t>
      </w:r>
      <w:r w:rsidR="005D0EBB" w:rsidRPr="00502EE3">
        <w:t xml:space="preserve">, and </w:t>
      </w:r>
      <w:r w:rsidRPr="00502EE3">
        <w:t>posit</w:t>
      </w:r>
      <w:r w:rsidR="00DD5BA1">
        <w:t>ion</w:t>
      </w:r>
      <w:r w:rsidR="006B3C25" w:rsidRPr="00502EE3">
        <w:t xml:space="preserve"> held by </w:t>
      </w:r>
      <w:r w:rsidR="00E979D0" w:rsidRPr="00502EE3">
        <w:t xml:space="preserve">T.L Brink in the article: </w:t>
      </w:r>
      <w:r w:rsidRPr="00502EE3">
        <w:rPr>
          <w:i/>
          <w:iCs/>
        </w:rPr>
        <w:t>Inconsistency of Belief among Roman Catholic Girls: Concerning Religion, Astrology, Reincarnation</w:t>
      </w:r>
      <w:r w:rsidR="00E979D0" w:rsidRPr="00502EE3">
        <w:rPr>
          <w:i/>
          <w:iCs/>
        </w:rPr>
        <w:t>,</w:t>
      </w:r>
      <w:r w:rsidRPr="00502EE3">
        <w:t xml:space="preserve"> </w:t>
      </w:r>
      <w:r w:rsidR="004B02C4">
        <w:t>and</w:t>
      </w:r>
      <w:r w:rsidR="00E979D0" w:rsidRPr="00502EE3">
        <w:t xml:space="preserve"> T. Walter and H Waterhouse in their article: </w:t>
      </w:r>
      <w:r w:rsidRPr="00502EE3">
        <w:rPr>
          <w:i/>
          <w:iCs/>
        </w:rPr>
        <w:t xml:space="preserve">A Very Private Belief: Reincarnation in Contemporary </w:t>
      </w:r>
      <w:r w:rsidR="00E979D0" w:rsidRPr="00502EE3">
        <w:rPr>
          <w:i/>
          <w:iCs/>
        </w:rPr>
        <w:t>England.</w:t>
      </w:r>
      <w:r w:rsidR="00281D3C" w:rsidRPr="00502EE3">
        <w:rPr>
          <w:rStyle w:val="FootnoteReference"/>
        </w:rPr>
        <w:footnoteReference w:id="1"/>
      </w:r>
      <w:r w:rsidRPr="00502EE3">
        <w:t xml:space="preserve"> </w:t>
      </w:r>
      <w:r w:rsidR="00EE29A4" w:rsidRPr="00502EE3">
        <w:t xml:space="preserve"> </w:t>
      </w:r>
      <w:r w:rsidR="007F1659" w:rsidRPr="00502EE3">
        <w:t xml:space="preserve">As can be observed from </w:t>
      </w:r>
      <w:r w:rsidR="00E02A99">
        <w:t>the title of these articles they both</w:t>
      </w:r>
      <w:r w:rsidR="004B02C4">
        <w:t xml:space="preserve"> share a</w:t>
      </w:r>
      <w:r w:rsidR="00E02A99">
        <w:t xml:space="preserve"> similar intention</w:t>
      </w:r>
      <w:r w:rsidR="004B02C4">
        <w:t xml:space="preserve"> of exploring</w:t>
      </w:r>
      <w:r w:rsidR="00E02A99">
        <w:t xml:space="preserve"> reincarnation further. </w:t>
      </w:r>
      <w:r w:rsidR="00DD5BA1">
        <w:t xml:space="preserve"> Throughout their articles they also</w:t>
      </w:r>
      <w:r w:rsidR="004B02C4">
        <w:t xml:space="preserve"> demonstrate</w:t>
      </w:r>
      <w:r w:rsidR="00F57FDE" w:rsidRPr="00502EE3">
        <w:t xml:space="preserve"> the same practice of anonymising their findings. </w:t>
      </w:r>
      <w:r w:rsidR="00DD5BA1">
        <w:t xml:space="preserve"> </w:t>
      </w:r>
      <w:r w:rsidR="00641732" w:rsidRPr="00502EE3">
        <w:t xml:space="preserve">For instance, </w:t>
      </w:r>
      <w:r w:rsidR="00C64D6A" w:rsidRPr="00502EE3">
        <w:t>Brink</w:t>
      </w:r>
      <w:r w:rsidR="00E02A99">
        <w:t xml:space="preserve"> replaces</w:t>
      </w:r>
      <w:r w:rsidR="00641732" w:rsidRPr="00502EE3">
        <w:t xml:space="preserve"> the specific age details of the participants with generic terms</w:t>
      </w:r>
      <w:r w:rsidR="00C64D6A" w:rsidRPr="00502EE3">
        <w:t xml:space="preserve"> like ‘junior’ or ‘senior.’</w:t>
      </w:r>
      <w:r w:rsidR="00C64D6A" w:rsidRPr="00502EE3">
        <w:rPr>
          <w:rStyle w:val="FootnoteReference"/>
        </w:rPr>
        <w:t xml:space="preserve"> </w:t>
      </w:r>
      <w:r w:rsidR="00C64D6A" w:rsidRPr="00502EE3">
        <w:rPr>
          <w:rStyle w:val="FootnoteReference"/>
        </w:rPr>
        <w:footnoteReference w:id="2"/>
      </w:r>
      <w:r w:rsidR="00C64D6A" w:rsidRPr="00502EE3">
        <w:t xml:space="preserve">  </w:t>
      </w:r>
      <w:r w:rsidR="00E02A99">
        <w:t xml:space="preserve">Similarly, </w:t>
      </w:r>
      <w:r w:rsidR="00641732" w:rsidRPr="00502EE3">
        <w:t>Walter and Waterhouse</w:t>
      </w:r>
      <w:r w:rsidR="00E02A99">
        <w:t xml:space="preserve"> exchange</w:t>
      </w:r>
      <w:r w:rsidR="00DD5BA1">
        <w:t xml:space="preserve"> the names of</w:t>
      </w:r>
      <w:r w:rsidR="00641732" w:rsidRPr="00502EE3">
        <w:t xml:space="preserve"> participants</w:t>
      </w:r>
      <w:r w:rsidR="00E02A99">
        <w:t xml:space="preserve"> </w:t>
      </w:r>
      <w:r w:rsidR="00DD5BA1">
        <w:t>for</w:t>
      </w:r>
      <w:r w:rsidR="00641732" w:rsidRPr="00502EE3">
        <w:t xml:space="preserve"> non-specific terms like </w:t>
      </w:r>
      <w:r w:rsidR="00015D37" w:rsidRPr="00502EE3">
        <w:t>‘Christians’ or ‘adult respondents</w:t>
      </w:r>
      <w:r w:rsidR="00C64D6A" w:rsidRPr="00502EE3">
        <w:t>.’</w:t>
      </w:r>
      <w:r w:rsidR="00C64D6A" w:rsidRPr="00502EE3">
        <w:rPr>
          <w:rStyle w:val="FootnoteReference"/>
        </w:rPr>
        <w:footnoteReference w:id="3"/>
      </w:r>
      <w:r w:rsidR="00C64D6A" w:rsidRPr="00502EE3">
        <w:t xml:space="preserve"> </w:t>
      </w:r>
      <w:r w:rsidR="00A534A0">
        <w:t xml:space="preserve"> </w:t>
      </w:r>
      <w:r w:rsidR="0017739D" w:rsidRPr="00502EE3">
        <w:t xml:space="preserve">This </w:t>
      </w:r>
      <w:r w:rsidR="004B02C4">
        <w:t>shows</w:t>
      </w:r>
      <w:r w:rsidR="000F2CE8" w:rsidRPr="00502EE3">
        <w:t xml:space="preserve"> the researchers’</w:t>
      </w:r>
      <w:r w:rsidR="00DD5BA1">
        <w:t xml:space="preserve"> respect for</w:t>
      </w:r>
      <w:r w:rsidR="00882CFF" w:rsidRPr="00502EE3">
        <w:t xml:space="preserve"> and</w:t>
      </w:r>
      <w:r w:rsidR="00C64D6A" w:rsidRPr="00502EE3">
        <w:t xml:space="preserve"> strict</w:t>
      </w:r>
      <w:r w:rsidR="0017739D" w:rsidRPr="00502EE3">
        <w:t xml:space="preserve"> adherence to the Data Protection Act 2005 [DPA] guidelines</w:t>
      </w:r>
      <w:r w:rsidR="00E02A99">
        <w:t xml:space="preserve"> for social researchers which has been</w:t>
      </w:r>
      <w:r w:rsidR="0017739D" w:rsidRPr="00502EE3">
        <w:t xml:space="preserve"> designed to protect</w:t>
      </w:r>
      <w:r w:rsidR="00EA2571">
        <w:t xml:space="preserve"> </w:t>
      </w:r>
      <w:r w:rsidR="00A534A0">
        <w:t>the</w:t>
      </w:r>
      <w:r w:rsidR="00E02A99">
        <w:t xml:space="preserve"> participants</w:t>
      </w:r>
      <w:r w:rsidR="00EA2571">
        <w:t>’ privacy and security</w:t>
      </w:r>
      <w:r w:rsidR="004B02C4">
        <w:t>;</w:t>
      </w:r>
      <w:r w:rsidR="00A534A0">
        <w:t xml:space="preserve"> the reputation of the researchers a</w:t>
      </w:r>
      <w:r w:rsidR="004B02C4">
        <w:t>nd</w:t>
      </w:r>
      <w:r w:rsidR="00A534A0">
        <w:t xml:space="preserve"> the associated institution.</w:t>
      </w:r>
      <w:r w:rsidR="00A534A0" w:rsidRPr="00502EE3">
        <w:rPr>
          <w:rStyle w:val="FootnoteReference"/>
        </w:rPr>
        <w:footnoteReference w:id="4"/>
      </w:r>
      <w:r w:rsidR="00A534A0">
        <w:t xml:space="preserve">  H</w:t>
      </w:r>
      <w:r w:rsidR="0017739D" w:rsidRPr="00502EE3">
        <w:t>owever,</w:t>
      </w:r>
      <w:r w:rsidR="002F65A2" w:rsidRPr="00502EE3">
        <w:t xml:space="preserve"> the</w:t>
      </w:r>
      <w:r w:rsidR="00641732" w:rsidRPr="00502EE3">
        <w:t xml:space="preserve"> actual</w:t>
      </w:r>
      <w:r w:rsidR="00AD14B3">
        <w:t xml:space="preserve"> </w:t>
      </w:r>
      <w:proofErr w:type="gramStart"/>
      <w:r w:rsidR="004B02C4" w:rsidRPr="00502EE3">
        <w:t>method</w:t>
      </w:r>
      <w:r w:rsidR="004B02C4">
        <w:t>s</w:t>
      </w:r>
      <w:r w:rsidR="00AD14B3">
        <w:t xml:space="preserve"> to conduct the research differs</w:t>
      </w:r>
      <w:proofErr w:type="gramEnd"/>
      <w:r w:rsidR="004B02C4">
        <w:t>.</w:t>
      </w:r>
      <w:r w:rsidR="002F65A2" w:rsidRPr="00502EE3">
        <w:t xml:space="preserve"> </w:t>
      </w:r>
    </w:p>
    <w:p w:rsidR="003A7CA4" w:rsidRPr="00502EE3" w:rsidRDefault="00DD7896" w:rsidP="0054497C">
      <w:pPr>
        <w:jc w:val="both"/>
      </w:pPr>
      <w:r w:rsidRPr="00502EE3">
        <w:t>Scholars like</w:t>
      </w:r>
      <w:r w:rsidR="00417BCC" w:rsidRPr="00502EE3">
        <w:t xml:space="preserve"> </w:t>
      </w:r>
      <w:r w:rsidR="00EA2571">
        <w:t xml:space="preserve">Monique </w:t>
      </w:r>
      <w:proofErr w:type="spellStart"/>
      <w:r w:rsidR="00EA2571">
        <w:t>Hennink</w:t>
      </w:r>
      <w:proofErr w:type="spellEnd"/>
      <w:r w:rsidR="00EA2571">
        <w:t xml:space="preserve">, </w:t>
      </w:r>
      <w:r w:rsidR="00417BCC" w:rsidRPr="00502EE3">
        <w:t xml:space="preserve">Allan </w:t>
      </w:r>
      <w:proofErr w:type="spellStart"/>
      <w:r w:rsidR="00417BCC" w:rsidRPr="00502EE3">
        <w:t>Steckler</w:t>
      </w:r>
      <w:proofErr w:type="spellEnd"/>
      <w:r w:rsidR="00417BCC" w:rsidRPr="00502EE3">
        <w:t xml:space="preserve"> and </w:t>
      </w:r>
      <w:r w:rsidRPr="00502EE3">
        <w:t xml:space="preserve">Alan </w:t>
      </w:r>
      <w:proofErr w:type="spellStart"/>
      <w:r w:rsidRPr="00502EE3">
        <w:t>Bryman</w:t>
      </w:r>
      <w:proofErr w:type="spellEnd"/>
      <w:r w:rsidRPr="00502EE3">
        <w:t xml:space="preserve"> have argued and maintained that </w:t>
      </w:r>
      <w:r w:rsidR="002F65A2" w:rsidRPr="00502EE3">
        <w:t>the methods for undertaking research can</w:t>
      </w:r>
      <w:r w:rsidR="00DD5BA1">
        <w:t xml:space="preserve"> generally</w:t>
      </w:r>
      <w:r w:rsidR="002F65A2" w:rsidRPr="00502EE3">
        <w:t xml:space="preserve"> be</w:t>
      </w:r>
      <w:r w:rsidRPr="00502EE3">
        <w:t xml:space="preserve"> divided into</w:t>
      </w:r>
      <w:r w:rsidR="002F65A2" w:rsidRPr="00502EE3">
        <w:t xml:space="preserve"> two</w:t>
      </w:r>
      <w:r w:rsidR="009D2555">
        <w:t xml:space="preserve"> categories</w:t>
      </w:r>
      <w:r w:rsidR="002F65A2" w:rsidRPr="00502EE3">
        <w:t>.</w:t>
      </w:r>
      <w:r w:rsidR="002F65A2" w:rsidRPr="00502EE3">
        <w:rPr>
          <w:rStyle w:val="FootnoteReference"/>
        </w:rPr>
        <w:footnoteReference w:id="5"/>
      </w:r>
      <w:r w:rsidR="002F65A2" w:rsidRPr="00502EE3">
        <w:t xml:space="preserve">  </w:t>
      </w:r>
      <w:r w:rsidR="00B44A99" w:rsidRPr="00502EE3">
        <w:t xml:space="preserve"> </w:t>
      </w:r>
      <w:r w:rsidR="002F65A2" w:rsidRPr="00502EE3">
        <w:t>These are known as</w:t>
      </w:r>
      <w:r w:rsidRPr="00502EE3">
        <w:t xml:space="preserve"> qualitative and quantitative </w:t>
      </w:r>
      <w:r w:rsidR="002F65A2" w:rsidRPr="00502EE3">
        <w:t>systems.</w:t>
      </w:r>
      <w:r w:rsidR="002F65A2" w:rsidRPr="00502EE3">
        <w:rPr>
          <w:rStyle w:val="FootnoteReference"/>
        </w:rPr>
        <w:footnoteReference w:id="6"/>
      </w:r>
      <w:r w:rsidR="002F65A2" w:rsidRPr="00502EE3">
        <w:t xml:space="preserve"> </w:t>
      </w:r>
      <w:r w:rsidR="009D2555">
        <w:t xml:space="preserve"> According to </w:t>
      </w:r>
      <w:proofErr w:type="spellStart"/>
      <w:r w:rsidR="009D2555">
        <w:t>Steckler</w:t>
      </w:r>
      <w:proofErr w:type="spellEnd"/>
      <w:r w:rsidR="00A6273D">
        <w:t>,</w:t>
      </w:r>
      <w:r w:rsidR="00B44A99" w:rsidRPr="00502EE3">
        <w:t xml:space="preserve"> it is thought that researchers tend to follow one of these two paradigms rather than using both as a combination.</w:t>
      </w:r>
      <w:r w:rsidR="00B44A99" w:rsidRPr="00502EE3">
        <w:rPr>
          <w:rStyle w:val="FootnoteReference"/>
        </w:rPr>
        <w:footnoteReference w:id="7"/>
      </w:r>
      <w:r w:rsidR="00B44A99" w:rsidRPr="00502EE3">
        <w:rPr>
          <w:rStyle w:val="FootnoteReference"/>
        </w:rPr>
        <w:t xml:space="preserve">   </w:t>
      </w:r>
      <w:r w:rsidR="009D2555">
        <w:rPr>
          <w:rStyle w:val="FootnoteReference"/>
        </w:rPr>
        <w:t xml:space="preserve"> </w:t>
      </w:r>
      <w:r w:rsidR="009D2555">
        <w:t xml:space="preserve">Furthermore, </w:t>
      </w:r>
      <w:proofErr w:type="spellStart"/>
      <w:r w:rsidR="00B44A99" w:rsidRPr="00502EE3">
        <w:t>Bryman</w:t>
      </w:r>
      <w:proofErr w:type="spellEnd"/>
      <w:r w:rsidR="00B44A99" w:rsidRPr="00502EE3">
        <w:t xml:space="preserve"> </w:t>
      </w:r>
      <w:r w:rsidR="005A35CA" w:rsidRPr="00502EE3">
        <w:t xml:space="preserve">explains that researchers </w:t>
      </w:r>
      <w:r w:rsidR="009D2555">
        <w:t xml:space="preserve">tend to be </w:t>
      </w:r>
      <w:r w:rsidR="005A35CA" w:rsidRPr="00502EE3">
        <w:t xml:space="preserve">inclined to adopt the </w:t>
      </w:r>
      <w:r w:rsidR="002B7B57" w:rsidRPr="00502EE3">
        <w:t>qualitative</w:t>
      </w:r>
      <w:r w:rsidR="00EF4366" w:rsidRPr="00502EE3">
        <w:t xml:space="preserve"> </w:t>
      </w:r>
      <w:r w:rsidR="004E0667" w:rsidRPr="00502EE3">
        <w:t xml:space="preserve">approach </w:t>
      </w:r>
      <w:r w:rsidR="00EF4366" w:rsidRPr="00502EE3">
        <w:t xml:space="preserve">when </w:t>
      </w:r>
      <w:r w:rsidR="005A35CA" w:rsidRPr="00502EE3">
        <w:t xml:space="preserve">they need to </w:t>
      </w:r>
      <w:r w:rsidR="004E0667" w:rsidRPr="00502EE3">
        <w:t>‘describe and analyse the</w:t>
      </w:r>
      <w:r w:rsidR="00714566" w:rsidRPr="00502EE3">
        <w:t xml:space="preserve"> [natural]</w:t>
      </w:r>
      <w:r w:rsidR="004E0667" w:rsidRPr="00502EE3">
        <w:t xml:space="preserve"> culture and behaviour of humans</w:t>
      </w:r>
      <w:r w:rsidR="00A174D0" w:rsidRPr="00502EE3">
        <w:t>.</w:t>
      </w:r>
      <w:r w:rsidR="004E0667" w:rsidRPr="00502EE3">
        <w:t>'</w:t>
      </w:r>
      <w:r w:rsidR="003D26AF" w:rsidRPr="00502EE3">
        <w:rPr>
          <w:rStyle w:val="FootnoteReference"/>
        </w:rPr>
        <w:footnoteReference w:id="8"/>
      </w:r>
      <w:r w:rsidR="00906D37" w:rsidRPr="00502EE3">
        <w:t xml:space="preserve">  </w:t>
      </w:r>
      <w:r w:rsidR="00A30C1E" w:rsidRPr="00502EE3">
        <w:t xml:space="preserve">In other words, </w:t>
      </w:r>
      <w:r w:rsidR="005A35CA" w:rsidRPr="00502EE3">
        <w:t>this method</w:t>
      </w:r>
      <w:r w:rsidR="0072212A" w:rsidRPr="00502EE3">
        <w:t xml:space="preserve"> allows </w:t>
      </w:r>
      <w:r w:rsidR="009D2555">
        <w:t xml:space="preserve">the </w:t>
      </w:r>
      <w:r w:rsidR="0072212A" w:rsidRPr="00502EE3">
        <w:t>researchers to gain a</w:t>
      </w:r>
      <w:r w:rsidR="00157360" w:rsidRPr="00502EE3">
        <w:t xml:space="preserve"> </w:t>
      </w:r>
      <w:r w:rsidR="0072212A" w:rsidRPr="00502EE3">
        <w:t>unique and detailed insight into peoples’ actions and motivations</w:t>
      </w:r>
      <w:r w:rsidR="00F96B71" w:rsidRPr="00502EE3">
        <w:t xml:space="preserve"> which</w:t>
      </w:r>
      <w:r w:rsidR="007275EC" w:rsidRPr="00502EE3">
        <w:t xml:space="preserve"> </w:t>
      </w:r>
      <w:r w:rsidR="009D2555">
        <w:t xml:space="preserve">then </w:t>
      </w:r>
      <w:r w:rsidR="00F14F71" w:rsidRPr="00502EE3">
        <w:t>explain</w:t>
      </w:r>
      <w:r w:rsidR="00F96B71" w:rsidRPr="00502EE3">
        <w:t>s</w:t>
      </w:r>
      <w:r w:rsidR="00F14F71" w:rsidRPr="00502EE3">
        <w:t xml:space="preserve"> how and why </w:t>
      </w:r>
      <w:r w:rsidR="00A30C1E" w:rsidRPr="00502EE3">
        <w:t>certain events</w:t>
      </w:r>
      <w:r w:rsidR="009D2555">
        <w:t xml:space="preserve"> happen</w:t>
      </w:r>
      <w:r w:rsidR="0072212A" w:rsidRPr="00502EE3">
        <w:t xml:space="preserve">. </w:t>
      </w:r>
      <w:r w:rsidR="0001512C" w:rsidRPr="00502EE3">
        <w:t xml:space="preserve"> </w:t>
      </w:r>
      <w:r w:rsidR="005A35CA" w:rsidRPr="00502EE3">
        <w:t xml:space="preserve">Walter and Waterhouse’s </w:t>
      </w:r>
      <w:r w:rsidR="009D2555">
        <w:t>research endeavours to explain</w:t>
      </w:r>
      <w:r w:rsidR="005A35CA" w:rsidRPr="00502EE3">
        <w:t xml:space="preserve"> why there has been a</w:t>
      </w:r>
      <w:r w:rsidR="009D2555">
        <w:t xml:space="preserve"> rising belief in reincarnation, and this accounts for the reason why they adopted the qualitative approach. </w:t>
      </w:r>
      <w:r w:rsidR="005A35CA" w:rsidRPr="00502EE3">
        <w:t xml:space="preserve">  </w:t>
      </w:r>
      <w:r w:rsidR="000F2EE9" w:rsidRPr="00502EE3">
        <w:t>According to Stan Lester, t</w:t>
      </w:r>
      <w:r w:rsidR="00D620F8" w:rsidRPr="00502EE3">
        <w:t>here are a variety of meth</w:t>
      </w:r>
      <w:r w:rsidR="005A35CA" w:rsidRPr="00502EE3">
        <w:t>ods</w:t>
      </w:r>
      <w:r w:rsidR="009D2555">
        <w:t xml:space="preserve"> which can be used to obtain the type of</w:t>
      </w:r>
      <w:r w:rsidR="005A35CA" w:rsidRPr="00502EE3">
        <w:t xml:space="preserve"> information needed to answer the how and why questions</w:t>
      </w:r>
      <w:r w:rsidR="000F2EE9" w:rsidRPr="00502EE3">
        <w:t>.</w:t>
      </w:r>
      <w:r w:rsidR="000D46D2" w:rsidRPr="00502EE3">
        <w:rPr>
          <w:rStyle w:val="FootnoteReference"/>
        </w:rPr>
        <w:footnoteReference w:id="9"/>
      </w:r>
      <w:r w:rsidR="009D2555">
        <w:t xml:space="preserve">  </w:t>
      </w:r>
      <w:r w:rsidR="005A35CA" w:rsidRPr="00502EE3">
        <w:t>These include; the</w:t>
      </w:r>
      <w:r w:rsidR="00D620F8" w:rsidRPr="00502EE3">
        <w:t xml:space="preserve"> review of personal texts</w:t>
      </w:r>
      <w:r w:rsidR="009D2555">
        <w:t xml:space="preserve"> or diaries</w:t>
      </w:r>
      <w:r w:rsidR="00D620F8" w:rsidRPr="00502EE3">
        <w:t xml:space="preserve">, action research </w:t>
      </w:r>
      <w:r w:rsidR="000F2EE9" w:rsidRPr="00502EE3">
        <w:t>and participant</w:t>
      </w:r>
      <w:r w:rsidR="00D620F8" w:rsidRPr="00502EE3">
        <w:t xml:space="preserve"> observations</w:t>
      </w:r>
      <w:r w:rsidR="00130123" w:rsidRPr="00502EE3">
        <w:t xml:space="preserve">, or as can be found in Walter and </w:t>
      </w:r>
      <w:r w:rsidR="000F2EE9" w:rsidRPr="00502EE3">
        <w:t>Waterhouse’</w:t>
      </w:r>
      <w:r w:rsidR="00B86939" w:rsidRPr="00502EE3">
        <w:t>s article</w:t>
      </w:r>
      <w:r w:rsidR="000F2EE9" w:rsidRPr="00502EE3">
        <w:t xml:space="preserve"> it</w:t>
      </w:r>
      <w:r w:rsidR="00B6160A" w:rsidRPr="00502EE3">
        <w:t xml:space="preserve"> can</w:t>
      </w:r>
      <w:r w:rsidR="000F2EE9" w:rsidRPr="00502EE3">
        <w:t xml:space="preserve"> comprise of </w:t>
      </w:r>
      <w:r w:rsidR="000F2EE9" w:rsidRPr="00502EE3">
        <w:lastRenderedPageBreak/>
        <w:t>interviewing a small sample of people using open ended questions</w:t>
      </w:r>
      <w:r w:rsidR="00F96B71" w:rsidRPr="00502EE3">
        <w:t>.</w:t>
      </w:r>
      <w:r w:rsidR="00D620F8" w:rsidRPr="00502EE3">
        <w:rPr>
          <w:rStyle w:val="FootnoteReference"/>
        </w:rPr>
        <w:footnoteReference w:id="10"/>
      </w:r>
      <w:r w:rsidR="00D620F8" w:rsidRPr="00502EE3">
        <w:t xml:space="preserve"> </w:t>
      </w:r>
      <w:r w:rsidR="004F0F35" w:rsidRPr="00502EE3">
        <w:t xml:space="preserve">  Lester</w:t>
      </w:r>
      <w:r w:rsidR="009D2555">
        <w:t xml:space="preserve"> takes this further by arguing</w:t>
      </w:r>
      <w:r w:rsidR="004F0F35" w:rsidRPr="00502EE3">
        <w:t xml:space="preserve"> that the </w:t>
      </w:r>
      <w:r w:rsidR="006A7957" w:rsidRPr="00502EE3">
        <w:t>effectiveness of</w:t>
      </w:r>
      <w:r w:rsidR="005A35CA" w:rsidRPr="00502EE3">
        <w:t xml:space="preserve"> the qualitative approach is heavily reliant on the researchers and participants establishing and maintaining a close rapport.</w:t>
      </w:r>
      <w:r w:rsidR="008E3449" w:rsidRPr="00502EE3">
        <w:rPr>
          <w:rStyle w:val="FootnoteReference"/>
        </w:rPr>
        <w:footnoteReference w:id="11"/>
      </w:r>
      <w:r w:rsidR="005A35CA" w:rsidRPr="00502EE3">
        <w:t xml:space="preserve">  He </w:t>
      </w:r>
      <w:r w:rsidR="004F0F35" w:rsidRPr="00502EE3">
        <w:t xml:space="preserve">continues to </w:t>
      </w:r>
      <w:r w:rsidR="009D2555">
        <w:t>postulate</w:t>
      </w:r>
      <w:r w:rsidR="004F0F35" w:rsidRPr="00502EE3">
        <w:t xml:space="preserve"> that it is the trust and empathy that arises from this rapport that allows for an open and honest exchange of information between the two parties to take place.</w:t>
      </w:r>
      <w:r w:rsidR="008E3449" w:rsidRPr="00502EE3">
        <w:rPr>
          <w:rStyle w:val="FootnoteReference"/>
        </w:rPr>
        <w:t xml:space="preserve"> </w:t>
      </w:r>
      <w:r w:rsidR="008E3449" w:rsidRPr="00502EE3">
        <w:rPr>
          <w:rStyle w:val="FootnoteReference"/>
        </w:rPr>
        <w:footnoteReference w:id="12"/>
      </w:r>
      <w:r w:rsidR="008E3449" w:rsidRPr="00502EE3">
        <w:t xml:space="preserve">  </w:t>
      </w:r>
      <w:r w:rsidR="009D2555">
        <w:t xml:space="preserve">Without this kind of rapport the researchers run the risk of acquiring inaccurate information from the participants.  </w:t>
      </w:r>
      <w:r w:rsidR="004F0F35" w:rsidRPr="00502EE3">
        <w:t xml:space="preserve">This inevitably means that quantitative researchers need to spend a considerable amount of time with the participants which can be </w:t>
      </w:r>
      <w:r w:rsidR="009D2555">
        <w:t xml:space="preserve">both </w:t>
      </w:r>
      <w:r w:rsidR="004F0F35" w:rsidRPr="00502EE3">
        <w:t>costly</w:t>
      </w:r>
      <w:r w:rsidR="009D2555">
        <w:t xml:space="preserve"> and time consuming</w:t>
      </w:r>
      <w:r w:rsidR="004F0F35" w:rsidRPr="00502EE3">
        <w:t>.</w:t>
      </w:r>
      <w:r w:rsidR="004F0F35" w:rsidRPr="00502EE3">
        <w:rPr>
          <w:rStyle w:val="FootnoteReference"/>
        </w:rPr>
        <w:t xml:space="preserve"> </w:t>
      </w:r>
      <w:r w:rsidR="004F0F35" w:rsidRPr="00502EE3">
        <w:rPr>
          <w:rStyle w:val="FootnoteReference"/>
        </w:rPr>
        <w:footnoteReference w:id="13"/>
      </w:r>
      <w:r w:rsidR="004F0F35" w:rsidRPr="00502EE3">
        <w:t xml:space="preserve">  </w:t>
      </w:r>
      <w:proofErr w:type="spellStart"/>
      <w:r w:rsidR="00A72221" w:rsidRPr="00502EE3">
        <w:t>Marlize</w:t>
      </w:r>
      <w:proofErr w:type="spellEnd"/>
      <w:r w:rsidR="00A72221" w:rsidRPr="00502EE3">
        <w:t xml:space="preserve"> </w:t>
      </w:r>
      <w:proofErr w:type="spellStart"/>
      <w:r w:rsidR="00A72221" w:rsidRPr="00502EE3">
        <w:t>Rabe</w:t>
      </w:r>
      <w:proofErr w:type="spellEnd"/>
      <w:r w:rsidR="00A72221" w:rsidRPr="00502EE3">
        <w:t xml:space="preserve"> describes these</w:t>
      </w:r>
      <w:r w:rsidR="004F0F35" w:rsidRPr="00502EE3">
        <w:t xml:space="preserve"> particular type of researcher</w:t>
      </w:r>
      <w:r w:rsidR="00A72221" w:rsidRPr="00502EE3">
        <w:t>s as</w:t>
      </w:r>
      <w:r w:rsidR="004F0F35" w:rsidRPr="00502EE3">
        <w:t xml:space="preserve"> </w:t>
      </w:r>
      <w:r w:rsidR="009D2555">
        <w:t>being</w:t>
      </w:r>
      <w:r w:rsidR="004F0F35" w:rsidRPr="00502EE3">
        <w:t xml:space="preserve"> ‘insider</w:t>
      </w:r>
      <w:r w:rsidR="009D2555">
        <w:t>s.’</w:t>
      </w:r>
      <w:r w:rsidR="0001512C" w:rsidRPr="00502EE3">
        <w:rPr>
          <w:rStyle w:val="FootnoteReference"/>
        </w:rPr>
        <w:footnoteReference w:id="14"/>
      </w:r>
      <w:r w:rsidR="00354B06" w:rsidRPr="00502EE3">
        <w:t xml:space="preserve"> </w:t>
      </w:r>
      <w:r w:rsidR="009D2555">
        <w:t xml:space="preserve"> This is</w:t>
      </w:r>
      <w:r w:rsidR="004F0F35" w:rsidRPr="00502EE3">
        <w:t xml:space="preserve"> a su</w:t>
      </w:r>
      <w:r w:rsidR="007A6350" w:rsidRPr="00502EE3">
        <w:t xml:space="preserve">bjective and powerful position which can be problematic. </w:t>
      </w:r>
      <w:r w:rsidR="009D2555">
        <w:t xml:space="preserve"> </w:t>
      </w:r>
      <w:r w:rsidR="007A6350" w:rsidRPr="00502EE3">
        <w:t xml:space="preserve">As </w:t>
      </w:r>
      <w:r w:rsidR="00F768C7" w:rsidRPr="00502EE3">
        <w:t xml:space="preserve">researchers </w:t>
      </w:r>
      <w:r w:rsidR="009D2555">
        <w:t>are</w:t>
      </w:r>
      <w:r w:rsidR="007A6350" w:rsidRPr="00502EE3">
        <w:t xml:space="preserve"> human they can experience emotions and unconscious bias</w:t>
      </w:r>
      <w:r w:rsidR="009D2555">
        <w:t xml:space="preserve"> which</w:t>
      </w:r>
      <w:r w:rsidR="007A6350" w:rsidRPr="00502EE3">
        <w:t xml:space="preserve"> could lead to their own attitudes or beliefs having an unintentional but adverse impact on the interpretation of the information</w:t>
      </w:r>
      <w:r w:rsidR="009D2555">
        <w:t xml:space="preserve"> provided by the participants. </w:t>
      </w:r>
      <w:r w:rsidR="007705A0" w:rsidRPr="00502EE3">
        <w:t>The researchers would need to</w:t>
      </w:r>
      <w:r w:rsidR="009D2555">
        <w:t xml:space="preserve"> consciously</w:t>
      </w:r>
      <w:r w:rsidR="007705A0" w:rsidRPr="00502EE3">
        <w:t xml:space="preserve"> take this</w:t>
      </w:r>
      <w:r w:rsidR="00D71399" w:rsidRPr="00502EE3">
        <w:t xml:space="preserve"> factor</w:t>
      </w:r>
      <w:r w:rsidR="007705A0" w:rsidRPr="00502EE3">
        <w:t xml:space="preserve"> into account</w:t>
      </w:r>
      <w:r w:rsidR="00D71399" w:rsidRPr="00502EE3">
        <w:t xml:space="preserve"> by not making any</w:t>
      </w:r>
      <w:r w:rsidR="007705A0" w:rsidRPr="00502EE3">
        <w:t xml:space="preserve"> </w:t>
      </w:r>
      <w:r w:rsidR="009D2555">
        <w:t xml:space="preserve">assumptions or </w:t>
      </w:r>
      <w:r w:rsidR="007705A0" w:rsidRPr="00502EE3">
        <w:t>predictions before</w:t>
      </w:r>
      <w:r w:rsidR="009D2555">
        <w:t xml:space="preserve"> or throughout the initial stages of their</w:t>
      </w:r>
      <w:r w:rsidR="007705A0" w:rsidRPr="00502EE3">
        <w:t xml:space="preserve"> research.</w:t>
      </w:r>
      <w:r w:rsidR="00D71399" w:rsidRPr="00502EE3">
        <w:t xml:space="preserve">  </w:t>
      </w:r>
      <w:r w:rsidR="009D2555" w:rsidRPr="00502EE3">
        <w:t xml:space="preserve">Qualitative researchers who are not able to do this are likely to compromise the integrity of the research carried out.  </w:t>
      </w:r>
      <w:r w:rsidR="00D71399" w:rsidRPr="00502EE3">
        <w:t>This may explain why</w:t>
      </w:r>
      <w:r w:rsidR="009D2555">
        <w:t xml:space="preserve"> the introduction in</w:t>
      </w:r>
      <w:r w:rsidR="00D71399" w:rsidRPr="00502EE3">
        <w:t xml:space="preserve"> Walter and Waterhouse’s article does</w:t>
      </w:r>
      <w:r w:rsidR="00F768C7" w:rsidRPr="00502EE3">
        <w:t xml:space="preserve"> not contain any references to a specific hypothesis</w:t>
      </w:r>
      <w:r w:rsidR="009D2555">
        <w:t>.</w:t>
      </w:r>
      <w:r w:rsidR="00D71399" w:rsidRPr="00502EE3">
        <w:t xml:space="preserve">  </w:t>
      </w:r>
    </w:p>
    <w:p w:rsidR="0091650B" w:rsidRPr="00502EE3" w:rsidRDefault="002B7B57" w:rsidP="0091650B">
      <w:pPr>
        <w:jc w:val="both"/>
      </w:pPr>
      <w:r w:rsidRPr="00502EE3">
        <w:t xml:space="preserve">In contrast, </w:t>
      </w:r>
      <w:proofErr w:type="spellStart"/>
      <w:r w:rsidR="00790CD8">
        <w:t>Bryman</w:t>
      </w:r>
      <w:proofErr w:type="spellEnd"/>
      <w:r w:rsidR="00790CD8">
        <w:t xml:space="preserve"> indicates that </w:t>
      </w:r>
      <w:r w:rsidRPr="00502EE3">
        <w:t xml:space="preserve">the quantitative </w:t>
      </w:r>
      <w:r w:rsidR="001E59AA" w:rsidRPr="00502EE3">
        <w:t xml:space="preserve">method tends to be </w:t>
      </w:r>
      <w:r w:rsidR="0036766B" w:rsidRPr="00502EE3">
        <w:t xml:space="preserve">adopted by researchers who seek </w:t>
      </w:r>
      <w:r w:rsidR="001E59AA" w:rsidRPr="00502EE3">
        <w:t>to describe facts or situations.</w:t>
      </w:r>
      <w:r w:rsidR="00E835C5" w:rsidRPr="00502EE3">
        <w:rPr>
          <w:rStyle w:val="FootnoteReference"/>
        </w:rPr>
        <w:footnoteReference w:id="15"/>
      </w:r>
      <w:r w:rsidR="00130123" w:rsidRPr="00502EE3">
        <w:t xml:space="preserve">   </w:t>
      </w:r>
      <w:r w:rsidR="00E25C3E" w:rsidRPr="00502EE3">
        <w:t xml:space="preserve">It is a scientific approach which involves the collection, analysis and interpretation of </w:t>
      </w:r>
      <w:r w:rsidR="00790CD8">
        <w:t xml:space="preserve">numerical </w:t>
      </w:r>
      <w:r w:rsidR="00E25C3E" w:rsidRPr="00502EE3">
        <w:t>data using mathema</w:t>
      </w:r>
      <w:r w:rsidR="00790CD8">
        <w:t>tical or statistical techniques. This</w:t>
      </w:r>
      <w:r w:rsidR="00E25C3E" w:rsidRPr="00502EE3">
        <w:t xml:space="preserve"> information is </w:t>
      </w:r>
      <w:r w:rsidR="00674188" w:rsidRPr="00502EE3">
        <w:t>usually employed to</w:t>
      </w:r>
      <w:r w:rsidR="00E25C3E" w:rsidRPr="00502EE3">
        <w:t xml:space="preserve"> test a hypothesis or general assumption</w:t>
      </w:r>
      <w:r w:rsidR="00E97D22" w:rsidRPr="00502EE3">
        <w:t xml:space="preserve"> about a perceived truth or </w:t>
      </w:r>
      <w:r w:rsidR="00E25C3E" w:rsidRPr="00502EE3">
        <w:t>set of circumstances</w:t>
      </w:r>
      <w:r w:rsidR="00E97D22" w:rsidRPr="00502EE3">
        <w:t>.</w:t>
      </w:r>
      <w:r w:rsidR="00E97D22" w:rsidRPr="00502EE3">
        <w:rPr>
          <w:rStyle w:val="FootnoteReference"/>
        </w:rPr>
        <w:t xml:space="preserve"> </w:t>
      </w:r>
      <w:r w:rsidR="00E97D22" w:rsidRPr="00502EE3">
        <w:rPr>
          <w:rStyle w:val="FootnoteReference"/>
        </w:rPr>
        <w:footnoteReference w:id="16"/>
      </w:r>
      <w:r w:rsidR="00E97D22" w:rsidRPr="00502EE3">
        <w:t xml:space="preserve"> </w:t>
      </w:r>
      <w:r w:rsidR="00543F8B" w:rsidRPr="00502EE3">
        <w:t xml:space="preserve"> </w:t>
      </w:r>
      <w:r w:rsidR="00BE35AE" w:rsidRPr="00502EE3">
        <w:t>Brink’s article</w:t>
      </w:r>
      <w:r w:rsidR="00790CD8">
        <w:t xml:space="preserve"> clearly states that</w:t>
      </w:r>
      <w:r w:rsidR="00BE35AE" w:rsidRPr="00502EE3">
        <w:t xml:space="preserve"> the research intends to confirm</w:t>
      </w:r>
      <w:r w:rsidR="00790CD8">
        <w:t xml:space="preserve"> a</w:t>
      </w:r>
      <w:r w:rsidR="00BE35AE" w:rsidRPr="00502EE3">
        <w:t xml:space="preserve"> hypothesis that adolescent girls who are associated with the Roman Catholic doctrine only accept of one of three particular belief sets.</w:t>
      </w:r>
      <w:r w:rsidR="00BE35AE" w:rsidRPr="00502EE3">
        <w:rPr>
          <w:rStyle w:val="FootnoteReference"/>
        </w:rPr>
        <w:t xml:space="preserve"> </w:t>
      </w:r>
      <w:r w:rsidR="00BE35AE" w:rsidRPr="00502EE3">
        <w:rPr>
          <w:rStyle w:val="FootnoteReference"/>
        </w:rPr>
        <w:footnoteReference w:id="17"/>
      </w:r>
      <w:r w:rsidR="00BE35AE" w:rsidRPr="00502EE3">
        <w:t xml:space="preserve">  </w:t>
      </w:r>
      <w:r w:rsidR="00790CD8">
        <w:t xml:space="preserve">Moreover, </w:t>
      </w:r>
      <w:r w:rsidR="00BE35AE" w:rsidRPr="00502EE3">
        <w:t>Brink clearly uses a questionnaire or a survey which involves asking the same pre-prepared and closed ended questions to a specific demographic to acquire numerical data for the purpose of testing this hypothesis</w:t>
      </w:r>
      <w:r w:rsidR="00260491" w:rsidRPr="00502EE3">
        <w:t>.</w:t>
      </w:r>
      <w:r w:rsidR="00260491" w:rsidRPr="00502EE3">
        <w:rPr>
          <w:rStyle w:val="FootnoteReference"/>
        </w:rPr>
        <w:t xml:space="preserve"> </w:t>
      </w:r>
      <w:r w:rsidR="00260491" w:rsidRPr="00502EE3">
        <w:rPr>
          <w:rStyle w:val="FootnoteReference"/>
        </w:rPr>
        <w:footnoteReference w:id="18"/>
      </w:r>
      <w:r w:rsidR="00260491" w:rsidRPr="00502EE3">
        <w:t xml:space="preserve">  </w:t>
      </w:r>
      <w:r w:rsidR="00790CD8">
        <w:t xml:space="preserve">The collection of numerical data to test a hypothesis confirms the use of a quantitative approach by Brink.  </w:t>
      </w:r>
      <w:proofErr w:type="spellStart"/>
      <w:r w:rsidR="00B66F7A" w:rsidRPr="00502EE3">
        <w:t>Steckler</w:t>
      </w:r>
      <w:proofErr w:type="spellEnd"/>
      <w:r w:rsidR="00B66F7A" w:rsidRPr="00502EE3">
        <w:t xml:space="preserve"> argues that this approach</w:t>
      </w:r>
      <w:r w:rsidR="00790CD8">
        <w:t xml:space="preserve"> has the advantage of</w:t>
      </w:r>
      <w:r w:rsidR="00BE35AE" w:rsidRPr="00502EE3">
        <w:t xml:space="preserve"> allowing</w:t>
      </w:r>
      <w:r w:rsidR="00B66F7A" w:rsidRPr="00502EE3">
        <w:t xml:space="preserve"> quantitative</w:t>
      </w:r>
      <w:r w:rsidR="00260491" w:rsidRPr="00502EE3">
        <w:t xml:space="preserve"> researchers to ‘distance themselves from the people’ in order to ensure objectivity.</w:t>
      </w:r>
      <w:r w:rsidR="00B66F7A" w:rsidRPr="00502EE3">
        <w:rPr>
          <w:rStyle w:val="FootnoteReference"/>
        </w:rPr>
        <w:footnoteReference w:id="19"/>
      </w:r>
      <w:r w:rsidR="00260491" w:rsidRPr="00502EE3">
        <w:t xml:space="preserve">  </w:t>
      </w:r>
      <w:r w:rsidR="00790CD8">
        <w:t>As a result, they are</w:t>
      </w:r>
      <w:r w:rsidR="00260491" w:rsidRPr="00502EE3">
        <w:t xml:space="preserve"> known as ‘outsiders’ in research.</w:t>
      </w:r>
      <w:r w:rsidR="00260491" w:rsidRPr="00502EE3">
        <w:rPr>
          <w:rStyle w:val="FootnoteReference"/>
        </w:rPr>
        <w:t xml:space="preserve"> </w:t>
      </w:r>
      <w:r w:rsidR="00260491" w:rsidRPr="00502EE3">
        <w:rPr>
          <w:rStyle w:val="FootnoteReference"/>
        </w:rPr>
        <w:footnoteReference w:id="20"/>
      </w:r>
      <w:r w:rsidR="00260491" w:rsidRPr="00502EE3">
        <w:t xml:space="preserve">  </w:t>
      </w:r>
      <w:r w:rsidR="00905244" w:rsidRPr="00502EE3">
        <w:t xml:space="preserve">This position is </w:t>
      </w:r>
      <w:r w:rsidR="00790CD8">
        <w:t>as</w:t>
      </w:r>
      <w:r w:rsidR="00905244" w:rsidRPr="00502EE3">
        <w:t xml:space="preserve"> equally as powerful as the ones held by qualitative researchers as</w:t>
      </w:r>
      <w:r w:rsidR="00790CD8">
        <w:t xml:space="preserve"> the researchers</w:t>
      </w:r>
      <w:r w:rsidR="00905244" w:rsidRPr="00502EE3">
        <w:t xml:space="preserve"> will still ‘speak’ on behalf of the participants in their written analysis. </w:t>
      </w:r>
      <w:r w:rsidR="00790CD8">
        <w:t xml:space="preserve"> T</w:t>
      </w:r>
      <w:r w:rsidR="003E2A90" w:rsidRPr="00502EE3">
        <w:t>he reliability of this method is well known</w:t>
      </w:r>
      <w:r w:rsidR="00790CD8">
        <w:t>, widely accepted</w:t>
      </w:r>
      <w:r w:rsidR="00905244" w:rsidRPr="00502EE3">
        <w:t xml:space="preserve"> and is usually considered to be the</w:t>
      </w:r>
      <w:r w:rsidR="003E2A90" w:rsidRPr="00502EE3">
        <w:t xml:space="preserve"> most</w:t>
      </w:r>
      <w:r w:rsidR="00905244" w:rsidRPr="00502EE3">
        <w:t xml:space="preserve"> ‘</w:t>
      </w:r>
      <w:r w:rsidR="003E2A90" w:rsidRPr="00502EE3">
        <w:t>dominant paradigm</w:t>
      </w:r>
      <w:r w:rsidR="00905244" w:rsidRPr="00502EE3">
        <w:t>’</w:t>
      </w:r>
      <w:r w:rsidR="003E2A90" w:rsidRPr="00502EE3">
        <w:t xml:space="preserve"> of the </w:t>
      </w:r>
      <w:r w:rsidR="003E2A90" w:rsidRPr="00502EE3">
        <w:lastRenderedPageBreak/>
        <w:t>two main research methods.</w:t>
      </w:r>
      <w:r w:rsidR="00905244" w:rsidRPr="00502EE3">
        <w:rPr>
          <w:rStyle w:val="FootnoteReference"/>
        </w:rPr>
        <w:t xml:space="preserve"> </w:t>
      </w:r>
      <w:r w:rsidR="00905244" w:rsidRPr="00502EE3">
        <w:rPr>
          <w:rStyle w:val="FootnoteReference"/>
        </w:rPr>
        <w:footnoteReference w:id="21"/>
      </w:r>
      <w:r w:rsidR="0077110F" w:rsidRPr="00502EE3">
        <w:t xml:space="preserve">  </w:t>
      </w:r>
      <w:r w:rsidR="00790CD8">
        <w:t>However,</w:t>
      </w:r>
      <w:r w:rsidR="0077110F" w:rsidRPr="00502EE3">
        <w:t xml:space="preserve"> this</w:t>
      </w:r>
      <w:r w:rsidR="00790CD8">
        <w:t xml:space="preserve"> does not make it the most successful</w:t>
      </w:r>
      <w:r w:rsidR="0091650B" w:rsidRPr="00502EE3">
        <w:t xml:space="preserve"> method.  One of the reasons for this is that the success of the quantitative approach</w:t>
      </w:r>
      <w:r w:rsidR="00790CD8">
        <w:t xml:space="preserve"> relies</w:t>
      </w:r>
      <w:r w:rsidR="0091650B" w:rsidRPr="00502EE3">
        <w:t xml:space="preserve"> on large volumes of participants respondin</w:t>
      </w:r>
      <w:r w:rsidR="00790CD8">
        <w:t>g to the questionnaires</w:t>
      </w:r>
      <w:r w:rsidR="0091650B" w:rsidRPr="00502EE3">
        <w:t xml:space="preserve"> or surveys.  As Brink notes, this isn’t always possible</w:t>
      </w:r>
      <w:r w:rsidR="00790CD8">
        <w:t xml:space="preserve"> to achieve</w:t>
      </w:r>
      <w:r w:rsidR="0091650B" w:rsidRPr="00502EE3">
        <w:t xml:space="preserve"> and when there is a low response from participants the outcome of the research can raise more questions than answers.</w:t>
      </w:r>
      <w:r w:rsidR="0091650B" w:rsidRPr="00502EE3">
        <w:rPr>
          <w:rStyle w:val="FootnoteReference"/>
        </w:rPr>
        <w:footnoteReference w:id="22"/>
      </w:r>
    </w:p>
    <w:p w:rsidR="00A958D2" w:rsidRPr="00502EE3" w:rsidRDefault="006C6F72" w:rsidP="001C1610">
      <w:pPr>
        <w:jc w:val="both"/>
      </w:pPr>
      <w:r w:rsidRPr="00502EE3">
        <w:t>To conclude</w:t>
      </w:r>
      <w:r w:rsidR="00F60A78" w:rsidRPr="00502EE3">
        <w:t>,</w:t>
      </w:r>
      <w:r w:rsidR="002F5198" w:rsidRPr="00502EE3">
        <w:t xml:space="preserve"> </w:t>
      </w:r>
      <w:r w:rsidR="00F60A78" w:rsidRPr="00502EE3">
        <w:t xml:space="preserve">both quantitative and qualitative research methods have their own strengths and weaknesses. </w:t>
      </w:r>
      <w:r w:rsidRPr="00502EE3">
        <w:t xml:space="preserve">The quantitative approach </w:t>
      </w:r>
      <w:r w:rsidR="00A958D2" w:rsidRPr="00502EE3">
        <w:t>provides highly valued</w:t>
      </w:r>
      <w:r w:rsidRPr="00502EE3">
        <w:t xml:space="preserve"> numerical data but it is</w:t>
      </w:r>
      <w:r w:rsidR="008335EF" w:rsidRPr="00502EE3">
        <w:t xml:space="preserve"> </w:t>
      </w:r>
      <w:r w:rsidR="00A958D2" w:rsidRPr="00502EE3">
        <w:t xml:space="preserve">a </w:t>
      </w:r>
      <w:r w:rsidRPr="00502EE3">
        <w:t>less advantageous</w:t>
      </w:r>
      <w:r w:rsidR="008335EF" w:rsidRPr="00502EE3">
        <w:t xml:space="preserve"> method</w:t>
      </w:r>
      <w:r w:rsidRPr="00502EE3">
        <w:t xml:space="preserve"> for understanding the reasons for human behaviours in detail. </w:t>
      </w:r>
      <w:r w:rsidR="00A958D2" w:rsidRPr="00502EE3">
        <w:t xml:space="preserve"> T</w:t>
      </w:r>
      <w:r w:rsidRPr="00502EE3">
        <w:t xml:space="preserve">he qualitative method yields rich data that provides detailed information on why and how things have happened but there is more potential for participants to provide inaccurate information.  </w:t>
      </w:r>
      <w:r w:rsidR="00A958D2" w:rsidRPr="00502EE3">
        <w:t>I</w:t>
      </w:r>
      <w:r w:rsidRPr="00502EE3">
        <w:t>t can</w:t>
      </w:r>
      <w:r w:rsidR="00A958D2" w:rsidRPr="00502EE3">
        <w:t xml:space="preserve"> also</w:t>
      </w:r>
      <w:r w:rsidRPr="00502EE3">
        <w:t xml:space="preserve"> be more challenging for </w:t>
      </w:r>
      <w:r w:rsidR="00A958D2" w:rsidRPr="00502EE3">
        <w:t>qualitative</w:t>
      </w:r>
      <w:r w:rsidRPr="00502EE3">
        <w:t xml:space="preserve"> researchers to maintain an appropriate balance between being close enough to the participants to obtain the information needed and a level of impartiality to analyse their findings as objectively as possible. </w:t>
      </w:r>
      <w:r w:rsidR="002F5198" w:rsidRPr="00502EE3">
        <w:t xml:space="preserve"> </w:t>
      </w:r>
      <w:r w:rsidR="00790CD8">
        <w:t xml:space="preserve">In other words, the research methods chosen by researchers tend to be dictated by what it is they want to find out. </w:t>
      </w:r>
    </w:p>
    <w:p w:rsidR="00A958D2" w:rsidRPr="00502EE3" w:rsidRDefault="00A958D2" w:rsidP="001C1610">
      <w:pPr>
        <w:jc w:val="both"/>
      </w:pPr>
      <w:r w:rsidRPr="00502EE3">
        <w:t xml:space="preserve"> </w:t>
      </w:r>
    </w:p>
    <w:p w:rsidR="00CF648D" w:rsidRDefault="00CF648D" w:rsidP="001C1610">
      <w:pPr>
        <w:jc w:val="both"/>
        <w:rPr>
          <w:color w:val="00B050"/>
        </w:rPr>
      </w:pPr>
    </w:p>
    <w:p w:rsidR="00CF648D" w:rsidRDefault="00CF648D" w:rsidP="001C1610">
      <w:pPr>
        <w:jc w:val="both"/>
        <w:rPr>
          <w:color w:val="00B050"/>
        </w:rPr>
      </w:pPr>
    </w:p>
    <w:p w:rsidR="00F60A78" w:rsidRPr="00F60A78" w:rsidRDefault="00F60A78" w:rsidP="001C1610">
      <w:pPr>
        <w:jc w:val="both"/>
        <w:rPr>
          <w:color w:val="00B050"/>
        </w:rPr>
      </w:pPr>
    </w:p>
    <w:p w:rsidR="00294D7A" w:rsidRDefault="00294D7A" w:rsidP="001C1610">
      <w:pPr>
        <w:jc w:val="both"/>
        <w:rPr>
          <w:color w:val="00B050"/>
        </w:rPr>
      </w:pPr>
    </w:p>
    <w:p w:rsidR="00F60A78" w:rsidRDefault="00F60A78" w:rsidP="001C1610">
      <w:pPr>
        <w:jc w:val="both"/>
        <w:rPr>
          <w:color w:val="00B050"/>
        </w:rPr>
      </w:pPr>
    </w:p>
    <w:p w:rsidR="00F60A78" w:rsidRDefault="00F60A78" w:rsidP="001C1610">
      <w:pPr>
        <w:jc w:val="both"/>
        <w:rPr>
          <w:color w:val="00B050"/>
        </w:rPr>
      </w:pPr>
    </w:p>
    <w:p w:rsidR="00F60A78" w:rsidRDefault="00F60A78" w:rsidP="001C1610">
      <w:pPr>
        <w:jc w:val="both"/>
        <w:rPr>
          <w:color w:val="00B050"/>
        </w:rPr>
      </w:pPr>
    </w:p>
    <w:p w:rsidR="00F60A78" w:rsidRDefault="00F60A78" w:rsidP="001C1610">
      <w:pPr>
        <w:jc w:val="both"/>
        <w:rPr>
          <w:color w:val="00B050"/>
        </w:rPr>
      </w:pPr>
    </w:p>
    <w:p w:rsidR="00F60A78" w:rsidRDefault="00F60A78" w:rsidP="001C1610">
      <w:pPr>
        <w:jc w:val="both"/>
        <w:rPr>
          <w:color w:val="00B050"/>
        </w:rPr>
      </w:pPr>
    </w:p>
    <w:p w:rsidR="00F60A78" w:rsidRDefault="00F60A78" w:rsidP="001C1610">
      <w:pPr>
        <w:jc w:val="both"/>
        <w:rPr>
          <w:color w:val="00B050"/>
        </w:rPr>
      </w:pPr>
    </w:p>
    <w:p w:rsidR="00F60A78" w:rsidRPr="00294D7A" w:rsidRDefault="00F60A78" w:rsidP="001C1610">
      <w:pPr>
        <w:jc w:val="both"/>
        <w:rPr>
          <w:color w:val="00B050"/>
        </w:rPr>
      </w:pPr>
    </w:p>
    <w:p w:rsidR="00294D7A" w:rsidRDefault="00294D7A" w:rsidP="001C1610">
      <w:pPr>
        <w:jc w:val="both"/>
        <w:rPr>
          <w:color w:val="00B050"/>
        </w:rPr>
      </w:pPr>
    </w:p>
    <w:p w:rsidR="002F506C" w:rsidRDefault="002F506C" w:rsidP="001C1610">
      <w:pPr>
        <w:jc w:val="both"/>
        <w:rPr>
          <w:color w:val="00B050"/>
        </w:rPr>
      </w:pPr>
    </w:p>
    <w:p w:rsidR="002F506C" w:rsidRPr="00294D7A" w:rsidRDefault="002F506C" w:rsidP="001C1610">
      <w:pPr>
        <w:jc w:val="both"/>
        <w:rPr>
          <w:color w:val="00B050"/>
        </w:rPr>
      </w:pPr>
    </w:p>
    <w:p w:rsidR="00775687" w:rsidRDefault="00775687" w:rsidP="001C1610">
      <w:pPr>
        <w:jc w:val="both"/>
        <w:rPr>
          <w:color w:val="FF0000"/>
        </w:rPr>
      </w:pPr>
    </w:p>
    <w:p w:rsidR="001C1610" w:rsidRDefault="001C1610" w:rsidP="001C1610">
      <w:pPr>
        <w:jc w:val="both"/>
        <w:rPr>
          <w:color w:val="FF0000"/>
        </w:rPr>
      </w:pPr>
    </w:p>
    <w:p w:rsidR="004F5D5E" w:rsidRPr="00AE0ACF" w:rsidRDefault="004F5D5E" w:rsidP="004F5D5E">
      <w:pPr>
        <w:jc w:val="center"/>
        <w:rPr>
          <w:b/>
          <w:u w:val="single"/>
        </w:rPr>
      </w:pPr>
      <w:r w:rsidRPr="00AE0ACF">
        <w:rPr>
          <w:b/>
          <w:u w:val="single"/>
        </w:rPr>
        <w:lastRenderedPageBreak/>
        <w:t>Bibliography</w:t>
      </w:r>
      <w:bookmarkStart w:id="5" w:name="_GoBack"/>
      <w:bookmarkEnd w:id="5"/>
    </w:p>
    <w:p w:rsidR="004F5D5E" w:rsidRPr="00AE0ACF" w:rsidRDefault="004F5D5E" w:rsidP="004F5D5E">
      <w:pPr>
        <w:rPr>
          <w:b/>
        </w:rPr>
      </w:pPr>
      <w:r w:rsidRPr="00AE0ACF">
        <w:rPr>
          <w:b/>
        </w:rPr>
        <w:t>Primary</w:t>
      </w:r>
      <w:r>
        <w:rPr>
          <w:b/>
        </w:rPr>
        <w:t>:</w:t>
      </w:r>
    </w:p>
    <w:p w:rsidR="004F5D5E" w:rsidRDefault="004F5D5E" w:rsidP="004F5D5E">
      <w:r>
        <w:t xml:space="preserve">Brink, T.L, ‘Inconsistency of Belief among Roman Catholic Girls: Concerning Religion, Astrology, Reincarnation’ </w:t>
      </w:r>
      <w:r>
        <w:rPr>
          <w:i/>
        </w:rPr>
        <w:t xml:space="preserve">Review of Religious Research, </w:t>
      </w:r>
      <w:r>
        <w:t>Vol. 20, No.1 (</w:t>
      </w:r>
      <w:proofErr w:type="gramStart"/>
      <w:r>
        <w:t>Autumn</w:t>
      </w:r>
      <w:proofErr w:type="gramEnd"/>
      <w:r>
        <w:t>, 1978), pp. 82-85.</w:t>
      </w:r>
    </w:p>
    <w:p w:rsidR="004F5D5E" w:rsidRDefault="004F5D5E" w:rsidP="004F5D5E">
      <w:r>
        <w:t xml:space="preserve">Walter, Tony and Waterhouse, Helen, ‘A Very Private Belief: Reincarnation in Contemporary England’ </w:t>
      </w:r>
      <w:r>
        <w:rPr>
          <w:i/>
        </w:rPr>
        <w:t xml:space="preserve">Sociology of Religion, </w:t>
      </w:r>
      <w:r>
        <w:t>Vol. 60, No.2 (</w:t>
      </w:r>
      <w:proofErr w:type="gramStart"/>
      <w:r>
        <w:t>Summer</w:t>
      </w:r>
      <w:proofErr w:type="gramEnd"/>
      <w:r>
        <w:t>, 1999), pp. 187-197.</w:t>
      </w:r>
    </w:p>
    <w:p w:rsidR="004F5D5E" w:rsidRDefault="004F5D5E" w:rsidP="004F5D5E">
      <w:pPr>
        <w:rPr>
          <w:b/>
        </w:rPr>
      </w:pPr>
      <w:r w:rsidRPr="00AE0ACF">
        <w:rPr>
          <w:b/>
        </w:rPr>
        <w:t>Secondary</w:t>
      </w:r>
      <w:r>
        <w:rPr>
          <w:b/>
        </w:rPr>
        <w:t>:</w:t>
      </w:r>
    </w:p>
    <w:p w:rsidR="004F5D5E" w:rsidRDefault="004F5D5E" w:rsidP="004F5D5E">
      <w:proofErr w:type="spellStart"/>
      <w:r>
        <w:t>Bryman</w:t>
      </w:r>
      <w:proofErr w:type="spellEnd"/>
      <w:r>
        <w:t xml:space="preserve">, Alan, </w:t>
      </w:r>
      <w:r>
        <w:rPr>
          <w:i/>
        </w:rPr>
        <w:t xml:space="preserve">Quantity and Quality in Social Research </w:t>
      </w:r>
      <w:r>
        <w:t>(London/New York: Routledge, 1995)</w:t>
      </w:r>
    </w:p>
    <w:p w:rsidR="00714E04" w:rsidRPr="00513D3E" w:rsidRDefault="00714E04" w:rsidP="004F5D5E">
      <w:proofErr w:type="spellStart"/>
      <w:r>
        <w:t>Hennink</w:t>
      </w:r>
      <w:proofErr w:type="spellEnd"/>
      <w:r>
        <w:t xml:space="preserve">, Monique et al </w:t>
      </w:r>
      <w:r>
        <w:rPr>
          <w:i/>
        </w:rPr>
        <w:t xml:space="preserve">Qualitative Research Methods </w:t>
      </w:r>
      <w:r>
        <w:t xml:space="preserve">(London: SAGE Publications, 2011) </w:t>
      </w:r>
    </w:p>
    <w:p w:rsidR="004F5D5E" w:rsidRDefault="004F5D5E" w:rsidP="004F5D5E">
      <w:r>
        <w:t xml:space="preserve">Lester, Stan, ‘An Introduction to Phenomenological Research’ </w:t>
      </w:r>
      <w:hyperlink r:id="rId10" w:history="1">
        <w:r w:rsidRPr="00E77195">
          <w:rPr>
            <w:rStyle w:val="Hyperlink"/>
          </w:rPr>
          <w:t>http://sld.demon.co.uk/resmethv.pdf</w:t>
        </w:r>
      </w:hyperlink>
      <w:r>
        <w:t xml:space="preserve">. (Accessed, January 2019) </w:t>
      </w:r>
    </w:p>
    <w:p w:rsidR="004F5D5E" w:rsidRDefault="004F5D5E" w:rsidP="004F5D5E">
      <w:proofErr w:type="spellStart"/>
      <w:r>
        <w:t>Rabe</w:t>
      </w:r>
      <w:proofErr w:type="spellEnd"/>
      <w:r>
        <w:t xml:space="preserve">, </w:t>
      </w:r>
      <w:proofErr w:type="spellStart"/>
      <w:r>
        <w:t>Marlize</w:t>
      </w:r>
      <w:proofErr w:type="spellEnd"/>
      <w:r>
        <w:t xml:space="preserve">, ‘Revisiting “Insiders” and “Outsiders” as Social Researchers’ </w:t>
      </w:r>
      <w:r>
        <w:rPr>
          <w:i/>
        </w:rPr>
        <w:t xml:space="preserve">African Sociological Review, </w:t>
      </w:r>
      <w:r>
        <w:t>Vol. 7, No. 2 (September, 2003), pp. 149-161.</w:t>
      </w:r>
    </w:p>
    <w:p w:rsidR="004F5D5E" w:rsidRPr="004B4F97" w:rsidRDefault="004F5D5E" w:rsidP="004F5D5E">
      <w:proofErr w:type="spellStart"/>
      <w:r>
        <w:t>Steckler</w:t>
      </w:r>
      <w:proofErr w:type="spellEnd"/>
      <w:r>
        <w:t xml:space="preserve">, Allan et al, ‘Toward Integrating Qualitative and Quantitative Methods: An Introduction’ </w:t>
      </w:r>
      <w:r>
        <w:rPr>
          <w:i/>
        </w:rPr>
        <w:t xml:space="preserve">Health Education Quarterly, </w:t>
      </w:r>
      <w:r>
        <w:t>Vol. 19, No.1 (</w:t>
      </w:r>
      <w:proofErr w:type="gramStart"/>
      <w:r>
        <w:t>Spring</w:t>
      </w:r>
      <w:proofErr w:type="gramEnd"/>
      <w:r>
        <w:t>, 1992), pp. 1-8.</w:t>
      </w:r>
    </w:p>
    <w:p w:rsidR="004F5D5E" w:rsidRPr="00F1613C" w:rsidRDefault="004F5D5E" w:rsidP="004F5D5E">
      <w:pPr>
        <w:rPr>
          <w:color w:val="0563C1" w:themeColor="hyperlink"/>
          <w:u w:val="single"/>
        </w:rPr>
      </w:pPr>
      <w:r w:rsidRPr="00F1613C">
        <w:t xml:space="preserve">Unknown Author, The Research Ethics Guidebook: A Resource for Social Scientists </w:t>
      </w:r>
      <w:hyperlink r:id="rId11" w:history="1">
        <w:r w:rsidRPr="00F1613C">
          <w:rPr>
            <w:rStyle w:val="Hyperlink"/>
          </w:rPr>
          <w:t>http://www.ethicsguidebook.ac.uk/Data-Protection-Act-111</w:t>
        </w:r>
      </w:hyperlink>
      <w:r>
        <w:rPr>
          <w:rStyle w:val="Hyperlink"/>
        </w:rPr>
        <w:t xml:space="preserve">. </w:t>
      </w:r>
      <w:r w:rsidRPr="00F1613C">
        <w:t>(Accessed, January 2019)</w:t>
      </w:r>
    </w:p>
    <w:p w:rsidR="004F5D5E" w:rsidRDefault="004F5D5E" w:rsidP="004F5D5E">
      <w:pPr>
        <w:rPr>
          <w:b/>
        </w:rPr>
      </w:pPr>
    </w:p>
    <w:p w:rsidR="004F5D5E" w:rsidRDefault="004F5D5E" w:rsidP="004F5D5E">
      <w:pPr>
        <w:rPr>
          <w:b/>
        </w:rPr>
      </w:pPr>
    </w:p>
    <w:p w:rsidR="00DF1CB5" w:rsidRDefault="00DF1CB5" w:rsidP="00E3136E">
      <w:pPr>
        <w:jc w:val="both"/>
        <w:rPr>
          <w:color w:val="FF0000"/>
        </w:rPr>
      </w:pPr>
    </w:p>
    <w:p w:rsidR="004F5D5E" w:rsidRDefault="004F5D5E" w:rsidP="00E3136E">
      <w:pPr>
        <w:jc w:val="both"/>
        <w:rPr>
          <w:color w:val="FF0000"/>
        </w:rPr>
      </w:pPr>
    </w:p>
    <w:p w:rsidR="00E835C5" w:rsidRDefault="00E835C5" w:rsidP="00E3136E">
      <w:pPr>
        <w:jc w:val="both"/>
        <w:rPr>
          <w:color w:val="FF0000"/>
        </w:rPr>
      </w:pPr>
    </w:p>
    <w:p w:rsidR="00373FA8" w:rsidRDefault="00373FA8" w:rsidP="00E3136E">
      <w:pPr>
        <w:jc w:val="both"/>
        <w:rPr>
          <w:color w:val="FF0000"/>
        </w:rPr>
      </w:pPr>
    </w:p>
    <w:p w:rsidR="00752A9D" w:rsidRDefault="00752A9D" w:rsidP="00435BD0">
      <w:pPr>
        <w:jc w:val="both"/>
        <w:rPr>
          <w:color w:val="FF0000"/>
        </w:rPr>
      </w:pPr>
    </w:p>
    <w:p w:rsidR="00373FA8" w:rsidRDefault="00373FA8" w:rsidP="00435BD0">
      <w:pPr>
        <w:jc w:val="both"/>
        <w:rPr>
          <w:color w:val="FF0000"/>
        </w:rPr>
      </w:pPr>
    </w:p>
    <w:p w:rsidR="00752A9D" w:rsidRDefault="00752A9D" w:rsidP="00435BD0">
      <w:pPr>
        <w:jc w:val="both"/>
        <w:rPr>
          <w:color w:val="FF0000"/>
        </w:rPr>
      </w:pPr>
    </w:p>
    <w:p w:rsidR="00281D3C" w:rsidRDefault="00281D3C" w:rsidP="00D100BE">
      <w:pPr>
        <w:jc w:val="both"/>
      </w:pPr>
    </w:p>
    <w:p w:rsidR="00300134" w:rsidRDefault="00300134" w:rsidP="00300134">
      <w:pPr>
        <w:jc w:val="both"/>
      </w:pPr>
    </w:p>
    <w:p w:rsidR="00300134" w:rsidRDefault="00300134" w:rsidP="00300134">
      <w:pPr>
        <w:jc w:val="both"/>
      </w:pPr>
    </w:p>
    <w:p w:rsidR="00F54718" w:rsidRDefault="00F54718"/>
    <w:sectPr w:rsidR="00F5471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D3C" w:rsidRDefault="00281D3C" w:rsidP="00281D3C">
      <w:pPr>
        <w:spacing w:after="0" w:line="240" w:lineRule="auto"/>
      </w:pPr>
      <w:r>
        <w:separator/>
      </w:r>
    </w:p>
  </w:endnote>
  <w:endnote w:type="continuationSeparator" w:id="0">
    <w:p w:rsidR="00281D3C" w:rsidRDefault="00281D3C" w:rsidP="00281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B16" w:rsidRDefault="00466B1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B16" w:rsidRDefault="00466B1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B16" w:rsidRDefault="00466B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D3C" w:rsidRDefault="00281D3C" w:rsidP="00281D3C">
      <w:pPr>
        <w:spacing w:after="0" w:line="240" w:lineRule="auto"/>
      </w:pPr>
      <w:r>
        <w:separator/>
      </w:r>
    </w:p>
  </w:footnote>
  <w:footnote w:type="continuationSeparator" w:id="0">
    <w:p w:rsidR="00281D3C" w:rsidRDefault="00281D3C" w:rsidP="00281D3C">
      <w:pPr>
        <w:spacing w:after="0" w:line="240" w:lineRule="auto"/>
      </w:pPr>
      <w:r>
        <w:continuationSeparator/>
      </w:r>
    </w:p>
  </w:footnote>
  <w:footnote w:id="1">
    <w:p w:rsidR="00281D3C" w:rsidRDefault="00281D3C" w:rsidP="00015D37">
      <w:pPr>
        <w:pStyle w:val="NoSpacing"/>
      </w:pPr>
      <w:r>
        <w:rPr>
          <w:rStyle w:val="FootnoteReference"/>
        </w:rPr>
        <w:footnoteRef/>
      </w:r>
      <w:r w:rsidR="00015D37">
        <w:t xml:space="preserve"> </w:t>
      </w:r>
      <w:r w:rsidR="00015D37" w:rsidRPr="00015D37">
        <w:rPr>
          <w:sz w:val="20"/>
          <w:szCs w:val="20"/>
        </w:rPr>
        <w:t xml:space="preserve">T.L Brink, ‘Inconsistency of Belief among Roman Catholic Girls: Concerning Religion, Astrology, Reincarnation’ </w:t>
      </w:r>
      <w:r w:rsidR="00015D37" w:rsidRPr="00015D37">
        <w:rPr>
          <w:i/>
          <w:sz w:val="20"/>
          <w:szCs w:val="20"/>
        </w:rPr>
        <w:t xml:space="preserve">Review of Religious Research, </w:t>
      </w:r>
      <w:r w:rsidR="00015D37" w:rsidRPr="00015D37">
        <w:rPr>
          <w:sz w:val="20"/>
          <w:szCs w:val="20"/>
        </w:rPr>
        <w:t>Vol. 20, No.1 (</w:t>
      </w:r>
      <w:proofErr w:type="gramStart"/>
      <w:r w:rsidR="00015D37" w:rsidRPr="00015D37">
        <w:rPr>
          <w:sz w:val="20"/>
          <w:szCs w:val="20"/>
        </w:rPr>
        <w:t>Autumn</w:t>
      </w:r>
      <w:proofErr w:type="gramEnd"/>
      <w:r w:rsidR="00015D37" w:rsidRPr="00015D37">
        <w:rPr>
          <w:sz w:val="20"/>
          <w:szCs w:val="20"/>
        </w:rPr>
        <w:t xml:space="preserve">, 1978), pp. 82-85; Tony, Walter and Helen Waterhouse, ‘A Very Private Belief: Reincarnation in Contemporary England’ </w:t>
      </w:r>
      <w:r w:rsidR="00015D37" w:rsidRPr="00015D37">
        <w:rPr>
          <w:i/>
          <w:sz w:val="20"/>
          <w:szCs w:val="20"/>
        </w:rPr>
        <w:t xml:space="preserve">Sociology of Religion, </w:t>
      </w:r>
      <w:r w:rsidR="00015D37" w:rsidRPr="00015D37">
        <w:rPr>
          <w:sz w:val="20"/>
          <w:szCs w:val="20"/>
        </w:rPr>
        <w:t>Vol. 60, No.2 (Summer, 1999), pp. 187-197.</w:t>
      </w:r>
      <w:r w:rsidR="00015D37">
        <w:t xml:space="preserve"> </w:t>
      </w:r>
    </w:p>
  </w:footnote>
  <w:footnote w:id="2">
    <w:p w:rsidR="00C64D6A" w:rsidRDefault="00C64D6A" w:rsidP="00C64D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15D37">
        <w:t xml:space="preserve">T.L </w:t>
      </w:r>
      <w:r>
        <w:t>Brink</w:t>
      </w:r>
      <w:r w:rsidR="00015D37">
        <w:t>, ‘Inconsistency of Belief’</w:t>
      </w:r>
      <w:r>
        <w:t xml:space="preserve"> p. 82</w:t>
      </w:r>
    </w:p>
  </w:footnote>
  <w:footnote w:id="3">
    <w:p w:rsidR="00C64D6A" w:rsidRDefault="00C64D6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15D37">
        <w:t xml:space="preserve">Tony Walter and Helen Waterhouse, ‘A Very Private Belief’ p.189-190 </w:t>
      </w:r>
    </w:p>
  </w:footnote>
  <w:footnote w:id="4">
    <w:p w:rsidR="00A534A0" w:rsidRDefault="00A534A0" w:rsidP="00A534A0">
      <w:pPr>
        <w:pStyle w:val="FootnoteText"/>
      </w:pPr>
      <w:r>
        <w:rPr>
          <w:rStyle w:val="FootnoteReference"/>
        </w:rPr>
        <w:footnoteRef/>
      </w:r>
      <w:r>
        <w:t xml:space="preserve"> Unknown Author, The Research Ethics Guidebook: A Resource for Social Scientists </w:t>
      </w:r>
      <w:hyperlink r:id="rId1" w:history="1">
        <w:r w:rsidRPr="000956AC">
          <w:rPr>
            <w:rStyle w:val="Hyperlink"/>
          </w:rPr>
          <w:t>http://www.ethicsguidebook.ac.uk/Data-Protection-Act-111</w:t>
        </w:r>
      </w:hyperlink>
      <w:r>
        <w:rPr>
          <w:rStyle w:val="Hyperlink"/>
        </w:rPr>
        <w:t>.</w:t>
      </w:r>
      <w:r>
        <w:t xml:space="preserve"> (Accessed, January 2019); Monique </w:t>
      </w:r>
      <w:proofErr w:type="spellStart"/>
      <w:r>
        <w:t>Hennink</w:t>
      </w:r>
      <w:proofErr w:type="spellEnd"/>
      <w:r>
        <w:t xml:space="preserve">, </w:t>
      </w:r>
      <w:proofErr w:type="spellStart"/>
      <w:r>
        <w:t>Inge</w:t>
      </w:r>
      <w:proofErr w:type="spellEnd"/>
      <w:r>
        <w:t xml:space="preserve"> </w:t>
      </w:r>
      <w:proofErr w:type="spellStart"/>
      <w:r>
        <w:t>Hutter</w:t>
      </w:r>
      <w:proofErr w:type="spellEnd"/>
      <w:r>
        <w:t xml:space="preserve"> and Ajay Bailey </w:t>
      </w:r>
      <w:r>
        <w:rPr>
          <w:i/>
        </w:rPr>
        <w:t xml:space="preserve">Qualitative Research Methods </w:t>
      </w:r>
      <w:r>
        <w:t>(London: SAGE Publications, 2011) p. 64</w:t>
      </w:r>
    </w:p>
  </w:footnote>
  <w:footnote w:id="5">
    <w:p w:rsidR="002F65A2" w:rsidRPr="00417BCC" w:rsidRDefault="002F65A2" w:rsidP="00EA2571">
      <w:pPr>
        <w:pStyle w:val="FootnoteText"/>
      </w:pPr>
      <w:r w:rsidRPr="00417BCC">
        <w:rPr>
          <w:rStyle w:val="FootnoteReference"/>
        </w:rPr>
        <w:footnoteRef/>
      </w:r>
      <w:r w:rsidRPr="00417BCC">
        <w:t xml:space="preserve"> </w:t>
      </w:r>
      <w:r w:rsidR="00EA2571">
        <w:t xml:space="preserve">Monique </w:t>
      </w:r>
      <w:proofErr w:type="spellStart"/>
      <w:r w:rsidR="00EA2571">
        <w:t>Hennink</w:t>
      </w:r>
      <w:proofErr w:type="spellEnd"/>
      <w:r w:rsidR="00EA2571">
        <w:t xml:space="preserve"> et al </w:t>
      </w:r>
      <w:r w:rsidR="00EA2571">
        <w:rPr>
          <w:i/>
        </w:rPr>
        <w:t xml:space="preserve">Qualitative Research Methods </w:t>
      </w:r>
      <w:r w:rsidR="00A354FA">
        <w:t>p. 16</w:t>
      </w:r>
      <w:r w:rsidR="00EA2571">
        <w:t xml:space="preserve">; </w:t>
      </w:r>
      <w:r w:rsidR="00417BCC" w:rsidRPr="00417BCC">
        <w:t>Allan</w:t>
      </w:r>
      <w:r w:rsidR="00417BCC">
        <w:t xml:space="preserve"> </w:t>
      </w:r>
      <w:proofErr w:type="spellStart"/>
      <w:r w:rsidR="00417BCC" w:rsidRPr="00417BCC">
        <w:t>Steckler</w:t>
      </w:r>
      <w:proofErr w:type="spellEnd"/>
      <w:r w:rsidR="00417BCC" w:rsidRPr="00417BCC">
        <w:t xml:space="preserve"> et al, ‘Toward Integrating Qualitative and Quantitative Methods: An Introduction’ </w:t>
      </w:r>
      <w:r w:rsidR="00417BCC" w:rsidRPr="00417BCC">
        <w:rPr>
          <w:i/>
        </w:rPr>
        <w:t xml:space="preserve">Health Education Quarterly, </w:t>
      </w:r>
      <w:r w:rsidR="00417BCC" w:rsidRPr="00417BCC">
        <w:t>Vol. 19, No.1 (</w:t>
      </w:r>
      <w:proofErr w:type="gramStart"/>
      <w:r w:rsidR="00417BCC" w:rsidRPr="00417BCC">
        <w:t>Spring</w:t>
      </w:r>
      <w:proofErr w:type="gramEnd"/>
      <w:r w:rsidR="00417BCC" w:rsidRPr="00417BCC">
        <w:t xml:space="preserve">, 1992), p. 1; Alan </w:t>
      </w:r>
      <w:proofErr w:type="spellStart"/>
      <w:r w:rsidR="00417BCC" w:rsidRPr="00417BCC">
        <w:t>Bryman</w:t>
      </w:r>
      <w:proofErr w:type="spellEnd"/>
      <w:r w:rsidR="00417BCC" w:rsidRPr="00417BCC">
        <w:t xml:space="preserve">, </w:t>
      </w:r>
      <w:r w:rsidR="00417BCC" w:rsidRPr="00417BCC">
        <w:rPr>
          <w:i/>
        </w:rPr>
        <w:t xml:space="preserve">Quantity and Quality in Social Research </w:t>
      </w:r>
      <w:r w:rsidR="00417BCC" w:rsidRPr="00417BCC">
        <w:t>(London/New York: Routledge, 1995) p. 1.</w:t>
      </w:r>
    </w:p>
  </w:footnote>
  <w:footnote w:id="6">
    <w:p w:rsidR="002F65A2" w:rsidRDefault="002F65A2" w:rsidP="002F65A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17BCC">
        <w:t xml:space="preserve">Allan </w:t>
      </w:r>
      <w:proofErr w:type="spellStart"/>
      <w:r w:rsidR="00417BCC">
        <w:t>Steckler</w:t>
      </w:r>
      <w:proofErr w:type="spellEnd"/>
      <w:r w:rsidR="00417BCC">
        <w:t xml:space="preserve"> et al, ‘Toward Integrating Qualitative and Quantitative Methods’ p. 1</w:t>
      </w:r>
    </w:p>
  </w:footnote>
  <w:footnote w:id="7">
    <w:p w:rsidR="00B44A99" w:rsidRDefault="00B44A99" w:rsidP="00B44A9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17BCC">
        <w:t xml:space="preserve">Allan </w:t>
      </w:r>
      <w:proofErr w:type="spellStart"/>
      <w:r w:rsidR="00417BCC">
        <w:t>Steckler</w:t>
      </w:r>
      <w:proofErr w:type="spellEnd"/>
      <w:r w:rsidR="00417BCC">
        <w:t xml:space="preserve"> et al, ‘Toward Integrating Qualitative and Quantitative Methods’ p. 1</w:t>
      </w:r>
    </w:p>
  </w:footnote>
  <w:footnote w:id="8">
    <w:p w:rsidR="003D26AF" w:rsidRDefault="003D26AF">
      <w:pPr>
        <w:pStyle w:val="FootnoteText"/>
      </w:pPr>
      <w:r>
        <w:rPr>
          <w:rStyle w:val="FootnoteReference"/>
        </w:rPr>
        <w:footnoteRef/>
      </w:r>
      <w:r w:rsidR="004E0667">
        <w:t xml:space="preserve"> Alan </w:t>
      </w:r>
      <w:proofErr w:type="spellStart"/>
      <w:r w:rsidR="004E0667">
        <w:t>Bryman</w:t>
      </w:r>
      <w:proofErr w:type="spellEnd"/>
      <w:r w:rsidR="00417BCC">
        <w:t xml:space="preserve"> </w:t>
      </w:r>
      <w:r w:rsidR="00417BCC">
        <w:rPr>
          <w:i/>
        </w:rPr>
        <w:t xml:space="preserve">Quantity and Quality </w:t>
      </w:r>
      <w:r w:rsidR="00417BCC">
        <w:t>p.</w:t>
      </w:r>
      <w:r w:rsidR="004E0667">
        <w:t xml:space="preserve"> 46</w:t>
      </w:r>
    </w:p>
  </w:footnote>
  <w:footnote w:id="9">
    <w:p w:rsidR="000D46D2" w:rsidRDefault="000D46D2" w:rsidP="00417BCC">
      <w:pPr>
        <w:pStyle w:val="NoSpacing"/>
      </w:pPr>
      <w:r>
        <w:rPr>
          <w:rStyle w:val="FootnoteReference"/>
        </w:rPr>
        <w:footnoteRef/>
      </w:r>
      <w:r>
        <w:t xml:space="preserve"> </w:t>
      </w:r>
      <w:r w:rsidRPr="00417BCC">
        <w:rPr>
          <w:sz w:val="20"/>
          <w:szCs w:val="20"/>
        </w:rPr>
        <w:t>Stan Lester</w:t>
      </w:r>
      <w:r w:rsidR="00417BCC" w:rsidRPr="00417BCC">
        <w:rPr>
          <w:sz w:val="20"/>
          <w:szCs w:val="20"/>
        </w:rPr>
        <w:t xml:space="preserve"> ‘An Introduction to Phenomenological Research’ </w:t>
      </w:r>
      <w:hyperlink r:id="rId2" w:history="1">
        <w:r w:rsidR="00417BCC" w:rsidRPr="00417BCC">
          <w:rPr>
            <w:rStyle w:val="Hyperlink"/>
            <w:sz w:val="20"/>
            <w:szCs w:val="20"/>
          </w:rPr>
          <w:t>http://sld.demon.co.uk/resmethv.pdf</w:t>
        </w:r>
      </w:hyperlink>
      <w:r w:rsidR="00417BCC" w:rsidRPr="00417BCC">
        <w:rPr>
          <w:sz w:val="20"/>
          <w:szCs w:val="20"/>
        </w:rPr>
        <w:t>. (Accessed, January 2019) p. 2</w:t>
      </w:r>
    </w:p>
  </w:footnote>
  <w:footnote w:id="10">
    <w:p w:rsidR="00D620F8" w:rsidRDefault="00D620F8" w:rsidP="00D620F8">
      <w:pPr>
        <w:pStyle w:val="FootnoteText"/>
      </w:pPr>
      <w:r>
        <w:rPr>
          <w:rStyle w:val="FootnoteReference"/>
        </w:rPr>
        <w:footnoteRef/>
      </w:r>
      <w:r w:rsidR="00A72221">
        <w:t xml:space="preserve"> Stan Lester,</w:t>
      </w:r>
      <w:r w:rsidR="00A72221" w:rsidRPr="00417BCC">
        <w:t xml:space="preserve"> ‘An Introduction to Phenomenological Research’ </w:t>
      </w:r>
      <w:r>
        <w:t>p. 2</w:t>
      </w:r>
      <w:r w:rsidR="00A72221">
        <w:t xml:space="preserve">; </w:t>
      </w:r>
      <w:r w:rsidR="00807C3A">
        <w:t xml:space="preserve"> </w:t>
      </w:r>
      <w:r w:rsidR="00A72221">
        <w:t xml:space="preserve">Tony Walter and Helen Waterhouse, ‘A Very Private Belief’ </w:t>
      </w:r>
      <w:r w:rsidR="00807C3A">
        <w:t>p. 187</w:t>
      </w:r>
    </w:p>
  </w:footnote>
  <w:footnote w:id="11">
    <w:p w:rsidR="008E3449" w:rsidRDefault="008E3449" w:rsidP="008E3449">
      <w:pPr>
        <w:pStyle w:val="FootnoteText"/>
      </w:pPr>
      <w:r>
        <w:rPr>
          <w:rStyle w:val="FootnoteReference"/>
        </w:rPr>
        <w:footnoteRef/>
      </w:r>
      <w:r>
        <w:t xml:space="preserve"> Stan Lester</w:t>
      </w:r>
      <w:r w:rsidR="00A72221">
        <w:t>,</w:t>
      </w:r>
      <w:r w:rsidR="00A72221" w:rsidRPr="00417BCC">
        <w:t xml:space="preserve"> ‘An Introduction to Phenomenological Research</w:t>
      </w:r>
      <w:r w:rsidR="00A72221">
        <w:t>’</w:t>
      </w:r>
      <w:r>
        <w:t xml:space="preserve"> p. 2</w:t>
      </w:r>
    </w:p>
  </w:footnote>
  <w:footnote w:id="12">
    <w:p w:rsidR="008E3449" w:rsidRDefault="008E3449" w:rsidP="008E3449">
      <w:pPr>
        <w:pStyle w:val="FootnoteText"/>
      </w:pPr>
      <w:r>
        <w:rPr>
          <w:rStyle w:val="FootnoteReference"/>
        </w:rPr>
        <w:footnoteRef/>
      </w:r>
      <w:r>
        <w:t xml:space="preserve"> Stan Lester</w:t>
      </w:r>
      <w:r w:rsidR="00A72221">
        <w:t>,</w:t>
      </w:r>
      <w:r w:rsidR="00A72221" w:rsidRPr="00417BCC">
        <w:t xml:space="preserve"> ‘An Introduction to Phenomenological Research’ </w:t>
      </w:r>
      <w:r w:rsidR="00A72221">
        <w:t xml:space="preserve">p. 2; </w:t>
      </w:r>
      <w:r w:rsidR="001C4C86">
        <w:t xml:space="preserve"> </w:t>
      </w:r>
      <w:r w:rsidR="00A72221">
        <w:t xml:space="preserve">Alan </w:t>
      </w:r>
      <w:proofErr w:type="spellStart"/>
      <w:r w:rsidR="00A72221">
        <w:t>Bryman</w:t>
      </w:r>
      <w:proofErr w:type="spellEnd"/>
      <w:r w:rsidR="00A72221">
        <w:t xml:space="preserve"> </w:t>
      </w:r>
      <w:r w:rsidR="00A72221">
        <w:rPr>
          <w:i/>
        </w:rPr>
        <w:t xml:space="preserve">Quantity and Quality </w:t>
      </w:r>
      <w:r w:rsidR="00A72221">
        <w:t>p. 46</w:t>
      </w:r>
    </w:p>
  </w:footnote>
  <w:footnote w:id="13">
    <w:p w:rsidR="004F0F35" w:rsidRDefault="004F0F35" w:rsidP="004F0F3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72221">
        <w:t>Stan Lester,</w:t>
      </w:r>
      <w:r w:rsidR="00A72221" w:rsidRPr="00417BCC">
        <w:t xml:space="preserve"> ‘An Introduction to Phenomenological Research’ </w:t>
      </w:r>
      <w:r w:rsidR="00A72221">
        <w:t xml:space="preserve">p. 2;  Alan </w:t>
      </w:r>
      <w:proofErr w:type="spellStart"/>
      <w:r w:rsidR="00A72221">
        <w:t>Bryman</w:t>
      </w:r>
      <w:proofErr w:type="spellEnd"/>
      <w:r w:rsidR="00A72221">
        <w:t xml:space="preserve"> </w:t>
      </w:r>
      <w:r w:rsidR="00A72221">
        <w:rPr>
          <w:i/>
        </w:rPr>
        <w:t xml:space="preserve">Quantity and Quality </w:t>
      </w:r>
      <w:r w:rsidR="00A72221">
        <w:t>p. 46</w:t>
      </w:r>
    </w:p>
  </w:footnote>
  <w:footnote w:id="14">
    <w:p w:rsidR="0001512C" w:rsidRPr="00556690" w:rsidRDefault="0001512C" w:rsidP="00556690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556690" w:rsidRPr="00556690">
        <w:rPr>
          <w:sz w:val="20"/>
          <w:szCs w:val="20"/>
        </w:rPr>
        <w:t>Marlize</w:t>
      </w:r>
      <w:proofErr w:type="spellEnd"/>
      <w:r w:rsidR="00556690" w:rsidRPr="00556690">
        <w:rPr>
          <w:sz w:val="20"/>
          <w:szCs w:val="20"/>
        </w:rPr>
        <w:t xml:space="preserve"> </w:t>
      </w:r>
      <w:proofErr w:type="spellStart"/>
      <w:r w:rsidR="00556690" w:rsidRPr="00556690">
        <w:rPr>
          <w:sz w:val="20"/>
          <w:szCs w:val="20"/>
        </w:rPr>
        <w:t>Rabe</w:t>
      </w:r>
      <w:proofErr w:type="spellEnd"/>
      <w:r w:rsidR="00556690" w:rsidRPr="00556690">
        <w:rPr>
          <w:sz w:val="20"/>
          <w:szCs w:val="20"/>
        </w:rPr>
        <w:t xml:space="preserve">, ‘Revisiting “Insiders” and “Outsiders” as Social Researchers’ </w:t>
      </w:r>
      <w:r w:rsidR="00556690" w:rsidRPr="00556690">
        <w:rPr>
          <w:i/>
          <w:sz w:val="20"/>
          <w:szCs w:val="20"/>
        </w:rPr>
        <w:t xml:space="preserve">African Sociological Review, </w:t>
      </w:r>
      <w:r w:rsidR="00556690" w:rsidRPr="00556690">
        <w:rPr>
          <w:sz w:val="20"/>
          <w:szCs w:val="20"/>
        </w:rPr>
        <w:t>Vol. 7, No. 2 (September, 2003), p. 150.</w:t>
      </w:r>
    </w:p>
  </w:footnote>
  <w:footnote w:id="15">
    <w:p w:rsidR="00E835C5" w:rsidRDefault="00E835C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A4B58">
        <w:t xml:space="preserve">Alan </w:t>
      </w:r>
      <w:proofErr w:type="spellStart"/>
      <w:r w:rsidR="00AA4B58">
        <w:t>Bryman</w:t>
      </w:r>
      <w:proofErr w:type="spellEnd"/>
      <w:r w:rsidR="00AA4B58">
        <w:t xml:space="preserve"> </w:t>
      </w:r>
      <w:r w:rsidR="00AA4B58">
        <w:rPr>
          <w:i/>
        </w:rPr>
        <w:t>Quantity and Quality</w:t>
      </w:r>
      <w:r>
        <w:t xml:space="preserve"> p. 3</w:t>
      </w:r>
    </w:p>
  </w:footnote>
  <w:footnote w:id="16">
    <w:p w:rsidR="00E97D22" w:rsidRDefault="00E97D22" w:rsidP="00E97D22">
      <w:pPr>
        <w:pStyle w:val="FootnoteText"/>
      </w:pPr>
      <w:r>
        <w:rPr>
          <w:rStyle w:val="FootnoteReference"/>
        </w:rPr>
        <w:footnoteRef/>
      </w:r>
      <w:r>
        <w:t xml:space="preserve"> Alan </w:t>
      </w:r>
      <w:proofErr w:type="spellStart"/>
      <w:r>
        <w:t>Bryman</w:t>
      </w:r>
      <w:proofErr w:type="spellEnd"/>
      <w:r w:rsidR="00AA4B58">
        <w:t xml:space="preserve"> </w:t>
      </w:r>
      <w:r w:rsidR="00AA4B58">
        <w:rPr>
          <w:i/>
        </w:rPr>
        <w:t>Quantity and Quality</w:t>
      </w:r>
      <w:r>
        <w:t xml:space="preserve"> p. 3; T.L Brink p. 83 and 82</w:t>
      </w:r>
    </w:p>
  </w:footnote>
  <w:footnote w:id="17">
    <w:p w:rsidR="00BE35AE" w:rsidRDefault="00BE35AE" w:rsidP="00BE35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A4B58">
        <w:t xml:space="preserve">T.L Brink, ‘Inconsistency of Belief’ </w:t>
      </w:r>
      <w:r>
        <w:t>p.82</w:t>
      </w:r>
    </w:p>
  </w:footnote>
  <w:footnote w:id="18">
    <w:p w:rsidR="00260491" w:rsidRDefault="00260491" w:rsidP="002604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A4B58">
        <w:t xml:space="preserve">T.L Brink, ‘Inconsistency of Belief’ </w:t>
      </w:r>
      <w:r>
        <w:t>p.83</w:t>
      </w:r>
    </w:p>
  </w:footnote>
  <w:footnote w:id="19">
    <w:p w:rsidR="00B66F7A" w:rsidRDefault="00B66F7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A4B58">
        <w:t xml:space="preserve">Allan </w:t>
      </w:r>
      <w:proofErr w:type="spellStart"/>
      <w:r w:rsidR="00AA4B58">
        <w:t>Steckler</w:t>
      </w:r>
      <w:proofErr w:type="spellEnd"/>
      <w:r w:rsidR="00AA4B58">
        <w:t xml:space="preserve"> et al, ‘Toward Integrating Qualitative and Quantitative Methods’ </w:t>
      </w:r>
      <w:r>
        <w:t>p. 3</w:t>
      </w:r>
    </w:p>
  </w:footnote>
  <w:footnote w:id="20">
    <w:p w:rsidR="00260491" w:rsidRDefault="00260491" w:rsidP="002604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Marlize</w:t>
      </w:r>
      <w:proofErr w:type="spellEnd"/>
      <w:r>
        <w:t xml:space="preserve"> </w:t>
      </w:r>
      <w:proofErr w:type="spellStart"/>
      <w:r>
        <w:t>Rabe</w:t>
      </w:r>
      <w:proofErr w:type="spellEnd"/>
      <w:r>
        <w:t xml:space="preserve"> </w:t>
      </w:r>
      <w:r w:rsidR="00AA4B58">
        <w:t xml:space="preserve">‘Revisiting “Insiders” and “Outsiders” as Social Researchers’ </w:t>
      </w:r>
      <w:r>
        <w:t>p. 150</w:t>
      </w:r>
    </w:p>
  </w:footnote>
  <w:footnote w:id="21">
    <w:p w:rsidR="00905244" w:rsidRDefault="00905244" w:rsidP="00905244">
      <w:pPr>
        <w:pStyle w:val="FootnoteText"/>
      </w:pPr>
      <w:r>
        <w:rPr>
          <w:rStyle w:val="FootnoteReference"/>
        </w:rPr>
        <w:footnoteRef/>
      </w:r>
      <w:r w:rsidR="006C1F18">
        <w:t xml:space="preserve"> Allan </w:t>
      </w:r>
      <w:proofErr w:type="spellStart"/>
      <w:r w:rsidR="006C1F18">
        <w:t>Steckler</w:t>
      </w:r>
      <w:proofErr w:type="spellEnd"/>
      <w:r w:rsidR="006C1F18">
        <w:t xml:space="preserve"> et al, ‘Toward Integrating Qualitative and Quantitative Methods’</w:t>
      </w:r>
      <w:r>
        <w:t xml:space="preserve"> p.2</w:t>
      </w:r>
    </w:p>
  </w:footnote>
  <w:footnote w:id="22">
    <w:p w:rsidR="0091650B" w:rsidRDefault="0091650B" w:rsidP="009165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C1F18">
        <w:t xml:space="preserve">T.L Brink, ‘Inconsistency of Belief’ </w:t>
      </w:r>
      <w:r>
        <w:t>p. 84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B16" w:rsidRDefault="00466B1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52"/>
      <w:gridCol w:w="8090"/>
    </w:tblGrid>
    <w:tr w:rsidR="00466B16">
      <w:tc>
        <w:tcPr>
          <w:tcW w:w="1152" w:type="dxa"/>
        </w:tcPr>
        <w:p w:rsidR="00466B16" w:rsidRDefault="00466B16">
          <w:pPr>
            <w:pStyle w:val="Header"/>
            <w:jc w:val="right"/>
            <w:rPr>
              <w:b/>
              <w:bCs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C534DC">
            <w:rPr>
              <w:noProof/>
            </w:rPr>
            <w:t>7</w:t>
          </w:r>
          <w:r>
            <w:rPr>
              <w:noProof/>
            </w:rPr>
            <w:fldChar w:fldCharType="end"/>
          </w:r>
        </w:p>
      </w:tc>
      <w:tc>
        <w:tcPr>
          <w:tcW w:w="0" w:type="auto"/>
          <w:noWrap/>
        </w:tcPr>
        <w:p w:rsidR="00466B16" w:rsidRDefault="00466B16" w:rsidP="00466B16">
          <w:pPr>
            <w:pStyle w:val="Header"/>
            <w:rPr>
              <w:b/>
              <w:bCs/>
            </w:rPr>
          </w:pPr>
          <w:r>
            <w:t>Michelle Holgate  1604596</w:t>
          </w:r>
        </w:p>
      </w:tc>
    </w:tr>
  </w:tbl>
  <w:p w:rsidR="00466B16" w:rsidRDefault="00466B1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B16" w:rsidRDefault="00466B1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134"/>
    <w:rsid w:val="0001512C"/>
    <w:rsid w:val="00015D37"/>
    <w:rsid w:val="00046C3B"/>
    <w:rsid w:val="00092E32"/>
    <w:rsid w:val="000A2129"/>
    <w:rsid w:val="000A4B53"/>
    <w:rsid w:val="000C568A"/>
    <w:rsid w:val="000C5BF5"/>
    <w:rsid w:val="000D46D2"/>
    <w:rsid w:val="000F2CE8"/>
    <w:rsid w:val="000F2EE9"/>
    <w:rsid w:val="00102909"/>
    <w:rsid w:val="0011247E"/>
    <w:rsid w:val="0011569B"/>
    <w:rsid w:val="00116090"/>
    <w:rsid w:val="00130123"/>
    <w:rsid w:val="00130CCA"/>
    <w:rsid w:val="001310A7"/>
    <w:rsid w:val="00157360"/>
    <w:rsid w:val="00162734"/>
    <w:rsid w:val="0017739D"/>
    <w:rsid w:val="00192D1E"/>
    <w:rsid w:val="001A11E4"/>
    <w:rsid w:val="001A2510"/>
    <w:rsid w:val="001C1610"/>
    <w:rsid w:val="001C4C86"/>
    <w:rsid w:val="001D2A6D"/>
    <w:rsid w:val="001E59AA"/>
    <w:rsid w:val="00251A61"/>
    <w:rsid w:val="00260491"/>
    <w:rsid w:val="00275A04"/>
    <w:rsid w:val="00281D3C"/>
    <w:rsid w:val="00281FED"/>
    <w:rsid w:val="00294D7A"/>
    <w:rsid w:val="002B7B57"/>
    <w:rsid w:val="002E58AA"/>
    <w:rsid w:val="002E60FB"/>
    <w:rsid w:val="002F506C"/>
    <w:rsid w:val="002F5198"/>
    <w:rsid w:val="002F65A2"/>
    <w:rsid w:val="00300134"/>
    <w:rsid w:val="00313035"/>
    <w:rsid w:val="003159FB"/>
    <w:rsid w:val="003376A0"/>
    <w:rsid w:val="003402BB"/>
    <w:rsid w:val="00346EBC"/>
    <w:rsid w:val="00354B06"/>
    <w:rsid w:val="0036766B"/>
    <w:rsid w:val="00373FA8"/>
    <w:rsid w:val="003A7CA4"/>
    <w:rsid w:val="003C1746"/>
    <w:rsid w:val="003D26AF"/>
    <w:rsid w:val="003D7D5F"/>
    <w:rsid w:val="003E2A90"/>
    <w:rsid w:val="00413CA3"/>
    <w:rsid w:val="00417BCC"/>
    <w:rsid w:val="00435BD0"/>
    <w:rsid w:val="00466B16"/>
    <w:rsid w:val="00480D15"/>
    <w:rsid w:val="00490F29"/>
    <w:rsid w:val="00494827"/>
    <w:rsid w:val="004B02C4"/>
    <w:rsid w:val="004B1028"/>
    <w:rsid w:val="004B1BC3"/>
    <w:rsid w:val="004B365C"/>
    <w:rsid w:val="004D4E21"/>
    <w:rsid w:val="004E0667"/>
    <w:rsid w:val="004E4B90"/>
    <w:rsid w:val="004E7080"/>
    <w:rsid w:val="004F0F35"/>
    <w:rsid w:val="004F5D5E"/>
    <w:rsid w:val="00502EE3"/>
    <w:rsid w:val="00524DF0"/>
    <w:rsid w:val="00526F1D"/>
    <w:rsid w:val="00543F8B"/>
    <w:rsid w:val="0054497C"/>
    <w:rsid w:val="00551AA6"/>
    <w:rsid w:val="00556690"/>
    <w:rsid w:val="00561FBD"/>
    <w:rsid w:val="0056212B"/>
    <w:rsid w:val="005723F4"/>
    <w:rsid w:val="005A35CA"/>
    <w:rsid w:val="005D0EBB"/>
    <w:rsid w:val="005E3929"/>
    <w:rsid w:val="005E6E2B"/>
    <w:rsid w:val="0060444A"/>
    <w:rsid w:val="00605B43"/>
    <w:rsid w:val="00641732"/>
    <w:rsid w:val="00655D28"/>
    <w:rsid w:val="0066268A"/>
    <w:rsid w:val="00674188"/>
    <w:rsid w:val="00683901"/>
    <w:rsid w:val="006A7957"/>
    <w:rsid w:val="006B3C25"/>
    <w:rsid w:val="006C1F18"/>
    <w:rsid w:val="006C5CD4"/>
    <w:rsid w:val="006C6F72"/>
    <w:rsid w:val="006C7A02"/>
    <w:rsid w:val="006E1B75"/>
    <w:rsid w:val="006F1255"/>
    <w:rsid w:val="00714566"/>
    <w:rsid w:val="00714E04"/>
    <w:rsid w:val="0072212A"/>
    <w:rsid w:val="00726831"/>
    <w:rsid w:val="007275EC"/>
    <w:rsid w:val="00752A9D"/>
    <w:rsid w:val="00756E0A"/>
    <w:rsid w:val="007705A0"/>
    <w:rsid w:val="0077110F"/>
    <w:rsid w:val="00774CD8"/>
    <w:rsid w:val="00775687"/>
    <w:rsid w:val="00790CD8"/>
    <w:rsid w:val="007A306F"/>
    <w:rsid w:val="007A6350"/>
    <w:rsid w:val="007B44A1"/>
    <w:rsid w:val="007D775D"/>
    <w:rsid w:val="007F1659"/>
    <w:rsid w:val="00807C3A"/>
    <w:rsid w:val="008218E6"/>
    <w:rsid w:val="008335EF"/>
    <w:rsid w:val="00856DFF"/>
    <w:rsid w:val="00863E64"/>
    <w:rsid w:val="00882CFF"/>
    <w:rsid w:val="00893ED1"/>
    <w:rsid w:val="00895763"/>
    <w:rsid w:val="00896837"/>
    <w:rsid w:val="008A18E4"/>
    <w:rsid w:val="008B725A"/>
    <w:rsid w:val="008D0FB2"/>
    <w:rsid w:val="008D63C4"/>
    <w:rsid w:val="008E3449"/>
    <w:rsid w:val="008E5541"/>
    <w:rsid w:val="008F07A4"/>
    <w:rsid w:val="00904997"/>
    <w:rsid w:val="00905244"/>
    <w:rsid w:val="00906D37"/>
    <w:rsid w:val="0091650B"/>
    <w:rsid w:val="00985974"/>
    <w:rsid w:val="009A0976"/>
    <w:rsid w:val="009A0F1D"/>
    <w:rsid w:val="009B7EBC"/>
    <w:rsid w:val="009D0011"/>
    <w:rsid w:val="009D2555"/>
    <w:rsid w:val="009E6728"/>
    <w:rsid w:val="00A144A8"/>
    <w:rsid w:val="00A174D0"/>
    <w:rsid w:val="00A17CA5"/>
    <w:rsid w:val="00A2244D"/>
    <w:rsid w:val="00A30C1E"/>
    <w:rsid w:val="00A3335B"/>
    <w:rsid w:val="00A354FA"/>
    <w:rsid w:val="00A4576B"/>
    <w:rsid w:val="00A534A0"/>
    <w:rsid w:val="00A6273D"/>
    <w:rsid w:val="00A72221"/>
    <w:rsid w:val="00A958D2"/>
    <w:rsid w:val="00AA4B58"/>
    <w:rsid w:val="00AB0D91"/>
    <w:rsid w:val="00AB3648"/>
    <w:rsid w:val="00AD14B3"/>
    <w:rsid w:val="00AD382F"/>
    <w:rsid w:val="00AD6017"/>
    <w:rsid w:val="00AF706A"/>
    <w:rsid w:val="00B05782"/>
    <w:rsid w:val="00B20D3F"/>
    <w:rsid w:val="00B240AB"/>
    <w:rsid w:val="00B265B4"/>
    <w:rsid w:val="00B44A99"/>
    <w:rsid w:val="00B6160A"/>
    <w:rsid w:val="00B66F7A"/>
    <w:rsid w:val="00B8429C"/>
    <w:rsid w:val="00B86939"/>
    <w:rsid w:val="00BB6287"/>
    <w:rsid w:val="00BE35AE"/>
    <w:rsid w:val="00C20175"/>
    <w:rsid w:val="00C26171"/>
    <w:rsid w:val="00C35F5E"/>
    <w:rsid w:val="00C534DC"/>
    <w:rsid w:val="00C57FBD"/>
    <w:rsid w:val="00C64D6A"/>
    <w:rsid w:val="00C73E5A"/>
    <w:rsid w:val="00C87936"/>
    <w:rsid w:val="00C93E81"/>
    <w:rsid w:val="00CB1A38"/>
    <w:rsid w:val="00CF648D"/>
    <w:rsid w:val="00CF7DA1"/>
    <w:rsid w:val="00D03835"/>
    <w:rsid w:val="00D100BE"/>
    <w:rsid w:val="00D17A03"/>
    <w:rsid w:val="00D36D83"/>
    <w:rsid w:val="00D54207"/>
    <w:rsid w:val="00D620F8"/>
    <w:rsid w:val="00D71399"/>
    <w:rsid w:val="00D8202B"/>
    <w:rsid w:val="00DB65E0"/>
    <w:rsid w:val="00DC3842"/>
    <w:rsid w:val="00DD5BA1"/>
    <w:rsid w:val="00DD7896"/>
    <w:rsid w:val="00DF1CB5"/>
    <w:rsid w:val="00E02A99"/>
    <w:rsid w:val="00E10070"/>
    <w:rsid w:val="00E160AE"/>
    <w:rsid w:val="00E17323"/>
    <w:rsid w:val="00E257AA"/>
    <w:rsid w:val="00E25C3E"/>
    <w:rsid w:val="00E3136E"/>
    <w:rsid w:val="00E56319"/>
    <w:rsid w:val="00E633AD"/>
    <w:rsid w:val="00E835C5"/>
    <w:rsid w:val="00E979D0"/>
    <w:rsid w:val="00E97D22"/>
    <w:rsid w:val="00EA2571"/>
    <w:rsid w:val="00EA4D6F"/>
    <w:rsid w:val="00EB00B9"/>
    <w:rsid w:val="00EC1B21"/>
    <w:rsid w:val="00EE29A4"/>
    <w:rsid w:val="00EF4366"/>
    <w:rsid w:val="00F07F06"/>
    <w:rsid w:val="00F14F71"/>
    <w:rsid w:val="00F54100"/>
    <w:rsid w:val="00F54718"/>
    <w:rsid w:val="00F57FDE"/>
    <w:rsid w:val="00F60A78"/>
    <w:rsid w:val="00F646D2"/>
    <w:rsid w:val="00F768C7"/>
    <w:rsid w:val="00F7777B"/>
    <w:rsid w:val="00F94459"/>
    <w:rsid w:val="00F95CB0"/>
    <w:rsid w:val="00F96B71"/>
    <w:rsid w:val="00FA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134"/>
    <w:pPr>
      <w:spacing w:after="200" w:line="276" w:lineRule="auto"/>
    </w:pPr>
    <w:rPr>
      <w:rFonts w:eastAsiaTheme="minorHAnsi"/>
      <w:lang w:eastAsia="en-US"/>
    </w:rPr>
  </w:style>
  <w:style w:type="paragraph" w:styleId="Heading3">
    <w:name w:val="heading 3"/>
    <w:basedOn w:val="Normal"/>
    <w:link w:val="Heading3Char"/>
    <w:semiHidden/>
    <w:unhideWhenUsed/>
    <w:qFormat/>
    <w:rsid w:val="002E58AA"/>
    <w:pPr>
      <w:keepNext/>
      <w:spacing w:after="0" w:line="240" w:lineRule="auto"/>
      <w:ind w:left="720"/>
      <w:jc w:val="both"/>
      <w:outlineLvl w:val="2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281D3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81D3C"/>
    <w:rPr>
      <w:rFonts w:eastAsiaTheme="minorHAns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281D3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A7CA4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15D37"/>
    <w:pPr>
      <w:spacing w:after="0" w:line="240" w:lineRule="auto"/>
    </w:pPr>
    <w:rPr>
      <w:rFonts w:eastAsiaTheme="minorHAns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66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B16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66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B16"/>
    <w:rPr>
      <w:rFonts w:eastAsiaTheme="minorHAnsi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2E58AA"/>
    <w:rPr>
      <w:rFonts w:ascii="Tahoma" w:eastAsia="Times New Roman" w:hAnsi="Tahoma" w:cs="Tahoma"/>
      <w:b/>
      <w:bCs/>
      <w:sz w:val="20"/>
      <w:szCs w:val="20"/>
    </w:rPr>
  </w:style>
  <w:style w:type="paragraph" w:styleId="NormalWeb">
    <w:name w:val="Normal (Web)"/>
    <w:basedOn w:val="Normal"/>
    <w:unhideWhenUsed/>
    <w:rsid w:val="002E58AA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8AA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134"/>
    <w:pPr>
      <w:spacing w:after="200" w:line="276" w:lineRule="auto"/>
    </w:pPr>
    <w:rPr>
      <w:rFonts w:eastAsiaTheme="minorHAnsi"/>
      <w:lang w:eastAsia="en-US"/>
    </w:rPr>
  </w:style>
  <w:style w:type="paragraph" w:styleId="Heading3">
    <w:name w:val="heading 3"/>
    <w:basedOn w:val="Normal"/>
    <w:link w:val="Heading3Char"/>
    <w:semiHidden/>
    <w:unhideWhenUsed/>
    <w:qFormat/>
    <w:rsid w:val="002E58AA"/>
    <w:pPr>
      <w:keepNext/>
      <w:spacing w:after="0" w:line="240" w:lineRule="auto"/>
      <w:ind w:left="720"/>
      <w:jc w:val="both"/>
      <w:outlineLvl w:val="2"/>
    </w:pPr>
    <w:rPr>
      <w:rFonts w:ascii="Tahoma" w:eastAsia="Times New Roma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281D3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81D3C"/>
    <w:rPr>
      <w:rFonts w:eastAsiaTheme="minorHAnsi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281D3C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A7CA4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15D37"/>
    <w:pPr>
      <w:spacing w:after="0" w:line="240" w:lineRule="auto"/>
    </w:pPr>
    <w:rPr>
      <w:rFonts w:eastAsiaTheme="minorHAns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66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B16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66B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B16"/>
    <w:rPr>
      <w:rFonts w:eastAsiaTheme="minorHAnsi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2E58AA"/>
    <w:rPr>
      <w:rFonts w:ascii="Tahoma" w:eastAsia="Times New Roman" w:hAnsi="Tahoma" w:cs="Tahoma"/>
      <w:b/>
      <w:bCs/>
      <w:sz w:val="20"/>
      <w:szCs w:val="20"/>
    </w:rPr>
  </w:style>
  <w:style w:type="paragraph" w:styleId="NormalWeb">
    <w:name w:val="Normal (Web)"/>
    <w:basedOn w:val="Normal"/>
    <w:unhideWhenUsed/>
    <w:rsid w:val="002E58AA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8AA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8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hicsguidebook.ac.uk/Data-Protection-Act-11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sld.demon.co.uk/resmethv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1604596@student.uwtsd.ac.uk" TargetMode="Externa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sld.demon.co.uk/resmethv.pdf" TargetMode="External"/><Relationship Id="rId1" Type="http://schemas.openxmlformats.org/officeDocument/2006/relationships/hyperlink" Target="http://www.ethicsguidebook.ac.uk/Data-Protection-Act-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8B186-09D4-44D0-9C9B-C1465A40B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1416</Words>
  <Characters>8556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Edinburgh</Company>
  <LinksUpToDate>false</LinksUpToDate>
  <CharactersWithSpaces>9953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HOLGATE Michelle</dc:creator>
  <cp:lastModifiedBy>User</cp:lastModifiedBy>
  <cp:revision>6</cp:revision>
  <dcterms:created xsi:type="dcterms:W3CDTF">2019-02-24T10:46:00Z</dcterms:created>
  <dcterms:modified xsi:type="dcterms:W3CDTF">2019-03-13T19:18:00Z</dcterms:modified>
</cp:coreProperties>
</file>