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E58B6" w14:textId="77777777" w:rsidR="00536DFA" w:rsidRDefault="00536DFA" w:rsidP="00536DFA">
      <w:pPr>
        <w:pStyle w:val="NormalWeb"/>
        <w:spacing w:before="0" w:beforeAutospacing="0" w:after="0" w:afterAutospacing="0"/>
        <w:ind w:left="-180" w:right="-334"/>
      </w:pPr>
      <w:r>
        <w:rPr>
          <w:noProof/>
        </w:rPr>
        <w:drawing>
          <wp:inline distT="0" distB="0" distL="0" distR="0" wp14:anchorId="17A0918F" wp14:editId="05FCE6C8">
            <wp:extent cx="1910715" cy="636905"/>
            <wp:effectExtent l="25400" t="25400" r="6985" b="1079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0715" cy="636905"/>
                    </a:xfrm>
                    <a:prstGeom prst="rect">
                      <a:avLst/>
                    </a:prstGeom>
                    <a:noFill/>
                    <a:ln w="19050" cmpd="sng">
                      <a:solidFill>
                        <a:srgbClr val="000000"/>
                      </a:solidFill>
                      <a:miter lim="800000"/>
                      <a:headEnd/>
                      <a:tailEnd/>
                    </a:ln>
                    <a:effectLst/>
                  </pic:spPr>
                </pic:pic>
              </a:graphicData>
            </a:graphic>
          </wp:inline>
        </w:drawing>
      </w:r>
    </w:p>
    <w:p w14:paraId="7C3E27A6" w14:textId="77777777" w:rsidR="00536DFA" w:rsidRDefault="00536DFA" w:rsidP="00536DFA">
      <w:pPr>
        <w:pStyle w:val="NormalWeb"/>
        <w:spacing w:before="0" w:beforeAutospacing="0" w:after="0" w:afterAutospacing="0"/>
        <w:ind w:left="-180" w:right="-334"/>
      </w:pPr>
    </w:p>
    <w:p w14:paraId="7784189E" w14:textId="77777777" w:rsidR="00536DFA" w:rsidRDefault="00536DFA" w:rsidP="00536DFA">
      <w:pPr>
        <w:pStyle w:val="NormalWeb"/>
        <w:spacing w:before="0" w:beforeAutospacing="0" w:after="0" w:afterAutospacing="0"/>
        <w:ind w:left="-180" w:right="-334"/>
      </w:pPr>
    </w:p>
    <w:p w14:paraId="21B1556B" w14:textId="77777777" w:rsidR="00536DFA" w:rsidRDefault="00536DFA" w:rsidP="00536DF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B26B2A1" w14:textId="77777777" w:rsidR="00536DFA" w:rsidRPr="00230F35" w:rsidRDefault="00536DFA" w:rsidP="00536DF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69F8C47" w14:textId="77777777" w:rsidR="00536DFA" w:rsidRPr="00230F35" w:rsidRDefault="00536DFA" w:rsidP="00536DFA">
      <w:pPr>
        <w:rPr>
          <w:rFonts w:ascii="Arial" w:hAnsi="Arial" w:cs="Arial"/>
          <w:sz w:val="28"/>
          <w:szCs w:val="28"/>
          <w:lang w:val="cy-GB"/>
        </w:rPr>
      </w:pPr>
    </w:p>
    <w:p w14:paraId="31D545B4" w14:textId="77777777" w:rsidR="00536DFA" w:rsidRDefault="00536DFA" w:rsidP="00536DFA">
      <w:pPr>
        <w:pStyle w:val="Heading3"/>
        <w:jc w:val="center"/>
        <w:rPr>
          <w:lang w:val="cy-GB"/>
        </w:rPr>
      </w:pPr>
      <w:r>
        <w:rPr>
          <w:lang w:val="cy-GB"/>
        </w:rPr>
        <w:t>THIS SHEET MUST BE THE FIRST PAGE OF THE ASSIGNMENT YOU ARE SUBMITTING  (DO NOT SEND AS A SEPARATE FILE)</w:t>
      </w:r>
    </w:p>
    <w:p w14:paraId="5DDFCFEC" w14:textId="77777777" w:rsidR="00536DFA" w:rsidRDefault="00536DFA" w:rsidP="00536DF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36DFA" w:rsidRPr="00230F35" w14:paraId="089935D5" w14:textId="77777777" w:rsidTr="00D665B1">
        <w:trPr>
          <w:trHeight w:val="614"/>
        </w:trPr>
        <w:tc>
          <w:tcPr>
            <w:tcW w:w="8856" w:type="dxa"/>
            <w:gridSpan w:val="5"/>
          </w:tcPr>
          <w:p w14:paraId="6E388026" w14:textId="77777777" w:rsidR="00536DFA" w:rsidRPr="00230F35"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36DFA" w:rsidRPr="00230F35" w14:paraId="126E384D" w14:textId="77777777" w:rsidTr="00D665B1">
        <w:trPr>
          <w:trHeight w:val="718"/>
        </w:trPr>
        <w:tc>
          <w:tcPr>
            <w:tcW w:w="8856" w:type="dxa"/>
            <w:gridSpan w:val="5"/>
          </w:tcPr>
          <w:p w14:paraId="78B2E1F3" w14:textId="63DBE94E" w:rsidR="00536DFA"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7E21B6">
              <w:rPr>
                <w:rFonts w:ascii="Arial" w:hAnsi="Arial" w:cs="Arial"/>
                <w:sz w:val="22"/>
                <w:szCs w:val="22"/>
              </w:rPr>
              <w:t xml:space="preserve"> David Crowther</w:t>
            </w:r>
          </w:p>
          <w:p w14:paraId="0193229D" w14:textId="77777777" w:rsidR="00536DFA" w:rsidRPr="00230F35" w:rsidRDefault="00536DFA" w:rsidP="00D665B1">
            <w:pPr>
              <w:pStyle w:val="NormalWeb"/>
              <w:spacing w:before="0" w:beforeAutospacing="0" w:after="0" w:afterAutospacing="0"/>
              <w:ind w:right="34"/>
              <w:rPr>
                <w:rFonts w:ascii="Arial" w:hAnsi="Arial" w:cs="Arial"/>
                <w:sz w:val="22"/>
                <w:szCs w:val="22"/>
              </w:rPr>
            </w:pPr>
          </w:p>
          <w:p w14:paraId="04A393EA" w14:textId="127A11F5" w:rsidR="00536DFA" w:rsidRPr="00230F35"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001C2AA5" w:rsidRPr="00EC3B35">
                <w:rPr>
                  <w:rStyle w:val="Hyperlink"/>
                  <w:rFonts w:ascii="Arial" w:hAnsi="Arial" w:cs="Arial"/>
                  <w:sz w:val="22"/>
                  <w:szCs w:val="22"/>
                </w:rPr>
                <w:t>2006720@student.uwtsd.ac.uk</w:t>
              </w:r>
            </w:hyperlink>
            <w:r w:rsidR="001C2AA5">
              <w:rPr>
                <w:rFonts w:ascii="Arial" w:hAnsi="Arial" w:cs="Arial"/>
                <w:sz w:val="22"/>
                <w:szCs w:val="22"/>
              </w:rPr>
              <w:t xml:space="preserve"> </w:t>
            </w:r>
          </w:p>
        </w:tc>
      </w:tr>
      <w:tr w:rsidR="00536DFA" w:rsidRPr="00230F35" w14:paraId="4884FA5B" w14:textId="77777777" w:rsidTr="00D665B1">
        <w:trPr>
          <w:trHeight w:val="849"/>
        </w:trPr>
        <w:tc>
          <w:tcPr>
            <w:tcW w:w="4788" w:type="dxa"/>
          </w:tcPr>
          <w:p w14:paraId="29729B1A" w14:textId="4DE59F29" w:rsidR="00536DFA" w:rsidRPr="00230F35"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proofErr w:type="gramStart"/>
            <w:r w:rsidRPr="00230F35">
              <w:rPr>
                <w:rFonts w:ascii="Arial" w:hAnsi="Arial" w:cs="Arial"/>
                <w:sz w:val="22"/>
                <w:szCs w:val="22"/>
              </w:rPr>
              <w:t>code:</w:t>
            </w:r>
            <w:r w:rsidR="001C2AA5">
              <w:rPr>
                <w:rFonts w:ascii="Arial" w:hAnsi="Arial" w:cs="Arial"/>
                <w:sz w:val="22"/>
                <w:szCs w:val="22"/>
              </w:rPr>
              <w:t>HPCA</w:t>
            </w:r>
            <w:proofErr w:type="gramEnd"/>
            <w:r w:rsidR="001C2AA5">
              <w:rPr>
                <w:rFonts w:ascii="Arial" w:hAnsi="Arial" w:cs="Arial"/>
                <w:sz w:val="22"/>
                <w:szCs w:val="22"/>
              </w:rPr>
              <w:t>7014</w:t>
            </w:r>
          </w:p>
          <w:p w14:paraId="2CB506B3" w14:textId="77777777" w:rsidR="00536DFA" w:rsidRPr="00230F35" w:rsidRDefault="00536DFA" w:rsidP="00D665B1">
            <w:pPr>
              <w:pStyle w:val="NormalWeb"/>
              <w:spacing w:before="0" w:beforeAutospacing="0" w:after="0" w:afterAutospacing="0"/>
              <w:ind w:right="34"/>
              <w:rPr>
                <w:rFonts w:ascii="Arial" w:hAnsi="Arial" w:cs="Arial"/>
                <w:sz w:val="22"/>
                <w:szCs w:val="22"/>
              </w:rPr>
            </w:pPr>
          </w:p>
          <w:p w14:paraId="37CECD4E" w14:textId="688ECAE7" w:rsidR="00536DFA"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1C2AA5">
              <w:rPr>
                <w:rFonts w:ascii="Arial" w:hAnsi="Arial" w:cs="Arial"/>
                <w:sz w:val="22"/>
                <w:szCs w:val="22"/>
              </w:rPr>
              <w:t xml:space="preserve"> Sacred Geography</w:t>
            </w:r>
          </w:p>
          <w:p w14:paraId="13A6FFBB" w14:textId="77777777" w:rsidR="00536DFA" w:rsidRDefault="00536DFA" w:rsidP="00D665B1">
            <w:pPr>
              <w:pStyle w:val="NormalWeb"/>
              <w:spacing w:before="0" w:beforeAutospacing="0" w:after="0" w:afterAutospacing="0"/>
              <w:ind w:right="34"/>
              <w:rPr>
                <w:rFonts w:ascii="Arial" w:hAnsi="Arial" w:cs="Arial"/>
                <w:sz w:val="22"/>
                <w:szCs w:val="22"/>
              </w:rPr>
            </w:pPr>
          </w:p>
          <w:p w14:paraId="08AD6CF9" w14:textId="77777777" w:rsidR="00536DFA" w:rsidRPr="00230F35" w:rsidRDefault="00536DFA" w:rsidP="00D665B1">
            <w:pPr>
              <w:pStyle w:val="NormalWeb"/>
              <w:spacing w:before="0" w:beforeAutospacing="0" w:after="0" w:afterAutospacing="0"/>
              <w:ind w:right="34"/>
              <w:rPr>
                <w:rFonts w:ascii="Arial" w:hAnsi="Arial" w:cs="Arial"/>
                <w:sz w:val="22"/>
                <w:szCs w:val="22"/>
              </w:rPr>
            </w:pPr>
          </w:p>
        </w:tc>
        <w:tc>
          <w:tcPr>
            <w:tcW w:w="2266" w:type="dxa"/>
            <w:gridSpan w:val="3"/>
          </w:tcPr>
          <w:p w14:paraId="43F9CEFD" w14:textId="77777777" w:rsidR="00536DFA"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3972E7F" w14:textId="77777777" w:rsidR="001C2AA5" w:rsidRDefault="001C2AA5" w:rsidP="00D665B1">
            <w:pPr>
              <w:pStyle w:val="NormalWeb"/>
              <w:spacing w:before="0" w:beforeAutospacing="0" w:after="0" w:afterAutospacing="0"/>
              <w:ind w:right="34"/>
              <w:rPr>
                <w:rFonts w:ascii="Arial" w:hAnsi="Arial" w:cs="Arial"/>
                <w:sz w:val="22"/>
                <w:szCs w:val="22"/>
              </w:rPr>
            </w:pPr>
          </w:p>
          <w:p w14:paraId="003A3D3D" w14:textId="035D196A" w:rsidR="001C2AA5" w:rsidRPr="00230F35" w:rsidRDefault="001C2AA5" w:rsidP="00D665B1">
            <w:pPr>
              <w:pStyle w:val="NormalWeb"/>
              <w:spacing w:before="0" w:beforeAutospacing="0" w:after="0" w:afterAutospacing="0"/>
              <w:ind w:right="34"/>
              <w:rPr>
                <w:rFonts w:ascii="Arial" w:hAnsi="Arial" w:cs="Arial"/>
                <w:sz w:val="22"/>
                <w:szCs w:val="22"/>
              </w:rPr>
            </w:pPr>
            <w:r>
              <w:rPr>
                <w:rFonts w:ascii="Arial" w:hAnsi="Arial" w:cs="Arial"/>
                <w:sz w:val="22"/>
                <w:szCs w:val="22"/>
              </w:rPr>
              <w:t>2006720</w:t>
            </w:r>
          </w:p>
        </w:tc>
        <w:tc>
          <w:tcPr>
            <w:tcW w:w="1802" w:type="dxa"/>
          </w:tcPr>
          <w:p w14:paraId="554C0A27" w14:textId="77777777" w:rsidR="00536DFA" w:rsidRPr="00230F35"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12E4E76" w14:textId="25A49FD2" w:rsidR="00536DFA" w:rsidRPr="00230F35"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536DFA" w:rsidRPr="00230F35" w14:paraId="43577F0C" w14:textId="77777777" w:rsidTr="00D665B1">
        <w:trPr>
          <w:trHeight w:val="1139"/>
        </w:trPr>
        <w:tc>
          <w:tcPr>
            <w:tcW w:w="8856" w:type="dxa"/>
            <w:gridSpan w:val="5"/>
          </w:tcPr>
          <w:p w14:paraId="041CABA5" w14:textId="19A811A0" w:rsidR="00536DFA" w:rsidRPr="001C2AA5" w:rsidRDefault="00536DFA" w:rsidP="001C2AA5">
            <w:pPr>
              <w:pStyle w:val="NormalWeb"/>
            </w:pPr>
            <w:r w:rsidRPr="00230F35">
              <w:rPr>
                <w:rFonts w:ascii="Arial" w:hAnsi="Arial" w:cs="Arial"/>
                <w:sz w:val="22"/>
                <w:szCs w:val="22"/>
              </w:rPr>
              <w:t>Assignment title:</w:t>
            </w:r>
            <w:r w:rsidR="001C2AA5">
              <w:rPr>
                <w:rFonts w:ascii="Arial" w:hAnsi="Arial" w:cs="Arial"/>
                <w:sz w:val="22"/>
                <w:szCs w:val="22"/>
              </w:rPr>
              <w:t xml:space="preserve"> </w:t>
            </w:r>
            <w:r w:rsidR="001C2AA5">
              <w:rPr>
                <w:rFonts w:ascii="Calibri" w:hAnsi="Calibri" w:cs="Calibri"/>
              </w:rPr>
              <w:t xml:space="preserve">Compare and critically contrast Mircea Eliade and Emile Durkheim’s views of sacred space. </w:t>
            </w:r>
          </w:p>
          <w:p w14:paraId="5AF197F4" w14:textId="77777777" w:rsidR="00536DFA" w:rsidRDefault="00536DFA" w:rsidP="00D665B1">
            <w:pPr>
              <w:pStyle w:val="NormalWeb"/>
              <w:spacing w:before="0" w:beforeAutospacing="0" w:after="0" w:afterAutospacing="0"/>
              <w:ind w:right="34"/>
              <w:rPr>
                <w:rFonts w:ascii="Arial" w:hAnsi="Arial" w:cs="Arial"/>
                <w:sz w:val="22"/>
                <w:szCs w:val="22"/>
              </w:rPr>
            </w:pPr>
          </w:p>
          <w:p w14:paraId="015F62A2" w14:textId="63AD0404" w:rsidR="00536DFA" w:rsidRPr="00230F35"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1C2AA5">
              <w:rPr>
                <w:rFonts w:ascii="Arial" w:hAnsi="Arial" w:cs="Arial"/>
                <w:sz w:val="22"/>
                <w:szCs w:val="22"/>
              </w:rPr>
              <w:t xml:space="preserve"> 11/11/2020</w:t>
            </w:r>
          </w:p>
        </w:tc>
      </w:tr>
      <w:tr w:rsidR="00536DFA" w:rsidRPr="00230F35" w14:paraId="56A89957" w14:textId="77777777" w:rsidTr="00D665B1">
        <w:trPr>
          <w:trHeight w:val="978"/>
        </w:trPr>
        <w:tc>
          <w:tcPr>
            <w:tcW w:w="8856" w:type="dxa"/>
            <w:gridSpan w:val="5"/>
            <w:tcBorders>
              <w:bottom w:val="single" w:sz="4" w:space="0" w:color="000000"/>
            </w:tcBorders>
          </w:tcPr>
          <w:p w14:paraId="0EB1D0EC" w14:textId="6FBEA3D7" w:rsidR="00536DFA" w:rsidRPr="00230F35" w:rsidRDefault="00536DFA" w:rsidP="00D665B1">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121F2A">
              <w:rPr>
                <w:rFonts w:ascii="Arial" w:hAnsi="Arial" w:cs="Arial"/>
                <w:sz w:val="22"/>
                <w:szCs w:val="22"/>
              </w:rPr>
            </w:r>
            <w:r w:rsidR="00121F2A">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1C2AA5">
              <w:rPr>
                <w:rFonts w:ascii="Arial" w:hAnsi="Arial" w:cs="Arial"/>
                <w:sz w:val="22"/>
                <w:szCs w:val="22"/>
              </w:rPr>
              <w:t>X</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121F2A">
              <w:rPr>
                <w:rFonts w:ascii="Arial" w:hAnsi="Arial" w:cs="Arial"/>
                <w:sz w:val="22"/>
                <w:szCs w:val="22"/>
              </w:rPr>
            </w:r>
            <w:r w:rsidR="00121F2A">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121F2A">
              <w:rPr>
                <w:rFonts w:ascii="Arial" w:hAnsi="Arial" w:cs="Arial"/>
                <w:sz w:val="22"/>
                <w:szCs w:val="22"/>
              </w:rPr>
            </w:r>
            <w:r w:rsidR="00121F2A">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121F2A">
              <w:rPr>
                <w:rFonts w:ascii="Arial" w:hAnsi="Arial" w:cs="Arial"/>
                <w:sz w:val="22"/>
                <w:szCs w:val="22"/>
              </w:rPr>
            </w:r>
            <w:r w:rsidR="00121F2A">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121F2A">
              <w:rPr>
                <w:rFonts w:ascii="Arial" w:hAnsi="Arial" w:cs="Arial"/>
                <w:sz w:val="22"/>
                <w:szCs w:val="22"/>
              </w:rPr>
            </w:r>
            <w:r w:rsidR="00121F2A">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121F2A">
              <w:rPr>
                <w:rFonts w:ascii="Arial" w:hAnsi="Arial" w:cs="Arial"/>
                <w:sz w:val="22"/>
                <w:szCs w:val="22"/>
              </w:rPr>
            </w:r>
            <w:r w:rsidR="00121F2A">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536DFA" w:rsidRPr="00230F35" w14:paraId="04A24AB2" w14:textId="77777777" w:rsidTr="00D665B1">
        <w:trPr>
          <w:trHeight w:val="978"/>
        </w:trPr>
        <w:tc>
          <w:tcPr>
            <w:tcW w:w="8856" w:type="dxa"/>
            <w:gridSpan w:val="5"/>
            <w:shd w:val="clear" w:color="auto" w:fill="D9D9D9"/>
          </w:tcPr>
          <w:p w14:paraId="1D0F93DF" w14:textId="77777777" w:rsidR="00536DFA" w:rsidRPr="00230F35"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9A88FC0" w14:textId="30CB5B8F" w:rsidR="00536DFA" w:rsidRDefault="00536DFA" w:rsidP="00D665B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1C2AA5" w:rsidRPr="00390F6C">
              <w:rPr>
                <w:noProof/>
              </w:rPr>
              <w:drawing>
                <wp:inline distT="0" distB="0" distL="0" distR="0" wp14:anchorId="04844C9A" wp14:editId="123B9BAD">
                  <wp:extent cx="1594390" cy="495432"/>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95936" cy="526986"/>
                          </a:xfrm>
                          <a:prstGeom prst="rect">
                            <a:avLst/>
                          </a:prstGeom>
                        </pic:spPr>
                      </pic:pic>
                    </a:graphicData>
                  </a:graphic>
                </wp:inline>
              </w:drawing>
            </w:r>
            <w:r w:rsidRPr="00230F35">
              <w:rPr>
                <w:rFonts w:ascii="Arial" w:hAnsi="Arial" w:cs="Arial"/>
                <w:sz w:val="22"/>
                <w:szCs w:val="22"/>
              </w:rPr>
              <w:t>…………………………………………………</w:t>
            </w:r>
          </w:p>
          <w:p w14:paraId="529FAC5D" w14:textId="5465240D" w:rsidR="00536DFA" w:rsidRDefault="00536DFA" w:rsidP="00D665B1">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001C2AA5">
              <w:rPr>
                <w:rFonts w:ascii="Calibri" w:hAnsi="Calibri" w:cs="Calibri"/>
                <w:b/>
                <w:sz w:val="44"/>
                <w:szCs w:val="44"/>
              </w:rPr>
              <w:t>x</w:t>
            </w:r>
          </w:p>
          <w:p w14:paraId="52A4501D" w14:textId="77777777" w:rsidR="00536DFA" w:rsidRPr="00230F35" w:rsidRDefault="00536DFA" w:rsidP="00D665B1">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536DFA" w:rsidRPr="00230F35" w14:paraId="32F0E8A5" w14:textId="77777777" w:rsidTr="00D665B1">
        <w:trPr>
          <w:trHeight w:val="3972"/>
        </w:trPr>
        <w:tc>
          <w:tcPr>
            <w:tcW w:w="8856" w:type="dxa"/>
            <w:gridSpan w:val="5"/>
          </w:tcPr>
          <w:p w14:paraId="61184031" w14:textId="77777777" w:rsidR="00536DFA" w:rsidRDefault="00536DFA" w:rsidP="00D665B1">
            <w:pPr>
              <w:rPr>
                <w:rFonts w:ascii="Arial" w:hAnsi="Arial"/>
                <w:b/>
              </w:rPr>
            </w:pPr>
          </w:p>
          <w:p w14:paraId="7A63741C" w14:textId="77777777" w:rsidR="00536DFA" w:rsidRPr="00116CE6" w:rsidRDefault="00536DFA" w:rsidP="00D665B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36DFA" w:rsidRPr="00116CE6" w14:paraId="3DBF3EA8" w14:textId="77777777" w:rsidTr="00D665B1">
              <w:tc>
                <w:tcPr>
                  <w:tcW w:w="6970" w:type="dxa"/>
                </w:tcPr>
                <w:p w14:paraId="546A4DFB" w14:textId="77777777" w:rsidR="00536DFA" w:rsidRPr="00116CE6" w:rsidRDefault="00536DFA" w:rsidP="00D665B1">
                  <w:pPr>
                    <w:rPr>
                      <w:rFonts w:ascii="Arial" w:hAnsi="Arial"/>
                      <w:sz w:val="20"/>
                      <w:szCs w:val="20"/>
                    </w:rPr>
                  </w:pPr>
                </w:p>
                <w:p w14:paraId="0D3E811C" w14:textId="77777777" w:rsidR="00536DFA" w:rsidRPr="00116CE6" w:rsidRDefault="00536DFA" w:rsidP="00D665B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1EBCA5E" w14:textId="77777777" w:rsidR="00536DFA" w:rsidRPr="00116CE6" w:rsidRDefault="00536DFA" w:rsidP="00D665B1">
                  <w:pPr>
                    <w:rPr>
                      <w:rFonts w:ascii="Arial" w:hAnsi="Arial"/>
                      <w:sz w:val="20"/>
                      <w:szCs w:val="20"/>
                    </w:rPr>
                  </w:pPr>
                </w:p>
              </w:tc>
            </w:tr>
            <w:tr w:rsidR="00536DFA" w:rsidRPr="00116CE6" w14:paraId="4B8CDBEB" w14:textId="77777777" w:rsidTr="00D665B1">
              <w:tc>
                <w:tcPr>
                  <w:tcW w:w="6970" w:type="dxa"/>
                </w:tcPr>
                <w:p w14:paraId="6CD389F2" w14:textId="77777777" w:rsidR="00536DFA" w:rsidRPr="00116CE6" w:rsidRDefault="00536DFA" w:rsidP="00D665B1">
                  <w:pPr>
                    <w:rPr>
                      <w:rFonts w:ascii="Arial" w:hAnsi="Arial"/>
                      <w:sz w:val="20"/>
                      <w:szCs w:val="20"/>
                    </w:rPr>
                  </w:pPr>
                </w:p>
                <w:p w14:paraId="0A5FFDBB" w14:textId="77777777" w:rsidR="00536DFA" w:rsidRPr="00116CE6" w:rsidRDefault="00536DFA" w:rsidP="00D665B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F95A94E" w14:textId="77777777" w:rsidR="00536DFA" w:rsidRPr="00116CE6" w:rsidRDefault="00536DFA" w:rsidP="00D665B1">
                  <w:pPr>
                    <w:rPr>
                      <w:rFonts w:ascii="Arial" w:hAnsi="Arial"/>
                      <w:sz w:val="20"/>
                      <w:szCs w:val="20"/>
                    </w:rPr>
                  </w:pPr>
                </w:p>
              </w:tc>
            </w:tr>
            <w:tr w:rsidR="00536DFA" w:rsidRPr="00116CE6" w14:paraId="0F46779C" w14:textId="77777777" w:rsidTr="00D665B1">
              <w:tc>
                <w:tcPr>
                  <w:tcW w:w="6970" w:type="dxa"/>
                </w:tcPr>
                <w:p w14:paraId="75DDA441" w14:textId="77777777" w:rsidR="00536DFA" w:rsidRPr="00116CE6" w:rsidRDefault="00536DFA" w:rsidP="00D665B1">
                  <w:pPr>
                    <w:rPr>
                      <w:rFonts w:ascii="Arial" w:hAnsi="Arial"/>
                      <w:sz w:val="20"/>
                      <w:szCs w:val="20"/>
                    </w:rPr>
                  </w:pPr>
                </w:p>
                <w:p w14:paraId="52F3424E" w14:textId="77777777" w:rsidR="00536DFA" w:rsidRPr="00116CE6" w:rsidRDefault="00536DFA" w:rsidP="00D665B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9438B5E" w14:textId="77777777" w:rsidR="00536DFA" w:rsidRPr="00116CE6" w:rsidRDefault="00536DFA" w:rsidP="00D665B1">
                  <w:pPr>
                    <w:rPr>
                      <w:rFonts w:ascii="Arial" w:hAnsi="Arial"/>
                      <w:sz w:val="20"/>
                      <w:szCs w:val="20"/>
                    </w:rPr>
                  </w:pPr>
                </w:p>
              </w:tc>
            </w:tr>
            <w:tr w:rsidR="00536DFA" w:rsidRPr="00116CE6" w14:paraId="6DF88F9E" w14:textId="77777777" w:rsidTr="00D665B1">
              <w:tc>
                <w:tcPr>
                  <w:tcW w:w="6970" w:type="dxa"/>
                </w:tcPr>
                <w:p w14:paraId="1D6742B6" w14:textId="77777777" w:rsidR="00536DFA" w:rsidRDefault="00536DFA" w:rsidP="00D665B1">
                  <w:pPr>
                    <w:rPr>
                      <w:rFonts w:ascii="Arial" w:hAnsi="Arial"/>
                      <w:sz w:val="20"/>
                      <w:szCs w:val="20"/>
                    </w:rPr>
                  </w:pPr>
                </w:p>
                <w:p w14:paraId="1D770BF2" w14:textId="77777777" w:rsidR="00536DFA" w:rsidRPr="00022345" w:rsidRDefault="00536DFA" w:rsidP="00D665B1">
                  <w:pPr>
                    <w:rPr>
                      <w:rFonts w:ascii="Arial" w:hAnsi="Arial"/>
                      <w:b/>
                      <w:sz w:val="20"/>
                      <w:szCs w:val="20"/>
                    </w:rPr>
                  </w:pPr>
                  <w:r w:rsidRPr="00022345">
                    <w:rPr>
                      <w:rFonts w:ascii="Arial" w:hAnsi="Arial"/>
                      <w:b/>
                      <w:sz w:val="20"/>
                      <w:szCs w:val="20"/>
                    </w:rPr>
                    <w:t>Final Mark</w:t>
                  </w:r>
                </w:p>
                <w:p w14:paraId="7B1215DB" w14:textId="77777777" w:rsidR="00536DFA" w:rsidRPr="00116CE6" w:rsidRDefault="00536DFA" w:rsidP="00D665B1">
                  <w:pPr>
                    <w:rPr>
                      <w:rFonts w:ascii="Arial" w:hAnsi="Arial"/>
                      <w:sz w:val="20"/>
                      <w:szCs w:val="20"/>
                    </w:rPr>
                  </w:pPr>
                </w:p>
              </w:tc>
              <w:tc>
                <w:tcPr>
                  <w:tcW w:w="1660" w:type="dxa"/>
                </w:tcPr>
                <w:p w14:paraId="7FDD75AE" w14:textId="77777777" w:rsidR="00536DFA" w:rsidRPr="00116CE6" w:rsidRDefault="00536DFA" w:rsidP="00D665B1">
                  <w:pPr>
                    <w:rPr>
                      <w:rFonts w:ascii="Arial" w:hAnsi="Arial"/>
                      <w:sz w:val="20"/>
                      <w:szCs w:val="20"/>
                    </w:rPr>
                  </w:pPr>
                </w:p>
              </w:tc>
            </w:tr>
          </w:tbl>
          <w:p w14:paraId="73AA8087" w14:textId="77777777" w:rsidR="00536DFA" w:rsidRDefault="00536DFA" w:rsidP="00D665B1">
            <w:pPr>
              <w:pStyle w:val="NormalWeb"/>
              <w:spacing w:before="0" w:beforeAutospacing="0" w:after="0" w:afterAutospacing="0"/>
              <w:ind w:left="142" w:right="34"/>
              <w:rPr>
                <w:rFonts w:ascii="Arial" w:hAnsi="Arial" w:cs="Arial"/>
                <w:b/>
                <w:sz w:val="22"/>
                <w:szCs w:val="22"/>
              </w:rPr>
            </w:pPr>
          </w:p>
          <w:p w14:paraId="6F11BD0A" w14:textId="77777777" w:rsidR="00536DFA" w:rsidRPr="00230F35" w:rsidRDefault="00536DFA" w:rsidP="00D665B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68E2E88" w14:textId="77777777" w:rsidR="00536DFA" w:rsidRDefault="00536DFA" w:rsidP="00D665B1">
            <w:pPr>
              <w:pStyle w:val="NormalWeb"/>
              <w:spacing w:before="0" w:beforeAutospacing="0" w:after="0" w:afterAutospacing="0"/>
              <w:rPr>
                <w:rFonts w:ascii="Arial" w:hAnsi="Arial" w:cs="Arial"/>
                <w:b/>
                <w:sz w:val="22"/>
                <w:szCs w:val="22"/>
              </w:rPr>
            </w:pPr>
          </w:p>
          <w:p w14:paraId="679BE1A8" w14:textId="77777777" w:rsidR="00536DFA" w:rsidRDefault="00536DFA" w:rsidP="00D665B1">
            <w:pPr>
              <w:pStyle w:val="NormalWeb"/>
              <w:spacing w:before="0" w:beforeAutospacing="0" w:after="0" w:afterAutospacing="0"/>
              <w:rPr>
                <w:rFonts w:ascii="Arial" w:hAnsi="Arial" w:cs="Arial"/>
                <w:b/>
                <w:sz w:val="22"/>
                <w:szCs w:val="22"/>
              </w:rPr>
            </w:pPr>
          </w:p>
          <w:p w14:paraId="622CEA75" w14:textId="77777777" w:rsidR="00536DFA" w:rsidRDefault="00536DFA" w:rsidP="00D665B1">
            <w:pPr>
              <w:pStyle w:val="NormalWeb"/>
              <w:spacing w:before="0" w:beforeAutospacing="0" w:after="0" w:afterAutospacing="0"/>
              <w:rPr>
                <w:rFonts w:ascii="Arial" w:hAnsi="Arial" w:cs="Arial"/>
                <w:b/>
                <w:sz w:val="22"/>
                <w:szCs w:val="22"/>
              </w:rPr>
            </w:pPr>
          </w:p>
          <w:p w14:paraId="702B7114" w14:textId="77777777" w:rsidR="00536DFA" w:rsidRDefault="00536DFA" w:rsidP="00D665B1">
            <w:pPr>
              <w:pStyle w:val="NormalWeb"/>
              <w:spacing w:before="0" w:beforeAutospacing="0" w:after="0" w:afterAutospacing="0"/>
              <w:rPr>
                <w:rFonts w:ascii="Arial" w:hAnsi="Arial" w:cs="Arial"/>
                <w:b/>
                <w:sz w:val="22"/>
                <w:szCs w:val="22"/>
              </w:rPr>
            </w:pPr>
          </w:p>
          <w:p w14:paraId="4D9DFFA8" w14:textId="77777777" w:rsidR="00536DFA" w:rsidRDefault="00536DFA" w:rsidP="00D665B1">
            <w:pPr>
              <w:pStyle w:val="NormalWeb"/>
              <w:spacing w:before="0" w:beforeAutospacing="0" w:after="0" w:afterAutospacing="0"/>
              <w:rPr>
                <w:rFonts w:ascii="Arial" w:hAnsi="Arial" w:cs="Arial"/>
                <w:b/>
                <w:sz w:val="22"/>
                <w:szCs w:val="22"/>
              </w:rPr>
            </w:pPr>
          </w:p>
          <w:p w14:paraId="41659F61" w14:textId="77777777" w:rsidR="00536DFA" w:rsidRPr="00230F35" w:rsidRDefault="00536DFA" w:rsidP="00D665B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2A033C9" w14:textId="77777777" w:rsidR="00536DFA" w:rsidRDefault="00536DFA" w:rsidP="00D665B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6EFA746" w14:textId="77777777" w:rsidR="00536DFA" w:rsidRPr="00001C3B" w:rsidRDefault="00536DFA" w:rsidP="00D665B1">
            <w:pPr>
              <w:pStyle w:val="NormalWeb"/>
              <w:rPr>
                <w:rFonts w:ascii="Arial" w:hAnsi="Arial" w:cs="Arial"/>
                <w:sz w:val="22"/>
                <w:szCs w:val="22"/>
              </w:rPr>
            </w:pPr>
          </w:p>
        </w:tc>
      </w:tr>
      <w:tr w:rsidR="00536DFA" w:rsidRPr="00230F35" w14:paraId="5194099A" w14:textId="77777777" w:rsidTr="00D665B1">
        <w:trPr>
          <w:trHeight w:val="492"/>
        </w:trPr>
        <w:tc>
          <w:tcPr>
            <w:tcW w:w="6768" w:type="dxa"/>
            <w:gridSpan w:val="3"/>
          </w:tcPr>
          <w:p w14:paraId="5F19CEF7" w14:textId="77777777" w:rsidR="00536DFA" w:rsidRPr="00230F35" w:rsidRDefault="00536DFA" w:rsidP="00D665B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C25CF71" w14:textId="77777777" w:rsidR="00536DFA" w:rsidRPr="00230F35" w:rsidRDefault="00536DFA" w:rsidP="00D665B1">
            <w:pPr>
              <w:pStyle w:val="NormalWeb"/>
              <w:spacing w:after="0"/>
              <w:ind w:left="142" w:right="34"/>
              <w:rPr>
                <w:rFonts w:ascii="Arial" w:hAnsi="Arial" w:cs="Arial"/>
                <w:sz w:val="22"/>
                <w:szCs w:val="22"/>
              </w:rPr>
            </w:pPr>
            <w:r w:rsidRPr="00230F35">
              <w:rPr>
                <w:rFonts w:ascii="Arial" w:hAnsi="Arial" w:cs="Arial"/>
                <w:sz w:val="22"/>
                <w:szCs w:val="22"/>
              </w:rPr>
              <w:t>Date:</w:t>
            </w:r>
          </w:p>
        </w:tc>
      </w:tr>
      <w:tr w:rsidR="00536DFA" w:rsidRPr="002F467C" w14:paraId="3E1BFF39" w14:textId="77777777" w:rsidTr="00D665B1">
        <w:tc>
          <w:tcPr>
            <w:tcW w:w="8856" w:type="dxa"/>
            <w:gridSpan w:val="5"/>
          </w:tcPr>
          <w:p w14:paraId="374133FC" w14:textId="77777777" w:rsidR="00536DFA" w:rsidRPr="00230F35" w:rsidRDefault="00536DFA" w:rsidP="00D665B1">
            <w:pPr>
              <w:pStyle w:val="NormalWeb"/>
              <w:spacing w:before="0" w:beforeAutospacing="0" w:after="0" w:afterAutospacing="0"/>
              <w:ind w:right="-334"/>
              <w:rPr>
                <w:rFonts w:ascii="Arial" w:hAnsi="Arial" w:cs="Arial"/>
                <w:bCs/>
                <w:i/>
                <w:sz w:val="22"/>
                <w:szCs w:val="22"/>
              </w:rPr>
            </w:pPr>
          </w:p>
          <w:p w14:paraId="5B74189F" w14:textId="77777777" w:rsidR="00536DFA" w:rsidRPr="00230F35" w:rsidRDefault="00536DFA" w:rsidP="00D665B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FE16FF2" w14:textId="77777777" w:rsidR="00536DFA" w:rsidRPr="00230F35" w:rsidRDefault="00536DFA" w:rsidP="00D665B1">
            <w:pPr>
              <w:pStyle w:val="NormalWeb"/>
              <w:spacing w:before="0" w:beforeAutospacing="0" w:after="0" w:afterAutospacing="0"/>
              <w:ind w:right="-334"/>
              <w:rPr>
                <w:rFonts w:ascii="Arial" w:hAnsi="Arial" w:cs="Arial"/>
                <w:b/>
                <w:bCs/>
                <w:sz w:val="22"/>
                <w:szCs w:val="22"/>
              </w:rPr>
            </w:pPr>
          </w:p>
          <w:p w14:paraId="569044C5"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7AB19B2"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7A05C396"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4A2D507F"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4775ED7B"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12245D41"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181A4ABA"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43B17951"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0A87F7AA"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1D34E311" w14:textId="77777777" w:rsidR="00536DFA" w:rsidRDefault="00536DFA" w:rsidP="00D665B1">
            <w:pPr>
              <w:pStyle w:val="NormalWeb"/>
              <w:spacing w:before="0" w:beforeAutospacing="0" w:after="0" w:afterAutospacing="0"/>
              <w:ind w:right="-334"/>
              <w:rPr>
                <w:rFonts w:ascii="Arial" w:hAnsi="Arial" w:cs="Arial"/>
                <w:bCs/>
                <w:sz w:val="22"/>
                <w:szCs w:val="22"/>
              </w:rPr>
            </w:pPr>
          </w:p>
          <w:p w14:paraId="10F7C065"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0B9CA588"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138706C9"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tc>
      </w:tr>
      <w:tr w:rsidR="00536DFA" w:rsidRPr="002F467C" w14:paraId="11B822A3" w14:textId="77777777" w:rsidTr="00D665B1">
        <w:trPr>
          <w:trHeight w:val="720"/>
        </w:trPr>
        <w:tc>
          <w:tcPr>
            <w:tcW w:w="5211" w:type="dxa"/>
            <w:gridSpan w:val="2"/>
          </w:tcPr>
          <w:p w14:paraId="531AFC02"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D42AB72"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36DFA" w:rsidRPr="002F467C" w14:paraId="1216491C" w14:textId="77777777" w:rsidTr="00D665B1">
        <w:trPr>
          <w:trHeight w:val="720"/>
        </w:trPr>
        <w:tc>
          <w:tcPr>
            <w:tcW w:w="8856" w:type="dxa"/>
            <w:gridSpan w:val="5"/>
          </w:tcPr>
          <w:p w14:paraId="6015821B" w14:textId="77777777" w:rsidR="00536DFA" w:rsidRPr="00B34964" w:rsidRDefault="00536DFA" w:rsidP="00D665B1">
            <w:pPr>
              <w:rPr>
                <w:rFonts w:ascii="Arial" w:hAnsi="Arial" w:cs="Arial"/>
                <w:b/>
                <w:sz w:val="22"/>
                <w:szCs w:val="22"/>
              </w:rPr>
            </w:pPr>
            <w:r w:rsidRPr="00B34964">
              <w:rPr>
                <w:rFonts w:ascii="Arial" w:hAnsi="Arial" w:cs="Arial"/>
                <w:b/>
                <w:sz w:val="22"/>
                <w:szCs w:val="22"/>
              </w:rPr>
              <w:t>External Examiner’s comments (if relevant)</w:t>
            </w:r>
          </w:p>
          <w:p w14:paraId="342D3D2C"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46908206"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30D8ED22"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0D0DF9BC"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6C32669A"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649722D2"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151FBC51"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7D8823B9"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6ACF682A" w14:textId="77777777" w:rsidR="00536DFA" w:rsidRDefault="00536DFA" w:rsidP="00D665B1">
            <w:pPr>
              <w:pStyle w:val="NormalWeb"/>
              <w:spacing w:before="0" w:beforeAutospacing="0" w:after="0" w:afterAutospacing="0"/>
              <w:ind w:right="-334"/>
              <w:rPr>
                <w:rFonts w:ascii="Arial" w:hAnsi="Arial" w:cs="Arial"/>
                <w:bCs/>
                <w:sz w:val="22"/>
                <w:szCs w:val="22"/>
              </w:rPr>
            </w:pPr>
          </w:p>
          <w:p w14:paraId="31DC0C1E"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p w14:paraId="61C9B449" w14:textId="77777777" w:rsidR="00536DFA" w:rsidRPr="00230F35" w:rsidRDefault="00536DFA" w:rsidP="00D665B1">
            <w:pPr>
              <w:pStyle w:val="NormalWeb"/>
              <w:spacing w:before="0" w:beforeAutospacing="0" w:after="0" w:afterAutospacing="0"/>
              <w:ind w:right="-334"/>
              <w:rPr>
                <w:rFonts w:ascii="Arial" w:hAnsi="Arial" w:cs="Arial"/>
                <w:bCs/>
                <w:sz w:val="22"/>
                <w:szCs w:val="22"/>
              </w:rPr>
            </w:pPr>
          </w:p>
        </w:tc>
      </w:tr>
      <w:tr w:rsidR="00536DFA" w:rsidRPr="002F467C" w14:paraId="2413DBF0" w14:textId="77777777" w:rsidTr="00D665B1">
        <w:trPr>
          <w:trHeight w:val="720"/>
        </w:trPr>
        <w:tc>
          <w:tcPr>
            <w:tcW w:w="5211" w:type="dxa"/>
            <w:gridSpan w:val="2"/>
          </w:tcPr>
          <w:p w14:paraId="7BFF82EC" w14:textId="77777777" w:rsidR="00536DFA" w:rsidRPr="00230F35" w:rsidRDefault="00536DFA" w:rsidP="00D665B1">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144E8A14" w14:textId="77777777" w:rsidR="00536DFA" w:rsidRPr="00230F35" w:rsidRDefault="00536DFA" w:rsidP="00D665B1">
            <w:pPr>
              <w:rPr>
                <w:rFonts w:ascii="Arial" w:hAnsi="Arial" w:cs="Arial"/>
                <w:sz w:val="22"/>
                <w:szCs w:val="22"/>
              </w:rPr>
            </w:pPr>
            <w:r w:rsidRPr="00230F35">
              <w:rPr>
                <w:rFonts w:ascii="Arial" w:hAnsi="Arial" w:cs="Arial"/>
                <w:sz w:val="22"/>
                <w:szCs w:val="22"/>
              </w:rPr>
              <w:t>Date:</w:t>
            </w:r>
          </w:p>
        </w:tc>
      </w:tr>
    </w:tbl>
    <w:p w14:paraId="28E94248" w14:textId="77777777" w:rsidR="00536DFA" w:rsidRPr="00D67BF8" w:rsidRDefault="00536DFA" w:rsidP="00536DFA">
      <w:pPr>
        <w:pStyle w:val="NormalWeb"/>
        <w:spacing w:before="0" w:beforeAutospacing="0" w:after="0" w:afterAutospacing="0"/>
        <w:ind w:right="-334"/>
        <w:rPr>
          <w:rFonts w:ascii="Trebuchet MS" w:hAnsi="Trebuchet MS" w:cs="Tahoma"/>
          <w:bCs/>
        </w:rPr>
      </w:pPr>
    </w:p>
    <w:p w14:paraId="37D5A4FD" w14:textId="1A275F65" w:rsidR="00BA7048" w:rsidRPr="00BA7048" w:rsidRDefault="00BA7048">
      <w:pPr>
        <w:rPr>
          <w:color w:val="000000" w:themeColor="text1"/>
        </w:rPr>
      </w:pPr>
    </w:p>
    <w:p w14:paraId="13A7ECE4" w14:textId="77777777" w:rsidR="00536DFA" w:rsidRDefault="00536DFA">
      <w:pPr>
        <w:rPr>
          <w:color w:val="000000" w:themeColor="text1"/>
        </w:rPr>
      </w:pPr>
      <w:r>
        <w:rPr>
          <w:color w:val="000000" w:themeColor="text1"/>
        </w:rPr>
        <w:br w:type="page"/>
      </w:r>
    </w:p>
    <w:p w14:paraId="7383653A" w14:textId="3BC51AF5" w:rsidR="00BA7048" w:rsidRPr="00BA7048" w:rsidRDefault="00BA7048">
      <w:pPr>
        <w:rPr>
          <w:color w:val="000000" w:themeColor="text1"/>
        </w:rPr>
      </w:pPr>
      <w:r w:rsidRPr="00BA7048">
        <w:rPr>
          <w:color w:val="000000" w:themeColor="text1"/>
        </w:rPr>
        <w:lastRenderedPageBreak/>
        <w:t>Assignment 1</w:t>
      </w:r>
    </w:p>
    <w:p w14:paraId="30F1DD24" w14:textId="49BD7197" w:rsidR="00BA7048" w:rsidRPr="00BA7048" w:rsidRDefault="00BA7048" w:rsidP="00BA7048">
      <w:pPr>
        <w:rPr>
          <w:color w:val="000000" w:themeColor="text1"/>
        </w:rPr>
      </w:pPr>
    </w:p>
    <w:p w14:paraId="1A8F1E39" w14:textId="76E04682" w:rsidR="00BA7048" w:rsidRPr="00BA7048" w:rsidRDefault="00BA7048" w:rsidP="00BA7048">
      <w:pPr>
        <w:rPr>
          <w:rFonts w:ascii="Times New Roman" w:eastAsia="Times New Roman" w:hAnsi="Times New Roman" w:cs="Times New Roman"/>
          <w:color w:val="000000" w:themeColor="text1"/>
          <w:lang w:eastAsia="en-GB"/>
        </w:rPr>
      </w:pPr>
      <w:r w:rsidRPr="00BA7048">
        <w:rPr>
          <w:rFonts w:ascii="Calibri" w:eastAsia="Times New Roman" w:hAnsi="Calibri" w:cs="Calibri"/>
          <w:color w:val="000000" w:themeColor="text1"/>
          <w:lang w:eastAsia="en-GB"/>
        </w:rPr>
        <w:t xml:space="preserve">Compare and critically contrast Mircea Eliade and Emile Durkheim’s views of sacred space. </w:t>
      </w:r>
    </w:p>
    <w:p w14:paraId="03BB7A96" w14:textId="103AA83E" w:rsidR="00BA7048" w:rsidRDefault="00BA7048" w:rsidP="00BA7048">
      <w:pPr>
        <w:rPr>
          <w:color w:val="000000" w:themeColor="text1"/>
        </w:rPr>
      </w:pPr>
    </w:p>
    <w:p w14:paraId="35550D7E" w14:textId="409571DC" w:rsidR="00CF75DA" w:rsidRDefault="00CF75DA" w:rsidP="00BA7048">
      <w:pPr>
        <w:rPr>
          <w:color w:val="000000" w:themeColor="text1"/>
        </w:rPr>
      </w:pPr>
    </w:p>
    <w:p w14:paraId="403DEEA5" w14:textId="232B51C0" w:rsidR="009337B3" w:rsidRDefault="009337B3" w:rsidP="00B63567">
      <w:pPr>
        <w:jc w:val="both"/>
        <w:rPr>
          <w:color w:val="000000" w:themeColor="text1"/>
        </w:rPr>
      </w:pPr>
      <w:r>
        <w:rPr>
          <w:color w:val="000000" w:themeColor="text1"/>
        </w:rPr>
        <w:t xml:space="preserve">The word sacred means related to a god or to a religious purpose and therefore any kind of sacred space must be related to a religious purpose and can </w:t>
      </w:r>
      <w:r w:rsidR="00707B33">
        <w:rPr>
          <w:color w:val="000000" w:themeColor="text1"/>
        </w:rPr>
        <w:t>concomitantly</w:t>
      </w:r>
      <w:r>
        <w:rPr>
          <w:color w:val="000000" w:themeColor="text1"/>
        </w:rPr>
        <w:t xml:space="preserve"> only be sacred to anyone who shares the same religious understanding. This sacredness can be applied to any object or space or ritual or event of any kind</w:t>
      </w:r>
      <w:r w:rsidR="00040D07">
        <w:rPr>
          <w:color w:val="000000" w:themeColor="text1"/>
        </w:rPr>
        <w:t xml:space="preserve"> – so a mosque or a church ceremony or Christmas </w:t>
      </w:r>
      <w:r w:rsidR="00B91BA2">
        <w:rPr>
          <w:color w:val="000000" w:themeColor="text1"/>
        </w:rPr>
        <w:t xml:space="preserve">Day </w:t>
      </w:r>
      <w:r w:rsidR="00040D07">
        <w:rPr>
          <w:color w:val="000000" w:themeColor="text1"/>
        </w:rPr>
        <w:t>can all be equally considered to be sacred to those who have adopted the relevant religion</w:t>
      </w:r>
      <w:r>
        <w:rPr>
          <w:color w:val="000000" w:themeColor="text1"/>
        </w:rPr>
        <w:t xml:space="preserve">. </w:t>
      </w:r>
      <w:r w:rsidR="00B91BA2">
        <w:rPr>
          <w:color w:val="000000" w:themeColor="text1"/>
        </w:rPr>
        <w:t xml:space="preserve">Naturally those who do not share that religion will not view this as sacred, being concerned with the sacredness of their own religion. </w:t>
      </w:r>
      <w:proofErr w:type="gramStart"/>
      <w:r w:rsidR="00B91BA2">
        <w:rPr>
          <w:color w:val="000000" w:themeColor="text1"/>
        </w:rPr>
        <w:t>Thus</w:t>
      </w:r>
      <w:proofErr w:type="gramEnd"/>
      <w:r w:rsidR="00B91BA2">
        <w:rPr>
          <w:color w:val="000000" w:themeColor="text1"/>
        </w:rPr>
        <w:t xml:space="preserve"> Moslems and Hindus in the UK do not share Christians as a sacred event but only as a secular festivity; similarly churches are only sacred to Christians, being comparable to Hindu temples, Moslem mosques and Jewish synagogues. Any scared space or event </w:t>
      </w:r>
      <w:r>
        <w:rPr>
          <w:color w:val="000000" w:themeColor="text1"/>
        </w:rPr>
        <w:t xml:space="preserve">does not need to be shared to fulfil this </w:t>
      </w:r>
      <w:proofErr w:type="gramStart"/>
      <w:r>
        <w:rPr>
          <w:color w:val="000000" w:themeColor="text1"/>
        </w:rPr>
        <w:t>purpose  as</w:t>
      </w:r>
      <w:proofErr w:type="gramEnd"/>
      <w:r>
        <w:rPr>
          <w:color w:val="000000" w:themeColor="text1"/>
        </w:rPr>
        <w:t xml:space="preserve"> an individual can have a sacred space or ritual which is used by that person</w:t>
      </w:r>
      <w:r w:rsidR="00040D07">
        <w:rPr>
          <w:color w:val="000000" w:themeColor="text1"/>
        </w:rPr>
        <w:t xml:space="preserve"> alone</w:t>
      </w:r>
      <w:r>
        <w:rPr>
          <w:color w:val="000000" w:themeColor="text1"/>
        </w:rPr>
        <w:t xml:space="preserve">, although the most usual role of sacredness is to confirm unity or solidarity within a community </w:t>
      </w:r>
      <w:r w:rsidR="00040D07">
        <w:rPr>
          <w:color w:val="000000" w:themeColor="text1"/>
        </w:rPr>
        <w:t xml:space="preserve">through participation in a ceremony or at a place, </w:t>
      </w:r>
      <w:r>
        <w:rPr>
          <w:color w:val="000000" w:themeColor="text1"/>
        </w:rPr>
        <w:t>and this does not really work for one individual person</w:t>
      </w:r>
      <w:r w:rsidR="00040D07">
        <w:rPr>
          <w:color w:val="000000" w:themeColor="text1"/>
        </w:rPr>
        <w:t xml:space="preserve"> acting alone – although communing with their god while alone can be a sacred activity for that person</w:t>
      </w:r>
      <w:r>
        <w:rPr>
          <w:color w:val="000000" w:themeColor="text1"/>
        </w:rPr>
        <w:t>. It therefore follows from this definition of scaredness that any space, ritual or event cannot be universally s</w:t>
      </w:r>
      <w:r w:rsidR="00EA360A">
        <w:rPr>
          <w:color w:val="000000" w:themeColor="text1"/>
        </w:rPr>
        <w:t>a</w:t>
      </w:r>
      <w:r>
        <w:rPr>
          <w:color w:val="000000" w:themeColor="text1"/>
        </w:rPr>
        <w:t>cred</w:t>
      </w:r>
      <w:r w:rsidR="00EA360A">
        <w:rPr>
          <w:color w:val="000000" w:themeColor="text1"/>
        </w:rPr>
        <w:t xml:space="preserve"> as not everyone follows the same religion. Eliade seems to suggest that certain spaces are sacred</w:t>
      </w:r>
      <w:r w:rsidR="00EA360A">
        <w:rPr>
          <w:rStyle w:val="FootnoteReference"/>
          <w:color w:val="000000" w:themeColor="text1"/>
        </w:rPr>
        <w:footnoteReference w:id="1"/>
      </w:r>
      <w:r w:rsidR="00EA360A">
        <w:rPr>
          <w:color w:val="000000" w:themeColor="text1"/>
        </w:rPr>
        <w:t xml:space="preserve"> and therefore that people from different religions will find the same space to be sacred. There is evidence for that in such things as the fact that many churches in the UK are situation near yew trees which were supposedly sacred to the old religion; </w:t>
      </w:r>
      <w:proofErr w:type="gramStart"/>
      <w:r w:rsidR="00B91BA2">
        <w:rPr>
          <w:color w:val="000000" w:themeColor="text1"/>
        </w:rPr>
        <w:t>of course</w:t>
      </w:r>
      <w:proofErr w:type="gramEnd"/>
      <w:r w:rsidR="00B91BA2">
        <w:rPr>
          <w:color w:val="000000" w:themeColor="text1"/>
        </w:rPr>
        <w:t xml:space="preserve"> </w:t>
      </w:r>
      <w:r w:rsidR="00EA360A">
        <w:rPr>
          <w:color w:val="000000" w:themeColor="text1"/>
        </w:rPr>
        <w:t>it may just have been logistical convenience for both however and the assumption of sacredness cannot be proven (or disproven).</w:t>
      </w:r>
      <w:r w:rsidR="00707B33">
        <w:rPr>
          <w:color w:val="000000" w:themeColor="text1"/>
        </w:rPr>
        <w:t xml:space="preserve"> Equally however the henge site of Arbor Low in Derbyshire is considered to </w:t>
      </w:r>
      <w:r w:rsidR="008D5A0D">
        <w:rPr>
          <w:color w:val="000000" w:themeColor="text1"/>
        </w:rPr>
        <w:t xml:space="preserve">have </w:t>
      </w:r>
      <w:r w:rsidR="00707B33">
        <w:rPr>
          <w:color w:val="000000" w:themeColor="text1"/>
        </w:rPr>
        <w:t>be</w:t>
      </w:r>
      <w:r w:rsidR="008D5A0D">
        <w:rPr>
          <w:color w:val="000000" w:themeColor="text1"/>
        </w:rPr>
        <w:t>en</w:t>
      </w:r>
      <w:r w:rsidR="00707B33">
        <w:rPr>
          <w:color w:val="000000" w:themeColor="text1"/>
        </w:rPr>
        <w:t xml:space="preserve"> created </w:t>
      </w:r>
      <w:r w:rsidR="008D5A0D">
        <w:rPr>
          <w:color w:val="000000" w:themeColor="text1"/>
        </w:rPr>
        <w:t xml:space="preserve">and used </w:t>
      </w:r>
      <w:r w:rsidR="00707B33">
        <w:rPr>
          <w:color w:val="000000" w:themeColor="text1"/>
        </w:rPr>
        <w:t>for sacred purposes</w:t>
      </w:r>
      <w:r w:rsidR="00B91BA2">
        <w:rPr>
          <w:color w:val="000000" w:themeColor="text1"/>
        </w:rPr>
        <w:t xml:space="preserve"> by Neolithic people</w:t>
      </w:r>
      <w:r w:rsidR="00707B33">
        <w:rPr>
          <w:color w:val="000000" w:themeColor="text1"/>
        </w:rPr>
        <w:t xml:space="preserve"> but today the site has a certain atmosphere to it but is neglected in the middle of a farmer’s field and visited by very few people. So presumably this is not considered to be sacred</w:t>
      </w:r>
      <w:r w:rsidR="008D5A0D">
        <w:rPr>
          <w:color w:val="000000" w:themeColor="text1"/>
        </w:rPr>
        <w:t xml:space="preserve"> by today’s people</w:t>
      </w:r>
      <w:r w:rsidR="00707B33">
        <w:rPr>
          <w:color w:val="000000" w:themeColor="text1"/>
        </w:rPr>
        <w:t>.</w:t>
      </w:r>
    </w:p>
    <w:p w14:paraId="70E9CE69" w14:textId="38458075" w:rsidR="006B79CE" w:rsidRDefault="006B79CE" w:rsidP="00BA7048">
      <w:pPr>
        <w:rPr>
          <w:color w:val="000000" w:themeColor="text1"/>
        </w:rPr>
      </w:pPr>
    </w:p>
    <w:p w14:paraId="5D5DD082" w14:textId="0BA3C6DA" w:rsidR="006B79CE" w:rsidRDefault="00B63567" w:rsidP="00622835">
      <w:pPr>
        <w:jc w:val="both"/>
        <w:rPr>
          <w:color w:val="000000" w:themeColor="text1"/>
        </w:rPr>
      </w:pPr>
      <w:r>
        <w:rPr>
          <w:color w:val="000000" w:themeColor="text1"/>
        </w:rPr>
        <w:t>It can therefore be seen that sacredness is concerned with religion and b</w:t>
      </w:r>
      <w:r w:rsidR="006B79CE">
        <w:rPr>
          <w:color w:val="000000" w:themeColor="text1"/>
        </w:rPr>
        <w:t xml:space="preserve">oth Durkheim and Eliade are concerned with the religious and what this involves, including a concern with sacred space. For both however any idea of sacredness is subordinated to their concern with religion and the ways in which religion is manifest in society. Both seem to think that religion permeates society and that all humans are innately religious although they do not offer any evidence for this belief beyond their own interpretations. In many ways this can </w:t>
      </w:r>
      <w:proofErr w:type="gramStart"/>
      <w:r w:rsidR="006B79CE">
        <w:rPr>
          <w:color w:val="000000" w:themeColor="text1"/>
        </w:rPr>
        <w:t>be considered to be</w:t>
      </w:r>
      <w:proofErr w:type="gramEnd"/>
      <w:r w:rsidR="006B79CE">
        <w:rPr>
          <w:color w:val="000000" w:themeColor="text1"/>
        </w:rPr>
        <w:t xml:space="preserve"> a consequence of the time when they were thinking and writing and place their location within Europe at that time, even though they are separated temporally by nearly 50 years and geographically to a considerable extent</w:t>
      </w:r>
      <w:r w:rsidR="00905A2E">
        <w:rPr>
          <w:color w:val="000000" w:themeColor="text1"/>
        </w:rPr>
        <w:t xml:space="preserve"> across Europe</w:t>
      </w:r>
      <w:r w:rsidR="006B79CE">
        <w:rPr>
          <w:color w:val="000000" w:themeColor="text1"/>
        </w:rPr>
        <w:t>.</w:t>
      </w:r>
      <w:r w:rsidR="002B2696">
        <w:rPr>
          <w:color w:val="000000" w:themeColor="text1"/>
        </w:rPr>
        <w:t xml:space="preserve"> The work of each has </w:t>
      </w:r>
      <w:r w:rsidR="00905A2E">
        <w:rPr>
          <w:color w:val="000000" w:themeColor="text1"/>
        </w:rPr>
        <w:t xml:space="preserve">however </w:t>
      </w:r>
      <w:r w:rsidR="002B2696">
        <w:rPr>
          <w:color w:val="000000" w:themeColor="text1"/>
        </w:rPr>
        <w:t xml:space="preserve">been more or less continuously in print since it was </w:t>
      </w:r>
      <w:proofErr w:type="gramStart"/>
      <w:r w:rsidR="002B2696">
        <w:rPr>
          <w:color w:val="000000" w:themeColor="text1"/>
        </w:rPr>
        <w:t>written</w:t>
      </w:r>
      <w:proofErr w:type="gramEnd"/>
      <w:r w:rsidR="002B2696">
        <w:rPr>
          <w:color w:val="000000" w:themeColor="text1"/>
        </w:rPr>
        <w:t xml:space="preserve"> and this therefore suggest that their ideas resonated with many and still have considerable currency today. This is </w:t>
      </w:r>
      <w:proofErr w:type="gramStart"/>
      <w:r w:rsidR="002B2696">
        <w:rPr>
          <w:color w:val="000000" w:themeColor="text1"/>
        </w:rPr>
        <w:t>despite the fact that</w:t>
      </w:r>
      <w:proofErr w:type="gramEnd"/>
      <w:r w:rsidR="002B2696">
        <w:rPr>
          <w:color w:val="000000" w:themeColor="text1"/>
        </w:rPr>
        <w:t xml:space="preserve"> attitudes towards religion have changed profoundly, suggesting the people still have a similar need for some kind of religion as signifying a belonging.</w:t>
      </w:r>
      <w:r w:rsidR="00241E68">
        <w:rPr>
          <w:color w:val="000000" w:themeColor="text1"/>
        </w:rPr>
        <w:t xml:space="preserve"> </w:t>
      </w:r>
      <w:proofErr w:type="gramStart"/>
      <w:r w:rsidR="00241E68">
        <w:rPr>
          <w:color w:val="000000" w:themeColor="text1"/>
        </w:rPr>
        <w:t>Indeed</w:t>
      </w:r>
      <w:proofErr w:type="gramEnd"/>
      <w:r w:rsidR="00241E68">
        <w:rPr>
          <w:color w:val="000000" w:themeColor="text1"/>
        </w:rPr>
        <w:t xml:space="preserve"> it </w:t>
      </w:r>
      <w:r w:rsidR="00241E68">
        <w:rPr>
          <w:color w:val="000000" w:themeColor="text1"/>
        </w:rPr>
        <w:lastRenderedPageBreak/>
        <w:t>can be argued (see Schiefer &amp; van der Noll) that religion is needed to ensure social cohesion</w:t>
      </w:r>
      <w:r w:rsidR="00241E68">
        <w:rPr>
          <w:rStyle w:val="FootnoteReference"/>
          <w:color w:val="000000" w:themeColor="text1"/>
        </w:rPr>
        <w:footnoteReference w:id="2"/>
      </w:r>
      <w:r w:rsidR="00241E68">
        <w:rPr>
          <w:color w:val="000000" w:themeColor="text1"/>
        </w:rPr>
        <w:t>. As society gets larger and more fragmented this need continues to increase.</w:t>
      </w:r>
    </w:p>
    <w:p w14:paraId="7689FB1F" w14:textId="77777777" w:rsidR="009337B3" w:rsidRDefault="009337B3" w:rsidP="00BA7048">
      <w:pPr>
        <w:rPr>
          <w:color w:val="000000" w:themeColor="text1"/>
        </w:rPr>
      </w:pPr>
    </w:p>
    <w:p w14:paraId="08859FF2" w14:textId="5970731A" w:rsidR="00CF75DA" w:rsidRPr="00BA7048" w:rsidRDefault="00B305A1" w:rsidP="00622835">
      <w:pPr>
        <w:jc w:val="both"/>
        <w:rPr>
          <w:color w:val="000000" w:themeColor="text1"/>
        </w:rPr>
      </w:pPr>
      <w:proofErr w:type="gramStart"/>
      <w:r>
        <w:rPr>
          <w:color w:val="000000" w:themeColor="text1"/>
        </w:rPr>
        <w:t>In order to</w:t>
      </w:r>
      <w:proofErr w:type="gramEnd"/>
      <w:r>
        <w:rPr>
          <w:color w:val="000000" w:themeColor="text1"/>
        </w:rPr>
        <w:t xml:space="preserve"> compare the views of Durkheim and Eliade regarding </w:t>
      </w:r>
      <w:r w:rsidR="00622835">
        <w:rPr>
          <w:color w:val="000000" w:themeColor="text1"/>
        </w:rPr>
        <w:t xml:space="preserve">sacred space </w:t>
      </w:r>
      <w:r>
        <w:rPr>
          <w:color w:val="000000" w:themeColor="text1"/>
        </w:rPr>
        <w:t>it is first necessary to consider their similarity and the first point to note is that they are situated with</w:t>
      </w:r>
      <w:r w:rsidR="00905A2E">
        <w:rPr>
          <w:color w:val="000000" w:themeColor="text1"/>
        </w:rPr>
        <w:t>in</w:t>
      </w:r>
      <w:r>
        <w:rPr>
          <w:color w:val="000000" w:themeColor="text1"/>
        </w:rPr>
        <w:t xml:space="preserve"> </w:t>
      </w:r>
      <w:r w:rsidR="00905A2E">
        <w:rPr>
          <w:color w:val="000000" w:themeColor="text1"/>
        </w:rPr>
        <w:t>a</w:t>
      </w:r>
      <w:r>
        <w:rPr>
          <w:color w:val="000000" w:themeColor="text1"/>
        </w:rPr>
        <w:t xml:space="preserve"> structuralist ontology, based upon the work of Saussure</w:t>
      </w:r>
      <w:r w:rsidR="00DE4F0B">
        <w:rPr>
          <w:rStyle w:val="FootnoteReference"/>
          <w:color w:val="000000" w:themeColor="text1"/>
        </w:rPr>
        <w:footnoteReference w:id="3"/>
      </w:r>
      <w:r>
        <w:rPr>
          <w:color w:val="000000" w:themeColor="text1"/>
        </w:rPr>
        <w:t>. Although fully developed by theorists such as Levi Strauss</w:t>
      </w:r>
      <w:r w:rsidR="00DE4F0B">
        <w:rPr>
          <w:rStyle w:val="FootnoteReference"/>
          <w:color w:val="000000" w:themeColor="text1"/>
        </w:rPr>
        <w:footnoteReference w:id="4"/>
      </w:r>
      <w:r>
        <w:rPr>
          <w:color w:val="000000" w:themeColor="text1"/>
        </w:rPr>
        <w:t xml:space="preserve"> the basic premise was accepted before this and this is that there is an underlying structure to all things which transcends their initial appearance. One way to identify this structure is through dichotomising and both Durkheim and Eliade do this by classing everything into the two categories of the sacred and the profane. In </w:t>
      </w:r>
      <w:proofErr w:type="gramStart"/>
      <w:r>
        <w:rPr>
          <w:color w:val="000000" w:themeColor="text1"/>
        </w:rPr>
        <w:t>actual fact</w:t>
      </w:r>
      <w:proofErr w:type="gramEnd"/>
      <w:r>
        <w:rPr>
          <w:color w:val="000000" w:themeColor="text1"/>
        </w:rPr>
        <w:t xml:space="preserve"> they both do this by classifying what they consider to be sacred and everything else was therefore profane. </w:t>
      </w:r>
      <w:proofErr w:type="gramStart"/>
      <w:r>
        <w:rPr>
          <w:color w:val="000000" w:themeColor="text1"/>
        </w:rPr>
        <w:t>So</w:t>
      </w:r>
      <w:proofErr w:type="gramEnd"/>
      <w:r>
        <w:rPr>
          <w:color w:val="000000" w:themeColor="text1"/>
        </w:rPr>
        <w:t xml:space="preserve"> for both the sacred was important and the remainder was </w:t>
      </w:r>
      <w:r w:rsidR="00905A2E">
        <w:rPr>
          <w:color w:val="000000" w:themeColor="text1"/>
        </w:rPr>
        <w:t xml:space="preserve">of </w:t>
      </w:r>
      <w:r>
        <w:rPr>
          <w:color w:val="000000" w:themeColor="text1"/>
        </w:rPr>
        <w:t>secondary</w:t>
      </w:r>
      <w:r w:rsidR="00905A2E">
        <w:rPr>
          <w:color w:val="000000" w:themeColor="text1"/>
        </w:rPr>
        <w:t xml:space="preserve"> significance</w:t>
      </w:r>
      <w:r>
        <w:rPr>
          <w:color w:val="000000" w:themeColor="text1"/>
        </w:rPr>
        <w:t>.</w:t>
      </w:r>
      <w:r w:rsidR="00F7639C">
        <w:rPr>
          <w:color w:val="000000" w:themeColor="text1"/>
        </w:rPr>
        <w:t xml:space="preserve"> It must be noted however that according to Pryor this division of everything into the sacred and the profane is a product of the Western world</w:t>
      </w:r>
      <w:r w:rsidR="00CF63EE">
        <w:rPr>
          <w:rStyle w:val="FootnoteReference"/>
          <w:color w:val="000000" w:themeColor="text1"/>
        </w:rPr>
        <w:footnoteReference w:id="5"/>
      </w:r>
      <w:r w:rsidR="00F7639C">
        <w:rPr>
          <w:color w:val="000000" w:themeColor="text1"/>
        </w:rPr>
        <w:t xml:space="preserve">. </w:t>
      </w:r>
      <w:r w:rsidR="00905A2E">
        <w:rPr>
          <w:color w:val="000000" w:themeColor="text1"/>
        </w:rPr>
        <w:t>T</w:t>
      </w:r>
      <w:r w:rsidR="00F7639C">
        <w:rPr>
          <w:color w:val="000000" w:themeColor="text1"/>
        </w:rPr>
        <w:t>his point is reinforced by Kuzmina</w:t>
      </w:r>
      <w:r w:rsidR="00F7639C">
        <w:rPr>
          <w:rStyle w:val="FootnoteReference"/>
          <w:color w:val="000000" w:themeColor="text1"/>
        </w:rPr>
        <w:footnoteReference w:id="6"/>
      </w:r>
      <w:r w:rsidR="00F7639C">
        <w:rPr>
          <w:color w:val="000000" w:themeColor="text1"/>
        </w:rPr>
        <w:t xml:space="preserve"> that there was no division in traditional culture between the spiritual and the material.</w:t>
      </w:r>
      <w:r w:rsidR="00CF63EE">
        <w:rPr>
          <w:color w:val="000000" w:themeColor="text1"/>
        </w:rPr>
        <w:t xml:space="preserve"> </w:t>
      </w:r>
      <w:proofErr w:type="gramStart"/>
      <w:r w:rsidR="00CF63EE">
        <w:rPr>
          <w:color w:val="000000" w:themeColor="text1"/>
        </w:rPr>
        <w:t>So</w:t>
      </w:r>
      <w:proofErr w:type="gramEnd"/>
      <w:r w:rsidR="00CF63EE">
        <w:rPr>
          <w:color w:val="000000" w:themeColor="text1"/>
        </w:rPr>
        <w:t xml:space="preserve"> it would be reasonable to argue that there is no automatic division between the sacred and the non-sacred and that this division is for the convenience of the writer and for modern society.</w:t>
      </w:r>
    </w:p>
    <w:p w14:paraId="391914E6" w14:textId="1427BD29" w:rsidR="00B305A1" w:rsidRDefault="00B305A1">
      <w:pPr>
        <w:rPr>
          <w:color w:val="000000" w:themeColor="text1"/>
        </w:rPr>
      </w:pPr>
    </w:p>
    <w:p w14:paraId="0653DE06" w14:textId="16B92C26" w:rsidR="00A7799A" w:rsidRDefault="00086D57" w:rsidP="00622835">
      <w:pPr>
        <w:jc w:val="both"/>
        <w:rPr>
          <w:color w:val="000000" w:themeColor="text1"/>
        </w:rPr>
      </w:pPr>
      <w:r>
        <w:rPr>
          <w:color w:val="000000" w:themeColor="text1"/>
        </w:rPr>
        <w:t xml:space="preserve">Having said that </w:t>
      </w:r>
      <w:r w:rsidR="0066020E">
        <w:rPr>
          <w:color w:val="000000" w:themeColor="text1"/>
        </w:rPr>
        <w:t xml:space="preserve">then for both Durkheim and Eliade the sacred is of note and is based upon religion, although neither really defines what religion </w:t>
      </w:r>
      <w:proofErr w:type="gramStart"/>
      <w:r w:rsidR="0066020E">
        <w:rPr>
          <w:color w:val="000000" w:themeColor="text1"/>
        </w:rPr>
        <w:t>actually is</w:t>
      </w:r>
      <w:proofErr w:type="gramEnd"/>
      <w:r w:rsidR="001B55AE">
        <w:rPr>
          <w:color w:val="000000" w:themeColor="text1"/>
        </w:rPr>
        <w:t>, other than being related to some belief. In terms of space then the two authors are quite clear and diverge in opinion. For Eliade certain spaces are sacred to all and he defines these in terms</w:t>
      </w:r>
      <w:r w:rsidR="00926C27">
        <w:rPr>
          <w:color w:val="000000" w:themeColor="text1"/>
        </w:rPr>
        <w:t xml:space="preserve"> of their forming a </w:t>
      </w:r>
      <w:proofErr w:type="spellStart"/>
      <w:r w:rsidR="00926C27">
        <w:rPr>
          <w:color w:val="000000" w:themeColor="text1"/>
        </w:rPr>
        <w:t>hierophany</w:t>
      </w:r>
      <w:proofErr w:type="spellEnd"/>
      <w:r w:rsidR="00926C27">
        <w:rPr>
          <w:rStyle w:val="FootnoteReference"/>
          <w:color w:val="000000" w:themeColor="text1"/>
        </w:rPr>
        <w:footnoteReference w:id="7"/>
      </w:r>
      <w:r w:rsidR="00926C27">
        <w:rPr>
          <w:color w:val="000000" w:themeColor="text1"/>
        </w:rPr>
        <w:t xml:space="preserve"> and assume that for ‘religious man</w:t>
      </w:r>
      <w:r w:rsidR="00905A2E">
        <w:rPr>
          <w:color w:val="000000" w:themeColor="text1"/>
        </w:rPr>
        <w:t>’</w:t>
      </w:r>
      <w:r w:rsidR="00926C27">
        <w:rPr>
          <w:color w:val="000000" w:themeColor="text1"/>
        </w:rPr>
        <w:t xml:space="preserve"> such places</w:t>
      </w:r>
      <w:r w:rsidR="00926C27" w:rsidRPr="00926C27">
        <w:rPr>
          <w:color w:val="000000" w:themeColor="text1"/>
        </w:rPr>
        <w:t xml:space="preserve"> </w:t>
      </w:r>
      <w:r w:rsidR="00926C27">
        <w:rPr>
          <w:color w:val="000000" w:themeColor="text1"/>
        </w:rPr>
        <w:t>are uniformly sacred and “possess existential value for religious man”</w:t>
      </w:r>
      <w:r w:rsidR="00926C27">
        <w:rPr>
          <w:rStyle w:val="FootnoteReference"/>
          <w:color w:val="000000" w:themeColor="text1"/>
        </w:rPr>
        <w:footnoteReference w:id="8"/>
      </w:r>
      <w:r w:rsidR="00D502AA">
        <w:rPr>
          <w:color w:val="000000" w:themeColor="text1"/>
        </w:rPr>
        <w:t>. It would be interesting to spec</w:t>
      </w:r>
      <w:r w:rsidR="00AC59E8">
        <w:rPr>
          <w:color w:val="000000" w:themeColor="text1"/>
        </w:rPr>
        <w:t>ulate how he would consider the case of the Hagia Sophia in Istanbul which was originally</w:t>
      </w:r>
      <w:r w:rsidR="00926C27">
        <w:rPr>
          <w:color w:val="000000" w:themeColor="text1"/>
        </w:rPr>
        <w:t xml:space="preserve"> </w:t>
      </w:r>
      <w:r w:rsidR="00AC59E8">
        <w:rPr>
          <w:color w:val="000000" w:themeColor="text1"/>
        </w:rPr>
        <w:t>a Christian church before becoming an Islamic mosque</w:t>
      </w:r>
      <w:r w:rsidR="00EB31C1">
        <w:rPr>
          <w:color w:val="000000" w:themeColor="text1"/>
        </w:rPr>
        <w:t xml:space="preserve"> in 1453 after the capture of Constantinople by Mehmed II</w:t>
      </w:r>
      <w:r w:rsidR="00AC59E8">
        <w:rPr>
          <w:color w:val="000000" w:themeColor="text1"/>
        </w:rPr>
        <w:t xml:space="preserve">, </w:t>
      </w:r>
      <w:r w:rsidR="00EB31C1">
        <w:rPr>
          <w:color w:val="000000" w:themeColor="text1"/>
        </w:rPr>
        <w:t xml:space="preserve">was </w:t>
      </w:r>
      <w:r w:rsidR="00AC59E8">
        <w:rPr>
          <w:color w:val="000000" w:themeColor="text1"/>
        </w:rPr>
        <w:t xml:space="preserve">subsequently </w:t>
      </w:r>
      <w:r w:rsidR="00905A2E">
        <w:rPr>
          <w:color w:val="000000" w:themeColor="text1"/>
        </w:rPr>
        <w:t xml:space="preserve">made into </w:t>
      </w:r>
      <w:r w:rsidR="00AC59E8">
        <w:rPr>
          <w:color w:val="000000" w:themeColor="text1"/>
        </w:rPr>
        <w:t xml:space="preserve">a secular museum </w:t>
      </w:r>
      <w:r w:rsidR="00EB31C1">
        <w:rPr>
          <w:color w:val="000000" w:themeColor="text1"/>
        </w:rPr>
        <w:t xml:space="preserve">in 1923 by </w:t>
      </w:r>
      <w:proofErr w:type="spellStart"/>
      <w:r w:rsidR="00EB31C1">
        <w:rPr>
          <w:color w:val="000000" w:themeColor="text1"/>
        </w:rPr>
        <w:t>Attaturk</w:t>
      </w:r>
      <w:proofErr w:type="spellEnd"/>
      <w:r w:rsidR="00EB31C1">
        <w:rPr>
          <w:color w:val="000000" w:themeColor="text1"/>
        </w:rPr>
        <w:t xml:space="preserve"> </w:t>
      </w:r>
      <w:r w:rsidR="00AC59E8">
        <w:rPr>
          <w:color w:val="000000" w:themeColor="text1"/>
        </w:rPr>
        <w:t xml:space="preserve">and recently </w:t>
      </w:r>
      <w:r w:rsidR="00EB31C1">
        <w:rPr>
          <w:color w:val="000000" w:themeColor="text1"/>
        </w:rPr>
        <w:t xml:space="preserve">redesignated </w:t>
      </w:r>
      <w:r w:rsidR="00AC59E8">
        <w:rPr>
          <w:color w:val="000000" w:themeColor="text1"/>
        </w:rPr>
        <w:t>a mosque again</w:t>
      </w:r>
      <w:r w:rsidR="00EB31C1">
        <w:rPr>
          <w:color w:val="000000" w:themeColor="text1"/>
        </w:rPr>
        <w:t xml:space="preserve"> by Erdogan</w:t>
      </w:r>
      <w:r w:rsidR="00AC59E8">
        <w:rPr>
          <w:color w:val="000000" w:themeColor="text1"/>
        </w:rPr>
        <w:t xml:space="preserve">. </w:t>
      </w:r>
      <w:r w:rsidR="00EB31C1">
        <w:rPr>
          <w:color w:val="000000" w:themeColor="text1"/>
        </w:rPr>
        <w:t>Presumably the space was s</w:t>
      </w:r>
      <w:r w:rsidR="00905A2E">
        <w:rPr>
          <w:color w:val="000000" w:themeColor="text1"/>
        </w:rPr>
        <w:t>a</w:t>
      </w:r>
      <w:r w:rsidR="00EB31C1">
        <w:rPr>
          <w:color w:val="000000" w:themeColor="text1"/>
        </w:rPr>
        <w:t xml:space="preserve">cred to the relevant religion at each </w:t>
      </w:r>
      <w:proofErr w:type="gramStart"/>
      <w:r w:rsidR="00EB31C1">
        <w:rPr>
          <w:color w:val="000000" w:themeColor="text1"/>
        </w:rPr>
        <w:t>time</w:t>
      </w:r>
      <w:proofErr w:type="gramEnd"/>
      <w:r w:rsidR="00EB31C1">
        <w:rPr>
          <w:color w:val="000000" w:themeColor="text1"/>
        </w:rPr>
        <w:t xml:space="preserve"> but </w:t>
      </w:r>
      <w:r w:rsidR="00905A2E">
        <w:rPr>
          <w:color w:val="000000" w:themeColor="text1"/>
        </w:rPr>
        <w:t>it is less certain</w:t>
      </w:r>
      <w:r w:rsidR="00EB31C1">
        <w:rPr>
          <w:color w:val="000000" w:themeColor="text1"/>
        </w:rPr>
        <w:t xml:space="preserve"> about the previous religion and their view of the space. </w:t>
      </w:r>
      <w:proofErr w:type="gramStart"/>
      <w:r w:rsidR="00EB31C1">
        <w:rPr>
          <w:color w:val="000000" w:themeColor="text1"/>
        </w:rPr>
        <w:t>Additionally</w:t>
      </w:r>
      <w:proofErr w:type="gramEnd"/>
      <w:r w:rsidR="00EB31C1">
        <w:rPr>
          <w:color w:val="000000" w:themeColor="text1"/>
        </w:rPr>
        <w:t xml:space="preserve"> it is unlikely that each ruler redesignating the space was driven by any feeling of sacredness of the space but rather my the political need to make a statement of their own </w:t>
      </w:r>
      <w:r w:rsidR="00622835">
        <w:rPr>
          <w:color w:val="000000" w:themeColor="text1"/>
        </w:rPr>
        <w:t xml:space="preserve">personal </w:t>
      </w:r>
      <w:r w:rsidR="00EB31C1">
        <w:rPr>
          <w:color w:val="000000" w:themeColor="text1"/>
        </w:rPr>
        <w:t xml:space="preserve">significance. </w:t>
      </w:r>
      <w:proofErr w:type="gramStart"/>
      <w:r w:rsidR="00EB31C1">
        <w:rPr>
          <w:color w:val="000000" w:themeColor="text1"/>
        </w:rPr>
        <w:t>Furthermore</w:t>
      </w:r>
      <w:proofErr w:type="gramEnd"/>
      <w:r w:rsidR="00EB31C1">
        <w:rPr>
          <w:color w:val="000000" w:themeColor="text1"/>
        </w:rPr>
        <w:t xml:space="preserve"> it is uncertain why the space was chosen in the first place</w:t>
      </w:r>
      <w:r w:rsidR="00A7799A">
        <w:rPr>
          <w:color w:val="000000" w:themeColor="text1"/>
        </w:rPr>
        <w:t xml:space="preserve"> other than it being at the top of a hill, although when the Blue Mosque was built in 1609 it was </w:t>
      </w:r>
      <w:r w:rsidR="00905A2E">
        <w:rPr>
          <w:color w:val="000000" w:themeColor="text1"/>
        </w:rPr>
        <w:t xml:space="preserve">placed </w:t>
      </w:r>
      <w:r w:rsidR="00A7799A">
        <w:rPr>
          <w:color w:val="000000" w:themeColor="text1"/>
        </w:rPr>
        <w:t xml:space="preserve">alongside, perhaps indicating some kind of sacredness or again for political reasons. </w:t>
      </w:r>
      <w:proofErr w:type="gramStart"/>
      <w:r w:rsidR="00A7799A">
        <w:rPr>
          <w:color w:val="000000" w:themeColor="text1"/>
        </w:rPr>
        <w:t>Moreover</w:t>
      </w:r>
      <w:proofErr w:type="gramEnd"/>
      <w:r w:rsidR="00A7799A">
        <w:rPr>
          <w:color w:val="000000" w:themeColor="text1"/>
        </w:rPr>
        <w:t xml:space="preserve"> the space alongside had been previously used by the Romans for the purpose of chariot racing. </w:t>
      </w:r>
      <w:r w:rsidR="002277A6">
        <w:rPr>
          <w:color w:val="000000" w:themeColor="text1"/>
        </w:rPr>
        <w:t xml:space="preserve">The top of a hill seems to be popular for sacred objects. For </w:t>
      </w:r>
      <w:proofErr w:type="gramStart"/>
      <w:r w:rsidR="002277A6">
        <w:rPr>
          <w:color w:val="000000" w:themeColor="text1"/>
        </w:rPr>
        <w:t>example</w:t>
      </w:r>
      <w:proofErr w:type="gramEnd"/>
      <w:r w:rsidR="002277A6">
        <w:rPr>
          <w:color w:val="000000" w:themeColor="text1"/>
        </w:rPr>
        <w:t xml:space="preserve"> </w:t>
      </w:r>
      <w:r w:rsidR="002277A6">
        <w:rPr>
          <w:color w:val="000000" w:themeColor="text1"/>
        </w:rPr>
        <w:lastRenderedPageBreak/>
        <w:t>the Parthenon in Athens is at the top of a hill and very visible – but it is not certain that the top of a hill is sacred per se or just a visible way to make a statement</w:t>
      </w:r>
      <w:r w:rsidR="00EB31C1">
        <w:rPr>
          <w:color w:val="000000" w:themeColor="text1"/>
        </w:rPr>
        <w:t>.</w:t>
      </w:r>
    </w:p>
    <w:p w14:paraId="77443071" w14:textId="77777777" w:rsidR="00A7799A" w:rsidRDefault="00A7799A">
      <w:pPr>
        <w:rPr>
          <w:color w:val="000000" w:themeColor="text1"/>
        </w:rPr>
      </w:pPr>
    </w:p>
    <w:p w14:paraId="53907D2C" w14:textId="53670A48" w:rsidR="00F7639C" w:rsidRDefault="00A7799A" w:rsidP="00622835">
      <w:pPr>
        <w:jc w:val="both"/>
        <w:rPr>
          <w:color w:val="000000" w:themeColor="text1"/>
        </w:rPr>
      </w:pPr>
      <w:r>
        <w:rPr>
          <w:color w:val="000000" w:themeColor="text1"/>
        </w:rPr>
        <w:t>I</w:t>
      </w:r>
      <w:r w:rsidR="00AC59E8">
        <w:rPr>
          <w:color w:val="000000" w:themeColor="text1"/>
        </w:rPr>
        <w:t xml:space="preserve">t is uncertain if any space could be </w:t>
      </w:r>
      <w:proofErr w:type="spellStart"/>
      <w:r w:rsidR="00AC59E8">
        <w:rPr>
          <w:color w:val="000000" w:themeColor="text1"/>
        </w:rPr>
        <w:t>hieroph</w:t>
      </w:r>
      <w:r w:rsidR="00B37E17">
        <w:rPr>
          <w:color w:val="000000" w:themeColor="text1"/>
        </w:rPr>
        <w:t>on</w:t>
      </w:r>
      <w:r w:rsidR="00AC59E8">
        <w:rPr>
          <w:color w:val="000000" w:themeColor="text1"/>
        </w:rPr>
        <w:t>ic</w:t>
      </w:r>
      <w:proofErr w:type="spellEnd"/>
      <w:r w:rsidR="00AC59E8">
        <w:rPr>
          <w:color w:val="000000" w:themeColor="text1"/>
        </w:rPr>
        <w:t xml:space="preserve"> for different religious groups at different times</w:t>
      </w:r>
      <w:r w:rsidR="00B37E17">
        <w:rPr>
          <w:color w:val="000000" w:themeColor="text1"/>
        </w:rPr>
        <w:t xml:space="preserve"> or to several groups from different religions at the same time. </w:t>
      </w:r>
      <w:r w:rsidR="002277A6">
        <w:rPr>
          <w:color w:val="000000" w:themeColor="text1"/>
        </w:rPr>
        <w:t xml:space="preserve">It is equally uncertain that it can start and stop being sacred when usage changes although most probably the Hagia Sophia was not considered sacred by Christians after 1453 although it may well </w:t>
      </w:r>
      <w:proofErr w:type="gramStart"/>
      <w:r w:rsidR="002277A6">
        <w:rPr>
          <w:color w:val="000000" w:themeColor="text1"/>
        </w:rPr>
        <w:t>be seen as</w:t>
      </w:r>
      <w:proofErr w:type="gramEnd"/>
      <w:r w:rsidR="002277A6">
        <w:rPr>
          <w:color w:val="000000" w:themeColor="text1"/>
        </w:rPr>
        <w:t xml:space="preserve"> such now. </w:t>
      </w:r>
      <w:r w:rsidR="00B37E17">
        <w:rPr>
          <w:color w:val="000000" w:themeColor="text1"/>
        </w:rPr>
        <w:t xml:space="preserve">This seems to present an existential conundrum. In any event </w:t>
      </w:r>
      <w:r w:rsidR="002277A6">
        <w:rPr>
          <w:color w:val="000000" w:themeColor="text1"/>
        </w:rPr>
        <w:t>for both writers their</w:t>
      </w:r>
      <w:r w:rsidR="00B37E17">
        <w:rPr>
          <w:color w:val="000000" w:themeColor="text1"/>
        </w:rPr>
        <w:t xml:space="preserve"> assertions are qualified by stating that this applies to a religious man (presumably woman also)</w:t>
      </w:r>
      <w:r w:rsidR="00905A2E">
        <w:rPr>
          <w:color w:val="000000" w:themeColor="text1"/>
        </w:rPr>
        <w:t xml:space="preserve"> but presumably not for others, although neither seems sure that a non-religious person </w:t>
      </w:r>
      <w:proofErr w:type="gramStart"/>
      <w:r w:rsidR="00905A2E">
        <w:rPr>
          <w:color w:val="000000" w:themeColor="text1"/>
        </w:rPr>
        <w:t>actually exists</w:t>
      </w:r>
      <w:proofErr w:type="gramEnd"/>
      <w:r w:rsidR="00B37E17">
        <w:rPr>
          <w:color w:val="000000" w:themeColor="text1"/>
        </w:rPr>
        <w:t>.</w:t>
      </w:r>
      <w:r w:rsidR="002277A6">
        <w:rPr>
          <w:color w:val="000000" w:themeColor="text1"/>
        </w:rPr>
        <w:t xml:space="preserve"> </w:t>
      </w:r>
      <w:proofErr w:type="spellStart"/>
      <w:r w:rsidR="002277A6">
        <w:rPr>
          <w:color w:val="000000" w:themeColor="text1"/>
        </w:rPr>
        <w:t>Durheim’s</w:t>
      </w:r>
      <w:proofErr w:type="spellEnd"/>
      <w:r w:rsidR="002277A6">
        <w:rPr>
          <w:color w:val="000000" w:themeColor="text1"/>
        </w:rPr>
        <w:t xml:space="preserve"> argument is less problematic for this example as space is only sacred when used as such rather than innately sacred.</w:t>
      </w:r>
    </w:p>
    <w:p w14:paraId="28B44260" w14:textId="3CDEDE8A" w:rsidR="00B37E17" w:rsidRDefault="00B37E17">
      <w:pPr>
        <w:rPr>
          <w:color w:val="000000" w:themeColor="text1"/>
        </w:rPr>
      </w:pPr>
    </w:p>
    <w:p w14:paraId="4D0C1C23" w14:textId="3A46AF5C" w:rsidR="00B37E17" w:rsidRDefault="00B37E17" w:rsidP="00622835">
      <w:pPr>
        <w:jc w:val="both"/>
        <w:rPr>
          <w:color w:val="000000" w:themeColor="text1"/>
        </w:rPr>
      </w:pPr>
      <w:r>
        <w:rPr>
          <w:color w:val="000000" w:themeColor="text1"/>
        </w:rPr>
        <w:t xml:space="preserve">Eliade’s argument seems to be inconsistent however as he also argues that some places are sacred </w:t>
      </w:r>
      <w:r w:rsidR="006A7A67">
        <w:rPr>
          <w:color w:val="000000" w:themeColor="text1"/>
        </w:rPr>
        <w:t xml:space="preserve">just </w:t>
      </w:r>
      <w:r>
        <w:rPr>
          <w:color w:val="000000" w:themeColor="text1"/>
        </w:rPr>
        <w:t>because they are, citing such things as legends</w:t>
      </w:r>
      <w:r>
        <w:rPr>
          <w:rStyle w:val="FootnoteReference"/>
          <w:color w:val="000000" w:themeColor="text1"/>
        </w:rPr>
        <w:footnoteReference w:id="9"/>
      </w:r>
      <w:r>
        <w:rPr>
          <w:color w:val="000000" w:themeColor="text1"/>
        </w:rPr>
        <w:t xml:space="preserve"> and sites of killing animals</w:t>
      </w:r>
      <w:r w:rsidR="00D21631">
        <w:rPr>
          <w:rStyle w:val="FootnoteReference"/>
          <w:color w:val="000000" w:themeColor="text1"/>
        </w:rPr>
        <w:footnoteReference w:id="10"/>
      </w:r>
      <w:r>
        <w:rPr>
          <w:color w:val="000000" w:themeColor="text1"/>
        </w:rPr>
        <w:t xml:space="preserve"> as the basis for this statement</w:t>
      </w:r>
      <w:r w:rsidR="00D21631">
        <w:rPr>
          <w:color w:val="000000" w:themeColor="text1"/>
        </w:rPr>
        <w:t xml:space="preserve">. </w:t>
      </w:r>
      <w:proofErr w:type="gramStart"/>
      <w:r w:rsidR="00D21631">
        <w:rPr>
          <w:color w:val="000000" w:themeColor="text1"/>
        </w:rPr>
        <w:t>In reality he</w:t>
      </w:r>
      <w:proofErr w:type="gramEnd"/>
      <w:r w:rsidR="00D21631">
        <w:rPr>
          <w:color w:val="000000" w:themeColor="text1"/>
        </w:rPr>
        <w:t xml:space="preserve"> argues that religious man needs many sacred spaces around him and so creates many “techniques for the construction of sacred space</w:t>
      </w:r>
      <w:r w:rsidR="00564D57">
        <w:rPr>
          <w:color w:val="000000" w:themeColor="text1"/>
        </w:rPr>
        <w:t>”</w:t>
      </w:r>
      <w:r w:rsidR="00D21631">
        <w:rPr>
          <w:rStyle w:val="FootnoteReference"/>
          <w:color w:val="000000" w:themeColor="text1"/>
        </w:rPr>
        <w:footnoteReference w:id="11"/>
      </w:r>
      <w:r w:rsidR="00D21631">
        <w:rPr>
          <w:color w:val="000000" w:themeColor="text1"/>
        </w:rPr>
        <w:t>.</w:t>
      </w:r>
      <w:r w:rsidR="00564D57">
        <w:rPr>
          <w:color w:val="000000" w:themeColor="text1"/>
        </w:rPr>
        <w:t xml:space="preserve"> </w:t>
      </w:r>
      <w:proofErr w:type="gramStart"/>
      <w:r w:rsidR="00564D57">
        <w:rPr>
          <w:color w:val="000000" w:themeColor="text1"/>
        </w:rPr>
        <w:t>So</w:t>
      </w:r>
      <w:proofErr w:type="gramEnd"/>
      <w:r w:rsidR="00564D57">
        <w:rPr>
          <w:color w:val="000000" w:themeColor="text1"/>
        </w:rPr>
        <w:t xml:space="preserve"> the argument seems to be tautological in stating that some spaces are innately sacred while also stating that religious people need sacred spaces and so create </w:t>
      </w:r>
      <w:r w:rsidR="006A7A67">
        <w:rPr>
          <w:color w:val="000000" w:themeColor="text1"/>
        </w:rPr>
        <w:t xml:space="preserve">various </w:t>
      </w:r>
      <w:r w:rsidR="00564D57">
        <w:rPr>
          <w:color w:val="000000" w:themeColor="text1"/>
        </w:rPr>
        <w:t>way</w:t>
      </w:r>
      <w:r w:rsidR="006A7A67">
        <w:rPr>
          <w:color w:val="000000" w:themeColor="text1"/>
        </w:rPr>
        <w:t>s</w:t>
      </w:r>
      <w:r w:rsidR="00564D57">
        <w:rPr>
          <w:color w:val="000000" w:themeColor="text1"/>
        </w:rPr>
        <w:t xml:space="preserve"> to define spaces as sacred. Or perhaps he is trying to argue that these techniques will identify those places which are innately </w:t>
      </w:r>
      <w:proofErr w:type="gramStart"/>
      <w:r w:rsidR="00564D57">
        <w:rPr>
          <w:color w:val="000000" w:themeColor="text1"/>
        </w:rPr>
        <w:t>sacred</w:t>
      </w:r>
      <w:proofErr w:type="gramEnd"/>
      <w:r w:rsidR="00564D57">
        <w:rPr>
          <w:color w:val="000000" w:themeColor="text1"/>
        </w:rPr>
        <w:t xml:space="preserve"> but this argument seems to assume the premise within the argument.</w:t>
      </w:r>
      <w:r w:rsidR="001F7CC4">
        <w:rPr>
          <w:color w:val="000000" w:themeColor="text1"/>
        </w:rPr>
        <w:t xml:space="preserve"> </w:t>
      </w:r>
      <w:proofErr w:type="gramStart"/>
      <w:r w:rsidR="001F7CC4">
        <w:rPr>
          <w:color w:val="000000" w:themeColor="text1"/>
        </w:rPr>
        <w:t>Moreover</w:t>
      </w:r>
      <w:proofErr w:type="gramEnd"/>
      <w:r w:rsidR="001F7CC4">
        <w:rPr>
          <w:color w:val="000000" w:themeColor="text1"/>
        </w:rPr>
        <w:t xml:space="preserve"> legends abound about events being used to justify events or claims to territory without any sacred connotation. For </w:t>
      </w:r>
      <w:proofErr w:type="gramStart"/>
      <w:r w:rsidR="001F7CC4">
        <w:rPr>
          <w:color w:val="000000" w:themeColor="text1"/>
        </w:rPr>
        <w:t>example</w:t>
      </w:r>
      <w:proofErr w:type="gramEnd"/>
      <w:r w:rsidR="001F7CC4">
        <w:rPr>
          <w:color w:val="000000" w:themeColor="text1"/>
        </w:rPr>
        <w:t xml:space="preserve"> the bow shot of </w:t>
      </w:r>
      <w:proofErr w:type="spellStart"/>
      <w:r w:rsidR="001F7CC4">
        <w:rPr>
          <w:color w:val="000000" w:themeColor="text1"/>
        </w:rPr>
        <w:t>Arash</w:t>
      </w:r>
      <w:proofErr w:type="spellEnd"/>
      <w:r w:rsidR="001F7CC4">
        <w:rPr>
          <w:color w:val="000000" w:themeColor="text1"/>
        </w:rPr>
        <w:t xml:space="preserve"> the Archer has been used extensively to justify the extent of Iranian territory and is certainly mentioned extensively despite being excluded from the Sha</w:t>
      </w:r>
      <w:r w:rsidR="00171139">
        <w:rPr>
          <w:color w:val="000000" w:themeColor="text1"/>
        </w:rPr>
        <w:t>h</w:t>
      </w:r>
      <w:r w:rsidR="001F7CC4">
        <w:rPr>
          <w:color w:val="000000" w:themeColor="text1"/>
        </w:rPr>
        <w:t>nameh</w:t>
      </w:r>
      <w:r w:rsidR="001F7CC4">
        <w:rPr>
          <w:rStyle w:val="FootnoteReference"/>
          <w:color w:val="000000" w:themeColor="text1"/>
        </w:rPr>
        <w:footnoteReference w:id="12"/>
      </w:r>
      <w:r w:rsidR="001F7CC4">
        <w:rPr>
          <w:color w:val="000000" w:themeColor="text1"/>
        </w:rPr>
        <w:t>.</w:t>
      </w:r>
      <w:r w:rsidR="00171139">
        <w:rPr>
          <w:color w:val="000000" w:themeColor="text1"/>
        </w:rPr>
        <w:t xml:space="preserve"> Justifying sacredness in this way is more like finding ways to justify your opinion rather than rational argument</w:t>
      </w:r>
      <w:r w:rsidR="006A7A67">
        <w:rPr>
          <w:color w:val="000000" w:themeColor="text1"/>
        </w:rPr>
        <w:t xml:space="preserve"> and certainly is not provable</w:t>
      </w:r>
      <w:r w:rsidR="00171139">
        <w:rPr>
          <w:color w:val="000000" w:themeColor="text1"/>
        </w:rPr>
        <w:t>.</w:t>
      </w:r>
    </w:p>
    <w:p w14:paraId="29F94D8F" w14:textId="5C212A62" w:rsidR="00DC413A" w:rsidRDefault="00DC413A">
      <w:pPr>
        <w:rPr>
          <w:color w:val="000000" w:themeColor="text1"/>
        </w:rPr>
      </w:pPr>
    </w:p>
    <w:p w14:paraId="7F63DDB8" w14:textId="4B8BE5A1" w:rsidR="00DC413A" w:rsidRDefault="00DC413A" w:rsidP="00622835">
      <w:pPr>
        <w:jc w:val="both"/>
        <w:rPr>
          <w:color w:val="000000" w:themeColor="text1"/>
        </w:rPr>
      </w:pPr>
      <w:r>
        <w:rPr>
          <w:color w:val="000000" w:themeColor="text1"/>
        </w:rPr>
        <w:t>One of the problems with the kind of analysis undertaken is that it is completely embedded in its own ontolo</w:t>
      </w:r>
      <w:r w:rsidR="00C53D96">
        <w:rPr>
          <w:color w:val="000000" w:themeColor="text1"/>
        </w:rPr>
        <w:t>gi</w:t>
      </w:r>
      <w:r>
        <w:rPr>
          <w:color w:val="000000" w:themeColor="text1"/>
        </w:rPr>
        <w:t>cal</w:t>
      </w:r>
      <w:r w:rsidR="00C53D96">
        <w:rPr>
          <w:color w:val="000000" w:themeColor="text1"/>
        </w:rPr>
        <w:t xml:space="preserve"> </w:t>
      </w:r>
      <w:r w:rsidR="00BC005D">
        <w:rPr>
          <w:color w:val="000000" w:themeColor="text1"/>
        </w:rPr>
        <w:t xml:space="preserve">position </w:t>
      </w:r>
      <w:r w:rsidR="00C53D96">
        <w:rPr>
          <w:color w:val="000000" w:themeColor="text1"/>
        </w:rPr>
        <w:t xml:space="preserve">and interpreted accordingly. For </w:t>
      </w:r>
      <w:proofErr w:type="gramStart"/>
      <w:r w:rsidR="00C53D96">
        <w:rPr>
          <w:color w:val="000000" w:themeColor="text1"/>
        </w:rPr>
        <w:t>example</w:t>
      </w:r>
      <w:proofErr w:type="gramEnd"/>
      <w:r w:rsidR="00C53D96">
        <w:rPr>
          <w:color w:val="000000" w:themeColor="text1"/>
        </w:rPr>
        <w:t xml:space="preserve"> Stonehenge is assumed to be ritualistic in origins and purpose and to have some kind of sacred significance although the builders left no evidence and the actual construction took place over several thousand years. </w:t>
      </w:r>
      <w:proofErr w:type="gramStart"/>
      <w:r w:rsidR="00C53D96">
        <w:rPr>
          <w:color w:val="000000" w:themeColor="text1"/>
        </w:rPr>
        <w:t>Indeed</w:t>
      </w:r>
      <w:proofErr w:type="gramEnd"/>
      <w:r w:rsidR="00C53D96">
        <w:rPr>
          <w:color w:val="000000" w:themeColor="text1"/>
        </w:rPr>
        <w:t xml:space="preserve"> Pryor argues that what is left at a site is not just what the users wanted to see </w:t>
      </w:r>
      <w:r w:rsidR="006A7A67">
        <w:rPr>
          <w:color w:val="000000" w:themeColor="text1"/>
        </w:rPr>
        <w:t xml:space="preserve">or use </w:t>
      </w:r>
      <w:r w:rsidR="00C53D96">
        <w:rPr>
          <w:color w:val="000000" w:themeColor="text1"/>
        </w:rPr>
        <w:t>but also what they wanted subsequent people to see</w:t>
      </w:r>
      <w:r w:rsidR="00C53D96">
        <w:rPr>
          <w:rStyle w:val="FootnoteReference"/>
          <w:color w:val="000000" w:themeColor="text1"/>
        </w:rPr>
        <w:footnoteReference w:id="13"/>
      </w:r>
      <w:r w:rsidR="00C53D96">
        <w:rPr>
          <w:color w:val="000000" w:themeColor="text1"/>
        </w:rPr>
        <w:t>.</w:t>
      </w:r>
      <w:r w:rsidR="008E11E9">
        <w:rPr>
          <w:color w:val="000000" w:themeColor="text1"/>
        </w:rPr>
        <w:t xml:space="preserve"> Equally Margaret Mead (1928) in her seminal work about Samoa</w:t>
      </w:r>
      <w:r w:rsidR="008E11E9">
        <w:rPr>
          <w:rStyle w:val="FootnoteReference"/>
          <w:color w:val="000000" w:themeColor="text1"/>
        </w:rPr>
        <w:footnoteReference w:id="14"/>
      </w:r>
      <w:r w:rsidR="008E11E9">
        <w:rPr>
          <w:color w:val="000000" w:themeColor="text1"/>
        </w:rPr>
        <w:t xml:space="preserve"> has been extensively criticised by such people as Cote (1992)</w:t>
      </w:r>
      <w:r w:rsidR="008E11E9">
        <w:rPr>
          <w:rStyle w:val="FootnoteReference"/>
          <w:color w:val="000000" w:themeColor="text1"/>
        </w:rPr>
        <w:footnoteReference w:id="15"/>
      </w:r>
      <w:r w:rsidR="008E11E9">
        <w:rPr>
          <w:color w:val="000000" w:themeColor="text1"/>
        </w:rPr>
        <w:t xml:space="preserve"> for her interpretations of the observations she made</w:t>
      </w:r>
      <w:r w:rsidR="006A7A67">
        <w:rPr>
          <w:color w:val="000000" w:themeColor="text1"/>
        </w:rPr>
        <w:t>, bounded as they were by her own worldview</w:t>
      </w:r>
      <w:r w:rsidR="008E11E9">
        <w:rPr>
          <w:color w:val="000000" w:themeColor="text1"/>
        </w:rPr>
        <w:t>.</w:t>
      </w:r>
    </w:p>
    <w:p w14:paraId="3BDDD1E0" w14:textId="47C94781" w:rsidR="00F7639C" w:rsidRDefault="00F7639C">
      <w:pPr>
        <w:rPr>
          <w:color w:val="000000" w:themeColor="text1"/>
        </w:rPr>
      </w:pPr>
    </w:p>
    <w:p w14:paraId="0FC9047F" w14:textId="01469644" w:rsidR="00F7639C" w:rsidRDefault="009F7E63" w:rsidP="00622835">
      <w:pPr>
        <w:jc w:val="both"/>
        <w:rPr>
          <w:color w:val="000000" w:themeColor="text1"/>
        </w:rPr>
      </w:pPr>
      <w:r>
        <w:rPr>
          <w:color w:val="000000" w:themeColor="text1"/>
        </w:rPr>
        <w:lastRenderedPageBreak/>
        <w:t xml:space="preserve">Clearly a space can change in usage and the sacredness of that space is not apparent to everyone – or even agreed as a such. </w:t>
      </w:r>
      <w:r w:rsidR="006C6231">
        <w:rPr>
          <w:color w:val="000000" w:themeColor="text1"/>
        </w:rPr>
        <w:t>According to Burton (2020) there are a range of modern venues which have become sacred spaces through their current use. She describes</w:t>
      </w:r>
      <w:r w:rsidR="006C6231">
        <w:rPr>
          <w:rStyle w:val="FootnoteReference"/>
          <w:color w:val="000000" w:themeColor="text1"/>
        </w:rPr>
        <w:footnoteReference w:id="16"/>
      </w:r>
      <w:r w:rsidR="006C6231">
        <w:rPr>
          <w:color w:val="000000" w:themeColor="text1"/>
        </w:rPr>
        <w:t>, for example, a hotel in Manhattan which used to be a very undesirable venue</w:t>
      </w:r>
      <w:r w:rsidR="000F3C44">
        <w:rPr>
          <w:color w:val="000000" w:themeColor="text1"/>
        </w:rPr>
        <w:t xml:space="preserve"> inhabited by drug </w:t>
      </w:r>
      <w:proofErr w:type="gramStart"/>
      <w:r w:rsidR="000F3C44">
        <w:rPr>
          <w:color w:val="000000" w:themeColor="text1"/>
        </w:rPr>
        <w:t>users</w:t>
      </w:r>
      <w:proofErr w:type="gramEnd"/>
      <w:r w:rsidR="006C6231">
        <w:rPr>
          <w:color w:val="000000" w:themeColor="text1"/>
        </w:rPr>
        <w:t xml:space="preserve"> but </w:t>
      </w:r>
      <w:r w:rsidR="000F3C44">
        <w:rPr>
          <w:color w:val="000000" w:themeColor="text1"/>
        </w:rPr>
        <w:t xml:space="preserve">which </w:t>
      </w:r>
      <w:r w:rsidR="006C6231">
        <w:rPr>
          <w:color w:val="000000" w:themeColor="text1"/>
        </w:rPr>
        <w:t xml:space="preserve">had recently become a place for the religious ritual of raves – sacred to those involved. </w:t>
      </w:r>
      <w:r w:rsidR="007E21B6">
        <w:rPr>
          <w:color w:val="000000" w:themeColor="text1"/>
        </w:rPr>
        <w:t>Interestingly Bord had previously argued that dancing was the norm at sacred sites</w:t>
      </w:r>
      <w:r w:rsidR="007E21B6">
        <w:rPr>
          <w:rStyle w:val="FootnoteReference"/>
          <w:color w:val="000000" w:themeColor="text1"/>
        </w:rPr>
        <w:footnoteReference w:id="17"/>
      </w:r>
      <w:r w:rsidR="007E21B6">
        <w:rPr>
          <w:color w:val="000000" w:themeColor="text1"/>
        </w:rPr>
        <w:t xml:space="preserve"> so perhaps this is </w:t>
      </w:r>
      <w:r w:rsidR="006A7A67">
        <w:rPr>
          <w:color w:val="000000" w:themeColor="text1"/>
        </w:rPr>
        <w:t xml:space="preserve">a </w:t>
      </w:r>
      <w:r w:rsidR="007E21B6">
        <w:rPr>
          <w:color w:val="000000" w:themeColor="text1"/>
        </w:rPr>
        <w:t>recognition of this need. Burton</w:t>
      </w:r>
      <w:r w:rsidR="006C6231">
        <w:rPr>
          <w:color w:val="000000" w:themeColor="text1"/>
        </w:rPr>
        <w:t xml:space="preserve"> argues further</w:t>
      </w:r>
      <w:r w:rsidR="006C6231">
        <w:rPr>
          <w:rStyle w:val="FootnoteReference"/>
          <w:color w:val="000000" w:themeColor="text1"/>
        </w:rPr>
        <w:footnoteReference w:id="18"/>
      </w:r>
      <w:r w:rsidR="006C6231">
        <w:rPr>
          <w:color w:val="000000" w:themeColor="text1"/>
        </w:rPr>
        <w:t xml:space="preserve"> that new religions are replacing the older conventional ones</w:t>
      </w:r>
      <w:r w:rsidR="006A7A67">
        <w:rPr>
          <w:color w:val="000000" w:themeColor="text1"/>
        </w:rPr>
        <w:t>,</w:t>
      </w:r>
      <w:r w:rsidR="006C6231">
        <w:rPr>
          <w:color w:val="000000" w:themeColor="text1"/>
        </w:rPr>
        <w:t xml:space="preserve"> with </w:t>
      </w:r>
      <w:r w:rsidR="006A7A67">
        <w:rPr>
          <w:color w:val="000000" w:themeColor="text1"/>
        </w:rPr>
        <w:t xml:space="preserve">different </w:t>
      </w:r>
      <w:r w:rsidR="006C6231">
        <w:rPr>
          <w:color w:val="000000" w:themeColor="text1"/>
        </w:rPr>
        <w:t xml:space="preserve">rituals being enacted to confirm </w:t>
      </w:r>
      <w:r w:rsidR="006A7A67">
        <w:rPr>
          <w:color w:val="000000" w:themeColor="text1"/>
        </w:rPr>
        <w:t xml:space="preserve">the necessary </w:t>
      </w:r>
      <w:r w:rsidR="006C6231">
        <w:rPr>
          <w:color w:val="000000" w:themeColor="text1"/>
        </w:rPr>
        <w:t>group membership and cohesion</w:t>
      </w:r>
      <w:r w:rsidR="006C6231">
        <w:rPr>
          <w:rStyle w:val="FootnoteReference"/>
          <w:color w:val="000000" w:themeColor="text1"/>
        </w:rPr>
        <w:footnoteReference w:id="19"/>
      </w:r>
      <w:r w:rsidR="006C6231">
        <w:rPr>
          <w:color w:val="000000" w:themeColor="text1"/>
        </w:rPr>
        <w:t xml:space="preserve">. </w:t>
      </w:r>
      <w:r w:rsidR="00570718">
        <w:rPr>
          <w:color w:val="000000" w:themeColor="text1"/>
        </w:rPr>
        <w:t xml:space="preserve">This is something which has existed </w:t>
      </w:r>
      <w:proofErr w:type="gramStart"/>
      <w:r w:rsidR="00570718">
        <w:rPr>
          <w:color w:val="000000" w:themeColor="text1"/>
        </w:rPr>
        <w:t>as long as</w:t>
      </w:r>
      <w:proofErr w:type="gramEnd"/>
      <w:r w:rsidR="00570718">
        <w:rPr>
          <w:color w:val="000000" w:themeColor="text1"/>
        </w:rPr>
        <w:t xml:space="preserve"> humanity has existed and Milner et al</w:t>
      </w:r>
      <w:r w:rsidR="008A158D">
        <w:rPr>
          <w:color w:val="000000" w:themeColor="text1"/>
        </w:rPr>
        <w:t xml:space="preserve"> argue</w:t>
      </w:r>
      <w:r w:rsidR="008A158D">
        <w:rPr>
          <w:rStyle w:val="FootnoteReference"/>
          <w:color w:val="000000" w:themeColor="text1"/>
        </w:rPr>
        <w:footnoteReference w:id="20"/>
      </w:r>
      <w:r w:rsidR="008A158D">
        <w:rPr>
          <w:color w:val="000000" w:themeColor="text1"/>
        </w:rPr>
        <w:t xml:space="preserve"> for the existence of a similarly functioning sacred space for ritual at Star </w:t>
      </w:r>
      <w:proofErr w:type="spellStart"/>
      <w:r w:rsidR="008A158D">
        <w:rPr>
          <w:color w:val="000000" w:themeColor="text1"/>
        </w:rPr>
        <w:t>Carr</w:t>
      </w:r>
      <w:proofErr w:type="spellEnd"/>
      <w:r w:rsidR="008A158D">
        <w:rPr>
          <w:color w:val="000000" w:themeColor="text1"/>
        </w:rPr>
        <w:t>, the UK’s oldest Neolithic site.</w:t>
      </w:r>
      <w:r w:rsidR="0066020E">
        <w:rPr>
          <w:color w:val="000000" w:themeColor="text1"/>
        </w:rPr>
        <w:t xml:space="preserve"> This differs from Durkheim who states that all rites are similar but that not all are sacred</w:t>
      </w:r>
      <w:r w:rsidR="0066020E">
        <w:rPr>
          <w:rStyle w:val="FootnoteReference"/>
          <w:color w:val="000000" w:themeColor="text1"/>
        </w:rPr>
        <w:footnoteReference w:id="21"/>
      </w:r>
      <w:r w:rsidR="0066020E">
        <w:rPr>
          <w:color w:val="000000" w:themeColor="text1"/>
        </w:rPr>
        <w:t xml:space="preserve"> without really offering a way to distinguish </w:t>
      </w:r>
      <w:r w:rsidR="000F3C44">
        <w:rPr>
          <w:color w:val="000000" w:themeColor="text1"/>
        </w:rPr>
        <w:t xml:space="preserve">between </w:t>
      </w:r>
      <w:r w:rsidR="0066020E">
        <w:rPr>
          <w:color w:val="000000" w:themeColor="text1"/>
        </w:rPr>
        <w:t>the two.</w:t>
      </w:r>
      <w:r w:rsidR="001B55AE">
        <w:rPr>
          <w:color w:val="000000" w:themeColor="text1"/>
        </w:rPr>
        <w:t xml:space="preserve"> He earlier states</w:t>
      </w:r>
      <w:r w:rsidR="001B55AE">
        <w:rPr>
          <w:rStyle w:val="FootnoteReference"/>
          <w:color w:val="000000" w:themeColor="text1"/>
        </w:rPr>
        <w:footnoteReference w:id="22"/>
      </w:r>
      <w:r w:rsidR="001B55AE">
        <w:rPr>
          <w:color w:val="000000" w:themeColor="text1"/>
        </w:rPr>
        <w:t xml:space="preserve"> that rites are a form of religious activity which are related to a belief.</w:t>
      </w:r>
    </w:p>
    <w:p w14:paraId="73E20F74" w14:textId="4277D950" w:rsidR="00F7639C" w:rsidRDefault="00F7639C">
      <w:pPr>
        <w:rPr>
          <w:color w:val="000000" w:themeColor="text1"/>
        </w:rPr>
      </w:pPr>
    </w:p>
    <w:p w14:paraId="0AD8BBCA" w14:textId="3DDD83C3" w:rsidR="00F7639C" w:rsidRDefault="00CC5B9C" w:rsidP="00622835">
      <w:pPr>
        <w:jc w:val="both"/>
        <w:rPr>
          <w:color w:val="000000" w:themeColor="text1"/>
        </w:rPr>
      </w:pPr>
      <w:r>
        <w:rPr>
          <w:color w:val="000000" w:themeColor="text1"/>
        </w:rPr>
        <w:t>Religion is of course based upon belief</w:t>
      </w:r>
      <w:r w:rsidR="00022D51">
        <w:rPr>
          <w:color w:val="000000" w:themeColor="text1"/>
        </w:rPr>
        <w:t xml:space="preserve"> about something which is </w:t>
      </w:r>
      <w:proofErr w:type="gramStart"/>
      <w:r w:rsidR="00022D51">
        <w:rPr>
          <w:color w:val="000000" w:themeColor="text1"/>
        </w:rPr>
        <w:t>unprovable</w:t>
      </w:r>
      <w:proofErr w:type="gramEnd"/>
      <w:r w:rsidR="00022D51">
        <w:rPr>
          <w:color w:val="000000" w:themeColor="text1"/>
        </w:rPr>
        <w:t xml:space="preserve"> and it is simply a matter of convenience</w:t>
      </w:r>
      <w:r w:rsidR="006A7A67">
        <w:rPr>
          <w:color w:val="000000" w:themeColor="text1"/>
        </w:rPr>
        <w:t xml:space="preserve"> and social </w:t>
      </w:r>
      <w:proofErr w:type="spellStart"/>
      <w:r w:rsidR="006A7A67">
        <w:rPr>
          <w:color w:val="000000" w:themeColor="text1"/>
        </w:rPr>
        <w:t>acceptedness</w:t>
      </w:r>
      <w:proofErr w:type="spellEnd"/>
      <w:r w:rsidR="00022D51">
        <w:rPr>
          <w:color w:val="000000" w:themeColor="text1"/>
        </w:rPr>
        <w:t>, which changes from time to time, that religion is distinguished from hallucination or madness. Perhaps the basic difference is that religion is shared but madness is not, although much religion activity is not shared either but just assumed to have a common purpose.</w:t>
      </w:r>
      <w:r w:rsidR="00F36596">
        <w:rPr>
          <w:color w:val="000000" w:themeColor="text1"/>
        </w:rPr>
        <w:t xml:space="preserve"> A sacredness is bound to a religion this too must therefore be unprovable belief. In other </w:t>
      </w:r>
      <w:proofErr w:type="gramStart"/>
      <w:r w:rsidR="00F36596">
        <w:rPr>
          <w:color w:val="000000" w:themeColor="text1"/>
        </w:rPr>
        <w:t>words</w:t>
      </w:r>
      <w:proofErr w:type="gramEnd"/>
      <w:r w:rsidR="00F36596">
        <w:rPr>
          <w:color w:val="000000" w:themeColor="text1"/>
        </w:rPr>
        <w:t xml:space="preserve"> a space is sacred if people decide that it is sacred. Probably in the past a whole community between them could agree that a space </w:t>
      </w:r>
      <w:r w:rsidR="006A7A67">
        <w:rPr>
          <w:color w:val="000000" w:themeColor="text1"/>
        </w:rPr>
        <w:t>wa</w:t>
      </w:r>
      <w:r w:rsidR="00F36596">
        <w:rPr>
          <w:color w:val="000000" w:themeColor="text1"/>
        </w:rPr>
        <w:t>s sacred to them – but not to outsiders. We no longer inhabit such a world however and there is probably no community anywhere which would collectively agree that about the sacredness of a</w:t>
      </w:r>
      <w:r w:rsidR="006A7A67">
        <w:rPr>
          <w:color w:val="000000" w:themeColor="text1"/>
        </w:rPr>
        <w:t xml:space="preserve">ny </w:t>
      </w:r>
      <w:proofErr w:type="gramStart"/>
      <w:r w:rsidR="006A7A67">
        <w:rPr>
          <w:color w:val="000000" w:themeColor="text1"/>
        </w:rPr>
        <w:t>particular</w:t>
      </w:r>
      <w:r w:rsidR="00F36596">
        <w:rPr>
          <w:color w:val="000000" w:themeColor="text1"/>
        </w:rPr>
        <w:t xml:space="preserve"> space</w:t>
      </w:r>
      <w:proofErr w:type="gramEnd"/>
      <w:r w:rsidR="00F36596">
        <w:rPr>
          <w:color w:val="000000" w:themeColor="text1"/>
        </w:rPr>
        <w:t xml:space="preserve"> – certainly not in Europe where Durkheim and Eliade were writing</w:t>
      </w:r>
      <w:r w:rsidR="006A7A67">
        <w:rPr>
          <w:color w:val="000000" w:themeColor="text1"/>
        </w:rPr>
        <w:t>:</w:t>
      </w:r>
      <w:r w:rsidR="00F36596">
        <w:rPr>
          <w:color w:val="000000" w:themeColor="text1"/>
        </w:rPr>
        <w:t xml:space="preserve"> not now and quite probably not when they were writing. It seems likely from their writing however that each held religious beliefs and therefore their analysis was not that of an impartial outside observer. It is however undeniable that a space is sacred to a person if he or she believes it to be sacred. It is equally undeniable that humans </w:t>
      </w:r>
      <w:proofErr w:type="gramStart"/>
      <w:r w:rsidR="00F36596">
        <w:rPr>
          <w:color w:val="000000" w:themeColor="text1"/>
        </w:rPr>
        <w:t>have a tendency to</w:t>
      </w:r>
      <w:proofErr w:type="gramEnd"/>
      <w:r w:rsidR="00F36596">
        <w:rPr>
          <w:color w:val="000000" w:themeColor="text1"/>
        </w:rPr>
        <w:t xml:space="preserve"> combine in a sharing of ritual which becomes accepted as religion</w:t>
      </w:r>
      <w:r w:rsidR="00186FC2">
        <w:rPr>
          <w:color w:val="000000" w:themeColor="text1"/>
        </w:rPr>
        <w:t xml:space="preserve"> and that very often these take place in particular spaces. The reason these spaces are chosen if however often unclear and if it is considered that a space is chosen because it is sacred then this too is a matter of unprovable belief. This however i</w:t>
      </w:r>
      <w:r w:rsidR="006A7A67">
        <w:rPr>
          <w:color w:val="000000" w:themeColor="text1"/>
        </w:rPr>
        <w:t>s</w:t>
      </w:r>
      <w:r w:rsidR="00186FC2">
        <w:rPr>
          <w:color w:val="000000" w:themeColor="text1"/>
        </w:rPr>
        <w:t xml:space="preserve"> a personal belief and so it is merely </w:t>
      </w:r>
      <w:r w:rsidR="006A7A67">
        <w:rPr>
          <w:color w:val="000000" w:themeColor="text1"/>
        </w:rPr>
        <w:t xml:space="preserve">from </w:t>
      </w:r>
      <w:r w:rsidR="00186FC2">
        <w:rPr>
          <w:color w:val="000000" w:themeColor="text1"/>
        </w:rPr>
        <w:t xml:space="preserve">his own belief – perhaps shared with others – that Eliade makes this claim. It is equally a matter of personal belief for Durkheim to claim that while all rites may be </w:t>
      </w:r>
      <w:proofErr w:type="gramStart"/>
      <w:r w:rsidR="00186FC2">
        <w:rPr>
          <w:color w:val="000000" w:themeColor="text1"/>
        </w:rPr>
        <w:t>similar</w:t>
      </w:r>
      <w:proofErr w:type="gramEnd"/>
      <w:r w:rsidR="00186FC2">
        <w:rPr>
          <w:color w:val="000000" w:themeColor="text1"/>
        </w:rPr>
        <w:t xml:space="preserve"> they are not all sacred</w:t>
      </w:r>
      <w:r w:rsidR="00186FC2">
        <w:rPr>
          <w:rStyle w:val="FootnoteReference"/>
          <w:color w:val="000000" w:themeColor="text1"/>
        </w:rPr>
        <w:footnoteReference w:id="23"/>
      </w:r>
      <w:r w:rsidR="00186FC2">
        <w:rPr>
          <w:color w:val="000000" w:themeColor="text1"/>
        </w:rPr>
        <w:t>; they must be sacred if the person undertaking them believes them to be sacred.</w:t>
      </w:r>
    </w:p>
    <w:p w14:paraId="4194A28E" w14:textId="41A37716" w:rsidR="00186FC2" w:rsidRDefault="00186FC2">
      <w:pPr>
        <w:rPr>
          <w:color w:val="000000" w:themeColor="text1"/>
        </w:rPr>
      </w:pPr>
    </w:p>
    <w:p w14:paraId="371C6D1F" w14:textId="4D80A1C4" w:rsidR="00186FC2" w:rsidRDefault="00186FC2" w:rsidP="00622835">
      <w:pPr>
        <w:jc w:val="both"/>
        <w:rPr>
          <w:color w:val="000000" w:themeColor="text1"/>
        </w:rPr>
      </w:pPr>
      <w:r>
        <w:rPr>
          <w:color w:val="000000" w:themeColor="text1"/>
        </w:rPr>
        <w:t>Ther</w:t>
      </w:r>
      <w:r w:rsidR="00267309">
        <w:rPr>
          <w:color w:val="000000" w:themeColor="text1"/>
        </w:rPr>
        <w:t xml:space="preserve">e </w:t>
      </w:r>
      <w:r>
        <w:rPr>
          <w:color w:val="000000" w:themeColor="text1"/>
        </w:rPr>
        <w:t xml:space="preserve">are some differences in the views of Durkheim and Eliade, as has been recounted. There is however much </w:t>
      </w:r>
      <w:proofErr w:type="gramStart"/>
      <w:r>
        <w:rPr>
          <w:color w:val="000000" w:themeColor="text1"/>
        </w:rPr>
        <w:t>similarity</w:t>
      </w:r>
      <w:proofErr w:type="gramEnd"/>
      <w:r>
        <w:rPr>
          <w:color w:val="000000" w:themeColor="text1"/>
        </w:rPr>
        <w:t xml:space="preserve"> and this i</w:t>
      </w:r>
      <w:r w:rsidR="00267309">
        <w:rPr>
          <w:color w:val="000000" w:themeColor="text1"/>
        </w:rPr>
        <w:t>s</w:t>
      </w:r>
      <w:r>
        <w:rPr>
          <w:color w:val="000000" w:themeColor="text1"/>
        </w:rPr>
        <w:t xml:space="preserve"> perhaps unsurprising as they start from the same </w:t>
      </w:r>
      <w:r>
        <w:rPr>
          <w:color w:val="000000" w:themeColor="text1"/>
        </w:rPr>
        <w:lastRenderedPageBreak/>
        <w:t>position, in terms of belief, in order to undertake their analysis.</w:t>
      </w:r>
      <w:r w:rsidR="00267309">
        <w:rPr>
          <w:color w:val="000000" w:themeColor="text1"/>
        </w:rPr>
        <w:t xml:space="preserve"> However just as any understanding of sacredness is dependent upon a religious belief so too is acceptance of the arguments of both authors. </w:t>
      </w:r>
      <w:proofErr w:type="gramStart"/>
      <w:r w:rsidR="00267309">
        <w:rPr>
          <w:color w:val="000000" w:themeColor="text1"/>
        </w:rPr>
        <w:t>Otherwise</w:t>
      </w:r>
      <w:proofErr w:type="gramEnd"/>
      <w:r w:rsidR="00267309">
        <w:rPr>
          <w:color w:val="000000" w:themeColor="text1"/>
        </w:rPr>
        <w:t xml:space="preserve"> they remain interesting </w:t>
      </w:r>
      <w:r w:rsidR="006A7A67">
        <w:rPr>
          <w:color w:val="000000" w:themeColor="text1"/>
        </w:rPr>
        <w:t xml:space="preserve">but </w:t>
      </w:r>
      <w:r w:rsidR="00267309">
        <w:rPr>
          <w:color w:val="000000" w:themeColor="text1"/>
        </w:rPr>
        <w:t>nothing more tha</w:t>
      </w:r>
      <w:r w:rsidR="006A7A67">
        <w:rPr>
          <w:color w:val="000000" w:themeColor="text1"/>
        </w:rPr>
        <w:t>n</w:t>
      </w:r>
      <w:r w:rsidR="00267309">
        <w:rPr>
          <w:color w:val="000000" w:themeColor="text1"/>
        </w:rPr>
        <w:t xml:space="preserve"> interesting and slightly divergence analyses.</w:t>
      </w:r>
    </w:p>
    <w:p w14:paraId="6785C110" w14:textId="114C7A1A" w:rsidR="00F7639C" w:rsidRDefault="00F7639C">
      <w:pPr>
        <w:rPr>
          <w:color w:val="000000" w:themeColor="text1"/>
        </w:rPr>
      </w:pPr>
    </w:p>
    <w:p w14:paraId="3DF4F184" w14:textId="78E22606" w:rsidR="00F7639C" w:rsidRDefault="00F7639C">
      <w:pPr>
        <w:rPr>
          <w:color w:val="000000" w:themeColor="text1"/>
        </w:rPr>
      </w:pPr>
    </w:p>
    <w:p w14:paraId="16D9A28D" w14:textId="2288394E" w:rsidR="00F7639C" w:rsidRPr="006C6231" w:rsidRDefault="00F7639C">
      <w:pPr>
        <w:rPr>
          <w:b/>
          <w:bCs/>
          <w:color w:val="000000" w:themeColor="text1"/>
        </w:rPr>
      </w:pPr>
      <w:r w:rsidRPr="006C6231">
        <w:rPr>
          <w:b/>
          <w:bCs/>
          <w:color w:val="000000" w:themeColor="text1"/>
        </w:rPr>
        <w:t>Bibliography</w:t>
      </w:r>
    </w:p>
    <w:p w14:paraId="5F0B3848" w14:textId="22C1DF84" w:rsidR="00F7639C" w:rsidRDefault="00F7639C">
      <w:pPr>
        <w:rPr>
          <w:color w:val="000000" w:themeColor="text1"/>
        </w:rPr>
      </w:pPr>
    </w:p>
    <w:p w14:paraId="52663267" w14:textId="7E101773" w:rsidR="007E21B6" w:rsidRDefault="007E21B6" w:rsidP="008A158D">
      <w:pPr>
        <w:ind w:left="720" w:hanging="720"/>
        <w:jc w:val="both"/>
        <w:rPr>
          <w:color w:val="000000" w:themeColor="text1"/>
        </w:rPr>
      </w:pPr>
      <w:r>
        <w:rPr>
          <w:color w:val="000000" w:themeColor="text1"/>
        </w:rPr>
        <w:t>Bord J &amp; C (1982); Earth Rites; London; Granada Publishing</w:t>
      </w:r>
    </w:p>
    <w:p w14:paraId="02A8815B" w14:textId="3C8B9880" w:rsidR="006C6231" w:rsidRDefault="006C6231" w:rsidP="008A158D">
      <w:pPr>
        <w:ind w:left="720" w:hanging="720"/>
        <w:jc w:val="both"/>
        <w:rPr>
          <w:color w:val="000000" w:themeColor="text1"/>
        </w:rPr>
      </w:pPr>
      <w:r>
        <w:rPr>
          <w:color w:val="000000" w:themeColor="text1"/>
        </w:rPr>
        <w:t xml:space="preserve">Burton T I (2020); Strange Rites; New York; </w:t>
      </w:r>
      <w:r w:rsidR="002D719E">
        <w:rPr>
          <w:color w:val="000000" w:themeColor="text1"/>
        </w:rPr>
        <w:t>Public Affairs Books</w:t>
      </w:r>
    </w:p>
    <w:p w14:paraId="6ED898A4" w14:textId="2255384D" w:rsidR="008E11E9" w:rsidRPr="008E11E9" w:rsidRDefault="008E11E9" w:rsidP="008E11E9">
      <w:pPr>
        <w:ind w:left="720" w:hanging="720"/>
        <w:jc w:val="both"/>
        <w:rPr>
          <w:rFonts w:eastAsia="Times New Roman" w:cstheme="minorHAnsi"/>
          <w:lang w:eastAsia="en-GB"/>
        </w:rPr>
      </w:pPr>
      <w:r>
        <w:rPr>
          <w:color w:val="000000" w:themeColor="text1"/>
        </w:rPr>
        <w:t xml:space="preserve">Cote J E (1992); </w:t>
      </w:r>
      <w:r w:rsidRPr="00DC413A">
        <w:rPr>
          <w:rFonts w:eastAsia="Times New Roman" w:cstheme="minorHAnsi"/>
          <w:lang w:eastAsia="en-GB"/>
        </w:rPr>
        <w:t>Was Mead wrong about coming of age in Samoa? An analysis of the Mead/Freeman controversy for scholars of adolescence and human development</w:t>
      </w:r>
      <w:r>
        <w:rPr>
          <w:rFonts w:eastAsia="Times New Roman" w:cstheme="minorHAnsi"/>
          <w:lang w:eastAsia="en-GB"/>
        </w:rPr>
        <w:t>; Journal of Youth and Adolescence 21 (5), 499-527</w:t>
      </w:r>
    </w:p>
    <w:p w14:paraId="187EFA7D" w14:textId="59EE3F86" w:rsidR="00926C27" w:rsidRDefault="00926C27" w:rsidP="008A158D">
      <w:pPr>
        <w:ind w:left="720" w:hanging="720"/>
        <w:jc w:val="both"/>
        <w:rPr>
          <w:color w:val="000000" w:themeColor="text1"/>
        </w:rPr>
      </w:pPr>
      <w:r>
        <w:rPr>
          <w:color w:val="000000" w:themeColor="text1"/>
        </w:rPr>
        <w:t>Durkheim E (</w:t>
      </w:r>
      <w:r w:rsidR="00D502AA">
        <w:rPr>
          <w:color w:val="000000" w:themeColor="text1"/>
        </w:rPr>
        <w:t xml:space="preserve">2001); The Elementary Forms of Religious Life (trans C </w:t>
      </w:r>
      <w:proofErr w:type="spellStart"/>
      <w:r w:rsidR="00D502AA">
        <w:rPr>
          <w:color w:val="000000" w:themeColor="text1"/>
        </w:rPr>
        <w:t>Cosman</w:t>
      </w:r>
      <w:proofErr w:type="spellEnd"/>
      <w:r w:rsidR="00D502AA">
        <w:rPr>
          <w:color w:val="000000" w:themeColor="text1"/>
        </w:rPr>
        <w:t>); Oxford; Oxford University Press</w:t>
      </w:r>
    </w:p>
    <w:p w14:paraId="307F63EA" w14:textId="38808215" w:rsidR="00926C27" w:rsidRDefault="00926C27" w:rsidP="00926C27">
      <w:pPr>
        <w:ind w:left="720" w:hanging="720"/>
        <w:jc w:val="both"/>
        <w:rPr>
          <w:color w:val="000000" w:themeColor="text1"/>
        </w:rPr>
      </w:pPr>
      <w:r>
        <w:rPr>
          <w:color w:val="000000" w:themeColor="text1"/>
        </w:rPr>
        <w:t>Eliade M (1957); The Sacred and the profane: the nature of religion; London; Harcourt</w:t>
      </w:r>
    </w:p>
    <w:p w14:paraId="350B22C4" w14:textId="4EFB2ECC" w:rsidR="001F7CC4" w:rsidRDefault="001F7CC4" w:rsidP="00926C27">
      <w:pPr>
        <w:ind w:left="720" w:hanging="720"/>
        <w:jc w:val="both"/>
        <w:rPr>
          <w:color w:val="000000" w:themeColor="text1"/>
        </w:rPr>
      </w:pPr>
      <w:r>
        <w:rPr>
          <w:color w:val="000000" w:themeColor="text1"/>
        </w:rPr>
        <w:t xml:space="preserve">Ferdowsi A; Shahnameh, trans D David </w:t>
      </w:r>
      <w:r w:rsidR="00C32419">
        <w:rPr>
          <w:color w:val="000000" w:themeColor="text1"/>
        </w:rPr>
        <w:t>(</w:t>
      </w:r>
      <w:r>
        <w:rPr>
          <w:color w:val="000000" w:themeColor="text1"/>
        </w:rPr>
        <w:t xml:space="preserve">2006); </w:t>
      </w:r>
      <w:r w:rsidR="00171139">
        <w:rPr>
          <w:color w:val="000000" w:themeColor="text1"/>
        </w:rPr>
        <w:t>New York; Penguin</w:t>
      </w:r>
    </w:p>
    <w:p w14:paraId="25925244" w14:textId="5A88A3E2" w:rsidR="00F7639C" w:rsidRPr="00CF63EE" w:rsidRDefault="00F7639C" w:rsidP="008A158D">
      <w:pPr>
        <w:ind w:left="720" w:hanging="720"/>
        <w:jc w:val="both"/>
        <w:rPr>
          <w:color w:val="000000" w:themeColor="text1"/>
        </w:rPr>
      </w:pPr>
      <w:r w:rsidRPr="00CF63EE">
        <w:rPr>
          <w:color w:val="000000" w:themeColor="text1"/>
        </w:rPr>
        <w:t xml:space="preserve">Kuzmina E </w:t>
      </w:r>
      <w:proofErr w:type="spellStart"/>
      <w:r w:rsidRPr="00CF63EE">
        <w:rPr>
          <w:color w:val="000000" w:themeColor="text1"/>
        </w:rPr>
        <w:t>E</w:t>
      </w:r>
      <w:proofErr w:type="spellEnd"/>
      <w:r w:rsidRPr="00CF63EE">
        <w:rPr>
          <w:color w:val="000000" w:themeColor="text1"/>
        </w:rPr>
        <w:t xml:space="preserve"> (2007); The Origins of the Indo-Iranians; Leiden; Brill</w:t>
      </w:r>
    </w:p>
    <w:p w14:paraId="453BEF51" w14:textId="5D04D473" w:rsidR="00F7639C" w:rsidRDefault="00F7639C" w:rsidP="008A158D">
      <w:pPr>
        <w:pStyle w:val="FootnoteText"/>
        <w:ind w:left="720" w:hanging="720"/>
        <w:jc w:val="both"/>
        <w:rPr>
          <w:sz w:val="24"/>
          <w:szCs w:val="24"/>
        </w:rPr>
      </w:pPr>
      <w:r w:rsidRPr="00CF63EE">
        <w:rPr>
          <w:sz w:val="24"/>
          <w:szCs w:val="24"/>
        </w:rPr>
        <w:t xml:space="preserve">Levi Strauss C (1972); Structure and dialectics; in Structural Anthropology I (trans C Jacobson &amp; B G </w:t>
      </w:r>
      <w:proofErr w:type="spellStart"/>
      <w:r w:rsidRPr="00CF63EE">
        <w:rPr>
          <w:sz w:val="24"/>
          <w:szCs w:val="24"/>
        </w:rPr>
        <w:t>Schoepf</w:t>
      </w:r>
      <w:proofErr w:type="spellEnd"/>
      <w:r w:rsidRPr="00CF63EE">
        <w:rPr>
          <w:sz w:val="24"/>
          <w:szCs w:val="24"/>
        </w:rPr>
        <w:t>); London; Penguin</w:t>
      </w:r>
    </w:p>
    <w:p w14:paraId="1D571A4B" w14:textId="2D44AA18" w:rsidR="008E11E9" w:rsidRDefault="008E11E9" w:rsidP="008A158D">
      <w:pPr>
        <w:pStyle w:val="FootnoteText"/>
        <w:ind w:left="720" w:hanging="720"/>
        <w:jc w:val="both"/>
        <w:rPr>
          <w:sz w:val="24"/>
          <w:szCs w:val="24"/>
        </w:rPr>
      </w:pPr>
      <w:r>
        <w:rPr>
          <w:sz w:val="24"/>
          <w:szCs w:val="24"/>
        </w:rPr>
        <w:t>Mead M (1928); Coming of Age in Samoa; New York; William Morrow</w:t>
      </w:r>
    </w:p>
    <w:p w14:paraId="1CA01AFF" w14:textId="5A10903B" w:rsidR="008A158D" w:rsidRDefault="008A158D" w:rsidP="008A158D">
      <w:pPr>
        <w:pStyle w:val="FootnoteText"/>
        <w:ind w:left="720" w:hanging="720"/>
        <w:jc w:val="both"/>
        <w:rPr>
          <w:sz w:val="24"/>
          <w:szCs w:val="24"/>
        </w:rPr>
      </w:pPr>
      <w:r>
        <w:rPr>
          <w:sz w:val="24"/>
          <w:szCs w:val="24"/>
        </w:rPr>
        <w:t xml:space="preserve">Milner N, Taylor B, </w:t>
      </w:r>
      <w:proofErr w:type="spellStart"/>
      <w:r>
        <w:rPr>
          <w:sz w:val="24"/>
          <w:szCs w:val="24"/>
        </w:rPr>
        <w:t>Colleller</w:t>
      </w:r>
      <w:proofErr w:type="spellEnd"/>
      <w:r>
        <w:rPr>
          <w:sz w:val="24"/>
          <w:szCs w:val="24"/>
        </w:rPr>
        <w:t xml:space="preserve"> C &amp; </w:t>
      </w:r>
      <w:proofErr w:type="spellStart"/>
      <w:r>
        <w:rPr>
          <w:sz w:val="24"/>
          <w:szCs w:val="24"/>
        </w:rPr>
        <w:t>Schadia</w:t>
      </w:r>
      <w:proofErr w:type="spellEnd"/>
      <w:r>
        <w:rPr>
          <w:sz w:val="24"/>
          <w:szCs w:val="24"/>
        </w:rPr>
        <w:t>-Hal B (2018); Fi</w:t>
      </w:r>
      <w:r w:rsidR="00793ECE">
        <w:rPr>
          <w:sz w:val="24"/>
          <w:szCs w:val="24"/>
        </w:rPr>
        <w:t>e</w:t>
      </w:r>
      <w:r>
        <w:rPr>
          <w:sz w:val="24"/>
          <w:szCs w:val="24"/>
        </w:rPr>
        <w:t xml:space="preserve">ldwork; in N Milner, C </w:t>
      </w:r>
      <w:proofErr w:type="spellStart"/>
      <w:r>
        <w:rPr>
          <w:sz w:val="24"/>
          <w:szCs w:val="24"/>
        </w:rPr>
        <w:t>Conneller</w:t>
      </w:r>
      <w:proofErr w:type="spellEnd"/>
      <w:r>
        <w:rPr>
          <w:sz w:val="24"/>
          <w:szCs w:val="24"/>
        </w:rPr>
        <w:t xml:space="preserve"> &amp; B Taylor (eds), Star </w:t>
      </w:r>
      <w:proofErr w:type="spellStart"/>
      <w:r>
        <w:rPr>
          <w:sz w:val="24"/>
          <w:szCs w:val="24"/>
        </w:rPr>
        <w:t>Carr</w:t>
      </w:r>
      <w:proofErr w:type="spellEnd"/>
      <w:r>
        <w:rPr>
          <w:sz w:val="24"/>
          <w:szCs w:val="24"/>
        </w:rPr>
        <w:t xml:space="preserve"> Volume 1: a persistent place in a changing world; York; White Rose University Press</w:t>
      </w:r>
    </w:p>
    <w:p w14:paraId="6D791B71" w14:textId="495FAFE0" w:rsidR="00CF63EE" w:rsidRPr="00CF63EE" w:rsidRDefault="00CF63EE" w:rsidP="008A158D">
      <w:pPr>
        <w:pStyle w:val="FootnoteText"/>
        <w:ind w:left="720" w:hanging="720"/>
        <w:jc w:val="both"/>
        <w:rPr>
          <w:sz w:val="24"/>
          <w:szCs w:val="24"/>
        </w:rPr>
      </w:pPr>
      <w:r>
        <w:rPr>
          <w:sz w:val="24"/>
          <w:szCs w:val="24"/>
        </w:rPr>
        <w:t xml:space="preserve">Pryor F (2001); </w:t>
      </w:r>
      <w:proofErr w:type="spellStart"/>
      <w:r>
        <w:rPr>
          <w:sz w:val="24"/>
          <w:szCs w:val="24"/>
        </w:rPr>
        <w:t>Seahenge</w:t>
      </w:r>
      <w:proofErr w:type="spellEnd"/>
      <w:r>
        <w:rPr>
          <w:sz w:val="24"/>
          <w:szCs w:val="24"/>
        </w:rPr>
        <w:t>: new discoveries in prehistoric Britain; London; HarperCollins</w:t>
      </w:r>
    </w:p>
    <w:p w14:paraId="051ECDB7" w14:textId="66A521D6" w:rsidR="00CF63EE" w:rsidRDefault="00CF63EE" w:rsidP="008A158D">
      <w:pPr>
        <w:pStyle w:val="FootnoteText"/>
        <w:ind w:left="720" w:hanging="720"/>
        <w:jc w:val="both"/>
        <w:rPr>
          <w:sz w:val="24"/>
          <w:szCs w:val="24"/>
        </w:rPr>
      </w:pPr>
      <w:r w:rsidRPr="00CF63EE">
        <w:rPr>
          <w:sz w:val="24"/>
          <w:szCs w:val="24"/>
        </w:rPr>
        <w:t>Saussure F de (1966); Course in General Linguistics (trans W Baskin); New York; McGraw Hill</w:t>
      </w:r>
    </w:p>
    <w:p w14:paraId="680FF5D7" w14:textId="7CAF3FCC" w:rsidR="002B2696" w:rsidRPr="00CF63EE" w:rsidRDefault="00241E68" w:rsidP="008A158D">
      <w:pPr>
        <w:pStyle w:val="FootnoteText"/>
        <w:ind w:left="720" w:hanging="720"/>
        <w:jc w:val="both"/>
        <w:rPr>
          <w:sz w:val="24"/>
          <w:szCs w:val="24"/>
        </w:rPr>
      </w:pPr>
      <w:r>
        <w:rPr>
          <w:sz w:val="24"/>
          <w:szCs w:val="24"/>
        </w:rPr>
        <w:t>S</w:t>
      </w:r>
      <w:r w:rsidR="002B2696">
        <w:rPr>
          <w:sz w:val="24"/>
          <w:szCs w:val="24"/>
        </w:rPr>
        <w:t>ch</w:t>
      </w:r>
      <w:r>
        <w:rPr>
          <w:sz w:val="24"/>
          <w:szCs w:val="24"/>
        </w:rPr>
        <w:t>iefer D &amp; van der Noll J (2017); The essentials of social cohesion: a literature review; Social Research Indicators 132, 579-603</w:t>
      </w:r>
    </w:p>
    <w:p w14:paraId="5C0BA168" w14:textId="02F1CFD0" w:rsidR="00F7639C" w:rsidRDefault="00F7639C">
      <w:pPr>
        <w:rPr>
          <w:color w:val="000000" w:themeColor="text1"/>
        </w:rPr>
      </w:pPr>
    </w:p>
    <w:p w14:paraId="11BE0202" w14:textId="415FB6FC" w:rsidR="00DC413A" w:rsidRDefault="00DC413A">
      <w:pPr>
        <w:rPr>
          <w:color w:val="000000" w:themeColor="text1"/>
        </w:rPr>
      </w:pPr>
    </w:p>
    <w:p w14:paraId="0FFBAB21" w14:textId="44E0D2B3" w:rsidR="00DC413A" w:rsidRDefault="00DC413A">
      <w:pPr>
        <w:rPr>
          <w:color w:val="000000" w:themeColor="text1"/>
        </w:rPr>
      </w:pPr>
    </w:p>
    <w:p w14:paraId="2F91CB9A" w14:textId="347D1FF7" w:rsidR="00DC413A" w:rsidRPr="00CF63EE" w:rsidRDefault="00DC413A">
      <w:pPr>
        <w:rPr>
          <w:color w:val="000000" w:themeColor="text1"/>
        </w:rPr>
      </w:pPr>
    </w:p>
    <w:sectPr w:rsidR="00DC413A" w:rsidRPr="00CF63EE" w:rsidSect="00E9024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224EBF" w14:textId="77777777" w:rsidR="00121F2A" w:rsidRDefault="00121F2A" w:rsidP="00DE4F0B">
      <w:r>
        <w:separator/>
      </w:r>
    </w:p>
  </w:endnote>
  <w:endnote w:type="continuationSeparator" w:id="0">
    <w:p w14:paraId="1634FD30" w14:textId="77777777" w:rsidR="00121F2A" w:rsidRDefault="00121F2A" w:rsidP="00DE4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altName w:val="﷽﷽﷽﷽﷽﷽﷽﷽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7CC57F" w14:textId="77777777" w:rsidR="00121F2A" w:rsidRDefault="00121F2A" w:rsidP="00DE4F0B">
      <w:r>
        <w:separator/>
      </w:r>
    </w:p>
  </w:footnote>
  <w:footnote w:type="continuationSeparator" w:id="0">
    <w:p w14:paraId="7E777140" w14:textId="77777777" w:rsidR="00121F2A" w:rsidRDefault="00121F2A" w:rsidP="00DE4F0B">
      <w:r>
        <w:continuationSeparator/>
      </w:r>
    </w:p>
  </w:footnote>
  <w:footnote w:id="1">
    <w:p w14:paraId="331EDC19" w14:textId="6535F59E" w:rsidR="00EA360A" w:rsidRDefault="00EA360A">
      <w:pPr>
        <w:pStyle w:val="FootnoteText"/>
      </w:pPr>
      <w:r>
        <w:rPr>
          <w:rStyle w:val="FootnoteReference"/>
        </w:rPr>
        <w:footnoteRef/>
      </w:r>
      <w:r>
        <w:t xml:space="preserve"> Mircea Eliade, The </w:t>
      </w:r>
      <w:r w:rsidR="00C32419">
        <w:t>S</w:t>
      </w:r>
      <w:r>
        <w:t xml:space="preserve">acred and the </w:t>
      </w:r>
      <w:r w:rsidR="00C32419">
        <w:t>P</w:t>
      </w:r>
      <w:r>
        <w:t>rofane p25</w:t>
      </w:r>
      <w:r w:rsidR="00C32419">
        <w:t xml:space="preserve"> (London; Harcourt; 1957)</w:t>
      </w:r>
    </w:p>
  </w:footnote>
  <w:footnote w:id="2">
    <w:p w14:paraId="30FA29FC" w14:textId="609C3F51" w:rsidR="00C32419" w:rsidRPr="00C32419" w:rsidRDefault="00241E68" w:rsidP="00C32419">
      <w:pPr>
        <w:pStyle w:val="FootnoteText"/>
        <w:ind w:left="720" w:hanging="720"/>
        <w:jc w:val="both"/>
      </w:pPr>
      <w:r>
        <w:rPr>
          <w:rStyle w:val="FootnoteReference"/>
        </w:rPr>
        <w:footnoteRef/>
      </w:r>
      <w:r>
        <w:t xml:space="preserve"> David Schiefer &amp; Jolanda van der Noll, The essentials of social cohesion pp 580-601</w:t>
      </w:r>
      <w:r w:rsidR="00C32419">
        <w:t xml:space="preserve"> </w:t>
      </w:r>
      <w:r w:rsidR="00C32419" w:rsidRPr="00C32419">
        <w:t>(Social Research Indicators 132, 579-603</w:t>
      </w:r>
      <w:r w:rsidR="00C32419">
        <w:t xml:space="preserve"> 2017)</w:t>
      </w:r>
    </w:p>
    <w:p w14:paraId="0FAF4F41" w14:textId="082968D7" w:rsidR="00241E68" w:rsidRDefault="00241E68">
      <w:pPr>
        <w:pStyle w:val="FootnoteText"/>
      </w:pPr>
    </w:p>
  </w:footnote>
  <w:footnote w:id="3">
    <w:p w14:paraId="68880CE8" w14:textId="4CCBB941" w:rsidR="00DE4F0B" w:rsidRPr="00C32419" w:rsidRDefault="00DE4F0B" w:rsidP="00C32419">
      <w:pPr>
        <w:pStyle w:val="FootnoteText"/>
        <w:ind w:left="720" w:hanging="720"/>
        <w:jc w:val="both"/>
      </w:pPr>
      <w:r>
        <w:rPr>
          <w:rStyle w:val="FootnoteReference"/>
        </w:rPr>
        <w:footnoteRef/>
      </w:r>
      <w:r>
        <w:t xml:space="preserve"> </w:t>
      </w:r>
      <w:r w:rsidR="00CF63EE">
        <w:t xml:space="preserve">Ferdinand de </w:t>
      </w:r>
      <w:r>
        <w:t>Saussure</w:t>
      </w:r>
      <w:r w:rsidR="00CF63EE">
        <w:t>,</w:t>
      </w:r>
      <w:r>
        <w:t xml:space="preserve"> Course in General </w:t>
      </w:r>
      <w:r w:rsidRPr="00C32419">
        <w:t xml:space="preserve">Linguistics </w:t>
      </w:r>
      <w:r w:rsidR="00C32419" w:rsidRPr="00C32419">
        <w:t>(New York; McGraw Hill</w:t>
      </w:r>
      <w:r w:rsidR="00C32419">
        <w:t>, Trans W Baskin; 1966)</w:t>
      </w:r>
    </w:p>
  </w:footnote>
  <w:footnote w:id="4">
    <w:p w14:paraId="11923047" w14:textId="4846522F" w:rsidR="00DE4F0B" w:rsidRPr="00C32419" w:rsidRDefault="00DE4F0B" w:rsidP="00C32419">
      <w:pPr>
        <w:pStyle w:val="FootnoteText"/>
        <w:ind w:left="720" w:hanging="720"/>
        <w:jc w:val="both"/>
      </w:pPr>
      <w:r>
        <w:rPr>
          <w:rStyle w:val="FootnoteReference"/>
        </w:rPr>
        <w:footnoteRef/>
      </w:r>
      <w:r>
        <w:t xml:space="preserve"> </w:t>
      </w:r>
      <w:r w:rsidR="00CF63EE">
        <w:t xml:space="preserve">Claude </w:t>
      </w:r>
      <w:r>
        <w:t>Levi Strauss</w:t>
      </w:r>
      <w:r w:rsidR="00CF63EE">
        <w:t>,</w:t>
      </w:r>
      <w:r>
        <w:t xml:space="preserve"> Structure and dialectics</w:t>
      </w:r>
      <w:r w:rsidR="00CF63EE">
        <w:t xml:space="preserve">, pp 232-240 </w:t>
      </w:r>
      <w:r w:rsidR="00C32419">
        <w:t>(</w:t>
      </w:r>
      <w:r w:rsidR="00C32419" w:rsidRPr="00C32419">
        <w:t xml:space="preserve">in Structural Anthropology I trans C Jacobson &amp; B G </w:t>
      </w:r>
      <w:proofErr w:type="spellStart"/>
      <w:r w:rsidR="00C32419" w:rsidRPr="00C32419">
        <w:t>Schoepf</w:t>
      </w:r>
      <w:proofErr w:type="spellEnd"/>
      <w:r w:rsidR="00C32419" w:rsidRPr="00C32419">
        <w:t>; London; Penguin</w:t>
      </w:r>
      <w:r w:rsidR="00C32419">
        <w:t>; 1972)</w:t>
      </w:r>
    </w:p>
  </w:footnote>
  <w:footnote w:id="5">
    <w:p w14:paraId="67CB040F" w14:textId="661C2EF4" w:rsidR="00CF63EE" w:rsidRPr="00C32419" w:rsidRDefault="00CF63EE">
      <w:pPr>
        <w:pStyle w:val="FootnoteText"/>
      </w:pPr>
      <w:r>
        <w:rPr>
          <w:rStyle w:val="FootnoteReference"/>
        </w:rPr>
        <w:footnoteRef/>
      </w:r>
      <w:r>
        <w:t xml:space="preserve"> Francis Pryor, </w:t>
      </w:r>
      <w:proofErr w:type="spellStart"/>
      <w:r>
        <w:t>Seahenge</w:t>
      </w:r>
      <w:proofErr w:type="spellEnd"/>
      <w:r>
        <w:t xml:space="preserve"> p 208</w:t>
      </w:r>
      <w:r w:rsidR="00C32419">
        <w:t xml:space="preserve"> </w:t>
      </w:r>
      <w:r w:rsidR="00C32419" w:rsidRPr="00C32419">
        <w:t>(London; HarperCollins; 2001)</w:t>
      </w:r>
    </w:p>
  </w:footnote>
  <w:footnote w:id="6">
    <w:p w14:paraId="5FCCBDF4" w14:textId="35FF6D77" w:rsidR="00F7639C" w:rsidRDefault="00F7639C">
      <w:pPr>
        <w:pStyle w:val="FootnoteText"/>
      </w:pPr>
      <w:r>
        <w:rPr>
          <w:rStyle w:val="FootnoteReference"/>
        </w:rPr>
        <w:footnoteRef/>
      </w:r>
      <w:r>
        <w:t xml:space="preserve"> Elena Kuzmina, The Origins of the Indo-Iranians p 15</w:t>
      </w:r>
      <w:r w:rsidR="00C32419">
        <w:t xml:space="preserve"> (</w:t>
      </w:r>
      <w:r w:rsidR="00C32419" w:rsidRPr="00CF63EE">
        <w:rPr>
          <w:color w:val="000000" w:themeColor="text1"/>
        </w:rPr>
        <w:t>Leiden; Brill</w:t>
      </w:r>
      <w:r w:rsidR="00C32419">
        <w:rPr>
          <w:color w:val="000000" w:themeColor="text1"/>
        </w:rPr>
        <w:t>; 2007)</w:t>
      </w:r>
    </w:p>
  </w:footnote>
  <w:footnote w:id="7">
    <w:p w14:paraId="489B15FE" w14:textId="6D01E029" w:rsidR="00926C27" w:rsidRDefault="00926C27">
      <w:pPr>
        <w:pStyle w:val="FootnoteText"/>
      </w:pPr>
      <w:r>
        <w:rPr>
          <w:rStyle w:val="FootnoteReference"/>
        </w:rPr>
        <w:footnoteRef/>
      </w:r>
      <w:r>
        <w:t xml:space="preserve"> Mircea Eliade, The Scared and the Profane p20</w:t>
      </w:r>
      <w:r w:rsidR="00C32419">
        <w:t xml:space="preserve"> (London; Harcourt; 1957)</w:t>
      </w:r>
    </w:p>
  </w:footnote>
  <w:footnote w:id="8">
    <w:p w14:paraId="29997088" w14:textId="516799FC" w:rsidR="00926C27" w:rsidRDefault="00926C27">
      <w:pPr>
        <w:pStyle w:val="FootnoteText"/>
      </w:pPr>
      <w:r>
        <w:rPr>
          <w:rStyle w:val="FootnoteReference"/>
        </w:rPr>
        <w:footnoteRef/>
      </w:r>
      <w:r>
        <w:t xml:space="preserve"> ibid p22</w:t>
      </w:r>
    </w:p>
  </w:footnote>
  <w:footnote w:id="9">
    <w:p w14:paraId="6A522FDD" w14:textId="460568F5" w:rsidR="00B37E17" w:rsidRDefault="00B37E17">
      <w:pPr>
        <w:pStyle w:val="FootnoteText"/>
      </w:pPr>
      <w:r>
        <w:rPr>
          <w:rStyle w:val="FootnoteReference"/>
        </w:rPr>
        <w:footnoteRef/>
      </w:r>
      <w:r>
        <w:t xml:space="preserve"> Ibid p27</w:t>
      </w:r>
    </w:p>
  </w:footnote>
  <w:footnote w:id="10">
    <w:p w14:paraId="2B333681" w14:textId="101A2464" w:rsidR="00D21631" w:rsidRDefault="00D21631">
      <w:pPr>
        <w:pStyle w:val="FootnoteText"/>
      </w:pPr>
      <w:r>
        <w:rPr>
          <w:rStyle w:val="FootnoteReference"/>
        </w:rPr>
        <w:footnoteRef/>
      </w:r>
      <w:r>
        <w:t xml:space="preserve"> Ibid p 28</w:t>
      </w:r>
    </w:p>
  </w:footnote>
  <w:footnote w:id="11">
    <w:p w14:paraId="5BE9F06B" w14:textId="1DDDBF79" w:rsidR="00D21631" w:rsidRDefault="00D21631">
      <w:pPr>
        <w:pStyle w:val="FootnoteText"/>
      </w:pPr>
      <w:r>
        <w:rPr>
          <w:rStyle w:val="FootnoteReference"/>
        </w:rPr>
        <w:footnoteRef/>
      </w:r>
      <w:r>
        <w:t xml:space="preserve"> Ibid p29</w:t>
      </w:r>
    </w:p>
  </w:footnote>
  <w:footnote w:id="12">
    <w:p w14:paraId="38FECF0B" w14:textId="07A9D0FA" w:rsidR="001F7CC4" w:rsidRPr="00C32419" w:rsidRDefault="001F7CC4" w:rsidP="00C32419">
      <w:pPr>
        <w:ind w:left="720" w:hanging="720"/>
        <w:jc w:val="both"/>
        <w:rPr>
          <w:color w:val="000000" w:themeColor="text1"/>
          <w:sz w:val="20"/>
          <w:szCs w:val="20"/>
        </w:rPr>
      </w:pPr>
      <w:r w:rsidRPr="00C32419">
        <w:rPr>
          <w:rStyle w:val="FootnoteReference"/>
          <w:sz w:val="20"/>
          <w:szCs w:val="20"/>
        </w:rPr>
        <w:footnoteRef/>
      </w:r>
      <w:r w:rsidRPr="00C32419">
        <w:rPr>
          <w:sz w:val="20"/>
          <w:szCs w:val="20"/>
        </w:rPr>
        <w:t xml:space="preserve"> </w:t>
      </w:r>
      <w:proofErr w:type="spellStart"/>
      <w:r w:rsidRPr="00C32419">
        <w:rPr>
          <w:sz w:val="20"/>
          <w:szCs w:val="20"/>
        </w:rPr>
        <w:t>Aboloqaem</w:t>
      </w:r>
      <w:proofErr w:type="spellEnd"/>
      <w:r w:rsidRPr="00C32419">
        <w:rPr>
          <w:sz w:val="20"/>
          <w:szCs w:val="20"/>
        </w:rPr>
        <w:t xml:space="preserve"> Ferdowsi, Shahnameh</w:t>
      </w:r>
      <w:r w:rsidR="00C32419" w:rsidRPr="00C32419">
        <w:rPr>
          <w:sz w:val="20"/>
          <w:szCs w:val="20"/>
        </w:rPr>
        <w:t>, (</w:t>
      </w:r>
      <w:r w:rsidR="00C32419" w:rsidRPr="00C32419">
        <w:rPr>
          <w:color w:val="000000" w:themeColor="text1"/>
          <w:sz w:val="20"/>
          <w:szCs w:val="20"/>
        </w:rPr>
        <w:t>trans D David (2006); New York; Penguin)</w:t>
      </w:r>
    </w:p>
  </w:footnote>
  <w:footnote w:id="13">
    <w:p w14:paraId="5C84B807" w14:textId="22F7B7BA" w:rsidR="00C53D96" w:rsidRDefault="00C53D96">
      <w:pPr>
        <w:pStyle w:val="FootnoteText"/>
      </w:pPr>
      <w:r>
        <w:rPr>
          <w:rStyle w:val="FootnoteReference"/>
        </w:rPr>
        <w:footnoteRef/>
      </w:r>
      <w:r>
        <w:t xml:space="preserve"> Francis Pryor, </w:t>
      </w:r>
      <w:proofErr w:type="spellStart"/>
      <w:r>
        <w:t>Seahenge</w:t>
      </w:r>
      <w:proofErr w:type="spellEnd"/>
      <w:r>
        <w:t xml:space="preserve"> p 78-79</w:t>
      </w:r>
      <w:r w:rsidR="00C32419">
        <w:t xml:space="preserve"> </w:t>
      </w:r>
      <w:r w:rsidR="00C32419" w:rsidRPr="00C32419">
        <w:t>(London; HarperCollins; 2001)</w:t>
      </w:r>
    </w:p>
  </w:footnote>
  <w:footnote w:id="14">
    <w:p w14:paraId="545FCA31" w14:textId="78DB599A" w:rsidR="008E11E9" w:rsidRPr="00DF392B" w:rsidRDefault="008E11E9">
      <w:pPr>
        <w:pStyle w:val="FootnoteText"/>
      </w:pPr>
      <w:r w:rsidRPr="00DF392B">
        <w:rPr>
          <w:rStyle w:val="FootnoteReference"/>
        </w:rPr>
        <w:footnoteRef/>
      </w:r>
      <w:r w:rsidRPr="00DF392B">
        <w:t xml:space="preserve"> Margaret Mead, Coming of Age in Samoa</w:t>
      </w:r>
      <w:r w:rsidR="00DF392B" w:rsidRPr="00DF392B">
        <w:t xml:space="preserve"> (New York; William Morrow; 1928)</w:t>
      </w:r>
    </w:p>
  </w:footnote>
  <w:footnote w:id="15">
    <w:p w14:paraId="6EB15260" w14:textId="63896AF4" w:rsidR="008E11E9" w:rsidRPr="00793ECE" w:rsidRDefault="008E11E9" w:rsidP="00DF392B">
      <w:pPr>
        <w:ind w:left="720" w:hanging="720"/>
        <w:jc w:val="both"/>
        <w:rPr>
          <w:rFonts w:eastAsia="Times New Roman" w:cstheme="minorHAnsi"/>
          <w:sz w:val="20"/>
          <w:szCs w:val="20"/>
          <w:lang w:eastAsia="en-GB"/>
        </w:rPr>
      </w:pPr>
      <w:r w:rsidRPr="00793ECE">
        <w:rPr>
          <w:rStyle w:val="FootnoteReference"/>
          <w:sz w:val="20"/>
          <w:szCs w:val="20"/>
        </w:rPr>
        <w:footnoteRef/>
      </w:r>
      <w:r w:rsidRPr="00793ECE">
        <w:rPr>
          <w:sz w:val="20"/>
          <w:szCs w:val="20"/>
        </w:rPr>
        <w:t xml:space="preserve"> James Cote, Was Mead wrong about coming of age in Samoa pp 500-503</w:t>
      </w:r>
      <w:r w:rsidR="00DF392B" w:rsidRPr="00793ECE">
        <w:rPr>
          <w:sz w:val="20"/>
          <w:szCs w:val="20"/>
        </w:rPr>
        <w:t xml:space="preserve"> (</w:t>
      </w:r>
      <w:r w:rsidR="00DF392B" w:rsidRPr="00793ECE">
        <w:rPr>
          <w:rFonts w:eastAsia="Times New Roman" w:cstheme="minorHAnsi"/>
          <w:sz w:val="20"/>
          <w:szCs w:val="20"/>
          <w:lang w:eastAsia="en-GB"/>
        </w:rPr>
        <w:t>Journal of Youth and Adolescence 21 (5), 499-527</w:t>
      </w:r>
      <w:r w:rsidR="00793ECE" w:rsidRPr="00793ECE">
        <w:rPr>
          <w:rFonts w:eastAsia="Times New Roman" w:cstheme="minorHAnsi"/>
          <w:sz w:val="20"/>
          <w:szCs w:val="20"/>
          <w:lang w:eastAsia="en-GB"/>
        </w:rPr>
        <w:t>, 1992)</w:t>
      </w:r>
    </w:p>
  </w:footnote>
  <w:footnote w:id="16">
    <w:p w14:paraId="4BDDA532" w14:textId="3898BC83" w:rsidR="006C6231" w:rsidRPr="00793ECE" w:rsidRDefault="006C6231" w:rsidP="00793ECE">
      <w:pPr>
        <w:ind w:left="720" w:hanging="720"/>
        <w:jc w:val="both"/>
        <w:rPr>
          <w:color w:val="000000" w:themeColor="text1"/>
          <w:sz w:val="20"/>
          <w:szCs w:val="20"/>
        </w:rPr>
      </w:pPr>
      <w:r w:rsidRPr="00793ECE">
        <w:rPr>
          <w:rStyle w:val="FootnoteReference"/>
          <w:sz w:val="20"/>
          <w:szCs w:val="20"/>
        </w:rPr>
        <w:footnoteRef/>
      </w:r>
      <w:r w:rsidRPr="00793ECE">
        <w:rPr>
          <w:sz w:val="20"/>
          <w:szCs w:val="20"/>
        </w:rPr>
        <w:t xml:space="preserve"> Tara Burton, Strange Rites p1</w:t>
      </w:r>
      <w:r w:rsidR="00793ECE" w:rsidRPr="00793ECE">
        <w:rPr>
          <w:sz w:val="20"/>
          <w:szCs w:val="20"/>
        </w:rPr>
        <w:t xml:space="preserve"> (</w:t>
      </w:r>
      <w:r w:rsidR="00793ECE" w:rsidRPr="00793ECE">
        <w:rPr>
          <w:color w:val="000000" w:themeColor="text1"/>
          <w:sz w:val="20"/>
          <w:szCs w:val="20"/>
        </w:rPr>
        <w:t>New York; Public Affairs Books, 2020)</w:t>
      </w:r>
    </w:p>
  </w:footnote>
  <w:footnote w:id="17">
    <w:p w14:paraId="76AF6B60" w14:textId="0192BE6B" w:rsidR="007E21B6" w:rsidRPr="00793ECE" w:rsidRDefault="007E21B6" w:rsidP="00793ECE">
      <w:pPr>
        <w:ind w:left="720" w:hanging="720"/>
        <w:jc w:val="both"/>
        <w:rPr>
          <w:color w:val="000000" w:themeColor="text1"/>
          <w:sz w:val="20"/>
          <w:szCs w:val="20"/>
        </w:rPr>
      </w:pPr>
      <w:r w:rsidRPr="00793ECE">
        <w:rPr>
          <w:rStyle w:val="FootnoteReference"/>
          <w:sz w:val="20"/>
          <w:szCs w:val="20"/>
        </w:rPr>
        <w:footnoteRef/>
      </w:r>
      <w:r w:rsidRPr="00793ECE">
        <w:rPr>
          <w:sz w:val="20"/>
          <w:szCs w:val="20"/>
        </w:rPr>
        <w:t xml:space="preserve"> Janet and Colin Bord, Earth Rites p 35</w:t>
      </w:r>
      <w:r w:rsidR="00793ECE" w:rsidRPr="00793ECE">
        <w:rPr>
          <w:sz w:val="20"/>
          <w:szCs w:val="20"/>
        </w:rPr>
        <w:t xml:space="preserve"> (</w:t>
      </w:r>
      <w:r w:rsidR="00793ECE" w:rsidRPr="00793ECE">
        <w:rPr>
          <w:color w:val="000000" w:themeColor="text1"/>
          <w:sz w:val="20"/>
          <w:szCs w:val="20"/>
        </w:rPr>
        <w:t>London; Granada Publishing; 1982)</w:t>
      </w:r>
    </w:p>
  </w:footnote>
  <w:footnote w:id="18">
    <w:p w14:paraId="192BE211" w14:textId="67B020ED" w:rsidR="006C6231" w:rsidRDefault="006C6231">
      <w:pPr>
        <w:pStyle w:val="FootnoteText"/>
      </w:pPr>
      <w:r>
        <w:rPr>
          <w:rStyle w:val="FootnoteReference"/>
        </w:rPr>
        <w:footnoteRef/>
      </w:r>
      <w:r>
        <w:t xml:space="preserve"> Ibid p 16</w:t>
      </w:r>
    </w:p>
  </w:footnote>
  <w:footnote w:id="19">
    <w:p w14:paraId="21B036D0" w14:textId="3A8F33C5" w:rsidR="006C6231" w:rsidRDefault="006C6231">
      <w:pPr>
        <w:pStyle w:val="FootnoteText"/>
      </w:pPr>
      <w:r>
        <w:rPr>
          <w:rStyle w:val="FootnoteReference"/>
        </w:rPr>
        <w:footnoteRef/>
      </w:r>
      <w:r>
        <w:t xml:space="preserve"> Ibid p32</w:t>
      </w:r>
    </w:p>
  </w:footnote>
  <w:footnote w:id="20">
    <w:p w14:paraId="17380AB2" w14:textId="283A50E1" w:rsidR="008A158D" w:rsidRPr="00793ECE" w:rsidRDefault="008A158D" w:rsidP="00793ECE">
      <w:pPr>
        <w:pStyle w:val="FootnoteText"/>
        <w:ind w:left="720" w:hanging="720"/>
        <w:jc w:val="both"/>
      </w:pPr>
      <w:r w:rsidRPr="00793ECE">
        <w:rPr>
          <w:rStyle w:val="FootnoteReference"/>
        </w:rPr>
        <w:footnoteRef/>
      </w:r>
      <w:r w:rsidRPr="00793ECE">
        <w:t xml:space="preserve"> Nicky Milner et at, Star </w:t>
      </w:r>
      <w:proofErr w:type="spellStart"/>
      <w:r w:rsidRPr="00793ECE">
        <w:t>Carr</w:t>
      </w:r>
      <w:proofErr w:type="spellEnd"/>
      <w:r w:rsidRPr="00793ECE">
        <w:t xml:space="preserve"> vol 1 p26</w:t>
      </w:r>
      <w:r w:rsidR="00793ECE" w:rsidRPr="00793ECE">
        <w:t xml:space="preserve"> (York; White Rose University Press; 2018)</w:t>
      </w:r>
    </w:p>
  </w:footnote>
  <w:footnote w:id="21">
    <w:p w14:paraId="3DF05E31" w14:textId="19FA053B" w:rsidR="0066020E" w:rsidRPr="00793ECE" w:rsidRDefault="0066020E" w:rsidP="00793ECE">
      <w:pPr>
        <w:ind w:left="720" w:hanging="720"/>
        <w:jc w:val="both"/>
        <w:rPr>
          <w:color w:val="000000" w:themeColor="text1"/>
          <w:sz w:val="20"/>
          <w:szCs w:val="20"/>
        </w:rPr>
      </w:pPr>
      <w:r w:rsidRPr="00793ECE">
        <w:rPr>
          <w:rStyle w:val="FootnoteReference"/>
          <w:sz w:val="20"/>
          <w:szCs w:val="20"/>
        </w:rPr>
        <w:footnoteRef/>
      </w:r>
      <w:r w:rsidRPr="00793ECE">
        <w:rPr>
          <w:sz w:val="20"/>
          <w:szCs w:val="20"/>
        </w:rPr>
        <w:t xml:space="preserve"> Emile Durkheim, The Elementary Forms of Religious Life p 309</w:t>
      </w:r>
      <w:r w:rsidR="00793ECE" w:rsidRPr="00793ECE">
        <w:rPr>
          <w:sz w:val="20"/>
          <w:szCs w:val="20"/>
        </w:rPr>
        <w:t xml:space="preserve"> (Oxford; Oxford University Press </w:t>
      </w:r>
      <w:r w:rsidR="00793ECE" w:rsidRPr="00793ECE">
        <w:rPr>
          <w:color w:val="000000" w:themeColor="text1"/>
          <w:sz w:val="20"/>
          <w:szCs w:val="20"/>
        </w:rPr>
        <w:t xml:space="preserve">(trans C </w:t>
      </w:r>
      <w:proofErr w:type="spellStart"/>
      <w:r w:rsidR="00793ECE" w:rsidRPr="00793ECE">
        <w:rPr>
          <w:color w:val="000000" w:themeColor="text1"/>
          <w:sz w:val="20"/>
          <w:szCs w:val="20"/>
        </w:rPr>
        <w:t>Cosman</w:t>
      </w:r>
      <w:proofErr w:type="spellEnd"/>
      <w:r w:rsidR="00793ECE" w:rsidRPr="00793ECE">
        <w:rPr>
          <w:color w:val="000000" w:themeColor="text1"/>
          <w:sz w:val="20"/>
          <w:szCs w:val="20"/>
        </w:rPr>
        <w:t>); 2001)</w:t>
      </w:r>
    </w:p>
  </w:footnote>
  <w:footnote w:id="22">
    <w:p w14:paraId="5B5B2FFF" w14:textId="664519A3" w:rsidR="001B55AE" w:rsidRDefault="001B55AE">
      <w:pPr>
        <w:pStyle w:val="FootnoteText"/>
      </w:pPr>
      <w:r>
        <w:rPr>
          <w:rStyle w:val="FootnoteReference"/>
        </w:rPr>
        <w:footnoteRef/>
      </w:r>
      <w:r>
        <w:t xml:space="preserve"> Ibid p36</w:t>
      </w:r>
    </w:p>
  </w:footnote>
  <w:footnote w:id="23">
    <w:p w14:paraId="7FBD6A88" w14:textId="5F8EE9E0" w:rsidR="00186FC2" w:rsidRDefault="00186FC2">
      <w:pPr>
        <w:pStyle w:val="FootnoteText"/>
      </w:pPr>
      <w:r>
        <w:rPr>
          <w:rStyle w:val="FootnoteReference"/>
        </w:rPr>
        <w:footnoteRef/>
      </w:r>
      <w:r>
        <w:t xml:space="preserve"> Ibid p 309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FE7AB7"/>
    <w:multiLevelType w:val="multilevel"/>
    <w:tmpl w:val="39D4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8C6449"/>
    <w:multiLevelType w:val="multilevel"/>
    <w:tmpl w:val="0380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D4470C"/>
    <w:multiLevelType w:val="multilevel"/>
    <w:tmpl w:val="C932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E26E16"/>
    <w:multiLevelType w:val="multilevel"/>
    <w:tmpl w:val="0016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048"/>
    <w:rsid w:val="00022D51"/>
    <w:rsid w:val="00040D07"/>
    <w:rsid w:val="00086D57"/>
    <w:rsid w:val="000F3C44"/>
    <w:rsid w:val="00121F2A"/>
    <w:rsid w:val="00171139"/>
    <w:rsid w:val="0017239E"/>
    <w:rsid w:val="00186FC2"/>
    <w:rsid w:val="001B55AE"/>
    <w:rsid w:val="001C2AA5"/>
    <w:rsid w:val="001F7CC4"/>
    <w:rsid w:val="002277A6"/>
    <w:rsid w:val="00241E68"/>
    <w:rsid w:val="00267309"/>
    <w:rsid w:val="002B2696"/>
    <w:rsid w:val="002D719E"/>
    <w:rsid w:val="0031521D"/>
    <w:rsid w:val="004655C2"/>
    <w:rsid w:val="0047666E"/>
    <w:rsid w:val="004F22C1"/>
    <w:rsid w:val="004F4EBE"/>
    <w:rsid w:val="00536DFA"/>
    <w:rsid w:val="005546DC"/>
    <w:rsid w:val="00564D57"/>
    <w:rsid w:val="00570718"/>
    <w:rsid w:val="005F66A4"/>
    <w:rsid w:val="00622835"/>
    <w:rsid w:val="0066020E"/>
    <w:rsid w:val="006A7A67"/>
    <w:rsid w:val="006B79CE"/>
    <w:rsid w:val="006C6231"/>
    <w:rsid w:val="00707B33"/>
    <w:rsid w:val="00761EB9"/>
    <w:rsid w:val="00793ECE"/>
    <w:rsid w:val="007E21B6"/>
    <w:rsid w:val="008A158D"/>
    <w:rsid w:val="008C1E77"/>
    <w:rsid w:val="008D5A0D"/>
    <w:rsid w:val="008E11E9"/>
    <w:rsid w:val="008F70CB"/>
    <w:rsid w:val="00905A2E"/>
    <w:rsid w:val="009218F3"/>
    <w:rsid w:val="00926C27"/>
    <w:rsid w:val="009337B3"/>
    <w:rsid w:val="009655CD"/>
    <w:rsid w:val="00981FAE"/>
    <w:rsid w:val="009C6B39"/>
    <w:rsid w:val="009F7E63"/>
    <w:rsid w:val="00A7799A"/>
    <w:rsid w:val="00A87C44"/>
    <w:rsid w:val="00AC59E8"/>
    <w:rsid w:val="00B305A1"/>
    <w:rsid w:val="00B37E17"/>
    <w:rsid w:val="00B63567"/>
    <w:rsid w:val="00B91BA2"/>
    <w:rsid w:val="00BA7048"/>
    <w:rsid w:val="00BC005D"/>
    <w:rsid w:val="00C32419"/>
    <w:rsid w:val="00C500D8"/>
    <w:rsid w:val="00C53D96"/>
    <w:rsid w:val="00CC0FE9"/>
    <w:rsid w:val="00CC5B9C"/>
    <w:rsid w:val="00CF63EE"/>
    <w:rsid w:val="00CF75DA"/>
    <w:rsid w:val="00D21631"/>
    <w:rsid w:val="00D36EB7"/>
    <w:rsid w:val="00D42B9F"/>
    <w:rsid w:val="00D502AA"/>
    <w:rsid w:val="00DC413A"/>
    <w:rsid w:val="00DE4F0B"/>
    <w:rsid w:val="00DF392B"/>
    <w:rsid w:val="00E30DAB"/>
    <w:rsid w:val="00E90246"/>
    <w:rsid w:val="00EA360A"/>
    <w:rsid w:val="00EB31C1"/>
    <w:rsid w:val="00ED10B9"/>
    <w:rsid w:val="00EE1487"/>
    <w:rsid w:val="00F36596"/>
    <w:rsid w:val="00F67799"/>
    <w:rsid w:val="00F7639C"/>
    <w:rsid w:val="00FF0A4A"/>
    <w:rsid w:val="00FF2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E24B1"/>
  <w14:defaultImageDpi w14:val="32767"/>
  <w15:chartTrackingRefBased/>
  <w15:docId w15:val="{03CAF320-5FE6-B842-A3C0-DEC5CFAEB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536DFA"/>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A7048"/>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rsid w:val="00536DFA"/>
    <w:rPr>
      <w:rFonts w:ascii="Tahoma" w:eastAsia="SimSun" w:hAnsi="Tahoma" w:cs="Tahoma"/>
      <w:b/>
      <w:bCs/>
      <w:sz w:val="20"/>
      <w:szCs w:val="20"/>
      <w:lang w:eastAsia="zh-CN"/>
    </w:rPr>
  </w:style>
  <w:style w:type="paragraph" w:styleId="FootnoteText">
    <w:name w:val="footnote text"/>
    <w:basedOn w:val="Normal"/>
    <w:link w:val="FootnoteTextChar"/>
    <w:uiPriority w:val="99"/>
    <w:semiHidden/>
    <w:unhideWhenUsed/>
    <w:rsid w:val="00DE4F0B"/>
    <w:rPr>
      <w:sz w:val="20"/>
      <w:szCs w:val="20"/>
    </w:rPr>
  </w:style>
  <w:style w:type="character" w:customStyle="1" w:styleId="FootnoteTextChar">
    <w:name w:val="Footnote Text Char"/>
    <w:basedOn w:val="DefaultParagraphFont"/>
    <w:link w:val="FootnoteText"/>
    <w:uiPriority w:val="99"/>
    <w:semiHidden/>
    <w:rsid w:val="00DE4F0B"/>
    <w:rPr>
      <w:sz w:val="20"/>
      <w:szCs w:val="20"/>
    </w:rPr>
  </w:style>
  <w:style w:type="character" w:styleId="FootnoteReference">
    <w:name w:val="footnote reference"/>
    <w:basedOn w:val="DefaultParagraphFont"/>
    <w:uiPriority w:val="99"/>
    <w:semiHidden/>
    <w:unhideWhenUsed/>
    <w:rsid w:val="00DE4F0B"/>
    <w:rPr>
      <w:vertAlign w:val="superscript"/>
    </w:rPr>
  </w:style>
  <w:style w:type="paragraph" w:customStyle="1" w:styleId="nova-e-listitem">
    <w:name w:val="nova-e-list__item"/>
    <w:basedOn w:val="Normal"/>
    <w:rsid w:val="00DC413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DC413A"/>
  </w:style>
  <w:style w:type="character" w:styleId="Hyperlink">
    <w:name w:val="Hyperlink"/>
    <w:basedOn w:val="DefaultParagraphFont"/>
    <w:uiPriority w:val="99"/>
    <w:unhideWhenUsed/>
    <w:rsid w:val="00DC413A"/>
    <w:rPr>
      <w:color w:val="0000FF"/>
      <w:u w:val="single"/>
    </w:rPr>
  </w:style>
  <w:style w:type="character" w:styleId="UnresolvedMention">
    <w:name w:val="Unresolved Mention"/>
    <w:basedOn w:val="DefaultParagraphFont"/>
    <w:uiPriority w:val="99"/>
    <w:rsid w:val="001C2A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1287119">
      <w:bodyDiv w:val="1"/>
      <w:marLeft w:val="0"/>
      <w:marRight w:val="0"/>
      <w:marTop w:val="0"/>
      <w:marBottom w:val="0"/>
      <w:divBdr>
        <w:top w:val="none" w:sz="0" w:space="0" w:color="auto"/>
        <w:left w:val="none" w:sz="0" w:space="0" w:color="auto"/>
        <w:bottom w:val="none" w:sz="0" w:space="0" w:color="auto"/>
        <w:right w:val="none" w:sz="0" w:space="0" w:color="auto"/>
      </w:divBdr>
      <w:divsChild>
        <w:div w:id="331032908">
          <w:marLeft w:val="0"/>
          <w:marRight w:val="0"/>
          <w:marTop w:val="0"/>
          <w:marBottom w:val="0"/>
          <w:divBdr>
            <w:top w:val="none" w:sz="0" w:space="0" w:color="auto"/>
            <w:left w:val="none" w:sz="0" w:space="0" w:color="auto"/>
            <w:bottom w:val="none" w:sz="0" w:space="0" w:color="auto"/>
            <w:right w:val="none" w:sz="0" w:space="0" w:color="auto"/>
          </w:divBdr>
          <w:divsChild>
            <w:div w:id="2024938415">
              <w:marLeft w:val="0"/>
              <w:marRight w:val="0"/>
              <w:marTop w:val="0"/>
              <w:marBottom w:val="0"/>
              <w:divBdr>
                <w:top w:val="none" w:sz="0" w:space="0" w:color="auto"/>
                <w:left w:val="none" w:sz="0" w:space="0" w:color="auto"/>
                <w:bottom w:val="none" w:sz="0" w:space="0" w:color="auto"/>
                <w:right w:val="none" w:sz="0" w:space="0" w:color="auto"/>
              </w:divBdr>
              <w:divsChild>
                <w:div w:id="1499731796">
                  <w:marLeft w:val="0"/>
                  <w:marRight w:val="0"/>
                  <w:marTop w:val="0"/>
                  <w:marBottom w:val="0"/>
                  <w:divBdr>
                    <w:top w:val="none" w:sz="0" w:space="0" w:color="auto"/>
                    <w:left w:val="none" w:sz="0" w:space="0" w:color="auto"/>
                    <w:bottom w:val="none" w:sz="0" w:space="0" w:color="auto"/>
                    <w:right w:val="none" w:sz="0" w:space="0" w:color="auto"/>
                  </w:divBdr>
                </w:div>
              </w:divsChild>
            </w:div>
            <w:div w:id="1857187978">
              <w:marLeft w:val="0"/>
              <w:marRight w:val="0"/>
              <w:marTop w:val="0"/>
              <w:marBottom w:val="0"/>
              <w:divBdr>
                <w:top w:val="none" w:sz="0" w:space="0" w:color="auto"/>
                <w:left w:val="none" w:sz="0" w:space="0" w:color="auto"/>
                <w:bottom w:val="none" w:sz="0" w:space="0" w:color="auto"/>
                <w:right w:val="none" w:sz="0" w:space="0" w:color="auto"/>
              </w:divBdr>
              <w:divsChild>
                <w:div w:id="30999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512073">
      <w:bodyDiv w:val="1"/>
      <w:marLeft w:val="0"/>
      <w:marRight w:val="0"/>
      <w:marTop w:val="0"/>
      <w:marBottom w:val="0"/>
      <w:divBdr>
        <w:top w:val="none" w:sz="0" w:space="0" w:color="auto"/>
        <w:left w:val="none" w:sz="0" w:space="0" w:color="auto"/>
        <w:bottom w:val="none" w:sz="0" w:space="0" w:color="auto"/>
        <w:right w:val="none" w:sz="0" w:space="0" w:color="auto"/>
      </w:divBdr>
      <w:divsChild>
        <w:div w:id="950429244">
          <w:marLeft w:val="0"/>
          <w:marRight w:val="0"/>
          <w:marTop w:val="0"/>
          <w:marBottom w:val="0"/>
          <w:divBdr>
            <w:top w:val="none" w:sz="0" w:space="0" w:color="auto"/>
            <w:left w:val="none" w:sz="0" w:space="0" w:color="auto"/>
            <w:bottom w:val="none" w:sz="0" w:space="0" w:color="auto"/>
            <w:right w:val="none" w:sz="0" w:space="0" w:color="auto"/>
          </w:divBdr>
          <w:divsChild>
            <w:div w:id="1947612292">
              <w:marLeft w:val="0"/>
              <w:marRight w:val="0"/>
              <w:marTop w:val="0"/>
              <w:marBottom w:val="150"/>
              <w:divBdr>
                <w:top w:val="none" w:sz="0" w:space="0" w:color="auto"/>
                <w:left w:val="none" w:sz="0" w:space="0" w:color="auto"/>
                <w:bottom w:val="none" w:sz="0" w:space="0" w:color="auto"/>
                <w:right w:val="none" w:sz="0" w:space="0" w:color="auto"/>
              </w:divBdr>
            </w:div>
            <w:div w:id="1585603303">
              <w:marLeft w:val="0"/>
              <w:marRight w:val="0"/>
              <w:marTop w:val="0"/>
              <w:marBottom w:val="225"/>
              <w:divBdr>
                <w:top w:val="none" w:sz="0" w:space="0" w:color="auto"/>
                <w:left w:val="none" w:sz="0" w:space="0" w:color="auto"/>
                <w:bottom w:val="none" w:sz="0" w:space="0" w:color="auto"/>
                <w:right w:val="none" w:sz="0" w:space="0" w:color="auto"/>
              </w:divBdr>
              <w:divsChild>
                <w:div w:id="1667660377">
                  <w:marLeft w:val="0"/>
                  <w:marRight w:val="0"/>
                  <w:marTop w:val="0"/>
                  <w:marBottom w:val="0"/>
                  <w:divBdr>
                    <w:top w:val="none" w:sz="0" w:space="0" w:color="auto"/>
                    <w:left w:val="none" w:sz="0" w:space="0" w:color="auto"/>
                    <w:bottom w:val="none" w:sz="0" w:space="0" w:color="auto"/>
                    <w:right w:val="none" w:sz="0" w:space="0" w:color="auto"/>
                  </w:divBdr>
                  <w:divsChild>
                    <w:div w:id="1027872271">
                      <w:marLeft w:val="0"/>
                      <w:marRight w:val="0"/>
                      <w:marTop w:val="0"/>
                      <w:marBottom w:val="75"/>
                      <w:divBdr>
                        <w:top w:val="none" w:sz="0" w:space="0" w:color="auto"/>
                        <w:left w:val="none" w:sz="0" w:space="0" w:color="auto"/>
                        <w:bottom w:val="none" w:sz="0" w:space="0" w:color="auto"/>
                        <w:right w:val="none" w:sz="0" w:space="0" w:color="auto"/>
                      </w:divBdr>
                    </w:div>
                    <w:div w:id="1460416620">
                      <w:marLeft w:val="0"/>
                      <w:marRight w:val="0"/>
                      <w:marTop w:val="0"/>
                      <w:marBottom w:val="75"/>
                      <w:divBdr>
                        <w:top w:val="none" w:sz="0" w:space="0" w:color="auto"/>
                        <w:left w:val="none" w:sz="0" w:space="0" w:color="auto"/>
                        <w:bottom w:val="none" w:sz="0" w:space="0" w:color="auto"/>
                        <w:right w:val="none" w:sz="0" w:space="0" w:color="auto"/>
                      </w:divBdr>
                    </w:div>
                    <w:div w:id="107269790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48915659">
          <w:marLeft w:val="0"/>
          <w:marRight w:val="0"/>
          <w:marTop w:val="0"/>
          <w:marBottom w:val="0"/>
          <w:divBdr>
            <w:top w:val="none" w:sz="0" w:space="0" w:color="auto"/>
            <w:left w:val="none" w:sz="0" w:space="0" w:color="auto"/>
            <w:bottom w:val="none" w:sz="0" w:space="0" w:color="auto"/>
            <w:right w:val="none" w:sz="0" w:space="0" w:color="auto"/>
          </w:divBdr>
          <w:divsChild>
            <w:div w:id="1840463028">
              <w:marLeft w:val="0"/>
              <w:marRight w:val="0"/>
              <w:marTop w:val="0"/>
              <w:marBottom w:val="75"/>
              <w:divBdr>
                <w:top w:val="none" w:sz="0" w:space="0" w:color="auto"/>
                <w:left w:val="none" w:sz="0" w:space="0" w:color="auto"/>
                <w:bottom w:val="none" w:sz="0" w:space="0" w:color="auto"/>
                <w:right w:val="none" w:sz="0" w:space="0" w:color="auto"/>
              </w:divBdr>
              <w:divsChild>
                <w:div w:id="1508862507">
                  <w:marLeft w:val="0"/>
                  <w:marRight w:val="0"/>
                  <w:marTop w:val="0"/>
                  <w:marBottom w:val="0"/>
                  <w:divBdr>
                    <w:top w:val="none" w:sz="0" w:space="0" w:color="auto"/>
                    <w:left w:val="none" w:sz="0" w:space="0" w:color="auto"/>
                    <w:bottom w:val="none" w:sz="0" w:space="0" w:color="auto"/>
                    <w:right w:val="none" w:sz="0" w:space="0" w:color="auto"/>
                  </w:divBdr>
                  <w:divsChild>
                    <w:div w:id="1068262529">
                      <w:marLeft w:val="-38"/>
                      <w:marRight w:val="-38"/>
                      <w:marTop w:val="0"/>
                      <w:marBottom w:val="0"/>
                      <w:divBdr>
                        <w:top w:val="none" w:sz="0" w:space="0" w:color="auto"/>
                        <w:left w:val="none" w:sz="0" w:space="0" w:color="auto"/>
                        <w:bottom w:val="none" w:sz="0" w:space="0" w:color="auto"/>
                        <w:right w:val="none" w:sz="0" w:space="0" w:color="auto"/>
                      </w:divBdr>
                      <w:divsChild>
                        <w:div w:id="2032338857">
                          <w:marLeft w:val="0"/>
                          <w:marRight w:val="0"/>
                          <w:marTop w:val="0"/>
                          <w:marBottom w:val="0"/>
                          <w:divBdr>
                            <w:top w:val="none" w:sz="0" w:space="0" w:color="auto"/>
                            <w:left w:val="none" w:sz="0" w:space="0" w:color="auto"/>
                            <w:bottom w:val="none" w:sz="0" w:space="0" w:color="auto"/>
                            <w:right w:val="none" w:sz="0" w:space="0" w:color="auto"/>
                          </w:divBdr>
                          <w:divsChild>
                            <w:div w:id="1143696992">
                              <w:marLeft w:val="0"/>
                              <w:marRight w:val="0"/>
                              <w:marTop w:val="0"/>
                              <w:marBottom w:val="0"/>
                              <w:divBdr>
                                <w:top w:val="none" w:sz="0" w:space="0" w:color="auto"/>
                                <w:left w:val="none" w:sz="0" w:space="0" w:color="auto"/>
                                <w:bottom w:val="none" w:sz="0" w:space="0" w:color="auto"/>
                                <w:right w:val="none" w:sz="0" w:space="0" w:color="auto"/>
                              </w:divBdr>
                              <w:divsChild>
                                <w:div w:id="1695302005">
                                  <w:marLeft w:val="-38"/>
                                  <w:marRight w:val="-38"/>
                                  <w:marTop w:val="0"/>
                                  <w:marBottom w:val="0"/>
                                  <w:divBdr>
                                    <w:top w:val="none" w:sz="0" w:space="0" w:color="auto"/>
                                    <w:left w:val="none" w:sz="0" w:space="0" w:color="auto"/>
                                    <w:bottom w:val="none" w:sz="0" w:space="0" w:color="auto"/>
                                    <w:right w:val="none" w:sz="0" w:space="0" w:color="auto"/>
                                  </w:divBdr>
                                  <w:divsChild>
                                    <w:div w:id="99329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73255">
                          <w:marLeft w:val="0"/>
                          <w:marRight w:val="0"/>
                          <w:marTop w:val="0"/>
                          <w:marBottom w:val="0"/>
                          <w:divBdr>
                            <w:top w:val="none" w:sz="0" w:space="0" w:color="auto"/>
                            <w:left w:val="none" w:sz="0" w:space="0" w:color="auto"/>
                            <w:bottom w:val="none" w:sz="0" w:space="0" w:color="auto"/>
                            <w:right w:val="none" w:sz="0" w:space="0" w:color="auto"/>
                          </w:divBdr>
                          <w:divsChild>
                            <w:div w:id="1365713815">
                              <w:marLeft w:val="0"/>
                              <w:marRight w:val="0"/>
                              <w:marTop w:val="0"/>
                              <w:marBottom w:val="0"/>
                              <w:divBdr>
                                <w:top w:val="none" w:sz="0" w:space="0" w:color="auto"/>
                                <w:left w:val="none" w:sz="0" w:space="0" w:color="auto"/>
                                <w:bottom w:val="none" w:sz="0" w:space="0" w:color="auto"/>
                                <w:right w:val="none" w:sz="0" w:space="0" w:color="auto"/>
                              </w:divBdr>
                              <w:divsChild>
                                <w:div w:id="2056812191">
                                  <w:marLeft w:val="-38"/>
                                  <w:marRight w:val="-38"/>
                                  <w:marTop w:val="0"/>
                                  <w:marBottom w:val="0"/>
                                  <w:divBdr>
                                    <w:top w:val="none" w:sz="0" w:space="0" w:color="auto"/>
                                    <w:left w:val="none" w:sz="0" w:space="0" w:color="auto"/>
                                    <w:bottom w:val="none" w:sz="0" w:space="0" w:color="auto"/>
                                    <w:right w:val="none" w:sz="0" w:space="0" w:color="auto"/>
                                  </w:divBdr>
                                  <w:divsChild>
                                    <w:div w:id="585849599">
                                      <w:marLeft w:val="0"/>
                                      <w:marRight w:val="0"/>
                                      <w:marTop w:val="0"/>
                                      <w:marBottom w:val="0"/>
                                      <w:divBdr>
                                        <w:top w:val="none" w:sz="0" w:space="0" w:color="auto"/>
                                        <w:left w:val="none" w:sz="0" w:space="0" w:color="auto"/>
                                        <w:bottom w:val="none" w:sz="0" w:space="0" w:color="auto"/>
                                        <w:right w:val="none" w:sz="0" w:space="0" w:color="auto"/>
                                      </w:divBdr>
                                      <w:divsChild>
                                        <w:div w:id="168377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991220">
                  <w:marLeft w:val="0"/>
                  <w:marRight w:val="0"/>
                  <w:marTop w:val="0"/>
                  <w:marBottom w:val="0"/>
                  <w:divBdr>
                    <w:top w:val="none" w:sz="0" w:space="0" w:color="auto"/>
                    <w:left w:val="none" w:sz="0" w:space="0" w:color="auto"/>
                    <w:bottom w:val="none" w:sz="0" w:space="0" w:color="auto"/>
                    <w:right w:val="none" w:sz="0" w:space="0" w:color="auto"/>
                  </w:divBdr>
                  <w:divsChild>
                    <w:div w:id="117259911">
                      <w:marLeft w:val="-38"/>
                      <w:marRight w:val="-38"/>
                      <w:marTop w:val="0"/>
                      <w:marBottom w:val="0"/>
                      <w:divBdr>
                        <w:top w:val="none" w:sz="0" w:space="0" w:color="auto"/>
                        <w:left w:val="none" w:sz="0" w:space="0" w:color="auto"/>
                        <w:bottom w:val="none" w:sz="0" w:space="0" w:color="auto"/>
                        <w:right w:val="none" w:sz="0" w:space="0" w:color="auto"/>
                      </w:divBdr>
                      <w:divsChild>
                        <w:div w:id="150407782">
                          <w:marLeft w:val="0"/>
                          <w:marRight w:val="0"/>
                          <w:marTop w:val="0"/>
                          <w:marBottom w:val="0"/>
                          <w:divBdr>
                            <w:top w:val="none" w:sz="0" w:space="0" w:color="auto"/>
                            <w:left w:val="none" w:sz="0" w:space="0" w:color="auto"/>
                            <w:bottom w:val="none" w:sz="0" w:space="0" w:color="auto"/>
                            <w:right w:val="none" w:sz="0" w:space="0" w:color="auto"/>
                          </w:divBdr>
                          <w:divsChild>
                            <w:div w:id="1454052163">
                              <w:marLeft w:val="0"/>
                              <w:marRight w:val="0"/>
                              <w:marTop w:val="0"/>
                              <w:marBottom w:val="0"/>
                              <w:divBdr>
                                <w:top w:val="none" w:sz="0" w:space="0" w:color="auto"/>
                                <w:left w:val="none" w:sz="0" w:space="0" w:color="auto"/>
                                <w:bottom w:val="none" w:sz="0" w:space="0" w:color="auto"/>
                                <w:right w:val="none" w:sz="0" w:space="0" w:color="auto"/>
                              </w:divBdr>
                              <w:divsChild>
                                <w:div w:id="58403955">
                                  <w:marLeft w:val="-38"/>
                                  <w:marRight w:val="-38"/>
                                  <w:marTop w:val="0"/>
                                  <w:marBottom w:val="0"/>
                                  <w:divBdr>
                                    <w:top w:val="none" w:sz="0" w:space="0" w:color="auto"/>
                                    <w:left w:val="none" w:sz="0" w:space="0" w:color="auto"/>
                                    <w:bottom w:val="none" w:sz="0" w:space="0" w:color="auto"/>
                                    <w:right w:val="none" w:sz="0" w:space="0" w:color="auto"/>
                                  </w:divBdr>
                                  <w:divsChild>
                                    <w:div w:id="210389529">
                                      <w:marLeft w:val="0"/>
                                      <w:marRight w:val="0"/>
                                      <w:marTop w:val="0"/>
                                      <w:marBottom w:val="0"/>
                                      <w:divBdr>
                                        <w:top w:val="none" w:sz="0" w:space="0" w:color="auto"/>
                                        <w:left w:val="none" w:sz="0" w:space="0" w:color="auto"/>
                                        <w:bottom w:val="none" w:sz="0" w:space="0" w:color="auto"/>
                                        <w:right w:val="none" w:sz="0" w:space="0" w:color="auto"/>
                                      </w:divBdr>
                                    </w:div>
                                    <w:div w:id="944074353">
                                      <w:marLeft w:val="0"/>
                                      <w:marRight w:val="0"/>
                                      <w:marTop w:val="0"/>
                                      <w:marBottom w:val="0"/>
                                      <w:divBdr>
                                        <w:top w:val="none" w:sz="0" w:space="0" w:color="auto"/>
                                        <w:left w:val="none" w:sz="0" w:space="0" w:color="auto"/>
                                        <w:bottom w:val="none" w:sz="0" w:space="0" w:color="auto"/>
                                        <w:right w:val="none" w:sz="0" w:space="0" w:color="auto"/>
                                      </w:divBdr>
                                      <w:divsChild>
                                        <w:div w:id="1980917125">
                                          <w:marLeft w:val="-38"/>
                                          <w:marRight w:val="-38"/>
                                          <w:marTop w:val="0"/>
                                          <w:marBottom w:val="0"/>
                                          <w:divBdr>
                                            <w:top w:val="none" w:sz="0" w:space="0" w:color="auto"/>
                                            <w:left w:val="none" w:sz="0" w:space="0" w:color="auto"/>
                                            <w:bottom w:val="none" w:sz="0" w:space="0" w:color="auto"/>
                                            <w:right w:val="none" w:sz="0" w:space="0" w:color="auto"/>
                                          </w:divBdr>
                                          <w:divsChild>
                                            <w:div w:id="1070926598">
                                              <w:marLeft w:val="0"/>
                                              <w:marRight w:val="0"/>
                                              <w:marTop w:val="0"/>
                                              <w:marBottom w:val="0"/>
                                              <w:divBdr>
                                                <w:top w:val="none" w:sz="0" w:space="0" w:color="auto"/>
                                                <w:left w:val="none" w:sz="0" w:space="0" w:color="auto"/>
                                                <w:bottom w:val="none" w:sz="0" w:space="0" w:color="auto"/>
                                                <w:right w:val="none" w:sz="0" w:space="0" w:color="auto"/>
                                              </w:divBdr>
                                              <w:divsChild>
                                                <w:div w:id="82898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6175778">
      <w:bodyDiv w:val="1"/>
      <w:marLeft w:val="0"/>
      <w:marRight w:val="0"/>
      <w:marTop w:val="0"/>
      <w:marBottom w:val="0"/>
      <w:divBdr>
        <w:top w:val="none" w:sz="0" w:space="0" w:color="auto"/>
        <w:left w:val="none" w:sz="0" w:space="0" w:color="auto"/>
        <w:bottom w:val="none" w:sz="0" w:space="0" w:color="auto"/>
        <w:right w:val="none" w:sz="0" w:space="0" w:color="auto"/>
      </w:divBdr>
      <w:divsChild>
        <w:div w:id="1160926444">
          <w:marLeft w:val="0"/>
          <w:marRight w:val="0"/>
          <w:marTop w:val="0"/>
          <w:marBottom w:val="0"/>
          <w:divBdr>
            <w:top w:val="none" w:sz="0" w:space="0" w:color="auto"/>
            <w:left w:val="none" w:sz="0" w:space="0" w:color="auto"/>
            <w:bottom w:val="none" w:sz="0" w:space="0" w:color="auto"/>
            <w:right w:val="none" w:sz="0" w:space="0" w:color="auto"/>
          </w:divBdr>
          <w:divsChild>
            <w:div w:id="1382557682">
              <w:marLeft w:val="0"/>
              <w:marRight w:val="0"/>
              <w:marTop w:val="0"/>
              <w:marBottom w:val="0"/>
              <w:divBdr>
                <w:top w:val="none" w:sz="0" w:space="0" w:color="auto"/>
                <w:left w:val="none" w:sz="0" w:space="0" w:color="auto"/>
                <w:bottom w:val="none" w:sz="0" w:space="0" w:color="auto"/>
                <w:right w:val="none" w:sz="0" w:space="0" w:color="auto"/>
              </w:divBdr>
              <w:divsChild>
                <w:div w:id="632056598">
                  <w:marLeft w:val="0"/>
                  <w:marRight w:val="0"/>
                  <w:marTop w:val="0"/>
                  <w:marBottom w:val="0"/>
                  <w:divBdr>
                    <w:top w:val="none" w:sz="0" w:space="0" w:color="auto"/>
                    <w:left w:val="none" w:sz="0" w:space="0" w:color="auto"/>
                    <w:bottom w:val="none" w:sz="0" w:space="0" w:color="auto"/>
                    <w:right w:val="none" w:sz="0" w:space="0" w:color="auto"/>
                  </w:divBdr>
                </w:div>
              </w:divsChild>
            </w:div>
            <w:div w:id="516231588">
              <w:marLeft w:val="0"/>
              <w:marRight w:val="0"/>
              <w:marTop w:val="0"/>
              <w:marBottom w:val="0"/>
              <w:divBdr>
                <w:top w:val="none" w:sz="0" w:space="0" w:color="auto"/>
                <w:left w:val="none" w:sz="0" w:space="0" w:color="auto"/>
                <w:bottom w:val="none" w:sz="0" w:space="0" w:color="auto"/>
                <w:right w:val="none" w:sz="0" w:space="0" w:color="auto"/>
              </w:divBdr>
              <w:divsChild>
                <w:div w:id="195012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2006720@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F408C-DCAA-144D-A4AD-D0EDFD59C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8</Pages>
  <Words>2730</Words>
  <Characters>13519</Characters>
  <Application>Microsoft Office Word</Application>
  <DocSecurity>0</DocSecurity>
  <Lines>300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crowther</dc:creator>
  <cp:keywords/>
  <dc:description/>
  <cp:lastModifiedBy>david crowther</cp:lastModifiedBy>
  <cp:revision>32</cp:revision>
  <dcterms:created xsi:type="dcterms:W3CDTF">2020-10-25T10:49:00Z</dcterms:created>
  <dcterms:modified xsi:type="dcterms:W3CDTF">2020-11-08T10:18:00Z</dcterms:modified>
</cp:coreProperties>
</file>