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885560692"/>
        <w:docPartObj>
          <w:docPartGallery w:val="Cover Pages"/>
          <w:docPartUnique/>
        </w:docPartObj>
      </w:sdtPr>
      <w:sdtEndPr>
        <w:rPr>
          <w:rFonts w:ascii="Arial Black" w:eastAsiaTheme="minorHAnsi" w:hAnsi="Arial Black" w:cs="Arial"/>
          <w:color w:val="auto"/>
          <w:kern w:val="2"/>
          <w:sz w:val="24"/>
          <w:szCs w:val="24"/>
          <w:lang w:val="en-GB"/>
          <w14:ligatures w14:val="standardContextual"/>
        </w:rPr>
      </w:sdtEndPr>
      <w:sdtContent>
        <w:p w14:paraId="5F34AD0F" w14:textId="688EA134" w:rsidR="002F33AC" w:rsidRDefault="002F33AC">
          <w:pPr>
            <w:pStyle w:val="NoSpacing"/>
            <w:spacing w:before="1540" w:after="240"/>
            <w:jc w:val="center"/>
            <w:rPr>
              <w:color w:val="156082" w:themeColor="accent1"/>
            </w:rPr>
          </w:pPr>
        </w:p>
        <w:sdt>
          <w:sdtPr>
            <w:rPr>
              <w:rFonts w:ascii="Arial Black" w:eastAsiaTheme="majorEastAsia" w:hAnsi="Arial Black" w:cstheme="majorBidi"/>
              <w:caps/>
              <w:color w:val="156082" w:themeColor="accent1"/>
              <w:sz w:val="72"/>
              <w:szCs w:val="72"/>
            </w:rPr>
            <w:alias w:val="Title"/>
            <w:tag w:val=""/>
            <w:id w:val="1735040861"/>
            <w:placeholder>
              <w:docPart w:val="18AF3F7164DC4AEC801083E224C1D574"/>
            </w:placeholder>
            <w:dataBinding w:prefixMappings="xmlns:ns0='http://purl.org/dc/elements/1.1/' xmlns:ns1='http://schemas.openxmlformats.org/package/2006/metadata/core-properties' " w:xpath="/ns1:coreProperties[1]/ns0:title[1]" w:storeItemID="{6C3C8BC8-F283-45AE-878A-BAB7291924A1}"/>
            <w:text/>
          </w:sdtPr>
          <w:sdtContent>
            <w:p w14:paraId="66A3786E" w14:textId="725FD97B" w:rsidR="002F33AC" w:rsidRPr="00FF57A7" w:rsidRDefault="002F33AC" w:rsidP="00FF57A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FF57A7">
                <w:rPr>
                  <w:rFonts w:ascii="Arial Black" w:eastAsiaTheme="majorEastAsia" w:hAnsi="Arial Black" w:cstheme="majorBidi"/>
                  <w:caps/>
                  <w:color w:val="156082" w:themeColor="accent1"/>
                  <w:sz w:val="72"/>
                  <w:szCs w:val="72"/>
                </w:rPr>
                <w:t>PORTFOLIO Personal Learnin</w:t>
              </w:r>
              <w:r w:rsidR="00FF57A7" w:rsidRPr="00FF57A7">
                <w:rPr>
                  <w:rFonts w:ascii="Arial Black" w:eastAsiaTheme="majorEastAsia" w:hAnsi="Arial Black" w:cstheme="majorBidi"/>
                  <w:caps/>
                  <w:color w:val="156082" w:themeColor="accent1"/>
                  <w:sz w:val="72"/>
                  <w:szCs w:val="72"/>
                </w:rPr>
                <w:t>g environment</w:t>
              </w:r>
            </w:p>
          </w:sdtContent>
        </w:sdt>
        <w:p w14:paraId="284FF8E5" w14:textId="02425A03" w:rsidR="002F33AC" w:rsidRDefault="002F33AC">
          <w:pPr>
            <w:pStyle w:val="NoSpacing"/>
            <w:spacing w:before="480"/>
            <w:jc w:val="center"/>
            <w:rPr>
              <w:color w:val="156082" w:themeColor="accent1"/>
            </w:rPr>
          </w:pPr>
        </w:p>
        <w:p w14:paraId="42C46EE3" w14:textId="4683CEFA" w:rsidR="002F33AC" w:rsidRDefault="00FF57A7">
          <w:pPr>
            <w:rPr>
              <w:rFonts w:ascii="Arial Black" w:hAnsi="Arial Black" w:cs="Arial"/>
            </w:rPr>
          </w:pPr>
          <w:r>
            <w:rPr>
              <w:noProof/>
              <w:color w:val="156082" w:themeColor="accent1"/>
            </w:rPr>
            <mc:AlternateContent>
              <mc:Choice Requires="wps">
                <w:drawing>
                  <wp:anchor distT="0" distB="0" distL="114300" distR="114300" simplePos="0" relativeHeight="251659264" behindDoc="0" locked="0" layoutInCell="1" allowOverlap="1" wp14:anchorId="540B630C" wp14:editId="49A814E7">
                    <wp:simplePos x="0" y="0"/>
                    <wp:positionH relativeFrom="margin">
                      <wp:align>right</wp:align>
                    </wp:positionH>
                    <wp:positionV relativeFrom="margin">
                      <wp:align>bottom</wp:align>
                    </wp:positionV>
                    <wp:extent cx="6553200" cy="1177925"/>
                    <wp:effectExtent l="0" t="0" r="2540" b="3175"/>
                    <wp:wrapNone/>
                    <wp:docPr id="142" name="Text Box 146"/>
                    <wp:cNvGraphicFramePr/>
                    <a:graphic xmlns:a="http://schemas.openxmlformats.org/drawingml/2006/main">
                      <a:graphicData uri="http://schemas.microsoft.com/office/word/2010/wordprocessingShape">
                        <wps:wsp>
                          <wps:cNvSpPr txBox="1"/>
                          <wps:spPr>
                            <a:xfrm>
                              <a:off x="0" y="0"/>
                              <a:ext cx="6553200" cy="1177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7-18T00:00:00Z">
                                    <w:dateFormat w:val="MMMM d, yyyy"/>
                                    <w:lid w:val="en-US"/>
                                    <w:storeMappedDataAs w:val="dateTime"/>
                                    <w:calendar w:val="gregorian"/>
                                  </w:date>
                                </w:sdtPr>
                                <w:sdtContent>
                                  <w:p w14:paraId="747ABAE2" w14:textId="47898543" w:rsidR="002F33AC" w:rsidRPr="00FF57A7" w:rsidRDefault="00FF57A7">
                                    <w:pPr>
                                      <w:pStyle w:val="NoSpacing"/>
                                      <w:spacing w:after="40"/>
                                      <w:jc w:val="center"/>
                                      <w:rPr>
                                        <w:rFonts w:ascii="Arial Black" w:hAnsi="Arial Black"/>
                                        <w:caps/>
                                        <w:color w:val="156082" w:themeColor="accent1"/>
                                        <w:sz w:val="28"/>
                                        <w:szCs w:val="28"/>
                                      </w:rPr>
                                    </w:pPr>
                                    <w:r w:rsidRPr="00FF57A7">
                                      <w:rPr>
                                        <w:rFonts w:ascii="Arial Black" w:hAnsi="Arial Black"/>
                                        <w:caps/>
                                        <w:color w:val="156082" w:themeColor="accent1"/>
                                        <w:sz w:val="28"/>
                                        <w:szCs w:val="28"/>
                                      </w:rPr>
                                      <w:t>July 18, 2025</w:t>
                                    </w:r>
                                  </w:p>
                                </w:sdtContent>
                              </w:sdt>
                              <w:p w14:paraId="236066B7" w14:textId="587A263F" w:rsidR="002F33AC" w:rsidRPr="00FF57A7" w:rsidRDefault="00FF57A7">
                                <w:pPr>
                                  <w:pStyle w:val="NoSpacing"/>
                                  <w:jc w:val="center"/>
                                  <w:rPr>
                                    <w:rFonts w:ascii="Arial Black" w:hAnsi="Arial Black"/>
                                    <w:color w:val="156082" w:themeColor="accent1"/>
                                  </w:rPr>
                                </w:pPr>
                                <w:sdt>
                                  <w:sdtPr>
                                    <w:rPr>
                                      <w:rFonts w:ascii="Arial Black" w:hAnsi="Arial Black"/>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FF57A7">
                                      <w:rPr>
                                        <w:rFonts w:ascii="Arial Black" w:hAnsi="Arial Black"/>
                                        <w:caps/>
                                        <w:color w:val="156082" w:themeColor="accent1"/>
                                      </w:rPr>
                                      <w:t>Learning and Collaboration for Global Citizenship</w:t>
                                    </w:r>
                                  </w:sdtContent>
                                </w:sdt>
                              </w:p>
                              <w:p w14:paraId="445142A3" w14:textId="5CA459DF" w:rsidR="002F33AC" w:rsidRPr="00FF57A7" w:rsidRDefault="00FF57A7">
                                <w:pPr>
                                  <w:pStyle w:val="NoSpacing"/>
                                  <w:jc w:val="center"/>
                                  <w:rPr>
                                    <w:rFonts w:ascii="Arial Black" w:hAnsi="Arial Black"/>
                                    <w:color w:val="156082" w:themeColor="accent1"/>
                                  </w:rPr>
                                </w:pPr>
                                <w:sdt>
                                  <w:sdtPr>
                                    <w:rPr>
                                      <w:rFonts w:ascii="Arial Black" w:hAnsi="Arial Black"/>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FF57A7">
                                      <w:rPr>
                                        <w:rFonts w:ascii="Arial Black" w:hAnsi="Arial Black"/>
                                        <w:color w:val="156082" w:themeColor="accent1"/>
                                      </w:rPr>
                                      <w:t>BMSP4015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540B630C" id="_x0000_t202" coordsize="21600,21600" o:spt="202" path="m,l,21600r21600,l21600,xe">
                    <v:stroke joinstyle="miter"/>
                    <v:path gradientshapeok="t" o:connecttype="rect"/>
                  </v:shapetype>
                  <v:shape id="Text Box 146" o:spid="_x0000_s1026" type="#_x0000_t202" style="position:absolute;margin-left:464.8pt;margin-top:0;width:516pt;height:92.75pt;z-index:251659264;visibility:visible;mso-wrap-style:square;mso-width-percent:1000;mso-height-percent:0;mso-wrap-distance-left:9pt;mso-wrap-distance-top:0;mso-wrap-distance-right:9pt;mso-wrap-distance-bottom:0;mso-position-horizontal:right;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" filled="f" stroked="f" strokeweight=".5pt">
                    <v:textbox inset="0,0,0,0">
                      <w:txbxContent>
                        <w:sdt>
                          <w:sdtPr>
                            <w:rPr>
                              <w:rFonts w:ascii="Arial Black" w:hAnsi="Arial Black"/>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7-18T00:00:00Z">
                              <w:dateFormat w:val="MMMM d, yyyy"/>
                              <w:lid w:val="en-US"/>
                              <w:storeMappedDataAs w:val="dateTime"/>
                              <w:calendar w:val="gregorian"/>
                            </w:date>
                          </w:sdtPr>
                          <w:sdtContent>
                            <w:p w14:paraId="747ABAE2" w14:textId="47898543" w:rsidR="002F33AC" w:rsidRPr="00FF57A7" w:rsidRDefault="00FF57A7">
                              <w:pPr>
                                <w:pStyle w:val="NoSpacing"/>
                                <w:spacing w:after="40"/>
                                <w:jc w:val="center"/>
                                <w:rPr>
                                  <w:rFonts w:ascii="Arial Black" w:hAnsi="Arial Black"/>
                                  <w:caps/>
                                  <w:color w:val="156082" w:themeColor="accent1"/>
                                  <w:sz w:val="28"/>
                                  <w:szCs w:val="28"/>
                                </w:rPr>
                              </w:pPr>
                              <w:r w:rsidRPr="00FF57A7">
                                <w:rPr>
                                  <w:rFonts w:ascii="Arial Black" w:hAnsi="Arial Black"/>
                                  <w:caps/>
                                  <w:color w:val="156082" w:themeColor="accent1"/>
                                  <w:sz w:val="28"/>
                                  <w:szCs w:val="28"/>
                                </w:rPr>
                                <w:t>July 18, 2025</w:t>
                              </w:r>
                            </w:p>
                          </w:sdtContent>
                        </w:sdt>
                        <w:p w14:paraId="236066B7" w14:textId="587A263F" w:rsidR="002F33AC" w:rsidRPr="00FF57A7" w:rsidRDefault="00FF57A7">
                          <w:pPr>
                            <w:pStyle w:val="NoSpacing"/>
                            <w:jc w:val="center"/>
                            <w:rPr>
                              <w:rFonts w:ascii="Arial Black" w:hAnsi="Arial Black"/>
                              <w:color w:val="156082" w:themeColor="accent1"/>
                            </w:rPr>
                          </w:pPr>
                          <w:sdt>
                            <w:sdtPr>
                              <w:rPr>
                                <w:rFonts w:ascii="Arial Black" w:hAnsi="Arial Black"/>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FF57A7">
                                <w:rPr>
                                  <w:rFonts w:ascii="Arial Black" w:hAnsi="Arial Black"/>
                                  <w:caps/>
                                  <w:color w:val="156082" w:themeColor="accent1"/>
                                </w:rPr>
                                <w:t>Learning and Collaboration for Global Citizenship</w:t>
                              </w:r>
                            </w:sdtContent>
                          </w:sdt>
                        </w:p>
                        <w:p w14:paraId="445142A3" w14:textId="5CA459DF" w:rsidR="002F33AC" w:rsidRPr="00FF57A7" w:rsidRDefault="00FF57A7">
                          <w:pPr>
                            <w:pStyle w:val="NoSpacing"/>
                            <w:jc w:val="center"/>
                            <w:rPr>
                              <w:rFonts w:ascii="Arial Black" w:hAnsi="Arial Black"/>
                              <w:color w:val="156082" w:themeColor="accent1"/>
                            </w:rPr>
                          </w:pPr>
                          <w:sdt>
                            <w:sdtPr>
                              <w:rPr>
                                <w:rFonts w:ascii="Arial Black" w:hAnsi="Arial Black"/>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FF57A7">
                                <w:rPr>
                                  <w:rFonts w:ascii="Arial Black" w:hAnsi="Arial Black"/>
                                  <w:color w:val="156082" w:themeColor="accent1"/>
                                </w:rPr>
                                <w:t>BMSP4015</w:t>
                              </w:r>
                            </w:sdtContent>
                          </w:sdt>
                        </w:p>
                      </w:txbxContent>
                    </v:textbox>
                    <w10:wrap anchorx="margin" anchory="margin"/>
                  </v:shape>
                </w:pict>
              </mc:Fallback>
            </mc:AlternateContent>
          </w:r>
          <w:r w:rsidR="002F33AC">
            <w:rPr>
              <w:rFonts w:ascii="Arial Black" w:hAnsi="Arial Black" w:cs="Arial"/>
            </w:rPr>
            <w:br w:type="page"/>
          </w:r>
        </w:p>
      </w:sdtContent>
    </w:sdt>
    <w:p w14:paraId="3E00A13E" w14:textId="2ADB8685" w:rsidR="0091775A" w:rsidRPr="0091775A" w:rsidRDefault="0091775A" w:rsidP="0091775A">
      <w:pPr>
        <w:spacing w:line="480" w:lineRule="auto"/>
        <w:rPr>
          <w:rFonts w:ascii="Arial Black" w:hAnsi="Arial Black" w:cs="Arial"/>
        </w:rPr>
      </w:pPr>
      <w:r w:rsidRPr="0091775A">
        <w:rPr>
          <w:rFonts w:ascii="Arial Black" w:hAnsi="Arial Black" w:cs="Arial"/>
        </w:rPr>
        <w:lastRenderedPageBreak/>
        <w:t>Reflective Blog Post 1: Understanding My Learning Style</w:t>
      </w:r>
    </w:p>
    <w:p w14:paraId="3936A1AA" w14:textId="77777777" w:rsidR="0091775A" w:rsidRPr="0091775A" w:rsidRDefault="0091775A" w:rsidP="0091775A">
      <w:pPr>
        <w:spacing w:line="480" w:lineRule="auto"/>
        <w:ind w:firstLine="720"/>
        <w:rPr>
          <w:rFonts w:ascii="Arial" w:hAnsi="Arial" w:cs="Arial"/>
          <w:i/>
          <w:iCs/>
        </w:rPr>
      </w:pPr>
      <w:r w:rsidRPr="0091775A">
        <w:rPr>
          <w:rFonts w:ascii="Arial" w:hAnsi="Arial" w:cs="Arial"/>
          <w:i/>
          <w:iCs/>
        </w:rPr>
        <w:t xml:space="preserve">When I sat down to do the VARK questionnaire, I assumed my results would reaffirm my long-held belief that I learn best by doing, because hands-on projects and group workshops have always given me more energy. I was surprised to discover that I had a dominant reading/writing preference and a secondary physical strategy (Fleming, 2001). At first, I felt a little confused: if I preferred text to action, then my tendency to jump into action was probably hiding some need to think more deeply. However, on further reflection, the finding made sense. I often rewrite my lecture notes, descriptively translating diagrams into prose, and verbalising more complex ideas in full sentences before I feel that I have 'understood' them. But I had not realised how this text-centred activity sometimes leaves me uninvolved when the materials lack actual tensions or real examples. </w:t>
      </w:r>
    </w:p>
    <w:p w14:paraId="736E0B97" w14:textId="7FE4BDF0" w:rsidR="0091775A" w:rsidRDefault="0091775A" w:rsidP="0091775A">
      <w:pPr>
        <w:spacing w:line="480" w:lineRule="auto"/>
        <w:ind w:firstLine="720"/>
        <w:rPr>
          <w:rFonts w:ascii="Arial" w:hAnsi="Arial" w:cs="Arial"/>
          <w:i/>
          <w:iCs/>
        </w:rPr>
      </w:pPr>
      <w:r w:rsidRPr="0091775A">
        <w:rPr>
          <w:rFonts w:ascii="Arial" w:hAnsi="Arial" w:cs="Arial"/>
          <w:i/>
          <w:iCs/>
        </w:rPr>
        <w:t>Fleming argues that when learners approached their studies using their VARK profile they were able to retain information and that those with multiple-mode preferences benefited from combining their primary modalities (Prendes &amp; Castañeda, 2013), so now with this new information and engaging Gibbs’s reflective cycle, I am going to develop my note-taking process with mind-maps and annotated illustrations then revisit those illustrations with written summaries to reconnect. By switching between prose and imagery, I would expect myself to remain engaged while validating my inherent reading/writing modality. The initial feeling of surprise became curiosity and motivation: discovering that I preferred text led me to a sense of liberation to try using pre-structured summaries with the forethought of knowing it was the core of my understanding.</w:t>
      </w:r>
    </w:p>
    <w:p w14:paraId="1C2DC1F0" w14:textId="77777777" w:rsidR="0091775A" w:rsidRDefault="0091775A" w:rsidP="0091775A">
      <w:pPr>
        <w:spacing w:line="480" w:lineRule="auto"/>
        <w:ind w:firstLine="720"/>
        <w:rPr>
          <w:rFonts w:ascii="Arial" w:hAnsi="Arial" w:cs="Arial"/>
          <w:i/>
          <w:iCs/>
        </w:rPr>
      </w:pPr>
    </w:p>
    <w:p w14:paraId="4FA10A65" w14:textId="77777777" w:rsidR="0091775A" w:rsidRPr="0091775A" w:rsidRDefault="0091775A" w:rsidP="0091775A">
      <w:pPr>
        <w:spacing w:line="480" w:lineRule="auto"/>
        <w:rPr>
          <w:rFonts w:ascii="Arial Black" w:hAnsi="Arial Black" w:cs="Arial"/>
        </w:rPr>
      </w:pPr>
      <w:r w:rsidRPr="0091775A">
        <w:rPr>
          <w:rFonts w:ascii="Arial Black" w:hAnsi="Arial Black" w:cs="Arial"/>
        </w:rPr>
        <w:lastRenderedPageBreak/>
        <w:t>Reflective Blog Post 2: Adapting My Independent Learning</w:t>
      </w:r>
    </w:p>
    <w:p w14:paraId="7F384E87" w14:textId="2904BB3B" w:rsidR="0091775A" w:rsidRPr="0091775A" w:rsidRDefault="0091775A" w:rsidP="0091775A">
      <w:pPr>
        <w:spacing w:line="480" w:lineRule="auto"/>
        <w:ind w:firstLine="720"/>
        <w:rPr>
          <w:rFonts w:ascii="Arial" w:hAnsi="Arial" w:cs="Arial"/>
          <w:i/>
          <w:iCs/>
        </w:rPr>
      </w:pPr>
      <w:r w:rsidRPr="0091775A">
        <w:rPr>
          <w:rFonts w:ascii="Arial" w:hAnsi="Arial" w:cs="Arial"/>
          <w:i/>
          <w:iCs/>
        </w:rPr>
        <w:t xml:space="preserve">Understanding my preferred learning style better, and I am adapting my independent study plan for better engagement and </w:t>
      </w:r>
      <w:r w:rsidRPr="0091775A">
        <w:rPr>
          <w:rFonts w:ascii="Arial" w:hAnsi="Arial" w:cs="Arial"/>
          <w:i/>
          <w:iCs/>
        </w:rPr>
        <w:t>retention. Every</w:t>
      </w:r>
      <w:r w:rsidRPr="0091775A">
        <w:rPr>
          <w:rFonts w:ascii="Arial" w:hAnsi="Arial" w:cs="Arial"/>
          <w:i/>
          <w:iCs/>
        </w:rPr>
        <w:t xml:space="preserve"> week, I will write a short learning contract that has two or three discrete objectives such as, “synthesi</w:t>
      </w:r>
      <w:r w:rsidRPr="0091775A">
        <w:rPr>
          <w:rFonts w:ascii="Arial" w:hAnsi="Arial" w:cs="Arial"/>
          <w:i/>
          <w:iCs/>
        </w:rPr>
        <w:t>s</w:t>
      </w:r>
      <w:r w:rsidRPr="0091775A">
        <w:rPr>
          <w:rFonts w:ascii="Arial" w:hAnsi="Arial" w:cs="Arial"/>
          <w:i/>
          <w:iCs/>
        </w:rPr>
        <w:t>e three research articles on personal learning environments” or “write a reflective blog post about Web 2.0 tools.” I will then designate time in my calendar for each of these tasks using the Pomodoro method to maximi</w:t>
      </w:r>
      <w:r w:rsidRPr="0091775A">
        <w:rPr>
          <w:rFonts w:ascii="Arial" w:hAnsi="Arial" w:cs="Arial"/>
          <w:i/>
          <w:iCs/>
        </w:rPr>
        <w:t>s</w:t>
      </w:r>
      <w:r w:rsidRPr="0091775A">
        <w:rPr>
          <w:rFonts w:ascii="Arial" w:hAnsi="Arial" w:cs="Arial"/>
          <w:i/>
          <w:iCs/>
        </w:rPr>
        <w:t>e my concentrated focus and avoid burnout. After each technique, I will document in my blog's learning diary what I completed, what didn't work, and how I felt - whether it was energi</w:t>
      </w:r>
      <w:r w:rsidRPr="0091775A">
        <w:rPr>
          <w:rFonts w:ascii="Arial" w:hAnsi="Arial" w:cs="Arial"/>
          <w:i/>
          <w:iCs/>
        </w:rPr>
        <w:t>s</w:t>
      </w:r>
      <w:r w:rsidRPr="0091775A">
        <w:rPr>
          <w:rFonts w:ascii="Arial" w:hAnsi="Arial" w:cs="Arial"/>
          <w:i/>
          <w:iCs/>
        </w:rPr>
        <w:t xml:space="preserve">ed, confused or distracted. </w:t>
      </w:r>
    </w:p>
    <w:p w14:paraId="1C2BCE6A" w14:textId="7BDCCE5B" w:rsidR="0091775A" w:rsidRPr="0091775A" w:rsidRDefault="0091775A" w:rsidP="0091775A">
      <w:pPr>
        <w:spacing w:line="480" w:lineRule="auto"/>
        <w:ind w:firstLine="720"/>
        <w:rPr>
          <w:rFonts w:ascii="Arial" w:hAnsi="Arial" w:cs="Arial"/>
          <w:i/>
          <w:iCs/>
        </w:rPr>
      </w:pPr>
      <w:r w:rsidRPr="0091775A">
        <w:rPr>
          <w:rFonts w:ascii="Arial" w:hAnsi="Arial" w:cs="Arial"/>
          <w:i/>
          <w:iCs/>
        </w:rPr>
        <w:t xml:space="preserve">At the end of each month, I will reflect on what I did, using Gibbs' (1988) six stages: I will describe what I did, acknowledge my emotional responses, evaluate what went well or not, </w:t>
      </w:r>
      <w:r w:rsidRPr="0091775A">
        <w:rPr>
          <w:rFonts w:ascii="Arial" w:hAnsi="Arial" w:cs="Arial"/>
          <w:i/>
          <w:iCs/>
        </w:rPr>
        <w:t>analyse</w:t>
      </w:r>
      <w:r w:rsidRPr="0091775A">
        <w:rPr>
          <w:rFonts w:ascii="Arial" w:hAnsi="Arial" w:cs="Arial"/>
          <w:i/>
          <w:iCs/>
        </w:rPr>
        <w:t xml:space="preserve"> why that happened, reach a conclusion, and build new goals for the following month. This iterative cycle of planning, acting and reflecting imitates the characteristics of successful self-regulated learners whose time management and motivation, and deeper learning experiences, suggests are better than others. By posting my weekly contracts and monthly reflections to WordPress, I make the process semi-collaborative, I use the power of peer accountability and open dialogue rather than solitary </w:t>
      </w:r>
      <w:r w:rsidRPr="0091775A">
        <w:rPr>
          <w:rFonts w:ascii="Arial" w:hAnsi="Arial" w:cs="Arial"/>
          <w:i/>
          <w:iCs/>
        </w:rPr>
        <w:t>study. I</w:t>
      </w:r>
      <w:r w:rsidRPr="0091775A">
        <w:rPr>
          <w:rFonts w:ascii="Arial" w:hAnsi="Arial" w:cs="Arial"/>
          <w:i/>
          <w:iCs/>
        </w:rPr>
        <w:t xml:space="preserve"> expect that by the end of the semester, this discipline turned flexibility will lessen distractions, increase my confidence toward unknown topics, and build a significant foundation for lifelong independent learning.</w:t>
      </w:r>
    </w:p>
    <w:p w14:paraId="561009C0" w14:textId="77777777" w:rsidR="0091775A" w:rsidRDefault="0091775A" w:rsidP="0091775A">
      <w:pPr>
        <w:spacing w:line="480" w:lineRule="auto"/>
        <w:rPr>
          <w:rFonts w:ascii="Arial Black" w:hAnsi="Arial Black" w:cs="Arial"/>
        </w:rPr>
      </w:pPr>
    </w:p>
    <w:p w14:paraId="5BAC70A4" w14:textId="77777777" w:rsidR="0091775A" w:rsidRDefault="0091775A" w:rsidP="0091775A">
      <w:pPr>
        <w:spacing w:line="480" w:lineRule="auto"/>
        <w:rPr>
          <w:rFonts w:ascii="Arial Black" w:hAnsi="Arial Black" w:cs="Arial"/>
        </w:rPr>
      </w:pPr>
    </w:p>
    <w:p w14:paraId="6C97C925" w14:textId="60E566FA" w:rsidR="00737646" w:rsidRPr="0091775A" w:rsidRDefault="00737646" w:rsidP="0091775A">
      <w:pPr>
        <w:spacing w:line="480" w:lineRule="auto"/>
        <w:rPr>
          <w:rFonts w:ascii="Arial Black" w:hAnsi="Arial Black" w:cs="Arial"/>
        </w:rPr>
      </w:pPr>
      <w:r w:rsidRPr="0091775A">
        <w:rPr>
          <w:rFonts w:ascii="Arial Black" w:hAnsi="Arial Black" w:cs="Arial"/>
        </w:rPr>
        <w:lastRenderedPageBreak/>
        <w:t>Digital Skills</w:t>
      </w:r>
    </w:p>
    <w:p w14:paraId="63C8CDDC" w14:textId="016A2C08" w:rsidR="00737646" w:rsidRDefault="00737646" w:rsidP="00737646">
      <w:pPr>
        <w:spacing w:line="480" w:lineRule="auto"/>
        <w:rPr>
          <w:rFonts w:ascii="Arial" w:hAnsi="Arial" w:cs="Arial"/>
        </w:rPr>
      </w:pPr>
      <w:r w:rsidRPr="00737646">
        <w:rPr>
          <w:rFonts w:ascii="Arial" w:hAnsi="Arial" w:cs="Arial"/>
        </w:rPr>
        <w:t>Developing strong digital literacies has been an important part of my journey in higher education. I want to develop a range of Web 2.0 tools</w:t>
      </w:r>
      <w:r>
        <w:rPr>
          <w:rFonts w:ascii="Arial" w:hAnsi="Arial" w:cs="Arial"/>
        </w:rPr>
        <w:t xml:space="preserve">; </w:t>
      </w:r>
      <w:r w:rsidRPr="00737646">
        <w:rPr>
          <w:rFonts w:ascii="Arial" w:hAnsi="Arial" w:cs="Arial"/>
        </w:rPr>
        <w:t xml:space="preserve">blogs, wikis, social bookmarking and RSS aggregators that will allow me to take ownership of my own learning environment. By developing these skills, I will be able to </w:t>
      </w:r>
      <w:r w:rsidRPr="00737646">
        <w:rPr>
          <w:rFonts w:ascii="Arial" w:hAnsi="Arial" w:cs="Arial"/>
        </w:rPr>
        <w:t>connect</w:t>
      </w:r>
      <w:r w:rsidRPr="00737646">
        <w:rPr>
          <w:rFonts w:ascii="Arial" w:hAnsi="Arial" w:cs="Arial"/>
        </w:rPr>
        <w:t xml:space="preserve"> reliable sources of information, evaluate their validity, and express my own thinking in a variety of formats for a range of audiences. For example, by maintaining a weekly WordPress blog, I will not only develop my writing and synthesising </w:t>
      </w:r>
      <w:r w:rsidRPr="00737646">
        <w:rPr>
          <w:rFonts w:ascii="Arial" w:hAnsi="Arial" w:cs="Arial"/>
        </w:rPr>
        <w:t>skills but</w:t>
      </w:r>
      <w:r w:rsidRPr="00737646">
        <w:rPr>
          <w:rFonts w:ascii="Arial" w:hAnsi="Arial" w:cs="Arial"/>
        </w:rPr>
        <w:t xml:space="preserve"> will also invite peer feedback and shift my learning from an individual effort to a conversation. To complement the blog, I will use social bookmarking, such as </w:t>
      </w:r>
      <w:r w:rsidRPr="00737646">
        <w:rPr>
          <w:rFonts w:ascii="Arial" w:hAnsi="Arial" w:cs="Arial"/>
        </w:rPr>
        <w:t>Digo</w:t>
      </w:r>
      <w:r w:rsidRPr="00737646">
        <w:rPr>
          <w:rFonts w:ascii="Arial" w:hAnsi="Arial" w:cs="Arial"/>
        </w:rPr>
        <w:t>, to tag and highlight my readings, and structure material into themed collections that reflect my developing interests. I will also automate journal alerts through RSS feeds and IFTTT to apply relevant alerts to keep me up to date with the latest research without having to go looking for them. This idea supports the notion that learners take on the digital ecology they construct, which builds resilience and adaptability (Torres</w:t>
      </w:r>
      <w:r w:rsidRPr="00737646">
        <w:rPr>
          <w:rFonts w:ascii="Cambria Math" w:hAnsi="Cambria Math" w:cs="Cambria Math"/>
        </w:rPr>
        <w:t>‑</w:t>
      </w:r>
      <w:proofErr w:type="spellStart"/>
      <w:r w:rsidRPr="00737646">
        <w:rPr>
          <w:rFonts w:ascii="Arial" w:hAnsi="Arial" w:cs="Arial"/>
        </w:rPr>
        <w:t>Kompten</w:t>
      </w:r>
      <w:proofErr w:type="spellEnd"/>
      <w:r w:rsidRPr="00737646">
        <w:rPr>
          <w:rFonts w:ascii="Arial" w:hAnsi="Arial" w:cs="Arial"/>
        </w:rPr>
        <w:t>, 2015), and activity-theory research shows that flexibility in the control of tools and communities can create deeper engagement, which would lead to the embedding of lifelong learning. In a world that requires working together with virtual teams as well as continuous upskilling, these digital literacies will be critical not only to my academic success, but also my future employability (</w:t>
      </w:r>
      <w:proofErr w:type="spellStart"/>
      <w:r w:rsidRPr="00737646">
        <w:rPr>
          <w:rFonts w:ascii="Arial" w:hAnsi="Arial" w:cs="Arial"/>
        </w:rPr>
        <w:t>Chatti</w:t>
      </w:r>
      <w:proofErr w:type="spellEnd"/>
      <w:r w:rsidRPr="00737646">
        <w:rPr>
          <w:rFonts w:ascii="Arial" w:hAnsi="Arial" w:cs="Arial"/>
        </w:rPr>
        <w:t>, Jarke, &amp; Frosch</w:t>
      </w:r>
      <w:r w:rsidRPr="00737646">
        <w:rPr>
          <w:rFonts w:ascii="Cambria Math" w:hAnsi="Cambria Math" w:cs="Cambria Math"/>
        </w:rPr>
        <w:t>‑</w:t>
      </w:r>
      <w:r w:rsidRPr="00737646">
        <w:rPr>
          <w:rFonts w:ascii="Arial" w:hAnsi="Arial" w:cs="Arial"/>
        </w:rPr>
        <w:t>Wilke, 2007).</w:t>
      </w:r>
    </w:p>
    <w:p w14:paraId="45FA0BB0" w14:textId="77777777" w:rsidR="00737646" w:rsidRDefault="00737646" w:rsidP="00737646">
      <w:pPr>
        <w:spacing w:line="480" w:lineRule="auto"/>
        <w:rPr>
          <w:rFonts w:ascii="Arial" w:hAnsi="Arial" w:cs="Arial"/>
        </w:rPr>
      </w:pPr>
    </w:p>
    <w:p w14:paraId="0D34E63E" w14:textId="77777777" w:rsidR="00737646" w:rsidRDefault="00737646" w:rsidP="00737646">
      <w:pPr>
        <w:spacing w:line="480" w:lineRule="auto"/>
        <w:rPr>
          <w:rFonts w:ascii="Arial" w:hAnsi="Arial" w:cs="Arial"/>
        </w:rPr>
      </w:pPr>
    </w:p>
    <w:p w14:paraId="3BBE718D" w14:textId="77777777" w:rsidR="00737646" w:rsidRDefault="00737646" w:rsidP="00737646">
      <w:pPr>
        <w:spacing w:line="480" w:lineRule="auto"/>
        <w:rPr>
          <w:rFonts w:ascii="Arial" w:hAnsi="Arial" w:cs="Arial"/>
        </w:rPr>
      </w:pPr>
    </w:p>
    <w:p w14:paraId="29F6847A" w14:textId="7BFE0E19" w:rsidR="00737646" w:rsidRPr="0091775A" w:rsidRDefault="00737646" w:rsidP="0091775A">
      <w:pPr>
        <w:spacing w:line="480" w:lineRule="auto"/>
        <w:rPr>
          <w:rFonts w:ascii="Arial Black" w:hAnsi="Arial Black" w:cs="Arial"/>
        </w:rPr>
      </w:pPr>
      <w:r w:rsidRPr="0091775A">
        <w:rPr>
          <w:rFonts w:ascii="Arial Black" w:hAnsi="Arial Black" w:cs="Arial"/>
        </w:rPr>
        <w:lastRenderedPageBreak/>
        <w:t>Learning Habits</w:t>
      </w:r>
    </w:p>
    <w:p w14:paraId="6DAB72A9" w14:textId="77777777" w:rsidR="0091775A" w:rsidRDefault="00737646" w:rsidP="00737646">
      <w:pPr>
        <w:spacing w:line="480" w:lineRule="auto"/>
        <w:rPr>
          <w:rFonts w:ascii="Arial" w:hAnsi="Arial" w:cs="Arial"/>
        </w:rPr>
      </w:pPr>
      <w:r w:rsidRPr="00737646">
        <w:rPr>
          <w:rFonts w:ascii="Arial" w:hAnsi="Arial" w:cs="Arial"/>
        </w:rPr>
        <w:t>To thrive in an environment of competing deadlines and self-directed study, I will need to become a self-regulated learner. My second goal is to incorporate goal setting, strategic time management, and reflection into my daily habits. On Mondays I will draft a brief plan that will set out the learning targets for the week, such as summari</w:t>
      </w:r>
      <w:r>
        <w:rPr>
          <w:rFonts w:ascii="Arial" w:hAnsi="Arial" w:cs="Arial"/>
        </w:rPr>
        <w:t>s</w:t>
      </w:r>
      <w:r w:rsidRPr="00737646">
        <w:rPr>
          <w:rFonts w:ascii="Arial" w:hAnsi="Arial" w:cs="Arial"/>
        </w:rPr>
        <w:t>e the key theories, or write reflective blog posts. I will treat my study time as periods of time with breaks, following the Pomodoro Technique and logging the units of productivity through a basic record of 25</w:t>
      </w:r>
      <w:r w:rsidRPr="00737646">
        <w:rPr>
          <w:rFonts w:ascii="Cambria Math" w:hAnsi="Cambria Math" w:cs="Cambria Math"/>
        </w:rPr>
        <w:t>‑</w:t>
      </w:r>
      <w:r w:rsidRPr="00737646">
        <w:rPr>
          <w:rFonts w:ascii="Arial" w:hAnsi="Arial" w:cs="Arial"/>
        </w:rPr>
        <w:t xml:space="preserve">minute blocks to identify periods of maximum focus. At the end of each session, I will journal about what I learned, where I struggled and how I felt, also drawing on Gibbs’s reflective cycle to drive an orderly review that requires thinking through description, feelings, evaluation, analysis, conclusion and action planning (Gibbs, 1988). At the end of the month, I will review the reflections to adjust my method: for example, where I notice gaps still exist in understanding, I may introduce supplementary multimedia, and where procrastination has </w:t>
      </w:r>
      <w:r w:rsidRPr="00737646">
        <w:rPr>
          <w:rFonts w:ascii="Arial" w:hAnsi="Arial" w:cs="Arial"/>
        </w:rPr>
        <w:t>occurred,</w:t>
      </w:r>
      <w:r w:rsidRPr="00737646">
        <w:rPr>
          <w:rFonts w:ascii="Arial" w:hAnsi="Arial" w:cs="Arial"/>
        </w:rPr>
        <w:t xml:space="preserve"> I will reconsider my time</w:t>
      </w:r>
      <w:r w:rsidRPr="00737646">
        <w:rPr>
          <w:rFonts w:ascii="Cambria Math" w:hAnsi="Cambria Math" w:cs="Cambria Math"/>
        </w:rPr>
        <w:t>‑</w:t>
      </w:r>
      <w:r w:rsidRPr="00737646">
        <w:rPr>
          <w:rFonts w:ascii="Arial" w:hAnsi="Arial" w:cs="Arial"/>
        </w:rPr>
        <w:t>boxing timings or my expectations of peer accountability. Research shows that learners who more intentionally engage with the learning process and reflect on their learning are likely to deepen their understanding of what they have learnt and remain motivated to learn and achieve better academic performance (Zimmerman, 2002). In addition, sharing on my blog each week my goals for the week, and reflections at the end of every month will continue to provide a way to enhance accountability and possibly also obtain useful feedback from my classmates and supervisors.</w:t>
      </w:r>
    </w:p>
    <w:p w14:paraId="65A6E2A3" w14:textId="77777777" w:rsidR="0091775A" w:rsidRDefault="0091775A" w:rsidP="00737646">
      <w:pPr>
        <w:spacing w:line="480" w:lineRule="auto"/>
        <w:rPr>
          <w:rFonts w:ascii="Arial" w:hAnsi="Arial" w:cs="Arial"/>
        </w:rPr>
      </w:pPr>
    </w:p>
    <w:p w14:paraId="2591AA67" w14:textId="77777777" w:rsidR="0091775A" w:rsidRDefault="0091775A" w:rsidP="00737646">
      <w:pPr>
        <w:spacing w:line="480" w:lineRule="auto"/>
        <w:rPr>
          <w:rFonts w:ascii="Arial" w:hAnsi="Arial" w:cs="Arial"/>
        </w:rPr>
      </w:pPr>
    </w:p>
    <w:p w14:paraId="744D3D42" w14:textId="4E517210" w:rsidR="00737646" w:rsidRPr="0091775A" w:rsidRDefault="00737646" w:rsidP="00737646">
      <w:pPr>
        <w:spacing w:line="480" w:lineRule="auto"/>
        <w:rPr>
          <w:rFonts w:ascii="Arial Black" w:hAnsi="Arial Black" w:cs="Arial"/>
        </w:rPr>
      </w:pPr>
      <w:r w:rsidRPr="0091775A">
        <w:rPr>
          <w:rFonts w:ascii="Arial Black" w:hAnsi="Arial Black" w:cs="Arial"/>
        </w:rPr>
        <w:lastRenderedPageBreak/>
        <w:t>Building Networks</w:t>
      </w:r>
    </w:p>
    <w:p w14:paraId="6E44E55B" w14:textId="06E9BF17" w:rsidR="00737646" w:rsidRPr="00737646" w:rsidRDefault="00737646" w:rsidP="00737646">
      <w:pPr>
        <w:spacing w:line="480" w:lineRule="auto"/>
        <w:rPr>
          <w:rFonts w:ascii="Arial" w:hAnsi="Arial" w:cs="Arial"/>
        </w:rPr>
      </w:pPr>
      <w:r w:rsidRPr="00737646">
        <w:rPr>
          <w:rFonts w:ascii="Arial" w:hAnsi="Arial" w:cs="Arial"/>
        </w:rPr>
        <w:t>While success at university is often the result of hard work by individuals, I feel that participation in the learning community enhances learners’ insight and presenting opportunities. Therefore, my third objective is to develop collaborative networks that connect academic colleagues, peer colleagues, or industry colleagues.</w:t>
      </w:r>
      <w:r>
        <w:rPr>
          <w:rFonts w:ascii="Arial" w:hAnsi="Arial" w:cs="Arial"/>
        </w:rPr>
        <w:t xml:space="preserve"> </w:t>
      </w:r>
      <w:r w:rsidRPr="00737646">
        <w:rPr>
          <w:rFonts w:ascii="Arial" w:hAnsi="Arial" w:cs="Arial"/>
        </w:rPr>
        <w:t xml:space="preserve">By the end of the first month, I will update my LinkedIn profile to better reflect my interests in sustainable leadership and digital </w:t>
      </w:r>
      <w:r w:rsidRPr="00737646">
        <w:rPr>
          <w:rFonts w:ascii="Arial" w:hAnsi="Arial" w:cs="Arial"/>
        </w:rPr>
        <w:t>learning and</w:t>
      </w:r>
      <w:r w:rsidRPr="00737646">
        <w:rPr>
          <w:rFonts w:ascii="Arial" w:hAnsi="Arial" w:cs="Arial"/>
        </w:rPr>
        <w:t xml:space="preserve"> then commit to publishing two substantive reflections and participating in five group discussions every week. At the same time, I will launch a “Leadership Spotlight” series on a Wix site, publishing case studies and interviews with volunteers and NGO partners to illustrate ethical engagement in action (Maak &amp; Pless, 2006</w:t>
      </w:r>
      <w:r>
        <w:rPr>
          <w:rFonts w:ascii="Arial" w:hAnsi="Arial" w:cs="Arial"/>
        </w:rPr>
        <w:t>).</w:t>
      </w:r>
    </w:p>
    <w:p w14:paraId="152A0EAE" w14:textId="77777777" w:rsidR="00737646" w:rsidRPr="0091775A" w:rsidRDefault="00737646" w:rsidP="00737646">
      <w:pPr>
        <w:spacing w:line="480" w:lineRule="auto"/>
        <w:rPr>
          <w:rFonts w:ascii="Arial Black" w:hAnsi="Arial Black" w:cs="Arial"/>
        </w:rPr>
      </w:pPr>
      <w:r w:rsidRPr="0091775A">
        <w:rPr>
          <w:rFonts w:ascii="Arial Black" w:hAnsi="Arial Black" w:cs="Arial"/>
        </w:rPr>
        <w:t xml:space="preserve">Identities and Community Participation Plan </w:t>
      </w:r>
    </w:p>
    <w:p w14:paraId="584C42F8" w14:textId="5E3A73C3" w:rsidR="00737646" w:rsidRPr="00737646" w:rsidRDefault="00737646" w:rsidP="00737646">
      <w:pPr>
        <w:spacing w:line="480" w:lineRule="auto"/>
        <w:rPr>
          <w:rFonts w:ascii="Arial" w:hAnsi="Arial" w:cs="Arial"/>
        </w:rPr>
      </w:pPr>
      <w:r w:rsidRPr="00737646">
        <w:rPr>
          <w:rFonts w:ascii="Arial" w:hAnsi="Arial" w:cs="Arial"/>
        </w:rPr>
        <w:t>Developing a cohesive professional identity and immersing in engaging</w:t>
      </w:r>
      <w:r w:rsidR="0091775A">
        <w:rPr>
          <w:rFonts w:ascii="Arial" w:hAnsi="Arial" w:cs="Arial"/>
        </w:rPr>
        <w:t xml:space="preserve"> </w:t>
      </w:r>
      <w:r w:rsidRPr="00737646">
        <w:rPr>
          <w:rFonts w:ascii="Arial" w:hAnsi="Arial" w:cs="Arial"/>
        </w:rPr>
        <w:t>organi</w:t>
      </w:r>
      <w:r w:rsidR="0091775A">
        <w:rPr>
          <w:rFonts w:ascii="Arial" w:hAnsi="Arial" w:cs="Arial"/>
        </w:rPr>
        <w:t>s</w:t>
      </w:r>
      <w:r w:rsidRPr="00737646">
        <w:rPr>
          <w:rFonts w:ascii="Arial" w:hAnsi="Arial" w:cs="Arial"/>
        </w:rPr>
        <w:t>ational communities will culminate my Personal Learning Environment (PLE). In the first weeks, I will prepare a very interesting LinkedIn profile advertising myself as a "Sustainable Leadership Enthusiast &amp; Digital Learning Advocate". My headline and summary will highlight my academic interests and experience in practice, including blog series on leadership case studies and volunteer workshops I have conducted. I planned to write reflections bi- weekly and link them back to my WordPress PLE blog while using hashtags #PLE, #EdTech and #SustainabilityLeadership to network with like-minded peers and identify potential mentors.</w:t>
      </w:r>
    </w:p>
    <w:p w14:paraId="00B1F88B" w14:textId="7DFDFB30" w:rsidR="00737646" w:rsidRPr="00737646" w:rsidRDefault="00737646" w:rsidP="00737646">
      <w:pPr>
        <w:spacing w:line="480" w:lineRule="auto"/>
        <w:rPr>
          <w:rFonts w:ascii="Arial" w:hAnsi="Arial" w:cs="Arial"/>
        </w:rPr>
      </w:pPr>
      <w:r w:rsidRPr="00737646">
        <w:rPr>
          <w:rFonts w:ascii="Arial" w:hAnsi="Arial" w:cs="Arial"/>
        </w:rPr>
        <w:t xml:space="preserve">Alongside my LinkedIn work, I will develop a Wix site called “My Sustainable Leadership Journey”. I will write a limited piece every month, one deeper than </w:t>
      </w:r>
      <w:r w:rsidRPr="00737646">
        <w:rPr>
          <w:rFonts w:ascii="Arial" w:hAnsi="Arial" w:cs="Arial"/>
        </w:rPr>
        <w:lastRenderedPageBreak/>
        <w:t>another. These could be short articles on thorough examination of referential organi</w:t>
      </w:r>
      <w:r w:rsidR="0091775A">
        <w:rPr>
          <w:rFonts w:ascii="Arial" w:hAnsi="Arial" w:cs="Arial"/>
        </w:rPr>
        <w:t>s</w:t>
      </w:r>
      <w:r w:rsidRPr="00737646">
        <w:rPr>
          <w:rFonts w:ascii="Arial" w:hAnsi="Arial" w:cs="Arial"/>
        </w:rPr>
        <w:t xml:space="preserve">ation's complex (ethical dilemmas) (Maak &amp; Pless, 2006) or even on a case study with an interview with the NGO partner discussing their challenges at the frontlines. I will create short videos with the main points I reference on LinkedIn and Twitter and will communicate to both </w:t>
      </w:r>
      <w:r w:rsidR="002F33AC" w:rsidRPr="00737646">
        <w:rPr>
          <w:rFonts w:ascii="Arial" w:hAnsi="Arial" w:cs="Arial"/>
        </w:rPr>
        <w:t>audiences,</w:t>
      </w:r>
      <w:r w:rsidRPr="00737646">
        <w:rPr>
          <w:rFonts w:ascii="Arial" w:hAnsi="Arial" w:cs="Arial"/>
        </w:rPr>
        <w:t xml:space="preserve"> academic audiences and practitioners. I will reflect and show some behind-the-scenes on Instagram Stories and consider questions or suggestions from my followers.</w:t>
      </w:r>
    </w:p>
    <w:p w14:paraId="469894CF" w14:textId="225DDDA4" w:rsidR="00737646" w:rsidRPr="00737646" w:rsidRDefault="00737646" w:rsidP="00737646">
      <w:pPr>
        <w:spacing w:line="480" w:lineRule="auto"/>
        <w:rPr>
          <w:rFonts w:ascii="Arial" w:hAnsi="Arial" w:cs="Arial"/>
        </w:rPr>
      </w:pPr>
      <w:r w:rsidRPr="00737646">
        <w:rPr>
          <w:rFonts w:ascii="Arial" w:hAnsi="Arial" w:cs="Arial"/>
        </w:rPr>
        <w:t xml:space="preserve">To ground these connections, I will take one Massive Open Online Course each semester, for </w:t>
      </w:r>
      <w:r w:rsidR="002F33AC" w:rsidRPr="00737646">
        <w:rPr>
          <w:rFonts w:ascii="Arial" w:hAnsi="Arial" w:cs="Arial"/>
        </w:rPr>
        <w:t>example,</w:t>
      </w:r>
      <w:r w:rsidRPr="00737646">
        <w:rPr>
          <w:rFonts w:ascii="Arial" w:hAnsi="Arial" w:cs="Arial"/>
        </w:rPr>
        <w:t xml:space="preserve"> "Leadership in the Digital Age" and actively participate in the MOOC discussion boards. I will seek or create a study pod as a group of four peers sharing summaries of module content and peer reviews of reflective assignments, as I take things from my own PLE-centred education practices (Prendes &amp; Castañeda, 2013). Offline, I will attend at least two face-to-face network or volunteer events a semester. These may occur at the university's sustainability conference, local startup meetups, or the Leadership Scholars Program workshops as learner and mentor. Interactions in person create trust and rapport that can't be felt alone on this digital platform to the same meaning as face-to-face connections (Redecker et al., 2011; </w:t>
      </w:r>
      <w:proofErr w:type="spellStart"/>
      <w:r w:rsidRPr="00737646">
        <w:rPr>
          <w:rFonts w:ascii="Arial" w:hAnsi="Arial" w:cs="Arial"/>
        </w:rPr>
        <w:t>Ullmo</w:t>
      </w:r>
      <w:proofErr w:type="spellEnd"/>
      <w:r w:rsidRPr="00737646">
        <w:rPr>
          <w:rFonts w:ascii="Arial" w:hAnsi="Arial" w:cs="Arial"/>
        </w:rPr>
        <w:t xml:space="preserve"> &amp; </w:t>
      </w:r>
      <w:proofErr w:type="spellStart"/>
      <w:r w:rsidRPr="00737646">
        <w:rPr>
          <w:rFonts w:ascii="Arial" w:hAnsi="Arial" w:cs="Arial"/>
        </w:rPr>
        <w:t>Koshinen</w:t>
      </w:r>
      <w:proofErr w:type="spellEnd"/>
      <w:r w:rsidRPr="00737646">
        <w:rPr>
          <w:rFonts w:ascii="Arial" w:hAnsi="Arial" w:cs="Arial"/>
        </w:rPr>
        <w:t xml:space="preserve">, 2015). </w:t>
      </w:r>
    </w:p>
    <w:p w14:paraId="2AC037A2" w14:textId="29ED576C" w:rsidR="00737646" w:rsidRDefault="00737646" w:rsidP="00737646">
      <w:pPr>
        <w:spacing w:line="480" w:lineRule="auto"/>
        <w:rPr>
          <w:rFonts w:ascii="Arial" w:hAnsi="Arial" w:cs="Arial"/>
        </w:rPr>
      </w:pPr>
      <w:r w:rsidRPr="00737646">
        <w:rPr>
          <w:rFonts w:ascii="Arial" w:hAnsi="Arial" w:cs="Arial"/>
        </w:rPr>
        <w:t xml:space="preserve">Lastly, I will capture my work every trimester on my living e-portfolio in </w:t>
      </w:r>
      <w:r w:rsidR="002F33AC" w:rsidRPr="00737646">
        <w:rPr>
          <w:rFonts w:ascii="Arial" w:hAnsi="Arial" w:cs="Arial"/>
        </w:rPr>
        <w:t>WordPress</w:t>
      </w:r>
      <w:r w:rsidRPr="00737646">
        <w:rPr>
          <w:rFonts w:ascii="Arial" w:hAnsi="Arial" w:cs="Arial"/>
        </w:rPr>
        <w:t xml:space="preserve">, this includes the metrics and views of my blogs, summaries from events I went to, MOOC certificates I earned, and case studies I have co-authored. Creating a living e-portfolio will show my ongoing manifestations of engagement whilst aiming for growth in digital literacy, self-regulation and community engagement. Moving forward, this community offering will provide future employers and collaborators awareness of our relationship. I expect that creating these online and offline </w:t>
      </w:r>
      <w:r w:rsidRPr="00737646">
        <w:rPr>
          <w:rFonts w:ascii="Arial" w:hAnsi="Arial" w:cs="Arial"/>
        </w:rPr>
        <w:lastRenderedPageBreak/>
        <w:t>components, my PLE will start to be a memoir for continuous learning, responsible leadership, and professional prepared</w:t>
      </w:r>
      <w:r w:rsidR="002F33AC">
        <w:rPr>
          <w:rFonts w:ascii="Arial" w:hAnsi="Arial" w:cs="Arial"/>
        </w:rPr>
        <w:t>.</w:t>
      </w:r>
    </w:p>
    <w:p w14:paraId="525EB0C4" w14:textId="77777777" w:rsidR="002F33AC" w:rsidRDefault="002F33AC" w:rsidP="00737646">
      <w:pPr>
        <w:spacing w:line="480" w:lineRule="auto"/>
        <w:rPr>
          <w:rFonts w:ascii="Arial" w:hAnsi="Arial" w:cs="Arial"/>
        </w:rPr>
      </w:pPr>
    </w:p>
    <w:p w14:paraId="22B5F613" w14:textId="77777777" w:rsidR="002F33AC" w:rsidRDefault="002F33AC" w:rsidP="00737646">
      <w:pPr>
        <w:spacing w:line="480" w:lineRule="auto"/>
        <w:rPr>
          <w:rFonts w:ascii="Arial" w:hAnsi="Arial" w:cs="Arial"/>
        </w:rPr>
      </w:pPr>
    </w:p>
    <w:p w14:paraId="62F39B27" w14:textId="77777777" w:rsidR="002F33AC" w:rsidRDefault="002F33AC" w:rsidP="00737646">
      <w:pPr>
        <w:spacing w:line="480" w:lineRule="auto"/>
        <w:rPr>
          <w:rFonts w:ascii="Arial" w:hAnsi="Arial" w:cs="Arial"/>
        </w:rPr>
      </w:pPr>
    </w:p>
    <w:p w14:paraId="6C6F5C6A" w14:textId="77777777" w:rsidR="002F33AC" w:rsidRDefault="002F33AC" w:rsidP="00737646">
      <w:pPr>
        <w:spacing w:line="480" w:lineRule="auto"/>
        <w:rPr>
          <w:rFonts w:ascii="Arial" w:hAnsi="Arial" w:cs="Arial"/>
        </w:rPr>
      </w:pPr>
    </w:p>
    <w:p w14:paraId="3AAD6363" w14:textId="77777777" w:rsidR="002F33AC" w:rsidRDefault="002F33AC" w:rsidP="00737646">
      <w:pPr>
        <w:spacing w:line="480" w:lineRule="auto"/>
        <w:rPr>
          <w:rFonts w:ascii="Arial" w:hAnsi="Arial" w:cs="Arial"/>
        </w:rPr>
      </w:pPr>
    </w:p>
    <w:p w14:paraId="0103A34C" w14:textId="77777777" w:rsidR="002F33AC" w:rsidRDefault="002F33AC" w:rsidP="00737646">
      <w:pPr>
        <w:spacing w:line="480" w:lineRule="auto"/>
        <w:rPr>
          <w:rFonts w:ascii="Arial" w:hAnsi="Arial" w:cs="Arial"/>
        </w:rPr>
      </w:pPr>
    </w:p>
    <w:p w14:paraId="1E35D620" w14:textId="77777777" w:rsidR="002F33AC" w:rsidRDefault="002F33AC" w:rsidP="00737646">
      <w:pPr>
        <w:spacing w:line="480" w:lineRule="auto"/>
        <w:rPr>
          <w:rFonts w:ascii="Arial" w:hAnsi="Arial" w:cs="Arial"/>
        </w:rPr>
      </w:pPr>
    </w:p>
    <w:p w14:paraId="2C6D0C52" w14:textId="77777777" w:rsidR="002F33AC" w:rsidRDefault="002F33AC" w:rsidP="00737646">
      <w:pPr>
        <w:spacing w:line="480" w:lineRule="auto"/>
        <w:rPr>
          <w:rFonts w:ascii="Arial" w:hAnsi="Arial" w:cs="Arial"/>
        </w:rPr>
      </w:pPr>
    </w:p>
    <w:p w14:paraId="05258E69" w14:textId="77777777" w:rsidR="002F33AC" w:rsidRDefault="002F33AC" w:rsidP="00737646">
      <w:pPr>
        <w:spacing w:line="480" w:lineRule="auto"/>
        <w:rPr>
          <w:rFonts w:ascii="Arial" w:hAnsi="Arial" w:cs="Arial"/>
        </w:rPr>
      </w:pPr>
    </w:p>
    <w:p w14:paraId="64426B0D" w14:textId="77777777" w:rsidR="002F33AC" w:rsidRDefault="002F33AC" w:rsidP="00737646">
      <w:pPr>
        <w:spacing w:line="480" w:lineRule="auto"/>
        <w:rPr>
          <w:rFonts w:ascii="Arial" w:hAnsi="Arial" w:cs="Arial"/>
        </w:rPr>
      </w:pPr>
    </w:p>
    <w:p w14:paraId="3B03218D" w14:textId="77777777" w:rsidR="002F33AC" w:rsidRDefault="002F33AC" w:rsidP="00737646">
      <w:pPr>
        <w:spacing w:line="480" w:lineRule="auto"/>
        <w:rPr>
          <w:rFonts w:ascii="Arial" w:hAnsi="Arial" w:cs="Arial"/>
        </w:rPr>
      </w:pPr>
    </w:p>
    <w:p w14:paraId="42EBECF9" w14:textId="77777777" w:rsidR="002F33AC" w:rsidRDefault="002F33AC" w:rsidP="00737646">
      <w:pPr>
        <w:spacing w:line="480" w:lineRule="auto"/>
        <w:rPr>
          <w:rFonts w:ascii="Arial" w:hAnsi="Arial" w:cs="Arial"/>
        </w:rPr>
      </w:pPr>
    </w:p>
    <w:p w14:paraId="38093CB0" w14:textId="77777777" w:rsidR="002F33AC" w:rsidRDefault="002F33AC" w:rsidP="00737646">
      <w:pPr>
        <w:spacing w:line="480" w:lineRule="auto"/>
        <w:rPr>
          <w:rFonts w:ascii="Arial" w:hAnsi="Arial" w:cs="Arial"/>
        </w:rPr>
      </w:pPr>
    </w:p>
    <w:p w14:paraId="5B8FA174" w14:textId="77777777" w:rsidR="002F33AC" w:rsidRDefault="002F33AC" w:rsidP="00737646">
      <w:pPr>
        <w:spacing w:line="480" w:lineRule="auto"/>
        <w:rPr>
          <w:rFonts w:ascii="Arial" w:hAnsi="Arial" w:cs="Arial"/>
        </w:rPr>
      </w:pPr>
    </w:p>
    <w:p w14:paraId="7E3C0ABB" w14:textId="77777777" w:rsidR="002F33AC" w:rsidRDefault="002F33AC" w:rsidP="00737646">
      <w:pPr>
        <w:spacing w:line="480" w:lineRule="auto"/>
        <w:rPr>
          <w:rFonts w:ascii="Arial" w:hAnsi="Arial" w:cs="Arial"/>
        </w:rPr>
      </w:pPr>
    </w:p>
    <w:p w14:paraId="77998A7E" w14:textId="77777777" w:rsidR="002F33AC" w:rsidRDefault="002F33AC" w:rsidP="00737646">
      <w:pPr>
        <w:spacing w:line="480" w:lineRule="auto"/>
        <w:rPr>
          <w:rFonts w:ascii="Arial" w:hAnsi="Arial" w:cs="Arial"/>
        </w:rPr>
      </w:pPr>
    </w:p>
    <w:p w14:paraId="67211C39" w14:textId="77777777" w:rsidR="002F33AC" w:rsidRDefault="002F33AC" w:rsidP="00737646">
      <w:pPr>
        <w:spacing w:line="480" w:lineRule="auto"/>
        <w:rPr>
          <w:rFonts w:ascii="Arial" w:hAnsi="Arial" w:cs="Arial"/>
        </w:rPr>
      </w:pPr>
    </w:p>
    <w:p w14:paraId="4A7D994F" w14:textId="77777777" w:rsidR="002F33AC" w:rsidRDefault="002F33AC" w:rsidP="00737646">
      <w:pPr>
        <w:spacing w:line="480" w:lineRule="auto"/>
        <w:rPr>
          <w:rFonts w:ascii="Arial" w:hAnsi="Arial" w:cs="Arial"/>
        </w:rPr>
      </w:pPr>
    </w:p>
    <w:p w14:paraId="29EB047E" w14:textId="77777777" w:rsidR="002F33AC" w:rsidRPr="002F33AC" w:rsidRDefault="002F33AC" w:rsidP="002F33AC">
      <w:pPr>
        <w:spacing w:line="480" w:lineRule="auto"/>
        <w:rPr>
          <w:rFonts w:ascii="Arial Black" w:hAnsi="Arial Black" w:cs="Arial"/>
        </w:rPr>
      </w:pPr>
      <w:r w:rsidRPr="002F33AC">
        <w:rPr>
          <w:rFonts w:ascii="Arial Black" w:hAnsi="Arial Black" w:cs="Arial"/>
        </w:rPr>
        <w:lastRenderedPageBreak/>
        <w:t xml:space="preserve">References </w:t>
      </w:r>
    </w:p>
    <w:p w14:paraId="7EE54341" w14:textId="77777777" w:rsidR="002F33AC" w:rsidRDefault="002F33AC" w:rsidP="002F33AC">
      <w:pPr>
        <w:spacing w:line="480" w:lineRule="auto"/>
        <w:rPr>
          <w:rFonts w:ascii="Arial" w:hAnsi="Arial" w:cs="Arial"/>
        </w:rPr>
      </w:pPr>
      <w:proofErr w:type="spellStart"/>
      <w:r w:rsidRPr="002F33AC">
        <w:rPr>
          <w:rFonts w:ascii="Arial" w:hAnsi="Arial" w:cs="Arial"/>
        </w:rPr>
        <w:t>Chatti</w:t>
      </w:r>
      <w:proofErr w:type="spellEnd"/>
      <w:r w:rsidRPr="002F33AC">
        <w:rPr>
          <w:rFonts w:ascii="Arial" w:hAnsi="Arial" w:cs="Arial"/>
        </w:rPr>
        <w:t>, M. A., Jarke, M., &amp; Frosch</w:t>
      </w:r>
      <w:r w:rsidRPr="002F33AC">
        <w:rPr>
          <w:rFonts w:ascii="Cambria Math" w:hAnsi="Cambria Math" w:cs="Cambria Math"/>
        </w:rPr>
        <w:t>‑</w:t>
      </w:r>
      <w:r w:rsidRPr="002F33AC">
        <w:rPr>
          <w:rFonts w:ascii="Arial" w:hAnsi="Arial" w:cs="Arial"/>
        </w:rPr>
        <w:t>Wilke, D. (2007). The future of e</w:t>
      </w:r>
      <w:r w:rsidRPr="002F33AC">
        <w:rPr>
          <w:rFonts w:ascii="Cambria Math" w:hAnsi="Cambria Math" w:cs="Cambria Math"/>
        </w:rPr>
        <w:t>‑</w:t>
      </w:r>
      <w:r w:rsidRPr="002F33AC">
        <w:rPr>
          <w:rFonts w:ascii="Arial" w:hAnsi="Arial" w:cs="Arial"/>
        </w:rPr>
        <w:t xml:space="preserve">learning: A shift to knowledge networking and social software. </w:t>
      </w:r>
      <w:r w:rsidRPr="002F33AC">
        <w:rPr>
          <w:rFonts w:ascii="Arial" w:hAnsi="Arial" w:cs="Arial"/>
          <w:i/>
          <w:iCs/>
        </w:rPr>
        <w:t>International Journal of Knowledge and Learning, 3(</w:t>
      </w:r>
      <w:r w:rsidRPr="002F33AC">
        <w:rPr>
          <w:rFonts w:ascii="Arial" w:hAnsi="Arial" w:cs="Arial"/>
        </w:rPr>
        <w:t>4/5), 404–420.</w:t>
      </w:r>
    </w:p>
    <w:p w14:paraId="2F21AFCD" w14:textId="101E8BC8" w:rsidR="002F33AC" w:rsidRPr="002F33AC" w:rsidRDefault="002F33AC" w:rsidP="002F33AC">
      <w:pPr>
        <w:spacing w:line="480" w:lineRule="auto"/>
        <w:rPr>
          <w:rFonts w:ascii="Arial" w:hAnsi="Arial" w:cs="Arial"/>
        </w:rPr>
      </w:pPr>
      <w:r w:rsidRPr="002F33AC">
        <w:rPr>
          <w:rFonts w:ascii="Arial" w:hAnsi="Arial" w:cs="Arial"/>
        </w:rPr>
        <w:t xml:space="preserve">Fleming, N. D. (2001). </w:t>
      </w:r>
      <w:r w:rsidRPr="002F33AC">
        <w:rPr>
          <w:rFonts w:ascii="Arial" w:hAnsi="Arial" w:cs="Arial"/>
          <w:i/>
          <w:iCs/>
        </w:rPr>
        <w:t>Teaching and learning styles: VARK strategies</w:t>
      </w:r>
      <w:r w:rsidRPr="002F33AC">
        <w:rPr>
          <w:rFonts w:ascii="Arial" w:hAnsi="Arial" w:cs="Arial"/>
        </w:rPr>
        <w:t>. Christchurch, New Zealand: N. D. Fleming.</w:t>
      </w:r>
    </w:p>
    <w:p w14:paraId="61B16612" w14:textId="77777777" w:rsidR="002F33AC" w:rsidRPr="002F33AC" w:rsidRDefault="002F33AC" w:rsidP="002F33AC">
      <w:pPr>
        <w:spacing w:line="480" w:lineRule="auto"/>
        <w:rPr>
          <w:rFonts w:ascii="Arial" w:hAnsi="Arial" w:cs="Arial"/>
        </w:rPr>
      </w:pPr>
      <w:r w:rsidRPr="002F33AC">
        <w:rPr>
          <w:rFonts w:ascii="Arial" w:hAnsi="Arial" w:cs="Arial"/>
        </w:rPr>
        <w:t xml:space="preserve">Gibbs, G. (1988). </w:t>
      </w:r>
      <w:r w:rsidRPr="002F33AC">
        <w:rPr>
          <w:rFonts w:ascii="Arial" w:hAnsi="Arial" w:cs="Arial"/>
          <w:i/>
          <w:iCs/>
        </w:rPr>
        <w:t>Learning by doing: A guide to teaching and learning methods.</w:t>
      </w:r>
      <w:r w:rsidRPr="002F33AC">
        <w:rPr>
          <w:rFonts w:ascii="Arial" w:hAnsi="Arial" w:cs="Arial"/>
        </w:rPr>
        <w:t xml:space="preserve"> Oxford Polytechnic.</w:t>
      </w:r>
    </w:p>
    <w:p w14:paraId="06931C3B" w14:textId="5E703D6C" w:rsidR="002F33AC" w:rsidRPr="002F33AC" w:rsidRDefault="002F33AC" w:rsidP="002F33AC">
      <w:pPr>
        <w:spacing w:line="480" w:lineRule="auto"/>
        <w:rPr>
          <w:rFonts w:ascii="Arial" w:hAnsi="Arial" w:cs="Arial"/>
        </w:rPr>
      </w:pPr>
      <w:r w:rsidRPr="002F33AC">
        <w:rPr>
          <w:rFonts w:ascii="Arial" w:hAnsi="Arial" w:cs="Arial"/>
        </w:rPr>
        <w:t xml:space="preserve">Kuhn, C. (2014). Personal learning environments and the learning of mathematics: Possibility or reality? In </w:t>
      </w:r>
      <w:r w:rsidRPr="002F33AC">
        <w:rPr>
          <w:rFonts w:ascii="Arial" w:hAnsi="Arial" w:cs="Arial"/>
          <w:i/>
          <w:iCs/>
        </w:rPr>
        <w:t xml:space="preserve">Proceedings of the </w:t>
      </w:r>
      <w:proofErr w:type="spellStart"/>
      <w:r w:rsidRPr="002F33AC">
        <w:rPr>
          <w:rFonts w:ascii="Arial" w:hAnsi="Arial" w:cs="Arial"/>
          <w:i/>
          <w:iCs/>
        </w:rPr>
        <w:t>Sintesa</w:t>
      </w:r>
      <w:proofErr w:type="spellEnd"/>
      <w:r w:rsidRPr="002F33AC">
        <w:rPr>
          <w:rFonts w:ascii="Arial" w:hAnsi="Arial" w:cs="Arial"/>
          <w:i/>
          <w:iCs/>
        </w:rPr>
        <w:t xml:space="preserve"> International Scientific Conference (pp. 54–61).</w:t>
      </w:r>
      <w:r w:rsidRPr="002F33AC">
        <w:rPr>
          <w:rFonts w:ascii="Arial" w:hAnsi="Arial" w:cs="Arial"/>
        </w:rPr>
        <w:t xml:space="preserve"> </w:t>
      </w:r>
      <w:proofErr w:type="spellStart"/>
      <w:r w:rsidRPr="002F33AC">
        <w:rPr>
          <w:rFonts w:ascii="Arial" w:hAnsi="Arial" w:cs="Arial"/>
        </w:rPr>
        <w:t>Singidunum</w:t>
      </w:r>
      <w:proofErr w:type="spellEnd"/>
      <w:r w:rsidRPr="002F33AC">
        <w:rPr>
          <w:rFonts w:ascii="Arial" w:hAnsi="Arial" w:cs="Arial"/>
        </w:rPr>
        <w:t xml:space="preserve"> University. Retrieved from </w:t>
      </w:r>
      <w:hyperlink r:id="rId8" w:history="1">
        <w:r w:rsidRPr="007672A4">
          <w:rPr>
            <w:rStyle w:val="Hyperlink"/>
            <w:rFonts w:ascii="Arial" w:hAnsi="Arial" w:cs="Arial"/>
          </w:rPr>
          <w:t>http://portal.sinteza.singidunum.ac.rs/Media/files/2014/Sinteza-2014.pdf</w:t>
        </w:r>
      </w:hyperlink>
      <w:r>
        <w:rPr>
          <w:rFonts w:ascii="Arial" w:hAnsi="Arial" w:cs="Arial"/>
        </w:rPr>
        <w:t xml:space="preserve"> </w:t>
      </w:r>
    </w:p>
    <w:p w14:paraId="4E6F5186" w14:textId="77777777" w:rsidR="002F33AC" w:rsidRPr="002F33AC" w:rsidRDefault="002F33AC" w:rsidP="002F33AC">
      <w:pPr>
        <w:spacing w:line="480" w:lineRule="auto"/>
        <w:rPr>
          <w:rFonts w:ascii="Arial" w:hAnsi="Arial" w:cs="Arial"/>
        </w:rPr>
      </w:pPr>
      <w:r w:rsidRPr="002F33AC">
        <w:rPr>
          <w:rFonts w:ascii="Arial" w:hAnsi="Arial" w:cs="Arial"/>
        </w:rPr>
        <w:t xml:space="preserve">Maak, T., &amp; Pless, N. M. (2006). Responsible leadership in a stakeholder society: A relational perspective. </w:t>
      </w:r>
      <w:r w:rsidRPr="002F33AC">
        <w:rPr>
          <w:rFonts w:ascii="Arial" w:hAnsi="Arial" w:cs="Arial"/>
          <w:i/>
          <w:iCs/>
        </w:rPr>
        <w:t>Journal of Business Ethics</w:t>
      </w:r>
      <w:r w:rsidRPr="002F33AC">
        <w:rPr>
          <w:rFonts w:ascii="Arial" w:hAnsi="Arial" w:cs="Arial"/>
        </w:rPr>
        <w:t>, 66, 99–115.</w:t>
      </w:r>
    </w:p>
    <w:p w14:paraId="0ACD23F1" w14:textId="54D42843" w:rsidR="002F33AC" w:rsidRPr="002F33AC" w:rsidRDefault="002F33AC" w:rsidP="002F33AC">
      <w:pPr>
        <w:spacing w:line="480" w:lineRule="auto"/>
        <w:rPr>
          <w:rFonts w:ascii="Arial" w:hAnsi="Arial" w:cs="Arial"/>
        </w:rPr>
      </w:pPr>
      <w:r w:rsidRPr="002F33AC">
        <w:rPr>
          <w:rFonts w:ascii="Arial" w:hAnsi="Arial" w:cs="Arial"/>
        </w:rPr>
        <w:t>Prendes, M. P., &amp; Castañeda, L. (2013). PLE</w:t>
      </w:r>
      <w:r w:rsidRPr="002F33AC">
        <w:rPr>
          <w:rFonts w:ascii="Cambria Math" w:hAnsi="Cambria Math" w:cs="Cambria Math"/>
        </w:rPr>
        <w:t>‑</w:t>
      </w:r>
      <w:r w:rsidRPr="002F33AC">
        <w:rPr>
          <w:rFonts w:ascii="Arial" w:hAnsi="Arial" w:cs="Arial"/>
        </w:rPr>
        <w:t xml:space="preserve">centred education: The next boundary: Perceptions and realities behind students’ personal learning environments. </w:t>
      </w:r>
      <w:r w:rsidRPr="002F33AC">
        <w:rPr>
          <w:rFonts w:ascii="Arial" w:hAnsi="Arial" w:cs="Arial"/>
          <w:i/>
          <w:iCs/>
        </w:rPr>
        <w:t>Journal of Educational Leadership in Action, 2(</w:t>
      </w:r>
      <w:r w:rsidRPr="002F33AC">
        <w:rPr>
          <w:rFonts w:ascii="Arial" w:hAnsi="Arial" w:cs="Arial"/>
        </w:rPr>
        <w:t xml:space="preserve">1). Retrieved from </w:t>
      </w:r>
      <w:hyperlink r:id="rId9" w:history="1">
        <w:r w:rsidRPr="007672A4">
          <w:rPr>
            <w:rStyle w:val="Hyperlink"/>
            <w:rFonts w:ascii="Arial" w:hAnsi="Arial" w:cs="Arial"/>
          </w:rPr>
          <w:t>http://www.lindenwood.edu/ela/issue03/castaneda.html</w:t>
        </w:r>
      </w:hyperlink>
      <w:r>
        <w:rPr>
          <w:rFonts w:ascii="Arial" w:hAnsi="Arial" w:cs="Arial"/>
        </w:rPr>
        <w:t xml:space="preserve"> </w:t>
      </w:r>
    </w:p>
    <w:p w14:paraId="47F62C59" w14:textId="77777777" w:rsidR="002F33AC" w:rsidRPr="002F33AC" w:rsidRDefault="002F33AC" w:rsidP="002F33AC">
      <w:pPr>
        <w:spacing w:line="480" w:lineRule="auto"/>
        <w:rPr>
          <w:rFonts w:ascii="Arial" w:hAnsi="Arial" w:cs="Arial"/>
        </w:rPr>
      </w:pPr>
      <w:r w:rsidRPr="002F33AC">
        <w:rPr>
          <w:rFonts w:ascii="Arial" w:hAnsi="Arial" w:cs="Arial"/>
        </w:rPr>
        <w:t xml:space="preserve">Redecker, C., Leis, M., </w:t>
      </w:r>
      <w:proofErr w:type="spellStart"/>
      <w:r w:rsidRPr="002F33AC">
        <w:rPr>
          <w:rFonts w:ascii="Arial" w:hAnsi="Arial" w:cs="Arial"/>
        </w:rPr>
        <w:t>Leendertse</w:t>
      </w:r>
      <w:proofErr w:type="spellEnd"/>
      <w:r w:rsidRPr="002F33AC">
        <w:rPr>
          <w:rFonts w:ascii="Arial" w:hAnsi="Arial" w:cs="Arial"/>
        </w:rPr>
        <w:t xml:space="preserve">, M., Punie, Y., </w:t>
      </w:r>
      <w:proofErr w:type="spellStart"/>
      <w:r w:rsidRPr="002F33AC">
        <w:rPr>
          <w:rFonts w:ascii="Arial" w:hAnsi="Arial" w:cs="Arial"/>
        </w:rPr>
        <w:t>Gijsbers</w:t>
      </w:r>
      <w:proofErr w:type="spellEnd"/>
      <w:r w:rsidRPr="002F33AC">
        <w:rPr>
          <w:rFonts w:ascii="Arial" w:hAnsi="Arial" w:cs="Arial"/>
        </w:rPr>
        <w:t xml:space="preserve">, G., Kirschner, P., &amp; </w:t>
      </w:r>
      <w:proofErr w:type="spellStart"/>
      <w:r w:rsidRPr="002F33AC">
        <w:rPr>
          <w:rFonts w:ascii="Arial" w:hAnsi="Arial" w:cs="Arial"/>
        </w:rPr>
        <w:t>Hoogveld</w:t>
      </w:r>
      <w:proofErr w:type="spellEnd"/>
      <w:r w:rsidRPr="002F33AC">
        <w:rPr>
          <w:rFonts w:ascii="Arial" w:hAnsi="Arial" w:cs="Arial"/>
        </w:rPr>
        <w:t xml:space="preserve">, B. (2011). </w:t>
      </w:r>
      <w:r w:rsidRPr="002F33AC">
        <w:rPr>
          <w:rFonts w:ascii="Arial" w:hAnsi="Arial" w:cs="Arial"/>
          <w:i/>
          <w:iCs/>
        </w:rPr>
        <w:t>The future of learning: Preparing for change (Report).</w:t>
      </w:r>
      <w:r w:rsidRPr="002F33AC">
        <w:rPr>
          <w:rFonts w:ascii="Arial" w:hAnsi="Arial" w:cs="Arial"/>
        </w:rPr>
        <w:t xml:space="preserve"> JRC. Luxembourg: Publications Office of the European Union.</w:t>
      </w:r>
    </w:p>
    <w:p w14:paraId="6C66C407" w14:textId="1DFD028C" w:rsidR="002F33AC" w:rsidRPr="002F33AC" w:rsidRDefault="002F33AC" w:rsidP="002F33AC">
      <w:pPr>
        <w:spacing w:line="480" w:lineRule="auto"/>
        <w:rPr>
          <w:rFonts w:ascii="Arial" w:hAnsi="Arial" w:cs="Arial"/>
        </w:rPr>
      </w:pPr>
      <w:r w:rsidRPr="002F33AC">
        <w:rPr>
          <w:rFonts w:ascii="Arial" w:hAnsi="Arial" w:cs="Arial"/>
        </w:rPr>
        <w:t>Torres</w:t>
      </w:r>
      <w:r w:rsidRPr="002F33AC">
        <w:rPr>
          <w:rFonts w:ascii="Cambria Math" w:hAnsi="Cambria Math" w:cs="Cambria Math"/>
        </w:rPr>
        <w:t>‑</w:t>
      </w:r>
      <w:proofErr w:type="spellStart"/>
      <w:r w:rsidRPr="002F33AC">
        <w:rPr>
          <w:rFonts w:ascii="Arial" w:hAnsi="Arial" w:cs="Arial"/>
        </w:rPr>
        <w:t>Kompen</w:t>
      </w:r>
      <w:proofErr w:type="spellEnd"/>
      <w:r w:rsidRPr="002F33AC">
        <w:rPr>
          <w:rFonts w:ascii="Arial" w:hAnsi="Arial" w:cs="Arial"/>
        </w:rPr>
        <w:t xml:space="preserve">, R., </w:t>
      </w:r>
      <w:proofErr w:type="spellStart"/>
      <w:r w:rsidRPr="002F33AC">
        <w:rPr>
          <w:rFonts w:ascii="Arial" w:hAnsi="Arial" w:cs="Arial"/>
        </w:rPr>
        <w:t>Buchem</w:t>
      </w:r>
      <w:proofErr w:type="spellEnd"/>
      <w:r w:rsidRPr="002F33AC">
        <w:rPr>
          <w:rFonts w:ascii="Arial" w:hAnsi="Arial" w:cs="Arial"/>
        </w:rPr>
        <w:t xml:space="preserve">, I., &amp; Attwell, G. (2011). Understanding personal learning environments: Literature review and synthesis through the activity theory </w:t>
      </w:r>
      <w:r w:rsidRPr="002F33AC">
        <w:rPr>
          <w:rFonts w:ascii="Arial" w:hAnsi="Arial" w:cs="Arial"/>
        </w:rPr>
        <w:lastRenderedPageBreak/>
        <w:t xml:space="preserve">lens. </w:t>
      </w:r>
      <w:r w:rsidRPr="002F33AC">
        <w:rPr>
          <w:rFonts w:ascii="Arial" w:hAnsi="Arial" w:cs="Arial"/>
          <w:i/>
          <w:iCs/>
        </w:rPr>
        <w:t>Learning, 54(</w:t>
      </w:r>
      <w:r w:rsidRPr="002F33AC">
        <w:rPr>
          <w:rFonts w:ascii="Arial" w:hAnsi="Arial" w:cs="Arial"/>
        </w:rPr>
        <w:t xml:space="preserve">2), 1–33. Retrieved from </w:t>
      </w:r>
      <w:hyperlink r:id="rId10" w:history="1">
        <w:r w:rsidRPr="007672A4">
          <w:rPr>
            <w:rStyle w:val="Hyperlink"/>
            <w:rFonts w:ascii="Arial" w:hAnsi="Arial" w:cs="Arial"/>
          </w:rPr>
          <w:t>http://journal.webscience.org/658/1/PLE_SOU_Paper_Buchem_Attwell_Torress.doc</w:t>
        </w:r>
      </w:hyperlink>
      <w:r>
        <w:rPr>
          <w:rFonts w:ascii="Arial" w:hAnsi="Arial" w:cs="Arial"/>
        </w:rPr>
        <w:t xml:space="preserve"> </w:t>
      </w:r>
    </w:p>
    <w:p w14:paraId="3CC5ED41" w14:textId="77777777" w:rsidR="002F33AC" w:rsidRPr="002F33AC" w:rsidRDefault="002F33AC" w:rsidP="002F33AC">
      <w:pPr>
        <w:spacing w:line="480" w:lineRule="auto"/>
        <w:rPr>
          <w:rFonts w:ascii="Arial" w:hAnsi="Arial" w:cs="Arial"/>
        </w:rPr>
      </w:pPr>
      <w:r w:rsidRPr="002F33AC">
        <w:rPr>
          <w:rFonts w:ascii="Arial" w:hAnsi="Arial" w:cs="Arial"/>
        </w:rPr>
        <w:t>Torres</w:t>
      </w:r>
      <w:r w:rsidRPr="002F33AC">
        <w:rPr>
          <w:rFonts w:ascii="Cambria Math" w:hAnsi="Cambria Math" w:cs="Cambria Math"/>
        </w:rPr>
        <w:t>‑</w:t>
      </w:r>
      <w:proofErr w:type="spellStart"/>
      <w:r w:rsidRPr="002F33AC">
        <w:rPr>
          <w:rFonts w:ascii="Arial" w:hAnsi="Arial" w:cs="Arial"/>
        </w:rPr>
        <w:t>Kompten</w:t>
      </w:r>
      <w:proofErr w:type="spellEnd"/>
      <w:r w:rsidRPr="002F33AC">
        <w:rPr>
          <w:rFonts w:ascii="Arial" w:hAnsi="Arial" w:cs="Arial"/>
        </w:rPr>
        <w:t>, R. (2015</w:t>
      </w:r>
      <w:r w:rsidRPr="002F33AC">
        <w:rPr>
          <w:rFonts w:ascii="Arial" w:hAnsi="Arial" w:cs="Arial"/>
          <w:i/>
          <w:iCs/>
        </w:rPr>
        <w:t>). Personal learning environments based on Web 2.0 services in secondary and in higher education.</w:t>
      </w:r>
      <w:r w:rsidRPr="002F33AC">
        <w:rPr>
          <w:rFonts w:ascii="Arial" w:hAnsi="Arial" w:cs="Arial"/>
        </w:rPr>
        <w:t xml:space="preserve"> Barcelona: </w:t>
      </w:r>
      <w:proofErr w:type="spellStart"/>
      <w:r w:rsidRPr="002F33AC">
        <w:rPr>
          <w:rFonts w:ascii="Arial" w:hAnsi="Arial" w:cs="Arial"/>
        </w:rPr>
        <w:t>Universitat</w:t>
      </w:r>
      <w:proofErr w:type="spellEnd"/>
      <w:r w:rsidRPr="002F33AC">
        <w:rPr>
          <w:rFonts w:ascii="Arial" w:hAnsi="Arial" w:cs="Arial"/>
        </w:rPr>
        <w:t xml:space="preserve"> Ramon Llull.</w:t>
      </w:r>
    </w:p>
    <w:p w14:paraId="76CF874D" w14:textId="1A7B2EB4" w:rsidR="002F33AC" w:rsidRPr="002F33AC" w:rsidRDefault="002F33AC" w:rsidP="002F33AC">
      <w:pPr>
        <w:spacing w:line="480" w:lineRule="auto"/>
        <w:rPr>
          <w:rFonts w:ascii="Arial" w:hAnsi="Arial" w:cs="Arial"/>
        </w:rPr>
      </w:pPr>
      <w:proofErr w:type="spellStart"/>
      <w:r w:rsidRPr="002F33AC">
        <w:rPr>
          <w:rFonts w:ascii="Arial" w:hAnsi="Arial" w:cs="Arial"/>
        </w:rPr>
        <w:t>Ullmo</w:t>
      </w:r>
      <w:proofErr w:type="spellEnd"/>
      <w:r w:rsidRPr="002F33AC">
        <w:rPr>
          <w:rFonts w:ascii="Arial" w:hAnsi="Arial" w:cs="Arial"/>
        </w:rPr>
        <w:t>, P.</w:t>
      </w:r>
      <w:r w:rsidRPr="002F33AC">
        <w:rPr>
          <w:rFonts w:ascii="Cambria Math" w:hAnsi="Cambria Math" w:cs="Cambria Math"/>
        </w:rPr>
        <w:t>‑</w:t>
      </w:r>
      <w:r w:rsidRPr="002F33AC">
        <w:rPr>
          <w:rFonts w:ascii="Arial" w:hAnsi="Arial" w:cs="Arial"/>
        </w:rPr>
        <w:t xml:space="preserve">A., &amp; </w:t>
      </w:r>
      <w:proofErr w:type="spellStart"/>
      <w:r w:rsidRPr="002F33AC">
        <w:rPr>
          <w:rFonts w:ascii="Arial" w:hAnsi="Arial" w:cs="Arial"/>
        </w:rPr>
        <w:t>Koshinen</w:t>
      </w:r>
      <w:proofErr w:type="spellEnd"/>
      <w:r w:rsidRPr="002F33AC">
        <w:rPr>
          <w:rFonts w:ascii="Arial" w:hAnsi="Arial" w:cs="Arial"/>
        </w:rPr>
        <w:t>, T. (2015</w:t>
      </w:r>
      <w:r w:rsidRPr="002F33AC">
        <w:rPr>
          <w:rFonts w:ascii="Arial" w:hAnsi="Arial" w:cs="Arial"/>
          <w:i/>
          <w:iCs/>
        </w:rPr>
        <w:t>). Learning anywhere</w:t>
      </w:r>
      <w:r w:rsidRPr="002F33AC">
        <w:rPr>
          <w:rFonts w:ascii="Arial" w:hAnsi="Arial" w:cs="Arial"/>
          <w:i/>
          <w:iCs/>
        </w:rPr>
        <w:t>-</w:t>
      </w:r>
      <w:r w:rsidRPr="002F33AC">
        <w:rPr>
          <w:rFonts w:ascii="Arial" w:hAnsi="Arial" w:cs="Arial"/>
          <w:i/>
          <w:iCs/>
        </w:rPr>
        <w:t>Opening education and the promise of MOOCs.</w:t>
      </w:r>
      <w:r w:rsidRPr="002F33AC">
        <w:rPr>
          <w:rFonts w:ascii="Arial" w:hAnsi="Arial" w:cs="Arial"/>
        </w:rPr>
        <w:t xml:space="preserve"> eLearning Papers. Retrieved from </w:t>
      </w:r>
      <w:hyperlink r:id="rId11" w:history="1">
        <w:r w:rsidRPr="007672A4">
          <w:rPr>
            <w:rStyle w:val="Hyperlink"/>
            <w:rFonts w:ascii="Arial" w:hAnsi="Arial" w:cs="Arial"/>
          </w:rPr>
          <w:t>http://openeducationeuropa.eu/en/node/174366</w:t>
        </w:r>
      </w:hyperlink>
      <w:r>
        <w:rPr>
          <w:rFonts w:ascii="Arial" w:hAnsi="Arial" w:cs="Arial"/>
        </w:rPr>
        <w:t xml:space="preserve"> </w:t>
      </w:r>
    </w:p>
    <w:p w14:paraId="4F71D88A" w14:textId="77777777" w:rsidR="002F33AC" w:rsidRPr="002F33AC" w:rsidRDefault="002F33AC" w:rsidP="002F33AC">
      <w:pPr>
        <w:spacing w:line="480" w:lineRule="auto"/>
        <w:rPr>
          <w:rFonts w:ascii="Arial" w:hAnsi="Arial" w:cs="Arial"/>
        </w:rPr>
      </w:pPr>
      <w:r w:rsidRPr="002F33AC">
        <w:rPr>
          <w:rFonts w:ascii="Arial" w:hAnsi="Arial" w:cs="Arial"/>
        </w:rPr>
        <w:t>Zimmerman, B. J. (2002). Becoming a self</w:t>
      </w:r>
      <w:r w:rsidRPr="002F33AC">
        <w:rPr>
          <w:rFonts w:ascii="Cambria Math" w:hAnsi="Cambria Math" w:cs="Cambria Math"/>
        </w:rPr>
        <w:t>‑</w:t>
      </w:r>
      <w:r w:rsidRPr="002F33AC">
        <w:rPr>
          <w:rFonts w:ascii="Arial" w:hAnsi="Arial" w:cs="Arial"/>
        </w:rPr>
        <w:t xml:space="preserve">regulated learner: An overview. </w:t>
      </w:r>
      <w:r w:rsidRPr="002F33AC">
        <w:rPr>
          <w:rFonts w:ascii="Arial" w:hAnsi="Arial" w:cs="Arial"/>
          <w:i/>
          <w:iCs/>
        </w:rPr>
        <w:t>Theory Into Practice, 41(</w:t>
      </w:r>
      <w:r w:rsidRPr="002F33AC">
        <w:rPr>
          <w:rFonts w:ascii="Arial" w:hAnsi="Arial" w:cs="Arial"/>
        </w:rPr>
        <w:t>2), 64–70.</w:t>
      </w:r>
    </w:p>
    <w:p w14:paraId="5D8D122E" w14:textId="77777777" w:rsidR="002F33AC" w:rsidRPr="002F33AC" w:rsidRDefault="002F33AC" w:rsidP="002F33AC">
      <w:pPr>
        <w:spacing w:line="480" w:lineRule="auto"/>
        <w:rPr>
          <w:rFonts w:ascii="Arial" w:hAnsi="Arial" w:cs="Arial"/>
        </w:rPr>
      </w:pPr>
    </w:p>
    <w:p w14:paraId="07FF45B5" w14:textId="77777777" w:rsidR="002F33AC" w:rsidRPr="002F33AC" w:rsidRDefault="002F33AC" w:rsidP="002F33AC">
      <w:pPr>
        <w:spacing w:line="480" w:lineRule="auto"/>
        <w:rPr>
          <w:rFonts w:ascii="Arial" w:hAnsi="Arial" w:cs="Arial"/>
        </w:rPr>
      </w:pPr>
    </w:p>
    <w:p w14:paraId="7D13168C" w14:textId="1CA9CFA4" w:rsidR="002F33AC" w:rsidRPr="00737646" w:rsidRDefault="002F33AC" w:rsidP="002F33AC">
      <w:pPr>
        <w:spacing w:line="480" w:lineRule="auto"/>
        <w:rPr>
          <w:rFonts w:ascii="Arial" w:hAnsi="Arial" w:cs="Arial"/>
        </w:rPr>
      </w:pPr>
    </w:p>
    <w:sectPr w:rsidR="002F33AC" w:rsidRPr="00737646" w:rsidSect="002F33AC">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F58690" w14:textId="77777777" w:rsidR="00B25E31" w:rsidRDefault="00B25E31" w:rsidP="002F33AC">
      <w:pPr>
        <w:spacing w:after="0" w:line="240" w:lineRule="auto"/>
      </w:pPr>
      <w:r>
        <w:separator/>
      </w:r>
    </w:p>
  </w:endnote>
  <w:endnote w:type="continuationSeparator" w:id="0">
    <w:p w14:paraId="75B63225" w14:textId="77777777" w:rsidR="00B25E31" w:rsidRDefault="00B25E31" w:rsidP="002F3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367047" w14:textId="77777777" w:rsidR="00B25E31" w:rsidRDefault="00B25E31" w:rsidP="002F33AC">
      <w:pPr>
        <w:spacing w:after="0" w:line="240" w:lineRule="auto"/>
      </w:pPr>
      <w:r>
        <w:separator/>
      </w:r>
    </w:p>
  </w:footnote>
  <w:footnote w:type="continuationSeparator" w:id="0">
    <w:p w14:paraId="6067547F" w14:textId="77777777" w:rsidR="00B25E31" w:rsidRDefault="00B25E31" w:rsidP="002F33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271668"/>
      <w:docPartObj>
        <w:docPartGallery w:val="Page Numbers (Top of Page)"/>
        <w:docPartUnique/>
      </w:docPartObj>
    </w:sdtPr>
    <w:sdtEndPr>
      <w:rPr>
        <w:noProof/>
      </w:rPr>
    </w:sdtEndPr>
    <w:sdtContent>
      <w:p w14:paraId="68870F22" w14:textId="0F064824" w:rsidR="002F33AC" w:rsidRDefault="002F33A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2E4E26A" w14:textId="77777777" w:rsidR="002F33AC" w:rsidRDefault="002F33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95D9E"/>
    <w:multiLevelType w:val="hybridMultilevel"/>
    <w:tmpl w:val="28B65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23241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646"/>
    <w:rsid w:val="002F33AC"/>
    <w:rsid w:val="00737646"/>
    <w:rsid w:val="008F6BEE"/>
    <w:rsid w:val="0091775A"/>
    <w:rsid w:val="00B25E31"/>
    <w:rsid w:val="00FF57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8B35F"/>
  <w15:chartTrackingRefBased/>
  <w15:docId w15:val="{28B915CC-A609-4882-A84C-A47A180DF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76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76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76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76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76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76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76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76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76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6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76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76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76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76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76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76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76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7646"/>
    <w:rPr>
      <w:rFonts w:eastAsiaTheme="majorEastAsia" w:cstheme="majorBidi"/>
      <w:color w:val="272727" w:themeColor="text1" w:themeTint="D8"/>
    </w:rPr>
  </w:style>
  <w:style w:type="paragraph" w:styleId="Title">
    <w:name w:val="Title"/>
    <w:basedOn w:val="Normal"/>
    <w:next w:val="Normal"/>
    <w:link w:val="TitleChar"/>
    <w:uiPriority w:val="10"/>
    <w:qFormat/>
    <w:rsid w:val="007376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76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76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76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7646"/>
    <w:pPr>
      <w:spacing w:before="160"/>
      <w:jc w:val="center"/>
    </w:pPr>
    <w:rPr>
      <w:i/>
      <w:iCs/>
      <w:color w:val="404040" w:themeColor="text1" w:themeTint="BF"/>
    </w:rPr>
  </w:style>
  <w:style w:type="character" w:customStyle="1" w:styleId="QuoteChar">
    <w:name w:val="Quote Char"/>
    <w:basedOn w:val="DefaultParagraphFont"/>
    <w:link w:val="Quote"/>
    <w:uiPriority w:val="29"/>
    <w:rsid w:val="00737646"/>
    <w:rPr>
      <w:i/>
      <w:iCs/>
      <w:color w:val="404040" w:themeColor="text1" w:themeTint="BF"/>
    </w:rPr>
  </w:style>
  <w:style w:type="paragraph" w:styleId="ListParagraph">
    <w:name w:val="List Paragraph"/>
    <w:basedOn w:val="Normal"/>
    <w:uiPriority w:val="34"/>
    <w:qFormat/>
    <w:rsid w:val="00737646"/>
    <w:pPr>
      <w:ind w:left="720"/>
      <w:contextualSpacing/>
    </w:pPr>
  </w:style>
  <w:style w:type="character" w:styleId="IntenseEmphasis">
    <w:name w:val="Intense Emphasis"/>
    <w:basedOn w:val="DefaultParagraphFont"/>
    <w:uiPriority w:val="21"/>
    <w:qFormat/>
    <w:rsid w:val="00737646"/>
    <w:rPr>
      <w:i/>
      <w:iCs/>
      <w:color w:val="0F4761" w:themeColor="accent1" w:themeShade="BF"/>
    </w:rPr>
  </w:style>
  <w:style w:type="paragraph" w:styleId="IntenseQuote">
    <w:name w:val="Intense Quote"/>
    <w:basedOn w:val="Normal"/>
    <w:next w:val="Normal"/>
    <w:link w:val="IntenseQuoteChar"/>
    <w:uiPriority w:val="30"/>
    <w:qFormat/>
    <w:rsid w:val="007376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7646"/>
    <w:rPr>
      <w:i/>
      <w:iCs/>
      <w:color w:val="0F4761" w:themeColor="accent1" w:themeShade="BF"/>
    </w:rPr>
  </w:style>
  <w:style w:type="character" w:styleId="IntenseReference">
    <w:name w:val="Intense Reference"/>
    <w:basedOn w:val="DefaultParagraphFont"/>
    <w:uiPriority w:val="32"/>
    <w:qFormat/>
    <w:rsid w:val="00737646"/>
    <w:rPr>
      <w:b/>
      <w:bCs/>
      <w:smallCaps/>
      <w:color w:val="0F4761" w:themeColor="accent1" w:themeShade="BF"/>
      <w:spacing w:val="5"/>
    </w:rPr>
  </w:style>
  <w:style w:type="character" w:styleId="Hyperlink">
    <w:name w:val="Hyperlink"/>
    <w:basedOn w:val="DefaultParagraphFont"/>
    <w:uiPriority w:val="99"/>
    <w:unhideWhenUsed/>
    <w:rsid w:val="002F33AC"/>
    <w:rPr>
      <w:color w:val="467886" w:themeColor="hyperlink"/>
      <w:u w:val="single"/>
    </w:rPr>
  </w:style>
  <w:style w:type="character" w:styleId="UnresolvedMention">
    <w:name w:val="Unresolved Mention"/>
    <w:basedOn w:val="DefaultParagraphFont"/>
    <w:uiPriority w:val="99"/>
    <w:semiHidden/>
    <w:unhideWhenUsed/>
    <w:rsid w:val="002F33AC"/>
    <w:rPr>
      <w:color w:val="605E5C"/>
      <w:shd w:val="clear" w:color="auto" w:fill="E1DFDD"/>
    </w:rPr>
  </w:style>
  <w:style w:type="paragraph" w:styleId="Header">
    <w:name w:val="header"/>
    <w:basedOn w:val="Normal"/>
    <w:link w:val="HeaderChar"/>
    <w:uiPriority w:val="99"/>
    <w:unhideWhenUsed/>
    <w:rsid w:val="002F33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3AC"/>
  </w:style>
  <w:style w:type="paragraph" w:styleId="Footer">
    <w:name w:val="footer"/>
    <w:basedOn w:val="Normal"/>
    <w:link w:val="FooterChar"/>
    <w:uiPriority w:val="99"/>
    <w:unhideWhenUsed/>
    <w:rsid w:val="002F33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3AC"/>
  </w:style>
  <w:style w:type="paragraph" w:styleId="NoSpacing">
    <w:name w:val="No Spacing"/>
    <w:link w:val="NoSpacingChar"/>
    <w:uiPriority w:val="1"/>
    <w:qFormat/>
    <w:rsid w:val="002F33A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F33A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ortal.sinteza.singidunum.ac.rs/Media/files/2014/Sinteza-2014.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openeducationeuropa.eu/en/node/174366"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journal.webscience.org/658/1/PLE_SOU_Paper_Buchem_Attwell_Torress.doc" TargetMode="External"/><Relationship Id="rId4" Type="http://schemas.openxmlformats.org/officeDocument/2006/relationships/settings" Target="settings.xml"/><Relationship Id="rId9" Type="http://schemas.openxmlformats.org/officeDocument/2006/relationships/hyperlink" Target="http://www.lindenwood.edu/ela/issue03/castaneda.html"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8AF3F7164DC4AEC801083E224C1D574"/>
        <w:category>
          <w:name w:val="General"/>
          <w:gallery w:val="placeholder"/>
        </w:category>
        <w:types>
          <w:type w:val="bbPlcHdr"/>
        </w:types>
        <w:behaviors>
          <w:behavior w:val="content"/>
        </w:behaviors>
        <w:guid w:val="{9FCDCF79-C3EA-4E60-9B91-9DA0EACC7C41}"/>
      </w:docPartPr>
      <w:docPartBody>
        <w:p w:rsidR="00000000" w:rsidRDefault="0026545E" w:rsidP="0026545E">
          <w:pPr>
            <w:pStyle w:val="18AF3F7164DC4AEC801083E224C1D574"/>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45E"/>
    <w:rsid w:val="001B4C44"/>
    <w:rsid w:val="0026545E"/>
    <w:rsid w:val="008F6B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AF3F7164DC4AEC801083E224C1D574">
    <w:name w:val="18AF3F7164DC4AEC801083E224C1D574"/>
    <w:rsid w:val="0026545E"/>
  </w:style>
  <w:style w:type="paragraph" w:customStyle="1" w:styleId="9BC94C22181F4729B3D979AB48D1AC3F">
    <w:name w:val="9BC94C22181F4729B3D979AB48D1AC3F"/>
    <w:rsid w:val="002654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2025-07-18T00:00:00</PublishDate>
  <Abstract/>
  <CompanyAddress>BMSP4015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10</Pages>
  <Words>1947</Words>
  <Characters>11102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Learning and Collaboration for Global Citizenship</Company>
  <LinksUpToDate>false</LinksUpToDate>
  <CharactersWithSpaces>13023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Personal Learning environment</dc:title>
  <dc:subject/>
  <dc:creator>Mirabela Voican (1907947)</dc:creator>
  <cp:keywords/>
  <dc:description/>
  <cp:lastModifiedBy>Mirabela Voican (1907947)</cp:lastModifiedBy>
  <cp:revision>1</cp:revision>
  <dcterms:created xsi:type="dcterms:W3CDTF">2025-07-15T10:30:00Z</dcterms:created>
  <dcterms:modified xsi:type="dcterms:W3CDTF">2025-07-15T11:04:00Z</dcterms:modified>
</cp:coreProperties>
</file>