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90AFB" w:rsidRDefault="00F90AFB">
      <w:pPr>
        <w:spacing w:after="0" w:line="480" w:lineRule="auto"/>
        <w:jc w:val="center"/>
        <w:rPr>
          <w:rFonts w:ascii="Times New Roman" w:hAnsi="Times New Roman" w:cs="Times New Roman"/>
          <w:sz w:val="24"/>
          <w:szCs w:val="24"/>
        </w:rPr>
      </w:pPr>
    </w:p>
    <w:p w:rsidR="00F90AFB" w:rsidRDefault="00F90AFB">
      <w:pPr>
        <w:spacing w:after="0" w:line="480" w:lineRule="auto"/>
        <w:jc w:val="center"/>
        <w:rPr>
          <w:rFonts w:ascii="Times New Roman" w:hAnsi="Times New Roman" w:cs="Times New Roman"/>
          <w:sz w:val="24"/>
          <w:szCs w:val="24"/>
        </w:rPr>
      </w:pPr>
    </w:p>
    <w:p w:rsidR="00F90AFB" w:rsidRDefault="00F90AFB">
      <w:pPr>
        <w:spacing w:after="0" w:line="480" w:lineRule="auto"/>
        <w:jc w:val="center"/>
        <w:rPr>
          <w:rFonts w:ascii="Times New Roman" w:hAnsi="Times New Roman" w:cs="Times New Roman"/>
          <w:sz w:val="24"/>
          <w:szCs w:val="24"/>
        </w:rPr>
      </w:pPr>
    </w:p>
    <w:p w:rsidR="00F90AFB" w:rsidRDefault="00F90AFB">
      <w:pPr>
        <w:spacing w:after="0" w:line="480" w:lineRule="auto"/>
        <w:jc w:val="center"/>
        <w:rPr>
          <w:rFonts w:ascii="Times New Roman" w:hAnsi="Times New Roman" w:cs="Times New Roman"/>
          <w:sz w:val="24"/>
          <w:szCs w:val="24"/>
        </w:rPr>
      </w:pPr>
    </w:p>
    <w:p w:rsidR="00F90AFB" w:rsidRDefault="00F90AFB">
      <w:pPr>
        <w:spacing w:after="0" w:line="480" w:lineRule="auto"/>
        <w:jc w:val="center"/>
        <w:rPr>
          <w:rFonts w:ascii="Times New Roman" w:hAnsi="Times New Roman" w:cs="Times New Roman"/>
          <w:sz w:val="24"/>
          <w:szCs w:val="24"/>
        </w:rPr>
      </w:pPr>
    </w:p>
    <w:p w:rsidR="00F90AFB" w:rsidRDefault="00F90AFB">
      <w:pPr>
        <w:spacing w:after="0" w:line="480" w:lineRule="auto"/>
        <w:jc w:val="center"/>
        <w:rPr>
          <w:rFonts w:ascii="Times New Roman" w:hAnsi="Times New Roman" w:cs="Times New Roman"/>
          <w:sz w:val="24"/>
          <w:szCs w:val="24"/>
        </w:rPr>
      </w:pPr>
    </w:p>
    <w:p w:rsidR="00F90AFB" w:rsidRDefault="00F90AFB">
      <w:pPr>
        <w:spacing w:after="0" w:line="480" w:lineRule="auto"/>
        <w:jc w:val="center"/>
        <w:rPr>
          <w:rFonts w:ascii="Times New Roman" w:hAnsi="Times New Roman" w:cs="Times New Roman"/>
          <w:sz w:val="24"/>
          <w:szCs w:val="24"/>
        </w:rPr>
      </w:pPr>
    </w:p>
    <w:p w:rsidR="00F90AFB" w:rsidRDefault="00F90AFB">
      <w:pPr>
        <w:spacing w:after="0" w:line="480" w:lineRule="auto"/>
        <w:jc w:val="center"/>
        <w:rPr>
          <w:rFonts w:ascii="Times New Roman" w:hAnsi="Times New Roman" w:cs="Times New Roman"/>
          <w:sz w:val="24"/>
          <w:szCs w:val="24"/>
        </w:rPr>
      </w:pPr>
    </w:p>
    <w:p w:rsidR="00F90AFB" w:rsidRPr="003D4316" w:rsidRDefault="00A91B8B">
      <w:pPr>
        <w:spacing w:after="0" w:line="480" w:lineRule="auto"/>
        <w:jc w:val="center"/>
        <w:rPr>
          <w:rFonts w:ascii="Times New Roman" w:hAnsi="Times New Roman" w:cs="Times New Roman"/>
          <w:b/>
          <w:sz w:val="24"/>
          <w:szCs w:val="24"/>
        </w:rPr>
      </w:pPr>
      <w:r w:rsidRPr="003D4316">
        <w:rPr>
          <w:rFonts w:ascii="Times New Roman" w:hAnsi="Times New Roman" w:cs="Times New Roman"/>
          <w:b/>
          <w:sz w:val="24"/>
          <w:szCs w:val="24"/>
        </w:rPr>
        <w:t>Contract Law: Duress and Undue Influence</w:t>
      </w:r>
    </w:p>
    <w:p w:rsidR="00F90AFB" w:rsidRPr="003D4316" w:rsidRDefault="00F90AFB">
      <w:pPr>
        <w:spacing w:after="0" w:line="480" w:lineRule="auto"/>
        <w:jc w:val="center"/>
        <w:rPr>
          <w:rFonts w:ascii="Times New Roman" w:hAnsi="Times New Roman" w:cs="Times New Roman"/>
          <w:b/>
          <w:sz w:val="24"/>
          <w:szCs w:val="24"/>
        </w:rPr>
      </w:pPr>
    </w:p>
    <w:p w:rsidR="00F90AFB" w:rsidRPr="003D4316" w:rsidRDefault="00F90AFB">
      <w:pPr>
        <w:spacing w:after="0" w:line="480" w:lineRule="auto"/>
        <w:jc w:val="center"/>
        <w:rPr>
          <w:rFonts w:ascii="Times New Roman" w:hAnsi="Times New Roman" w:cs="Times New Roman"/>
          <w:b/>
          <w:sz w:val="24"/>
          <w:szCs w:val="24"/>
        </w:rPr>
      </w:pPr>
    </w:p>
    <w:p w:rsidR="00F90AFB" w:rsidRPr="003D4316" w:rsidRDefault="00F90AFB">
      <w:pPr>
        <w:spacing w:after="0" w:line="480" w:lineRule="auto"/>
        <w:jc w:val="center"/>
        <w:rPr>
          <w:rFonts w:ascii="Times New Roman" w:hAnsi="Times New Roman" w:cs="Times New Roman"/>
          <w:b/>
          <w:sz w:val="24"/>
          <w:szCs w:val="24"/>
        </w:rPr>
      </w:pPr>
    </w:p>
    <w:p w:rsidR="00F90AFB" w:rsidRPr="003D4316" w:rsidRDefault="00F90AFB">
      <w:pPr>
        <w:spacing w:after="0" w:line="480" w:lineRule="auto"/>
        <w:jc w:val="center"/>
        <w:rPr>
          <w:rFonts w:ascii="Times New Roman" w:hAnsi="Times New Roman" w:cs="Times New Roman"/>
          <w:b/>
          <w:sz w:val="24"/>
          <w:szCs w:val="24"/>
        </w:rPr>
      </w:pPr>
    </w:p>
    <w:p w:rsidR="00F90AFB" w:rsidRPr="003D4316" w:rsidRDefault="00F90AFB">
      <w:pPr>
        <w:spacing w:after="0" w:line="480" w:lineRule="auto"/>
        <w:jc w:val="center"/>
        <w:rPr>
          <w:rFonts w:ascii="Times New Roman" w:hAnsi="Times New Roman" w:cs="Times New Roman"/>
          <w:b/>
          <w:sz w:val="24"/>
          <w:szCs w:val="24"/>
        </w:rPr>
      </w:pPr>
    </w:p>
    <w:p w:rsidR="00F90AFB" w:rsidRPr="003D4316" w:rsidRDefault="00F90AFB">
      <w:pPr>
        <w:spacing w:after="0" w:line="480" w:lineRule="auto"/>
        <w:jc w:val="center"/>
        <w:rPr>
          <w:rFonts w:ascii="Times New Roman" w:hAnsi="Times New Roman" w:cs="Times New Roman"/>
          <w:b/>
          <w:sz w:val="24"/>
          <w:szCs w:val="24"/>
        </w:rPr>
      </w:pPr>
    </w:p>
    <w:p w:rsidR="00F90AFB" w:rsidRPr="003D4316" w:rsidRDefault="00F90AFB">
      <w:pPr>
        <w:spacing w:after="0" w:line="480" w:lineRule="auto"/>
        <w:jc w:val="center"/>
        <w:rPr>
          <w:rFonts w:ascii="Times New Roman" w:hAnsi="Times New Roman" w:cs="Times New Roman"/>
          <w:b/>
          <w:sz w:val="24"/>
          <w:szCs w:val="24"/>
        </w:rPr>
      </w:pPr>
    </w:p>
    <w:p w:rsidR="00F90AFB" w:rsidRPr="003D4316" w:rsidRDefault="00F90AFB">
      <w:pPr>
        <w:spacing w:after="0" w:line="480" w:lineRule="auto"/>
        <w:jc w:val="center"/>
        <w:rPr>
          <w:rFonts w:ascii="Times New Roman" w:hAnsi="Times New Roman" w:cs="Times New Roman"/>
          <w:b/>
          <w:sz w:val="24"/>
          <w:szCs w:val="24"/>
        </w:rPr>
      </w:pPr>
    </w:p>
    <w:p w:rsidR="00F90AFB" w:rsidRPr="003D4316" w:rsidRDefault="00F90AFB">
      <w:pPr>
        <w:spacing w:after="0" w:line="480" w:lineRule="auto"/>
        <w:jc w:val="center"/>
        <w:rPr>
          <w:rFonts w:ascii="Times New Roman" w:hAnsi="Times New Roman" w:cs="Times New Roman"/>
          <w:b/>
          <w:sz w:val="24"/>
          <w:szCs w:val="24"/>
        </w:rPr>
      </w:pPr>
    </w:p>
    <w:p w:rsidR="00F90AFB" w:rsidRPr="003D4316" w:rsidRDefault="00F90AFB">
      <w:pPr>
        <w:spacing w:after="0" w:line="480" w:lineRule="auto"/>
        <w:jc w:val="center"/>
        <w:rPr>
          <w:rFonts w:ascii="Times New Roman" w:hAnsi="Times New Roman" w:cs="Times New Roman"/>
          <w:b/>
          <w:sz w:val="24"/>
          <w:szCs w:val="24"/>
        </w:rPr>
      </w:pPr>
    </w:p>
    <w:p w:rsidR="00F90AFB" w:rsidRPr="003D4316" w:rsidRDefault="00F90AFB">
      <w:pPr>
        <w:spacing w:after="0" w:line="480" w:lineRule="auto"/>
        <w:jc w:val="center"/>
        <w:rPr>
          <w:rFonts w:ascii="Times New Roman" w:hAnsi="Times New Roman" w:cs="Times New Roman"/>
          <w:b/>
          <w:sz w:val="24"/>
          <w:szCs w:val="24"/>
        </w:rPr>
      </w:pPr>
    </w:p>
    <w:p w:rsidR="00F90AFB" w:rsidRPr="003D4316" w:rsidRDefault="00F90AFB">
      <w:pPr>
        <w:spacing w:after="0" w:line="480" w:lineRule="auto"/>
        <w:jc w:val="center"/>
        <w:rPr>
          <w:rFonts w:ascii="Times New Roman" w:hAnsi="Times New Roman" w:cs="Times New Roman"/>
          <w:b/>
          <w:sz w:val="24"/>
          <w:szCs w:val="24"/>
        </w:rPr>
      </w:pPr>
    </w:p>
    <w:p w:rsidR="00F90AFB" w:rsidRPr="003D4316" w:rsidRDefault="00F90AFB">
      <w:pPr>
        <w:spacing w:after="0" w:line="480" w:lineRule="auto"/>
        <w:jc w:val="center"/>
        <w:rPr>
          <w:rFonts w:ascii="Times New Roman" w:hAnsi="Times New Roman" w:cs="Times New Roman"/>
          <w:b/>
          <w:sz w:val="24"/>
          <w:szCs w:val="24"/>
        </w:rPr>
      </w:pPr>
    </w:p>
    <w:p w:rsidR="00F90AFB" w:rsidRPr="003D4316" w:rsidRDefault="00F90AFB">
      <w:pPr>
        <w:spacing w:after="0" w:line="480" w:lineRule="auto"/>
        <w:jc w:val="center"/>
        <w:rPr>
          <w:rFonts w:ascii="Times New Roman" w:hAnsi="Times New Roman" w:cs="Times New Roman"/>
          <w:b/>
          <w:sz w:val="24"/>
          <w:szCs w:val="24"/>
        </w:rPr>
      </w:pP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lastRenderedPageBreak/>
        <w:tab/>
        <w:t xml:space="preserve">The concept based on contract freedom is a fundamental aspect of contract law within the common law system. Contact freedom is known as the will and ability to abstain or initiate a binding obligation that the law enforces. If the requirements are not fully integrated, the application of the contract as a strategy will eventually fail in satisfying the interests of the contracting individuals. Additionally, according to the Sampson V Numerical Printing company case, there is a concept that is more than the integrated policy needs (Bagnoli, 2018 p 87). It is the enhancement of contacting liberty. Once a contract is entered voluntarily and freely, the courts of justice are responsible for the enforcement, or the contacts are held sacred. On the other hand, English Contract law states that if the parties enter into a contract, the contract transaction is initiated to provide significant aspects. Therefore, the concept of freedom in aspects that evolve around contracts is viewed as a theory of economic utilitarian’s and individual autonomy theory within social wealth maximization. According to English law, individuals possess the right to self-fulfillment regardless of whether they do not violate or offend others against the morality or constitutional order. Enonchong (2021 p 97) states that an individual constitutional right is based on the concept of Freedom of contract as well as individual freedom. The interest of a specific part can come into conflict with the legitimate expectations of the contractual party, which can involve the initiation of the specific promise performance. In such a case, the expectations are not developed if the party processes the reasons to acknowledge that the given agreement is not provided freely. In this case, the contractual parties' interests’ allocation leads to the involvement of the legal requirements to control the defense defect consent scope (Pieterse, 2019 p 85). </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lastRenderedPageBreak/>
        <w:tab/>
        <w:t xml:space="preserve">Additionally, it will also lead to integrating the legal requirement to control the freedom of contract violation by one party.  Therefore if one party did not make significant decisions freely, this would impact the legal relationship certainty. </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Impairment of freedom of contract is possible where the contracting party's consent has been gained through pressure regarded by the law as ineffective. Hence, entitlement to relief is enhanced to the Victim encountering this form of pressure (Tan, 2002 p 93). The pressure is exercised through undue influence and duress. Including the following arguments, the paper's main aim is to explore the doctrine of undue influence and duress to establish whether the concept consists of significant law applicability against contacts (Pawlowski, 2001 p 79). The paper provides a historical account of the development of both the undue influence and duress of common law. It provides a significant definition and meaning of both the doctrines and applicability in various cases. Finally, the following work will provide distinctive aspects of both the doctrines based on the historical applicability and the expansion of some of the contexts in modern society and provide a clear analysis of the doctrine's applicability against unconscionable contracts.</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ab/>
        <w:t xml:space="preserve">There lacks a significant tests to differentiate illegitimate pressure from commercial bargaining. Commercial bargaining exists when a specific party is stronger in positions that involve bargaining than the other party (Bagnoli, 2018 p 89). In determining the presence of illegitimate pressure, the courts include various aspects on whether there has been a threatened or actual contract breach, whether the exerting pressure from the party is bad or goodwill, and whether the innocent party protested in time relied on the contract. </w:t>
      </w:r>
    </w:p>
    <w:p w:rsidR="00F90AFB" w:rsidRPr="003D4316" w:rsidRDefault="00A91B8B">
      <w:pPr>
        <w:spacing w:after="0" w:line="480" w:lineRule="auto"/>
        <w:rPr>
          <w:rFonts w:ascii="Times New Roman" w:hAnsi="Times New Roman" w:cs="Times New Roman"/>
          <w:b/>
          <w:bCs/>
          <w:sz w:val="24"/>
          <w:szCs w:val="24"/>
        </w:rPr>
      </w:pPr>
      <w:r w:rsidRPr="003D4316">
        <w:rPr>
          <w:rFonts w:ascii="Times New Roman" w:hAnsi="Times New Roman" w:cs="Times New Roman"/>
          <w:b/>
          <w:bCs/>
          <w:sz w:val="24"/>
          <w:szCs w:val="24"/>
        </w:rPr>
        <w:t xml:space="preserve">Historical background </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lastRenderedPageBreak/>
        <w:tab/>
        <w:t xml:space="preserve">Historically various legal researchers have proved that undue influence and duress doctrines developed in the late years of the nineteenth century. Various researches indicate that the duress consists of its roots from the common law. At the same time, the undue influence developed from the equitable doctrine, which resulted from the jurisdiction of equity to provide effective solutions in various conditions where a specific party integrates unacceptable contracts, and the Duress common law cannot accommodate that. Therefore, considering that these doctrines compose various distinctive applicability and concepts, it is important to understand that the concepts have undergone a total overhaul and development over the years under English law. The development of the duress doctrine traditionally is within the common law, whereas the undue influence doctrine is enhanced in equity. These doctrines revolve around the protection of contract freedom (Bagnoli, 2018 p 89). Historically, undue influence and coercion have been applied in areas where there is a lack of voluntariness or consent. The following traditional viewpoints have been criticized since they are obscure as they do not provide precise guidance to the appropriate applied law. </w:t>
      </w:r>
    </w:p>
    <w:p w:rsidR="00F90AFB" w:rsidRPr="003D4316" w:rsidRDefault="00A91B8B">
      <w:pPr>
        <w:spacing w:after="0" w:line="480" w:lineRule="auto"/>
        <w:rPr>
          <w:rFonts w:ascii="Times New Roman" w:hAnsi="Times New Roman" w:cs="Times New Roman"/>
          <w:b/>
          <w:bCs/>
          <w:sz w:val="24"/>
          <w:szCs w:val="24"/>
        </w:rPr>
      </w:pPr>
      <w:r w:rsidRPr="003D4316">
        <w:rPr>
          <w:rFonts w:ascii="Times New Roman" w:hAnsi="Times New Roman" w:cs="Times New Roman"/>
          <w:b/>
          <w:bCs/>
          <w:sz w:val="24"/>
          <w:szCs w:val="24"/>
        </w:rPr>
        <w:t xml:space="preserve">Duress </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 xml:space="preserve">The English common law recognizes the doctrine of duress and the following illustrate various example of the initiation of the concept </w:t>
      </w:r>
    </w:p>
    <w:p w:rsidR="00F90AFB" w:rsidRPr="003D4316" w:rsidRDefault="00A91B8B">
      <w:pPr>
        <w:pStyle w:val="ListParagraph"/>
        <w:numPr>
          <w:ilvl w:val="0"/>
          <w:numId w:val="1"/>
        </w:num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 xml:space="preserve">Barton v Armstrong (1976) is an example of Doctrine of Duress by violence threats. </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 xml:space="preserve">This type of duress is self-explanatory and includes the specific party proving that violence was used in order to enter into a contract then the contract would be voidable. The two significant requirements of this type of duress includes the impact of the threats applied to force the claimant to enter into the contract and the threat’s nature must be significant to duress amount.  </w:t>
      </w:r>
    </w:p>
    <w:p w:rsidR="00F90AFB" w:rsidRPr="003D4316" w:rsidRDefault="00A91B8B">
      <w:pPr>
        <w:pStyle w:val="ListParagraph"/>
        <w:numPr>
          <w:ilvl w:val="0"/>
          <w:numId w:val="1"/>
        </w:numPr>
        <w:spacing w:after="0" w:line="480" w:lineRule="auto"/>
        <w:rPr>
          <w:rFonts w:ascii="Times New Roman" w:hAnsi="Times New Roman" w:cs="Times New Roman"/>
          <w:sz w:val="24"/>
          <w:szCs w:val="24"/>
        </w:rPr>
      </w:pPr>
      <w:r w:rsidRPr="003D4316">
        <w:rPr>
          <w:rFonts w:ascii="Times New Roman" w:hAnsi="Times New Roman" w:cs="Times New Roman"/>
          <w:sz w:val="24"/>
          <w:szCs w:val="24"/>
        </w:rPr>
        <w:lastRenderedPageBreak/>
        <w:t xml:space="preserve">Williams V Barley (1886) case is an example of Doctrine of duress by imprisonment threats </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D&amp;C Builders v Rees (1966) case is an example of Doctrine of Duress by economic pressure</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ab/>
        <w:t>The agreements of contacts made are based on some form of pressure, and a specific threat backs the offer of the contract. Since the individual who is the (offeror) includes some implications of threats unless the other party agrees to the offered terms, the beneficial aspects included in the contract are not being offered (Bagnoli, 2018 p 88). Therefore duress is the application of illegitimate violence or threat by a specific party to initiate the other party to enter into a contract. The duress applies in cases where proof is made by one party that he coerced to get into a contract due to the actual threat of violence. However, since it is accepted that contractual provision is enhanced through some form of threat or pressure. The idea is that the offending party threat must be significant to be considered as duress. Therefore, the courts applied significant tests to determine the form of threat, whether it is illegal to illegitimate. In some cases, the court has identified that some threats may result in coercion. A practical significance of this concept is found in Braton V Australian court, which is prevalently referred by the English court. According to the case, Barton entered into a contractual agreement with Armstrong due to purchasing Armstrong-owned shares. In regard, the Barton duress person was established and ruled by the court that Armstrong strived to kill Barton on various occasions if he failed to get into the agreement (Yee 2008, p 84).</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ab/>
        <w:t xml:space="preserve">Currently, the duress doctrine has highly changed and includes various aspects which involve economic duress and coercion to good. Concerning duress to goods, the historical notion was that fear of goods would be injured or taken away did not deprive free agency in an individual. Regarding this, contacting the party's goods unlawful detection did not incur duress. </w:t>
      </w:r>
      <w:r w:rsidRPr="003D4316">
        <w:rPr>
          <w:rFonts w:ascii="Times New Roman" w:hAnsi="Times New Roman" w:cs="Times New Roman"/>
          <w:sz w:val="24"/>
          <w:szCs w:val="24"/>
        </w:rPr>
        <w:lastRenderedPageBreak/>
        <w:t xml:space="preserve">The following traditional view has not been exempted. It is still found within English law. A significant illustration of the duress to goods is viewed under the Horner and Maskell case, whereby the claimant applied threats over the demanded tolls of the defendant. If there were a failure of toll payment on time, the goods would be seized. The ruling og the court held that the claimant's payments on the tolls were recoverable since they paid tolls were to avoid claims goods seizure. </w:t>
      </w:r>
    </w:p>
    <w:p w:rsidR="00F90AFB" w:rsidRPr="003D4316" w:rsidRDefault="00A91B8B">
      <w:pPr>
        <w:spacing w:after="0" w:line="480" w:lineRule="auto"/>
        <w:rPr>
          <w:rFonts w:ascii="Times New Roman" w:hAnsi="Times New Roman" w:cs="Times New Roman"/>
          <w:b/>
          <w:bCs/>
          <w:sz w:val="24"/>
          <w:szCs w:val="24"/>
        </w:rPr>
      </w:pPr>
      <w:r w:rsidRPr="003D4316">
        <w:rPr>
          <w:rFonts w:ascii="Times New Roman" w:hAnsi="Times New Roman" w:cs="Times New Roman"/>
          <w:b/>
          <w:bCs/>
          <w:sz w:val="24"/>
          <w:szCs w:val="24"/>
        </w:rPr>
        <w:t>The economic pressure Duress</w:t>
      </w:r>
    </w:p>
    <w:p w:rsidR="00F90AFB" w:rsidRPr="003D4316" w:rsidRDefault="00A91B8B">
      <w:pPr>
        <w:spacing w:after="0" w:line="480" w:lineRule="auto"/>
        <w:ind w:firstLine="720"/>
        <w:rPr>
          <w:rFonts w:ascii="Times New Roman" w:hAnsi="Times New Roman" w:cs="Times New Roman"/>
          <w:sz w:val="24"/>
          <w:szCs w:val="24"/>
        </w:rPr>
      </w:pPr>
      <w:r w:rsidRPr="003D4316">
        <w:rPr>
          <w:rFonts w:ascii="Times New Roman" w:hAnsi="Times New Roman" w:cs="Times New Roman"/>
          <w:sz w:val="24"/>
          <w:szCs w:val="24"/>
        </w:rPr>
        <w:t xml:space="preserve">Duress through economic pressure involves the integration of specific threats based on the financial interests of an individual. The following type of duress had not been viewed as a significant aspect of duress until the development of the Siboen and the Sibitre (1977). the scenario if the following type of duress involves both the parties negotiate a contract. Threats are imposed by Party B to breach the contact incase negotiations are not effectively made. Party A lacks an option and finally renegotiates as a result of the potential results imposed by party B . therefore, according to this case, Party B choice of breaching the contract can consists unwanted results not applicable to Party B.  if the breach of contract is made by Party B then Party A will carry the liable damages. This type of duress doctrine needs the integration of fine balance with the society commercial requirements. </w:t>
      </w:r>
    </w:p>
    <w:p w:rsidR="00F90AFB" w:rsidRPr="003D4316" w:rsidRDefault="00A91B8B">
      <w:pPr>
        <w:spacing w:after="0" w:line="480" w:lineRule="auto"/>
        <w:ind w:firstLine="720"/>
        <w:rPr>
          <w:rFonts w:ascii="Times New Roman" w:hAnsi="Times New Roman" w:cs="Times New Roman"/>
          <w:sz w:val="24"/>
          <w:szCs w:val="24"/>
        </w:rPr>
      </w:pPr>
      <w:r w:rsidRPr="003D4316">
        <w:rPr>
          <w:rFonts w:ascii="Times New Roman" w:hAnsi="Times New Roman" w:cs="Times New Roman"/>
          <w:sz w:val="24"/>
          <w:szCs w:val="24"/>
        </w:rPr>
        <w:t xml:space="preserve">The economic duress is a form of common law duress whereby the actual undue influence is fused to various advocate commentators. The overlaps arise due to one party gaining significant benefit due to the other party's superiority that enhances pressure on the other party to agree to enter into the contract. This type of duress is also enhanced in It has become prevalent in PAO On v Lau Liu Long (Ogilvie 2001 p 194). According to the case, the claimants owned the defendant's shares in a private company in which the defendants possessed significant shares </w:t>
      </w:r>
      <w:r w:rsidRPr="003D4316">
        <w:rPr>
          <w:rFonts w:ascii="Times New Roman" w:hAnsi="Times New Roman" w:cs="Times New Roman"/>
          <w:sz w:val="24"/>
          <w:szCs w:val="24"/>
        </w:rPr>
        <w:lastRenderedPageBreak/>
        <w:t>from a public company. The claimants then agreed to sell some of the shares to a public company that would eventually issue shares to the claimants. It resulted in various concerns to the defendants that the overall strategy would eventually depress the company's share prices.</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 xml:space="preserve">The agreement was showed 60% of the shares were retained, which led to the claimants seeking protection due to a share price fall (Bagnoli, 2018 p 89). It was not until then that the claimants realized that the strategy would eventually result in a profit deprivation of the values of the shares leading to claimants' failure to complete the agreement. The party would eventually cooperate if the defendants agreed to the termination of the subsidiary agreement and considered the share price indemnity (Murugan, 2020 p 208).  The main concern presented by the defendants was as a result of the company's reputation if the dispute would persist, they agreed. Later the prices of the shares dropped significantly, and the claimants relied on the share price indemnity, which the defendants later refused; hence the claimants sued against breach of contacts. The arguments presented by the defendants signified that the indemnity was unenforceable as a result of lack of consideration and extracted the concept by duress.  According to the case, the Privy Council established various aspects to include in accessing the presence of economic duress. These included whether the coerced individual protested, whether the individual possessed any other options based on the action course, whether they received advice independently, and finally, whether initial steps were undertaken while getting into the contract (Yee 2008, p 85).  </w:t>
      </w:r>
      <w:r w:rsidRPr="003D4316">
        <w:rPr>
          <w:rFonts w:ascii="Times New Roman" w:hAnsi="Times New Roman" w:cs="Times New Roman"/>
          <w:sz w:val="24"/>
          <w:szCs w:val="24"/>
        </w:rPr>
        <w:tab/>
        <w:t xml:space="preserve">Therefore, according to the case, the defendant did not protest, and specific performance measures could be integrated to enforce the contract of sale, hence possessing a different redress avenue. The defendant had also initiated legal advice but lacked significant steps in avoiding the contact. In this case, there is a lack of establishment of economic duress; otherwise, it was an integrated commercial pressure instead of duress (Maher 2018 p </w:t>
      </w:r>
      <w:r w:rsidRPr="003D4316">
        <w:rPr>
          <w:rFonts w:ascii="Times New Roman" w:hAnsi="Times New Roman" w:cs="Times New Roman"/>
          <w:sz w:val="24"/>
          <w:szCs w:val="24"/>
        </w:rPr>
        <w:lastRenderedPageBreak/>
        <w:t>109).  Therefore according to Lord Scarman, the case proposed two important key principles of the doctrine, which involved the illegitimate threat and pressure, and the threat or pressure bust influence an individual to indulge in a specific contact. In the current legal systems, the duress necessity and defenses involve cases where the defendant breaks the law in areas where threats constrain the choice of freedom. In this case, since the defendant does not want the threats to be integrated, the choice of breaking the law becomes evident.</w:t>
      </w:r>
    </w:p>
    <w:p w:rsidR="00F90AFB" w:rsidRPr="003D4316" w:rsidRDefault="00A91B8B">
      <w:pPr>
        <w:spacing w:after="0" w:line="480" w:lineRule="auto"/>
        <w:rPr>
          <w:rFonts w:ascii="Times New Roman" w:hAnsi="Times New Roman" w:cs="Times New Roman"/>
          <w:b/>
          <w:bCs/>
          <w:sz w:val="24"/>
          <w:szCs w:val="24"/>
        </w:rPr>
      </w:pPr>
      <w:r w:rsidRPr="003D4316">
        <w:rPr>
          <w:rFonts w:ascii="Times New Roman" w:hAnsi="Times New Roman" w:cs="Times New Roman"/>
          <w:b/>
          <w:bCs/>
          <w:sz w:val="24"/>
          <w:szCs w:val="24"/>
        </w:rPr>
        <w:tab/>
        <w:t xml:space="preserve">Undue influence </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Under English Contract law, the undue influence doctrine is effectively established in various approaches. However, striving to include a significant definition of the concept has been a complex challenge. Despite the concept lacking a significant definition, the overall concept involves benefiting through the use of power to gain an unfair advantage by a specific stronger party against another party (Kalondo, P.J., 2020 p 153). It is due to improper and unfair conduct, outside coercion, cheating, overreaching, or any other personal significance included by the stronger party. Undue influence is divided in two different types according to the Barclays Bank Plc v O’Brien by Lord Wilkinson</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 xml:space="preserve">The first type of undue influence includes the Actual undue influence while the second type includes the presumed undue influence which is further categorized into two aspects, 2a, The protected Relationships and 2b other forms of cases. The protected cases involve presumptions of predetermined relationships that lead to presumed influence. on the other hand, the second form of undue influence involves other cases represented by relationship where by presumptions of influence can be enhanced but they are not integrated automatically. Therefore, according to the case concerning category 2a, there lacks a significant prove from the claimant that the relationship led to the presumed influence. however, by integrating the concept of relationship </w:t>
      </w:r>
      <w:r w:rsidRPr="003D4316">
        <w:rPr>
          <w:rFonts w:ascii="Times New Roman" w:hAnsi="Times New Roman" w:cs="Times New Roman"/>
          <w:sz w:val="24"/>
          <w:szCs w:val="24"/>
        </w:rPr>
        <w:lastRenderedPageBreak/>
        <w:t>virtue this is effectively proven. In this case, it is important for the claimant to provide a significant prove that the relationship nature was exploited by the Party (Chen-Wishart, 2006 p 231).  On the other hand, in 2b category the claimants need to provide a significant prove that that the relationship possessed a significant impact towards the integration of the influence</w:t>
      </w:r>
    </w:p>
    <w:p w:rsidR="00F90AFB" w:rsidRPr="003D4316" w:rsidRDefault="00F90AFB">
      <w:pPr>
        <w:spacing w:after="0" w:line="480" w:lineRule="auto"/>
        <w:rPr>
          <w:rFonts w:ascii="Times New Roman" w:hAnsi="Times New Roman" w:cs="Times New Roman"/>
          <w:sz w:val="24"/>
          <w:szCs w:val="24"/>
        </w:rPr>
      </w:pP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 xml:space="preserve">Additionally, according to Hew V National Commercial Bank case, Lord Millet proposed that the application of undue influence provides the fundamental aspects in which intervention of equity is enhanced to provide redress in a case where unconscionable conduct on the defendant’s part (Maher 2018 p 109). Under the influence involves the integration of two important principles, which involve the presence of a significant relationship that enhances the development of influence and the presence of influence that is abused by the generated relationship. </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ab/>
        <w:t xml:space="preserve">It is important to note that the undue influence was created to complement the duress doctrine, which was narrow as an equitable doctrine. It was enhanced as a mechanism of protecting the contracting party's will or consent impaired by subtle pressure or influences that are not in the capabilities of the common law duress (Ceil, 2015 p 65). Therefore, in this case, undue influence, unlike duress, can be enhanced effectively in aspects where there is no significant threat to illegitimate threat. It implies that the contract sufficiency is enhanced due to unacceptable or improper conduct exerted by a specific influential or stronger party to the other weaker party. For instance, a significant case example based on undue influence is the Attorney General of Wales and the England V R Case. Lord Hoffman argues that undue influence contrasts with the duress at common law since its fundamental principle is that unacceptable consent strategies over a transaction are not integrated (Maher 2018 p 107). The concept is based </w:t>
      </w:r>
      <w:r w:rsidRPr="003D4316">
        <w:rPr>
          <w:rFonts w:ascii="Times New Roman" w:hAnsi="Times New Roman" w:cs="Times New Roman"/>
          <w:sz w:val="24"/>
          <w:szCs w:val="24"/>
        </w:rPr>
        <w:lastRenderedPageBreak/>
        <w:t xml:space="preserve">upon exploiting one party in an unfair approach, which gives the party the influence or ascendancy over the other party. </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ab/>
        <w:t xml:space="preserve">The English court included effective mechanisms to clarify the legal aspects of undue influence and developed different doctrine classes, including the presumed and actual undue influences. Presumed undue influence involves incurrence of the influence from two parties where one of the individuals possesses a significance ascendancy to influence takes initiates significant advantage over the other party. On the other hand, the actual undue influence integrates the lack of a significant relationship between the two parties for the other party to become effective successfully. Therefore, in this case, the victim's evidential prospects are to detrainment that he did not sign or get into the contract willingly. Undue pressure from the influential contracted party is enhanced by using power and superiority in the agreement of the contract. </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ab/>
        <w:t xml:space="preserve">Concerning the following argument, it is important to note that to exempt confusions and misconceptions concerning undue influence concepts, especially in understanding its meaning by considering the concepts enhanced by the Etridge V Scotland Royal Bank. Ethridge provides significant elements that propose the current strategies by integrating important principles to apply undue influence (Andrew 2011, p 324). These principles include the proof from the influenced party integrated confidence and trust that led to the evolution of a relationship and towards the contract agreement. Additionally, it must prove that the victim transactions integrate an explanation that will result from the influence of the other party. </w:t>
      </w:r>
    </w:p>
    <w:p w:rsidR="00F90AFB" w:rsidRPr="003D4316" w:rsidRDefault="00A91B8B">
      <w:pPr>
        <w:spacing w:after="0" w:line="480" w:lineRule="auto"/>
        <w:rPr>
          <w:rFonts w:ascii="Times New Roman" w:hAnsi="Times New Roman" w:cs="Times New Roman"/>
          <w:b/>
          <w:sz w:val="24"/>
          <w:szCs w:val="24"/>
        </w:rPr>
      </w:pPr>
      <w:r w:rsidRPr="003D4316">
        <w:rPr>
          <w:rFonts w:ascii="Times New Roman" w:hAnsi="Times New Roman" w:cs="Times New Roman"/>
          <w:b/>
          <w:sz w:val="24"/>
          <w:szCs w:val="24"/>
        </w:rPr>
        <w:t xml:space="preserve">Conclusion </w:t>
      </w:r>
    </w:p>
    <w:p w:rsidR="00F90AFB" w:rsidRPr="003D4316" w:rsidRDefault="00A91B8B">
      <w:pPr>
        <w:spacing w:after="0" w:line="480" w:lineRule="auto"/>
        <w:rPr>
          <w:rFonts w:ascii="Times New Roman" w:hAnsi="Times New Roman" w:cs="Times New Roman"/>
          <w:sz w:val="24"/>
          <w:szCs w:val="24"/>
        </w:rPr>
      </w:pPr>
      <w:r w:rsidRPr="003D4316">
        <w:rPr>
          <w:rFonts w:ascii="Times New Roman" w:hAnsi="Times New Roman" w:cs="Times New Roman"/>
          <w:sz w:val="24"/>
          <w:szCs w:val="24"/>
        </w:rPr>
        <w:t xml:space="preserve">The following paper has sought to provide a comprehensive discussion on the courts' approaches to advocating a contract entered into due to pressure or threats by one party of the agreement </w:t>
      </w:r>
      <w:r w:rsidRPr="003D4316">
        <w:rPr>
          <w:rFonts w:ascii="Times New Roman" w:hAnsi="Times New Roman" w:cs="Times New Roman"/>
          <w:sz w:val="24"/>
          <w:szCs w:val="24"/>
        </w:rPr>
        <w:lastRenderedPageBreak/>
        <w:t>upon the other party.  It has also examined the distinct and related doctrines of both the undue influence and duress on the approaches of whether their contexts are significant in dealing with unconscionable contracts through the integration of appropriate laws. Therefore, the following study has effectively concluded that despite the dominating debate in both the academic and judicial contexts concerning the scope and significance of undue and duress influence, these concepts have been expanded and clarified by the English law over the decades in an approach that the unacceptable conducts categorized by the law as either undue influence and duress are more prevalent in the current world as compared to the 19th century during the development of the principles. Accordingly, it argued that undue influence and duress are composed of significant laws dealing with unconscionable contracts primarily, in contracts based on the contracting party integrating some conduct to obtain the other party’s consent amounting to either undue influence or duress that the court would find appropriate.</w:t>
      </w:r>
    </w:p>
    <w:p w:rsidR="00F90AFB" w:rsidRPr="003D4316" w:rsidRDefault="00A91B8B">
      <w:pPr>
        <w:spacing w:after="0" w:line="480" w:lineRule="auto"/>
        <w:rPr>
          <w:rFonts w:ascii="Times New Roman" w:hAnsi="Times New Roman" w:cs="Times New Roman"/>
          <w:b/>
          <w:sz w:val="24"/>
          <w:szCs w:val="24"/>
        </w:rPr>
      </w:pPr>
      <w:r w:rsidRPr="003D4316">
        <w:rPr>
          <w:rFonts w:ascii="Times New Roman" w:hAnsi="Times New Roman" w:cs="Times New Roman"/>
          <w:b/>
          <w:sz w:val="24"/>
          <w:szCs w:val="24"/>
        </w:rPr>
        <w:t xml:space="preserve">Bibliography </w:t>
      </w:r>
    </w:p>
    <w:p w:rsidR="00F90AFB" w:rsidRPr="003D4316" w:rsidRDefault="00A91B8B">
      <w:pPr>
        <w:spacing w:after="0" w:line="480" w:lineRule="auto"/>
        <w:ind w:left="720" w:hanging="720"/>
        <w:rPr>
          <w:rFonts w:ascii="Times New Roman" w:hAnsi="Times New Roman" w:cs="Times New Roman"/>
          <w:sz w:val="24"/>
          <w:szCs w:val="24"/>
        </w:rPr>
      </w:pPr>
      <w:bookmarkStart w:id="0" w:name="_Hlk89437280"/>
      <w:r w:rsidRPr="003D4316">
        <w:rPr>
          <w:rFonts w:ascii="Times New Roman" w:hAnsi="Times New Roman" w:cs="Times New Roman"/>
          <w:sz w:val="24"/>
          <w:szCs w:val="24"/>
        </w:rPr>
        <w:t xml:space="preserve">Andrew N 2011, </w:t>
      </w:r>
      <w:bookmarkEnd w:id="0"/>
      <w:r w:rsidRPr="003D4316">
        <w:rPr>
          <w:rFonts w:ascii="Times New Roman" w:hAnsi="Times New Roman" w:cs="Times New Roman"/>
          <w:sz w:val="24"/>
          <w:szCs w:val="24"/>
        </w:rPr>
        <w:t>Chapter 11: Duress, undue influence and unconscionability; Cabridge University press pp. 306 – 342</w:t>
      </w:r>
    </w:p>
    <w:p w:rsidR="00F90AFB" w:rsidRPr="003D4316" w:rsidRDefault="00A91B8B">
      <w:pPr>
        <w:spacing w:after="0" w:line="480" w:lineRule="auto"/>
        <w:ind w:left="720" w:hanging="720"/>
        <w:rPr>
          <w:rFonts w:ascii="Times New Roman" w:hAnsi="Times New Roman" w:cs="Times New Roman"/>
          <w:sz w:val="24"/>
          <w:szCs w:val="24"/>
        </w:rPr>
      </w:pPr>
      <w:r w:rsidRPr="003D4316">
        <w:rPr>
          <w:rFonts w:ascii="Times New Roman" w:hAnsi="Times New Roman" w:cs="Times New Roman"/>
          <w:sz w:val="24"/>
          <w:szCs w:val="24"/>
        </w:rPr>
        <w:t>Bagnoli, C., 2018. Claiming responsibility for action under duress. </w:t>
      </w:r>
      <w:r w:rsidRPr="003D4316">
        <w:rPr>
          <w:rFonts w:ascii="Times New Roman" w:hAnsi="Times New Roman" w:cs="Times New Roman"/>
          <w:i/>
          <w:iCs/>
          <w:sz w:val="24"/>
          <w:szCs w:val="24"/>
        </w:rPr>
        <w:t>Ethical Theory and Moral Practice</w:t>
      </w:r>
      <w:r w:rsidRPr="003D4316">
        <w:rPr>
          <w:rFonts w:ascii="Times New Roman" w:hAnsi="Times New Roman" w:cs="Times New Roman"/>
          <w:sz w:val="24"/>
          <w:szCs w:val="24"/>
        </w:rPr>
        <w:t>, </w:t>
      </w:r>
      <w:r w:rsidRPr="003D4316">
        <w:rPr>
          <w:rFonts w:ascii="Times New Roman" w:hAnsi="Times New Roman" w:cs="Times New Roman"/>
          <w:i/>
          <w:iCs/>
          <w:sz w:val="24"/>
          <w:szCs w:val="24"/>
        </w:rPr>
        <w:t>21</w:t>
      </w:r>
      <w:r w:rsidRPr="003D4316">
        <w:rPr>
          <w:rFonts w:ascii="Times New Roman" w:hAnsi="Times New Roman" w:cs="Times New Roman"/>
          <w:sz w:val="24"/>
          <w:szCs w:val="24"/>
        </w:rPr>
        <w:t>(4), pp.851-868.</w:t>
      </w:r>
    </w:p>
    <w:p w:rsidR="00F90AFB" w:rsidRPr="003D4316" w:rsidRDefault="00A91B8B">
      <w:pPr>
        <w:spacing w:after="0" w:line="480" w:lineRule="auto"/>
        <w:ind w:left="720" w:hanging="720"/>
        <w:rPr>
          <w:rFonts w:ascii="Times New Roman" w:hAnsi="Times New Roman" w:cs="Times New Roman"/>
          <w:sz w:val="24"/>
          <w:szCs w:val="24"/>
        </w:rPr>
      </w:pPr>
      <w:r w:rsidRPr="003D4316">
        <w:rPr>
          <w:rFonts w:ascii="Times New Roman" w:hAnsi="Times New Roman" w:cs="Times New Roman"/>
          <w:sz w:val="24"/>
          <w:szCs w:val="24"/>
        </w:rPr>
        <w:t>Ceil, C., 2015. Contractual Free Will: doctrines of economic duress &amp; undue influence. </w:t>
      </w:r>
      <w:r w:rsidRPr="003D4316">
        <w:rPr>
          <w:rFonts w:ascii="Times New Roman" w:hAnsi="Times New Roman" w:cs="Times New Roman"/>
          <w:i/>
          <w:iCs/>
          <w:sz w:val="24"/>
          <w:szCs w:val="24"/>
        </w:rPr>
        <w:t>Available at SSRN 2596998</w:t>
      </w:r>
      <w:r w:rsidRPr="003D4316">
        <w:rPr>
          <w:rFonts w:ascii="Times New Roman" w:hAnsi="Times New Roman" w:cs="Times New Roman"/>
          <w:sz w:val="24"/>
          <w:szCs w:val="24"/>
        </w:rPr>
        <w:t>.</w:t>
      </w:r>
    </w:p>
    <w:p w:rsidR="00F90AFB" w:rsidRPr="003D4316" w:rsidRDefault="00A91B8B">
      <w:pPr>
        <w:spacing w:after="0" w:line="480" w:lineRule="auto"/>
        <w:ind w:left="720" w:hanging="720"/>
        <w:rPr>
          <w:rFonts w:ascii="Times New Roman" w:hAnsi="Times New Roman" w:cs="Times New Roman"/>
          <w:sz w:val="24"/>
          <w:szCs w:val="24"/>
        </w:rPr>
      </w:pPr>
      <w:bookmarkStart w:id="1" w:name="_Hlk89437434"/>
      <w:r w:rsidRPr="003D4316">
        <w:rPr>
          <w:rFonts w:ascii="Times New Roman" w:hAnsi="Times New Roman" w:cs="Times New Roman"/>
          <w:sz w:val="24"/>
          <w:szCs w:val="24"/>
        </w:rPr>
        <w:t>Chen-Wishart, M., 2006</w:t>
      </w:r>
      <w:bookmarkEnd w:id="1"/>
      <w:r w:rsidRPr="003D4316">
        <w:rPr>
          <w:rFonts w:ascii="Times New Roman" w:hAnsi="Times New Roman" w:cs="Times New Roman"/>
          <w:sz w:val="24"/>
          <w:szCs w:val="24"/>
        </w:rPr>
        <w:t>. Undue influence: vindicating relationships of influence. </w:t>
      </w:r>
      <w:r w:rsidRPr="003D4316">
        <w:rPr>
          <w:rFonts w:ascii="Times New Roman" w:hAnsi="Times New Roman" w:cs="Times New Roman"/>
          <w:i/>
          <w:iCs/>
          <w:sz w:val="24"/>
          <w:szCs w:val="24"/>
        </w:rPr>
        <w:t>Current Legal Problems</w:t>
      </w:r>
      <w:r w:rsidRPr="003D4316">
        <w:rPr>
          <w:rFonts w:ascii="Times New Roman" w:hAnsi="Times New Roman" w:cs="Times New Roman"/>
          <w:sz w:val="24"/>
          <w:szCs w:val="24"/>
        </w:rPr>
        <w:t>, </w:t>
      </w:r>
      <w:r w:rsidRPr="003D4316">
        <w:rPr>
          <w:rFonts w:ascii="Times New Roman" w:hAnsi="Times New Roman" w:cs="Times New Roman"/>
          <w:i/>
          <w:iCs/>
          <w:sz w:val="24"/>
          <w:szCs w:val="24"/>
        </w:rPr>
        <w:t>59</w:t>
      </w:r>
      <w:r w:rsidRPr="003D4316">
        <w:rPr>
          <w:rFonts w:ascii="Times New Roman" w:hAnsi="Times New Roman" w:cs="Times New Roman"/>
          <w:sz w:val="24"/>
          <w:szCs w:val="24"/>
        </w:rPr>
        <w:t>(1), p.231.</w:t>
      </w:r>
    </w:p>
    <w:p w:rsidR="00F90AFB" w:rsidRPr="003D4316" w:rsidRDefault="00A91B8B">
      <w:pPr>
        <w:spacing w:after="0" w:line="480" w:lineRule="auto"/>
        <w:ind w:left="720" w:hanging="720"/>
        <w:rPr>
          <w:rFonts w:ascii="Times New Roman" w:hAnsi="Times New Roman" w:cs="Times New Roman"/>
          <w:sz w:val="24"/>
          <w:szCs w:val="24"/>
        </w:rPr>
      </w:pPr>
      <w:r w:rsidRPr="003D4316">
        <w:rPr>
          <w:rFonts w:ascii="Times New Roman" w:hAnsi="Times New Roman" w:cs="Times New Roman"/>
          <w:sz w:val="24"/>
          <w:szCs w:val="24"/>
        </w:rPr>
        <w:t>Chen—Wishart, M., 2013. In defence of consideration. </w:t>
      </w:r>
      <w:r w:rsidRPr="003D4316">
        <w:rPr>
          <w:rFonts w:ascii="Times New Roman" w:hAnsi="Times New Roman" w:cs="Times New Roman"/>
          <w:i/>
          <w:iCs/>
          <w:sz w:val="24"/>
          <w:szCs w:val="24"/>
        </w:rPr>
        <w:t>Oxford University Commonwealth Law Journal</w:t>
      </w:r>
      <w:r w:rsidRPr="003D4316">
        <w:rPr>
          <w:rFonts w:ascii="Times New Roman" w:hAnsi="Times New Roman" w:cs="Times New Roman"/>
          <w:sz w:val="24"/>
          <w:szCs w:val="24"/>
        </w:rPr>
        <w:t>, </w:t>
      </w:r>
      <w:r w:rsidRPr="003D4316">
        <w:rPr>
          <w:rFonts w:ascii="Times New Roman" w:hAnsi="Times New Roman" w:cs="Times New Roman"/>
          <w:i/>
          <w:iCs/>
          <w:sz w:val="24"/>
          <w:szCs w:val="24"/>
        </w:rPr>
        <w:t>13</w:t>
      </w:r>
      <w:r w:rsidRPr="003D4316">
        <w:rPr>
          <w:rFonts w:ascii="Times New Roman" w:hAnsi="Times New Roman" w:cs="Times New Roman"/>
          <w:sz w:val="24"/>
          <w:szCs w:val="24"/>
        </w:rPr>
        <w:t>(1), pp.209-238.</w:t>
      </w:r>
    </w:p>
    <w:p w:rsidR="00F90AFB" w:rsidRPr="003D4316" w:rsidRDefault="00A91B8B">
      <w:pPr>
        <w:spacing w:after="0" w:line="480" w:lineRule="auto"/>
        <w:ind w:left="720" w:hanging="720"/>
        <w:rPr>
          <w:rFonts w:ascii="Times New Roman" w:hAnsi="Times New Roman" w:cs="Times New Roman"/>
          <w:sz w:val="24"/>
          <w:szCs w:val="24"/>
        </w:rPr>
      </w:pPr>
      <w:r w:rsidRPr="003D4316">
        <w:rPr>
          <w:rFonts w:ascii="Times New Roman" w:hAnsi="Times New Roman" w:cs="Times New Roman"/>
          <w:sz w:val="24"/>
          <w:szCs w:val="24"/>
        </w:rPr>
        <w:lastRenderedPageBreak/>
        <w:t>Enonchong, N., 2021. </w:t>
      </w:r>
      <w:r w:rsidRPr="003D4316">
        <w:rPr>
          <w:rFonts w:ascii="Times New Roman" w:hAnsi="Times New Roman" w:cs="Times New Roman"/>
          <w:i/>
          <w:iCs/>
          <w:sz w:val="24"/>
          <w:szCs w:val="24"/>
        </w:rPr>
        <w:t>Duress, Undue Influence and Unconscionable Dealing: First Supplement to the Third Edition</w:t>
      </w:r>
      <w:r w:rsidRPr="003D4316">
        <w:rPr>
          <w:rFonts w:ascii="Times New Roman" w:hAnsi="Times New Roman" w:cs="Times New Roman"/>
          <w:sz w:val="24"/>
          <w:szCs w:val="24"/>
        </w:rPr>
        <w:t>. Sweet and Maxwell.</w:t>
      </w:r>
    </w:p>
    <w:p w:rsidR="00F90AFB" w:rsidRPr="003D4316" w:rsidRDefault="00A91B8B">
      <w:pPr>
        <w:spacing w:after="0" w:line="480" w:lineRule="auto"/>
        <w:ind w:left="720" w:hanging="720"/>
        <w:rPr>
          <w:rFonts w:ascii="Times New Roman" w:hAnsi="Times New Roman" w:cs="Times New Roman"/>
          <w:sz w:val="24"/>
          <w:szCs w:val="24"/>
        </w:rPr>
      </w:pPr>
      <w:r w:rsidRPr="003D4316">
        <w:rPr>
          <w:rFonts w:ascii="Times New Roman" w:hAnsi="Times New Roman" w:cs="Times New Roman"/>
          <w:sz w:val="24"/>
          <w:szCs w:val="24"/>
        </w:rPr>
        <w:t>Harrison, J.L., 2019. Duress and Undue Influence in Contract Law as Cognitive Trespass. </w:t>
      </w:r>
      <w:r w:rsidRPr="003D4316">
        <w:rPr>
          <w:rFonts w:ascii="Times New Roman" w:hAnsi="Times New Roman" w:cs="Times New Roman"/>
          <w:i/>
          <w:iCs/>
          <w:sz w:val="24"/>
          <w:szCs w:val="24"/>
        </w:rPr>
        <w:t>Neb. L. Rev.</w:t>
      </w:r>
      <w:r w:rsidRPr="003D4316">
        <w:rPr>
          <w:rFonts w:ascii="Times New Roman" w:hAnsi="Times New Roman" w:cs="Times New Roman"/>
          <w:sz w:val="24"/>
          <w:szCs w:val="24"/>
        </w:rPr>
        <w:t>, </w:t>
      </w:r>
      <w:r w:rsidRPr="003D4316">
        <w:rPr>
          <w:rFonts w:ascii="Times New Roman" w:hAnsi="Times New Roman" w:cs="Times New Roman"/>
          <w:i/>
          <w:iCs/>
          <w:sz w:val="24"/>
          <w:szCs w:val="24"/>
        </w:rPr>
        <w:t>98</w:t>
      </w:r>
      <w:r w:rsidRPr="003D4316">
        <w:rPr>
          <w:rFonts w:ascii="Times New Roman" w:hAnsi="Times New Roman" w:cs="Times New Roman"/>
          <w:sz w:val="24"/>
          <w:szCs w:val="24"/>
        </w:rPr>
        <w:t>, p.970.</w:t>
      </w:r>
    </w:p>
    <w:p w:rsidR="00F90AFB" w:rsidRPr="003D4316" w:rsidRDefault="00A91B8B">
      <w:pPr>
        <w:spacing w:after="0" w:line="480" w:lineRule="auto"/>
        <w:ind w:left="720" w:hanging="720"/>
        <w:rPr>
          <w:rFonts w:ascii="Times New Roman" w:hAnsi="Times New Roman" w:cs="Times New Roman"/>
          <w:sz w:val="24"/>
          <w:szCs w:val="24"/>
        </w:rPr>
      </w:pPr>
      <w:bookmarkStart w:id="2" w:name="_Hlk89437489"/>
      <w:r w:rsidRPr="003D4316">
        <w:rPr>
          <w:rFonts w:ascii="Times New Roman" w:hAnsi="Times New Roman" w:cs="Times New Roman"/>
          <w:sz w:val="24"/>
          <w:szCs w:val="24"/>
        </w:rPr>
        <w:t>Kalondo, P.J., 2020</w:t>
      </w:r>
      <w:bookmarkEnd w:id="2"/>
      <w:r w:rsidRPr="003D4316">
        <w:rPr>
          <w:rFonts w:ascii="Times New Roman" w:hAnsi="Times New Roman" w:cs="Times New Roman"/>
          <w:sz w:val="24"/>
          <w:szCs w:val="24"/>
        </w:rPr>
        <w:t>. Duress, Undue Influence and the Ethics of Pre-contractual Negotiation. </w:t>
      </w:r>
      <w:r w:rsidRPr="003D4316">
        <w:rPr>
          <w:rFonts w:ascii="Times New Roman" w:hAnsi="Times New Roman" w:cs="Times New Roman"/>
          <w:i/>
          <w:iCs/>
          <w:sz w:val="24"/>
          <w:szCs w:val="24"/>
        </w:rPr>
        <w:t>Available at SSRN 3533966</w:t>
      </w:r>
      <w:r w:rsidRPr="003D4316">
        <w:rPr>
          <w:rFonts w:ascii="Times New Roman" w:hAnsi="Times New Roman" w:cs="Times New Roman"/>
          <w:sz w:val="24"/>
          <w:szCs w:val="24"/>
        </w:rPr>
        <w:t>.</w:t>
      </w:r>
    </w:p>
    <w:p w:rsidR="00F90AFB" w:rsidRPr="003D4316" w:rsidRDefault="00A91B8B">
      <w:pPr>
        <w:spacing w:after="0" w:line="480" w:lineRule="auto"/>
        <w:ind w:left="720" w:hanging="720"/>
        <w:rPr>
          <w:rFonts w:ascii="Times New Roman" w:hAnsi="Times New Roman" w:cs="Times New Roman"/>
          <w:sz w:val="24"/>
          <w:szCs w:val="24"/>
        </w:rPr>
      </w:pPr>
      <w:r w:rsidRPr="003D4316">
        <w:rPr>
          <w:rFonts w:ascii="Times New Roman" w:hAnsi="Times New Roman" w:cs="Times New Roman"/>
          <w:sz w:val="24"/>
          <w:szCs w:val="24"/>
        </w:rPr>
        <w:t>Maher, F., 2018. Clarity or confusion? Duress, undue influence and unconscionable conduct in the High Court. </w:t>
      </w:r>
      <w:r w:rsidRPr="003D4316">
        <w:rPr>
          <w:rFonts w:ascii="Times New Roman" w:hAnsi="Times New Roman" w:cs="Times New Roman"/>
          <w:i/>
          <w:iCs/>
          <w:sz w:val="24"/>
          <w:szCs w:val="24"/>
        </w:rPr>
        <w:t>Journal of Equity</w:t>
      </w:r>
      <w:r w:rsidRPr="003D4316">
        <w:rPr>
          <w:rFonts w:ascii="Times New Roman" w:hAnsi="Times New Roman" w:cs="Times New Roman"/>
          <w:sz w:val="24"/>
          <w:szCs w:val="24"/>
        </w:rPr>
        <w:t>, </w:t>
      </w:r>
      <w:r w:rsidRPr="003D4316">
        <w:rPr>
          <w:rFonts w:ascii="Times New Roman" w:hAnsi="Times New Roman" w:cs="Times New Roman"/>
          <w:i/>
          <w:iCs/>
          <w:sz w:val="24"/>
          <w:szCs w:val="24"/>
        </w:rPr>
        <w:t>12</w:t>
      </w:r>
      <w:r w:rsidRPr="003D4316">
        <w:rPr>
          <w:rFonts w:ascii="Times New Roman" w:hAnsi="Times New Roman" w:cs="Times New Roman"/>
          <w:sz w:val="24"/>
          <w:szCs w:val="24"/>
        </w:rPr>
        <w:t>(1), pp.91-118.</w:t>
      </w:r>
    </w:p>
    <w:p w:rsidR="00F90AFB" w:rsidRPr="003D4316" w:rsidRDefault="00A91B8B">
      <w:pPr>
        <w:spacing w:after="0" w:line="480" w:lineRule="auto"/>
        <w:ind w:left="720" w:hanging="720"/>
        <w:rPr>
          <w:rFonts w:ascii="Times New Roman" w:hAnsi="Times New Roman" w:cs="Times New Roman"/>
          <w:sz w:val="24"/>
          <w:szCs w:val="24"/>
        </w:rPr>
      </w:pPr>
      <w:r w:rsidRPr="003D4316">
        <w:rPr>
          <w:rFonts w:ascii="Times New Roman" w:hAnsi="Times New Roman" w:cs="Times New Roman"/>
          <w:sz w:val="24"/>
          <w:szCs w:val="24"/>
        </w:rPr>
        <w:t>Murugan, S.B., 2020. Economic duress: Present state and future development in England, Australia and Malaysia. In </w:t>
      </w:r>
      <w:r w:rsidRPr="003D4316">
        <w:rPr>
          <w:rFonts w:ascii="Times New Roman" w:hAnsi="Times New Roman" w:cs="Times New Roman"/>
          <w:i/>
          <w:iCs/>
          <w:sz w:val="24"/>
          <w:szCs w:val="24"/>
        </w:rPr>
        <w:t>The Future of the Law of Contract</w:t>
      </w:r>
      <w:r w:rsidRPr="003D4316">
        <w:rPr>
          <w:rFonts w:ascii="Times New Roman" w:hAnsi="Times New Roman" w:cs="Times New Roman"/>
          <w:sz w:val="24"/>
          <w:szCs w:val="24"/>
        </w:rPr>
        <w:t> (pp. 185-216). Informa Law from Routledge.</w:t>
      </w:r>
    </w:p>
    <w:p w:rsidR="00F90AFB" w:rsidRPr="003D4316" w:rsidRDefault="00A91B8B">
      <w:pPr>
        <w:spacing w:after="0" w:line="480" w:lineRule="auto"/>
        <w:ind w:left="720" w:hanging="720"/>
        <w:rPr>
          <w:rFonts w:ascii="Times New Roman" w:hAnsi="Times New Roman" w:cs="Times New Roman"/>
          <w:sz w:val="24"/>
          <w:szCs w:val="24"/>
        </w:rPr>
      </w:pPr>
      <w:r w:rsidRPr="003D4316">
        <w:rPr>
          <w:rFonts w:ascii="Times New Roman" w:hAnsi="Times New Roman" w:cs="Times New Roman"/>
          <w:sz w:val="24"/>
          <w:szCs w:val="24"/>
        </w:rPr>
        <w:t>Ogilvie, M.H., 2001. Economic Duress in Contract: Departure, Detour or Dead-End. </w:t>
      </w:r>
      <w:r w:rsidRPr="003D4316">
        <w:rPr>
          <w:rFonts w:ascii="Times New Roman" w:hAnsi="Times New Roman" w:cs="Times New Roman"/>
          <w:i/>
          <w:iCs/>
          <w:sz w:val="24"/>
          <w:szCs w:val="24"/>
        </w:rPr>
        <w:t>Can. Bus. LJ</w:t>
      </w:r>
      <w:r w:rsidRPr="003D4316">
        <w:rPr>
          <w:rFonts w:ascii="Times New Roman" w:hAnsi="Times New Roman" w:cs="Times New Roman"/>
          <w:sz w:val="24"/>
          <w:szCs w:val="24"/>
        </w:rPr>
        <w:t>, </w:t>
      </w:r>
      <w:r w:rsidRPr="003D4316">
        <w:rPr>
          <w:rFonts w:ascii="Times New Roman" w:hAnsi="Times New Roman" w:cs="Times New Roman"/>
          <w:i/>
          <w:iCs/>
          <w:sz w:val="24"/>
          <w:szCs w:val="24"/>
        </w:rPr>
        <w:t>34</w:t>
      </w:r>
      <w:r w:rsidRPr="003D4316">
        <w:rPr>
          <w:rFonts w:ascii="Times New Roman" w:hAnsi="Times New Roman" w:cs="Times New Roman"/>
          <w:sz w:val="24"/>
          <w:szCs w:val="24"/>
        </w:rPr>
        <w:t>, p.194.</w:t>
      </w:r>
    </w:p>
    <w:p w:rsidR="00F90AFB" w:rsidRPr="003D4316" w:rsidRDefault="00A91B8B">
      <w:pPr>
        <w:spacing w:after="0" w:line="480" w:lineRule="auto"/>
        <w:ind w:left="720" w:hanging="720"/>
        <w:rPr>
          <w:rFonts w:ascii="Times New Roman" w:hAnsi="Times New Roman" w:cs="Times New Roman"/>
          <w:sz w:val="24"/>
          <w:szCs w:val="24"/>
        </w:rPr>
      </w:pPr>
      <w:bookmarkStart w:id="3" w:name="_Hlk89437733"/>
      <w:r w:rsidRPr="003D4316">
        <w:rPr>
          <w:rFonts w:ascii="Times New Roman" w:hAnsi="Times New Roman" w:cs="Times New Roman"/>
          <w:sz w:val="24"/>
          <w:szCs w:val="24"/>
        </w:rPr>
        <w:t>Pawlowski, M., 2001</w:t>
      </w:r>
      <w:bookmarkEnd w:id="3"/>
      <w:r w:rsidRPr="003D4316">
        <w:rPr>
          <w:rFonts w:ascii="Times New Roman" w:hAnsi="Times New Roman" w:cs="Times New Roman"/>
          <w:sz w:val="24"/>
          <w:szCs w:val="24"/>
        </w:rPr>
        <w:t>. Unconscionability as a Unifying Concept in Equity. </w:t>
      </w:r>
      <w:r w:rsidRPr="003D4316">
        <w:rPr>
          <w:rFonts w:ascii="Times New Roman" w:hAnsi="Times New Roman" w:cs="Times New Roman"/>
          <w:i/>
          <w:iCs/>
          <w:sz w:val="24"/>
          <w:szCs w:val="24"/>
        </w:rPr>
        <w:t>Denning LJ</w:t>
      </w:r>
      <w:r w:rsidRPr="003D4316">
        <w:rPr>
          <w:rFonts w:ascii="Times New Roman" w:hAnsi="Times New Roman" w:cs="Times New Roman"/>
          <w:sz w:val="24"/>
          <w:szCs w:val="24"/>
        </w:rPr>
        <w:t>, </w:t>
      </w:r>
      <w:r w:rsidRPr="003D4316">
        <w:rPr>
          <w:rFonts w:ascii="Times New Roman" w:hAnsi="Times New Roman" w:cs="Times New Roman"/>
          <w:i/>
          <w:iCs/>
          <w:sz w:val="24"/>
          <w:szCs w:val="24"/>
        </w:rPr>
        <w:t>16</w:t>
      </w:r>
      <w:r w:rsidRPr="003D4316">
        <w:rPr>
          <w:rFonts w:ascii="Times New Roman" w:hAnsi="Times New Roman" w:cs="Times New Roman"/>
          <w:sz w:val="24"/>
          <w:szCs w:val="24"/>
        </w:rPr>
        <w:t>, p.79.</w:t>
      </w:r>
    </w:p>
    <w:p w:rsidR="00F90AFB" w:rsidRPr="003D4316" w:rsidRDefault="00A91B8B">
      <w:pPr>
        <w:spacing w:after="0" w:line="480" w:lineRule="auto"/>
        <w:ind w:left="720" w:hanging="720"/>
        <w:rPr>
          <w:rFonts w:ascii="Times New Roman" w:hAnsi="Times New Roman" w:cs="Times New Roman"/>
          <w:sz w:val="24"/>
          <w:szCs w:val="24"/>
        </w:rPr>
      </w:pPr>
      <w:r w:rsidRPr="003D4316">
        <w:rPr>
          <w:rFonts w:ascii="Times New Roman" w:hAnsi="Times New Roman" w:cs="Times New Roman"/>
          <w:sz w:val="24"/>
          <w:szCs w:val="24"/>
        </w:rPr>
        <w:t>Pieterse, R., 2019. </w:t>
      </w:r>
      <w:r w:rsidRPr="003D4316">
        <w:rPr>
          <w:rFonts w:ascii="Times New Roman" w:hAnsi="Times New Roman" w:cs="Times New Roman"/>
          <w:i/>
          <w:iCs/>
          <w:sz w:val="24"/>
          <w:szCs w:val="24"/>
        </w:rPr>
        <w:t>A Comparison of Economic Duress and Economic Disparity of Contracting Parties</w:t>
      </w:r>
      <w:r w:rsidRPr="003D4316">
        <w:rPr>
          <w:rFonts w:ascii="Times New Roman" w:hAnsi="Times New Roman" w:cs="Times New Roman"/>
          <w:sz w:val="24"/>
          <w:szCs w:val="24"/>
        </w:rPr>
        <w:t>. University of Johannesburg (South Africa).</w:t>
      </w:r>
    </w:p>
    <w:p w:rsidR="00F90AFB" w:rsidRPr="003D4316" w:rsidRDefault="00A91B8B">
      <w:pPr>
        <w:spacing w:after="0" w:line="480" w:lineRule="auto"/>
        <w:ind w:left="720" w:hanging="720"/>
        <w:rPr>
          <w:rFonts w:ascii="Times New Roman" w:hAnsi="Times New Roman" w:cs="Times New Roman"/>
          <w:sz w:val="24"/>
          <w:szCs w:val="24"/>
        </w:rPr>
      </w:pPr>
      <w:r w:rsidRPr="003D4316">
        <w:rPr>
          <w:rFonts w:ascii="Times New Roman" w:hAnsi="Times New Roman" w:cs="Times New Roman"/>
          <w:sz w:val="24"/>
          <w:szCs w:val="24"/>
        </w:rPr>
        <w:t>Tan, D.S., 2002. Constructing a doctrine of economic duress. </w:t>
      </w:r>
      <w:r w:rsidRPr="003D4316">
        <w:rPr>
          <w:rFonts w:ascii="Times New Roman" w:hAnsi="Times New Roman" w:cs="Times New Roman"/>
          <w:i/>
          <w:iCs/>
          <w:sz w:val="24"/>
          <w:szCs w:val="24"/>
        </w:rPr>
        <w:t>Construction Law Journal</w:t>
      </w:r>
      <w:r w:rsidRPr="003D4316">
        <w:rPr>
          <w:rFonts w:ascii="Times New Roman" w:hAnsi="Times New Roman" w:cs="Times New Roman"/>
          <w:sz w:val="24"/>
          <w:szCs w:val="24"/>
        </w:rPr>
        <w:t>, </w:t>
      </w:r>
      <w:r w:rsidRPr="003D4316">
        <w:rPr>
          <w:rFonts w:ascii="Times New Roman" w:hAnsi="Times New Roman" w:cs="Times New Roman"/>
          <w:i/>
          <w:iCs/>
          <w:sz w:val="24"/>
          <w:szCs w:val="24"/>
        </w:rPr>
        <w:t>18</w:t>
      </w:r>
      <w:r w:rsidRPr="003D4316">
        <w:rPr>
          <w:rFonts w:ascii="Times New Roman" w:hAnsi="Times New Roman" w:cs="Times New Roman"/>
          <w:sz w:val="24"/>
          <w:szCs w:val="24"/>
        </w:rPr>
        <w:t>(2), pp.87-96.</w:t>
      </w:r>
    </w:p>
    <w:p w:rsidR="00F90AFB" w:rsidRDefault="00A91B8B">
      <w:pPr>
        <w:spacing w:after="0" w:line="480" w:lineRule="auto"/>
        <w:ind w:left="720" w:hanging="720"/>
        <w:rPr>
          <w:rFonts w:ascii="Times New Roman" w:hAnsi="Times New Roman" w:cs="Times New Roman"/>
          <w:sz w:val="24"/>
          <w:szCs w:val="24"/>
        </w:rPr>
      </w:pPr>
      <w:r w:rsidRPr="003D4316">
        <w:rPr>
          <w:rFonts w:ascii="Times New Roman" w:hAnsi="Times New Roman" w:cs="Times New Roman"/>
          <w:sz w:val="24"/>
          <w:szCs w:val="24"/>
        </w:rPr>
        <w:t>Yee, T., 2008. The Etridge influence on undue influence: attempts at fusion with duress and unconscionability.</w:t>
      </w:r>
    </w:p>
    <w:sectPr w:rsidR="00F90AFB">
      <w:headerReference w:type="default" r:id="rId7"/>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7058D" w:rsidRDefault="00C7058D">
      <w:pPr>
        <w:spacing w:after="0" w:line="240" w:lineRule="auto"/>
      </w:pPr>
      <w:r>
        <w:separator/>
      </w:r>
    </w:p>
  </w:endnote>
  <w:endnote w:type="continuationSeparator" w:id="0">
    <w:p w:rsidR="00C7058D" w:rsidRDefault="00C70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0AFB" w:rsidRDefault="00A91B8B">
    <w:pPr>
      <w:pStyle w:val="Header"/>
      <w:jc w:val="right"/>
    </w:pP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7058D" w:rsidRDefault="00C7058D">
      <w:pPr>
        <w:spacing w:after="0" w:line="240" w:lineRule="auto"/>
      </w:pPr>
      <w:r>
        <w:separator/>
      </w:r>
    </w:p>
  </w:footnote>
  <w:footnote w:type="continuationSeparator" w:id="0">
    <w:p w:rsidR="00C7058D" w:rsidRDefault="00C70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0AFB" w:rsidRDefault="00F90AFB">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974FF8"/>
    <w:multiLevelType w:val="hybridMultilevel"/>
    <w:tmpl w:val="F4D8B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AFB"/>
    <w:rsid w:val="00126ED3"/>
    <w:rsid w:val="001F44F3"/>
    <w:rsid w:val="00290B11"/>
    <w:rsid w:val="003222D1"/>
    <w:rsid w:val="003D4316"/>
    <w:rsid w:val="00436AC6"/>
    <w:rsid w:val="00442651"/>
    <w:rsid w:val="004437B3"/>
    <w:rsid w:val="00445774"/>
    <w:rsid w:val="00472335"/>
    <w:rsid w:val="00472B8C"/>
    <w:rsid w:val="00750BFE"/>
    <w:rsid w:val="00816B79"/>
    <w:rsid w:val="00A41517"/>
    <w:rsid w:val="00A91B8B"/>
    <w:rsid w:val="00B4395C"/>
    <w:rsid w:val="00C06AEA"/>
    <w:rsid w:val="00C7058D"/>
    <w:rsid w:val="00F067F5"/>
    <w:rsid w:val="00F90A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docId w15:val="{1EF34DA3-003D-3346-84AF-19CD9D199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12</Pages>
  <Words>3203</Words>
  <Characters>17524</Characters>
  <Application>Microsoft Office Word</Application>
  <DocSecurity>0</DocSecurity>
  <Lines>273</Lines>
  <Paragraphs>52</Paragraphs>
  <ScaleCrop>false</ScaleCrop>
  <Company/>
  <LinksUpToDate>false</LinksUpToDate>
  <CharactersWithSpaces>20675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Saja Miziel (1912372)</cp:lastModifiedBy>
  <cp:revision>18</cp:revision>
  <dcterms:created xsi:type="dcterms:W3CDTF">2021-12-03T12:38:00Z</dcterms:created>
  <dcterms:modified xsi:type="dcterms:W3CDTF">2021-12-10T20:00:00Z</dcterms:modified>
</cp:coreProperties>
</file>