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AC2710" w14:textId="3306903A" w:rsidR="00DF0B37" w:rsidRDefault="00DF0B37" w:rsidP="00A57EE7">
      <w:pPr>
        <w:spacing w:line="360" w:lineRule="auto"/>
        <w:rPr>
          <w:rFonts w:ascii="Arial" w:hAnsi="Arial" w:cs="Arial"/>
          <w:b/>
          <w:bCs/>
          <w:sz w:val="28"/>
          <w:szCs w:val="28"/>
          <w:lang w:val="en-US"/>
        </w:rPr>
      </w:pPr>
    </w:p>
    <w:p w14:paraId="3F38AC3E" w14:textId="1DD7D751" w:rsidR="00DF0B37" w:rsidRDefault="0093662A" w:rsidP="0035428D">
      <w:pPr>
        <w:spacing w:line="360" w:lineRule="auto"/>
        <w:jc w:val="center"/>
        <w:rPr>
          <w:rFonts w:ascii="Arial" w:hAnsi="Arial" w:cs="Arial"/>
          <w:b/>
          <w:bCs/>
          <w:sz w:val="28"/>
          <w:szCs w:val="28"/>
          <w:lang w:val="en-US"/>
        </w:rPr>
      </w:pPr>
      <w:r>
        <w:rPr>
          <w:rFonts w:ascii="Arial" w:hAnsi="Arial" w:cs="Arial"/>
          <w:b/>
          <w:bCs/>
          <w:noProof/>
          <w:sz w:val="28"/>
          <w:szCs w:val="28"/>
          <w:lang w:val="en-US"/>
        </w:rPr>
        <w:drawing>
          <wp:anchor distT="0" distB="0" distL="114300" distR="114300" simplePos="0" relativeHeight="251659264" behindDoc="0" locked="0" layoutInCell="1" allowOverlap="1" wp14:anchorId="27E38BC3" wp14:editId="54909810">
            <wp:simplePos x="0" y="0"/>
            <wp:positionH relativeFrom="column">
              <wp:posOffset>-250825</wp:posOffset>
            </wp:positionH>
            <wp:positionV relativeFrom="paragraph">
              <wp:posOffset>135890</wp:posOffset>
            </wp:positionV>
            <wp:extent cx="6219190" cy="2163445"/>
            <wp:effectExtent l="0" t="0" r="0" b="8255"/>
            <wp:wrapTopAndBottom/>
            <wp:docPr id="1987712628"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12628" name="Картина 1987712628"/>
                    <pic:cNvPicPr/>
                  </pic:nvPicPr>
                  <pic:blipFill>
                    <a:blip r:embed="rId8">
                      <a:extLst>
                        <a:ext uri="{28A0092B-C50C-407E-A947-70E740481C1C}">
                          <a14:useLocalDpi xmlns:a14="http://schemas.microsoft.com/office/drawing/2010/main" val="0"/>
                        </a:ext>
                      </a:extLst>
                    </a:blip>
                    <a:stretch>
                      <a:fillRect/>
                    </a:stretch>
                  </pic:blipFill>
                  <pic:spPr>
                    <a:xfrm>
                      <a:off x="0" y="0"/>
                      <a:ext cx="6219190" cy="2163445"/>
                    </a:xfrm>
                    <a:prstGeom prst="rect">
                      <a:avLst/>
                    </a:prstGeom>
                  </pic:spPr>
                </pic:pic>
              </a:graphicData>
            </a:graphic>
            <wp14:sizeRelH relativeFrom="margin">
              <wp14:pctWidth>0</wp14:pctWidth>
            </wp14:sizeRelH>
            <wp14:sizeRelV relativeFrom="margin">
              <wp14:pctHeight>0</wp14:pctHeight>
            </wp14:sizeRelV>
          </wp:anchor>
        </w:drawing>
      </w:r>
    </w:p>
    <w:p w14:paraId="151944CD" w14:textId="77777777" w:rsidR="00A57EE7" w:rsidRDefault="00A57EE7" w:rsidP="00A57EE7">
      <w:pPr>
        <w:spacing w:line="360" w:lineRule="auto"/>
        <w:rPr>
          <w:rFonts w:ascii="Arial" w:hAnsi="Arial" w:cs="Arial"/>
          <w:b/>
          <w:bCs/>
          <w:sz w:val="28"/>
          <w:szCs w:val="28"/>
          <w:lang w:val="en-US"/>
        </w:rPr>
      </w:pPr>
    </w:p>
    <w:p w14:paraId="4D59153B" w14:textId="616372D1" w:rsidR="00E9170F" w:rsidRPr="00A57EE7" w:rsidRDefault="0035428D" w:rsidP="0035428D">
      <w:pPr>
        <w:spacing w:line="360" w:lineRule="auto"/>
        <w:jc w:val="center"/>
        <w:rPr>
          <w:rFonts w:ascii="Arial" w:hAnsi="Arial" w:cs="Arial"/>
          <w:b/>
          <w:bCs/>
          <w:sz w:val="32"/>
          <w:szCs w:val="32"/>
          <w:lang w:val="en-US"/>
        </w:rPr>
      </w:pPr>
      <w:r w:rsidRPr="00A57EE7">
        <w:rPr>
          <w:rFonts w:ascii="Arial" w:hAnsi="Arial" w:cs="Arial"/>
          <w:b/>
          <w:bCs/>
          <w:sz w:val="32"/>
          <w:szCs w:val="32"/>
          <w:lang w:val="en-US"/>
        </w:rPr>
        <w:t>The role of financial stimuli for maximising the motivation of employees amid a cost-of-living crisis: The case of Tesco</w:t>
      </w:r>
    </w:p>
    <w:p w14:paraId="66DB9C7B" w14:textId="4BA9FCED" w:rsidR="00A57EE7" w:rsidRDefault="0035428D" w:rsidP="00C7393F">
      <w:pPr>
        <w:jc w:val="center"/>
        <w:rPr>
          <w:rFonts w:ascii="Arial" w:hAnsi="Arial" w:cs="Arial"/>
          <w:sz w:val="24"/>
          <w:szCs w:val="24"/>
          <w:lang w:val="en-US"/>
        </w:rPr>
      </w:pPr>
      <w:r w:rsidRPr="00DF0B37">
        <w:rPr>
          <w:rFonts w:ascii="Arial" w:hAnsi="Arial" w:cs="Arial"/>
          <w:sz w:val="24"/>
          <w:szCs w:val="24"/>
          <w:lang w:val="en-US"/>
        </w:rPr>
        <w:t>/</w:t>
      </w:r>
      <w:r w:rsidR="0044105D">
        <w:rPr>
          <w:rFonts w:ascii="Arial" w:hAnsi="Arial" w:cs="Arial"/>
          <w:sz w:val="24"/>
          <w:szCs w:val="24"/>
          <w:lang w:val="en-US"/>
        </w:rPr>
        <w:t>Disse</w:t>
      </w:r>
      <w:r w:rsidR="00644DCB">
        <w:rPr>
          <w:rFonts w:ascii="Arial" w:hAnsi="Arial" w:cs="Arial"/>
          <w:sz w:val="24"/>
          <w:szCs w:val="24"/>
          <w:lang w:val="en-US"/>
        </w:rPr>
        <w:t xml:space="preserve">rtation </w:t>
      </w:r>
      <w:r w:rsidRPr="00DF0B37">
        <w:rPr>
          <w:rFonts w:ascii="Arial" w:hAnsi="Arial" w:cs="Arial"/>
          <w:sz w:val="24"/>
          <w:szCs w:val="24"/>
          <w:lang w:val="en-US"/>
        </w:rPr>
        <w:t>Proposal/</w:t>
      </w:r>
    </w:p>
    <w:p w14:paraId="51F72B02" w14:textId="77777777" w:rsidR="00A57EE7" w:rsidRDefault="00A57EE7" w:rsidP="00435746">
      <w:pPr>
        <w:spacing w:line="360" w:lineRule="auto"/>
        <w:jc w:val="both"/>
        <w:rPr>
          <w:rFonts w:ascii="Arial" w:hAnsi="Arial" w:cs="Arial"/>
          <w:sz w:val="24"/>
          <w:szCs w:val="24"/>
          <w:lang w:val="en-US"/>
        </w:rPr>
      </w:pPr>
    </w:p>
    <w:p w14:paraId="70C54C8E" w14:textId="77777777" w:rsidR="00A57EE7" w:rsidRDefault="00A57EE7" w:rsidP="00435746">
      <w:pPr>
        <w:spacing w:line="360" w:lineRule="auto"/>
        <w:jc w:val="both"/>
        <w:rPr>
          <w:rFonts w:ascii="Arial" w:hAnsi="Arial" w:cs="Arial"/>
          <w:sz w:val="24"/>
          <w:szCs w:val="24"/>
          <w:lang w:val="en-US"/>
        </w:rPr>
      </w:pPr>
    </w:p>
    <w:p w14:paraId="51429079" w14:textId="77777777" w:rsidR="00A57EE7" w:rsidRDefault="00A57EE7" w:rsidP="00435746">
      <w:pPr>
        <w:spacing w:line="360" w:lineRule="auto"/>
        <w:jc w:val="both"/>
        <w:rPr>
          <w:rFonts w:ascii="Arial" w:hAnsi="Arial" w:cs="Arial"/>
          <w:sz w:val="24"/>
          <w:szCs w:val="24"/>
          <w:lang w:val="en-US"/>
        </w:rPr>
      </w:pPr>
    </w:p>
    <w:p w14:paraId="5B3E8753" w14:textId="6695D55E" w:rsidR="00A57EE7" w:rsidRDefault="00FC36C5" w:rsidP="00435746">
      <w:pPr>
        <w:spacing w:line="360" w:lineRule="auto"/>
        <w:jc w:val="both"/>
        <w:rPr>
          <w:rFonts w:ascii="Arial" w:hAnsi="Arial" w:cs="Arial"/>
          <w:sz w:val="24"/>
          <w:szCs w:val="24"/>
          <w:lang w:val="en-US"/>
        </w:rPr>
      </w:pPr>
      <w:r>
        <w:rPr>
          <w:rFonts w:ascii="Arial" w:hAnsi="Arial" w:cs="Arial"/>
          <w:sz w:val="24"/>
          <w:szCs w:val="24"/>
          <w:lang w:val="en-US"/>
        </w:rPr>
        <w:t xml:space="preserve">BA BUSINESS MANAGEMENT </w:t>
      </w:r>
    </w:p>
    <w:p w14:paraId="1BFC1D9E" w14:textId="1FD8801B" w:rsidR="00F32C43" w:rsidRDefault="00F32C43" w:rsidP="00435746">
      <w:pPr>
        <w:spacing w:line="360" w:lineRule="auto"/>
        <w:jc w:val="both"/>
        <w:rPr>
          <w:rFonts w:ascii="Arial" w:hAnsi="Arial" w:cs="Arial"/>
          <w:sz w:val="24"/>
          <w:szCs w:val="24"/>
          <w:lang w:val="en-US"/>
        </w:rPr>
      </w:pPr>
      <w:r>
        <w:rPr>
          <w:rFonts w:ascii="Arial" w:hAnsi="Arial" w:cs="Arial"/>
          <w:sz w:val="24"/>
          <w:szCs w:val="24"/>
          <w:lang w:val="en-US"/>
        </w:rPr>
        <w:t xml:space="preserve">University of Wales </w:t>
      </w:r>
      <w:r w:rsidR="00955079">
        <w:rPr>
          <w:rFonts w:ascii="Arial" w:hAnsi="Arial" w:cs="Arial"/>
          <w:sz w:val="24"/>
          <w:szCs w:val="24"/>
          <w:lang w:val="en-US"/>
        </w:rPr>
        <w:t xml:space="preserve">Trinity Saint David </w:t>
      </w:r>
    </w:p>
    <w:p w14:paraId="5B3E3775" w14:textId="7F4A872C" w:rsidR="00A57EE7" w:rsidRDefault="00E24476" w:rsidP="00435746">
      <w:pPr>
        <w:spacing w:line="360" w:lineRule="auto"/>
        <w:jc w:val="both"/>
        <w:rPr>
          <w:rFonts w:ascii="Arial" w:hAnsi="Arial" w:cs="Arial"/>
          <w:sz w:val="24"/>
          <w:szCs w:val="24"/>
          <w:lang w:val="en-US"/>
        </w:rPr>
      </w:pPr>
      <w:r>
        <w:rPr>
          <w:rFonts w:ascii="Arial" w:hAnsi="Arial" w:cs="Arial"/>
          <w:sz w:val="24"/>
          <w:szCs w:val="24"/>
          <w:lang w:val="en-US"/>
        </w:rPr>
        <w:t>Dissertation</w:t>
      </w:r>
      <w:r w:rsidR="00D54674">
        <w:rPr>
          <w:rFonts w:ascii="Arial" w:hAnsi="Arial" w:cs="Arial"/>
          <w:sz w:val="24"/>
          <w:szCs w:val="24"/>
          <w:lang w:val="en-US"/>
        </w:rPr>
        <w:t>:</w:t>
      </w:r>
      <w:r w:rsidR="00FE3366">
        <w:rPr>
          <w:rFonts w:ascii="Arial" w:hAnsi="Arial" w:cs="Arial"/>
          <w:sz w:val="24"/>
          <w:szCs w:val="24"/>
          <w:lang w:val="en-US"/>
        </w:rPr>
        <w:t>LCBB6000</w:t>
      </w:r>
    </w:p>
    <w:p w14:paraId="1657FCF5" w14:textId="5CE02AE6" w:rsidR="000C21DC" w:rsidRDefault="000C21DC" w:rsidP="00435746">
      <w:pPr>
        <w:spacing w:line="360" w:lineRule="auto"/>
        <w:jc w:val="both"/>
        <w:rPr>
          <w:rFonts w:ascii="Arial" w:hAnsi="Arial" w:cs="Arial"/>
          <w:sz w:val="24"/>
          <w:szCs w:val="24"/>
          <w:lang w:val="en-US"/>
        </w:rPr>
      </w:pPr>
      <w:r>
        <w:rPr>
          <w:rFonts w:ascii="Arial" w:hAnsi="Arial" w:cs="Arial"/>
          <w:sz w:val="24"/>
          <w:szCs w:val="24"/>
          <w:lang w:val="en-US"/>
        </w:rPr>
        <w:t>Dissertation supervisor</w:t>
      </w:r>
      <w:r w:rsidR="00E73AF6">
        <w:rPr>
          <w:rFonts w:ascii="Arial" w:hAnsi="Arial" w:cs="Arial"/>
          <w:sz w:val="24"/>
          <w:szCs w:val="24"/>
          <w:lang w:val="en-US"/>
        </w:rPr>
        <w:t>:</w:t>
      </w:r>
      <w:r w:rsidR="0032766B">
        <w:rPr>
          <w:rFonts w:ascii="Arial" w:hAnsi="Arial" w:cs="Arial"/>
          <w:sz w:val="24"/>
          <w:szCs w:val="24"/>
          <w:lang w:val="en-US"/>
        </w:rPr>
        <w:t xml:space="preserve">Amandeep </w:t>
      </w:r>
      <w:r w:rsidR="0044105D">
        <w:rPr>
          <w:rFonts w:ascii="Arial" w:hAnsi="Arial" w:cs="Arial"/>
          <w:sz w:val="24"/>
          <w:szCs w:val="24"/>
          <w:lang w:val="en-US"/>
        </w:rPr>
        <w:t xml:space="preserve">Sahota </w:t>
      </w:r>
    </w:p>
    <w:p w14:paraId="136027EE" w14:textId="7DBC7C80" w:rsidR="00A57EE7" w:rsidRDefault="00A57EE7" w:rsidP="00435746">
      <w:pPr>
        <w:spacing w:line="360" w:lineRule="auto"/>
        <w:jc w:val="both"/>
        <w:rPr>
          <w:rFonts w:ascii="Arial" w:hAnsi="Arial" w:cs="Arial"/>
          <w:sz w:val="24"/>
          <w:szCs w:val="24"/>
          <w:lang w:val="en-US"/>
        </w:rPr>
      </w:pPr>
      <w:r>
        <w:rPr>
          <w:rFonts w:ascii="Arial" w:hAnsi="Arial" w:cs="Arial"/>
          <w:sz w:val="24"/>
          <w:szCs w:val="24"/>
          <w:lang w:val="en-US"/>
        </w:rPr>
        <w:t>Student name:</w:t>
      </w:r>
      <w:r w:rsidR="002E60B9">
        <w:rPr>
          <w:rFonts w:ascii="Arial" w:hAnsi="Arial" w:cs="Arial"/>
          <w:sz w:val="24"/>
          <w:szCs w:val="24"/>
          <w:lang w:val="en-US"/>
        </w:rPr>
        <w:t xml:space="preserve">Elitsa Ivanova </w:t>
      </w:r>
    </w:p>
    <w:p w14:paraId="52E6FC37" w14:textId="75BD43A6" w:rsidR="004C4110" w:rsidRDefault="00133920" w:rsidP="00435746">
      <w:pPr>
        <w:spacing w:line="360" w:lineRule="auto"/>
        <w:jc w:val="both"/>
        <w:rPr>
          <w:rFonts w:ascii="Arial" w:hAnsi="Arial" w:cs="Arial"/>
          <w:sz w:val="24"/>
          <w:szCs w:val="24"/>
          <w:lang w:val="en-US"/>
        </w:rPr>
      </w:pPr>
      <w:r>
        <w:rPr>
          <w:rFonts w:ascii="Arial" w:hAnsi="Arial" w:cs="Arial"/>
          <w:sz w:val="24"/>
          <w:szCs w:val="24"/>
          <w:lang w:val="en-US"/>
        </w:rPr>
        <w:t>Student ID:</w:t>
      </w:r>
      <w:r w:rsidR="002E60B9">
        <w:rPr>
          <w:rFonts w:ascii="Arial" w:hAnsi="Arial" w:cs="Arial"/>
          <w:sz w:val="24"/>
          <w:szCs w:val="24"/>
          <w:lang w:val="en-US"/>
        </w:rPr>
        <w:t>2123375</w:t>
      </w:r>
    </w:p>
    <w:p w14:paraId="5C25CDFB" w14:textId="77777777" w:rsidR="003B117F" w:rsidRDefault="003B117F" w:rsidP="00435746">
      <w:pPr>
        <w:spacing w:line="360" w:lineRule="auto"/>
        <w:jc w:val="both"/>
        <w:rPr>
          <w:rFonts w:ascii="Arial" w:hAnsi="Arial" w:cs="Arial"/>
          <w:sz w:val="24"/>
          <w:szCs w:val="24"/>
          <w:lang w:val="en-US"/>
        </w:rPr>
      </w:pPr>
    </w:p>
    <w:p w14:paraId="2ED1CAD4" w14:textId="77777777" w:rsidR="003B117F" w:rsidRDefault="003B117F" w:rsidP="00435746">
      <w:pPr>
        <w:spacing w:line="360" w:lineRule="auto"/>
        <w:jc w:val="both"/>
        <w:rPr>
          <w:rFonts w:ascii="Arial" w:hAnsi="Arial" w:cs="Arial"/>
          <w:sz w:val="24"/>
          <w:szCs w:val="24"/>
          <w:lang w:val="en-US"/>
        </w:rPr>
      </w:pPr>
    </w:p>
    <w:p w14:paraId="7194670D" w14:textId="77777777" w:rsidR="003B117F" w:rsidRDefault="003B117F" w:rsidP="00435746">
      <w:pPr>
        <w:spacing w:line="360" w:lineRule="auto"/>
        <w:jc w:val="both"/>
        <w:rPr>
          <w:rFonts w:ascii="Arial" w:hAnsi="Arial" w:cs="Arial"/>
          <w:sz w:val="24"/>
          <w:szCs w:val="24"/>
          <w:lang w:val="en-US"/>
        </w:rPr>
      </w:pPr>
    </w:p>
    <w:p w14:paraId="3CA18FB6" w14:textId="77777777" w:rsidR="003B117F" w:rsidRPr="00DF0B37" w:rsidRDefault="003B117F" w:rsidP="00435746">
      <w:pPr>
        <w:spacing w:line="360" w:lineRule="auto"/>
        <w:jc w:val="both"/>
        <w:rPr>
          <w:rFonts w:ascii="Arial" w:hAnsi="Arial" w:cs="Arial"/>
          <w:sz w:val="24"/>
          <w:szCs w:val="24"/>
          <w:lang w:val="en-US"/>
        </w:rPr>
      </w:pPr>
    </w:p>
    <w:sdt>
      <w:sdtPr>
        <w:rPr>
          <w:rFonts w:ascii="Arial" w:eastAsiaTheme="minorHAnsi" w:hAnsi="Arial" w:cs="Arial"/>
          <w:color w:val="auto"/>
          <w:kern w:val="2"/>
          <w:sz w:val="22"/>
          <w:szCs w:val="22"/>
          <w:lang w:val="en-GB"/>
          <w14:ligatures w14:val="standardContextual"/>
        </w:rPr>
        <w:id w:val="1640294866"/>
        <w:docPartObj>
          <w:docPartGallery w:val="Table of Contents"/>
          <w:docPartUnique/>
        </w:docPartObj>
      </w:sdtPr>
      <w:sdtEndPr>
        <w:rPr>
          <w:b/>
          <w:bCs/>
          <w:noProof/>
        </w:rPr>
      </w:sdtEndPr>
      <w:sdtContent>
        <w:p w14:paraId="1CC6EF9C" w14:textId="40FC7A08" w:rsidR="004C4110" w:rsidRPr="00DF0B37" w:rsidRDefault="004C4110" w:rsidP="004C4110">
          <w:pPr>
            <w:pStyle w:val="af2"/>
            <w:spacing w:after="240" w:line="480" w:lineRule="auto"/>
            <w:jc w:val="both"/>
            <w:rPr>
              <w:rFonts w:ascii="Arial" w:hAnsi="Arial" w:cs="Arial"/>
              <w:b/>
              <w:bCs/>
              <w:sz w:val="28"/>
              <w:szCs w:val="28"/>
            </w:rPr>
          </w:pPr>
          <w:r w:rsidRPr="00DF0B37">
            <w:rPr>
              <w:rFonts w:ascii="Arial" w:hAnsi="Arial" w:cs="Arial"/>
              <w:b/>
              <w:bCs/>
              <w:sz w:val="28"/>
              <w:szCs w:val="28"/>
            </w:rPr>
            <w:t>Table of Contents</w:t>
          </w:r>
        </w:p>
        <w:p w14:paraId="28B2A700" w14:textId="4C2CC85C" w:rsidR="00ED74EE" w:rsidRPr="00DF0B37" w:rsidRDefault="004C4110" w:rsidP="00ED74EE">
          <w:pPr>
            <w:pStyle w:val="11"/>
            <w:tabs>
              <w:tab w:val="right" w:leader="dot" w:pos="9062"/>
            </w:tabs>
            <w:spacing w:line="480" w:lineRule="auto"/>
            <w:jc w:val="both"/>
            <w:rPr>
              <w:rFonts w:ascii="Arial" w:eastAsiaTheme="minorEastAsia" w:hAnsi="Arial" w:cs="Arial"/>
              <w:noProof/>
              <w:sz w:val="24"/>
              <w:szCs w:val="24"/>
              <w:lang w:val="bg-BG" w:eastAsia="bg-BG"/>
            </w:rPr>
          </w:pPr>
          <w:r w:rsidRPr="00DF0B37">
            <w:rPr>
              <w:rFonts w:ascii="Arial" w:hAnsi="Arial" w:cs="Arial"/>
              <w:sz w:val="24"/>
              <w:szCs w:val="24"/>
            </w:rPr>
            <w:fldChar w:fldCharType="begin"/>
          </w:r>
          <w:r w:rsidRPr="00DF0B37">
            <w:rPr>
              <w:rFonts w:ascii="Arial" w:hAnsi="Arial" w:cs="Arial"/>
              <w:sz w:val="24"/>
              <w:szCs w:val="24"/>
            </w:rPr>
            <w:instrText xml:space="preserve"> TOC \o "1-3" \h \z \u </w:instrText>
          </w:r>
          <w:r w:rsidRPr="00DF0B37">
            <w:rPr>
              <w:rFonts w:ascii="Arial" w:hAnsi="Arial" w:cs="Arial"/>
              <w:sz w:val="24"/>
              <w:szCs w:val="24"/>
            </w:rPr>
            <w:fldChar w:fldCharType="separate"/>
          </w:r>
          <w:hyperlink w:anchor="_Toc173255809" w:history="1">
            <w:r w:rsidR="00ED74EE" w:rsidRPr="00DF0B37">
              <w:rPr>
                <w:rStyle w:val="af3"/>
                <w:rFonts w:ascii="Arial" w:hAnsi="Arial" w:cs="Arial"/>
                <w:noProof/>
                <w:sz w:val="24"/>
                <w:szCs w:val="24"/>
                <w:lang w:val="en-US"/>
              </w:rPr>
              <w:t>Introduction</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_Toc173255809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3</w:t>
            </w:r>
            <w:r w:rsidR="00ED74EE" w:rsidRPr="00DF0B37">
              <w:rPr>
                <w:rFonts w:ascii="Arial" w:hAnsi="Arial" w:cs="Arial"/>
                <w:noProof/>
                <w:webHidden/>
                <w:sz w:val="24"/>
                <w:szCs w:val="24"/>
              </w:rPr>
              <w:fldChar w:fldCharType="end"/>
            </w:r>
          </w:hyperlink>
        </w:p>
        <w:p w14:paraId="68BD7BFF" w14:textId="7F625406" w:rsidR="00ED74EE" w:rsidRPr="00DF0B37" w:rsidRDefault="00000000" w:rsidP="00ED74EE">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73255810" w:history="1">
            <w:r w:rsidR="00ED74EE" w:rsidRPr="00DF0B37">
              <w:rPr>
                <w:rStyle w:val="af3"/>
                <w:rFonts w:ascii="Arial" w:hAnsi="Arial" w:cs="Arial"/>
                <w:noProof/>
                <w:sz w:val="24"/>
                <w:szCs w:val="24"/>
                <w:lang w:val="en-US"/>
              </w:rPr>
              <w:t>Research aim and objectives</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_Toc173255810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3</w:t>
            </w:r>
            <w:r w:rsidR="00ED74EE" w:rsidRPr="00DF0B37">
              <w:rPr>
                <w:rFonts w:ascii="Arial" w:hAnsi="Arial" w:cs="Arial"/>
                <w:noProof/>
                <w:webHidden/>
                <w:sz w:val="24"/>
                <w:szCs w:val="24"/>
              </w:rPr>
              <w:fldChar w:fldCharType="end"/>
            </w:r>
          </w:hyperlink>
        </w:p>
        <w:p w14:paraId="484ACD0A" w14:textId="4897F6EF" w:rsidR="00ED74EE" w:rsidRPr="00DF0B37" w:rsidRDefault="00000000" w:rsidP="00ED74EE">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73255811" w:history="1">
            <w:r w:rsidR="00ED74EE" w:rsidRPr="00DF0B37">
              <w:rPr>
                <w:rStyle w:val="af3"/>
                <w:rFonts w:ascii="Arial" w:hAnsi="Arial" w:cs="Arial"/>
                <w:noProof/>
                <w:sz w:val="24"/>
                <w:szCs w:val="24"/>
                <w:lang w:val="en-US"/>
              </w:rPr>
              <w:t>Research questions</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_Toc173255811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3</w:t>
            </w:r>
            <w:r w:rsidR="00ED74EE" w:rsidRPr="00DF0B37">
              <w:rPr>
                <w:rFonts w:ascii="Arial" w:hAnsi="Arial" w:cs="Arial"/>
                <w:noProof/>
                <w:webHidden/>
                <w:sz w:val="24"/>
                <w:szCs w:val="24"/>
              </w:rPr>
              <w:fldChar w:fldCharType="end"/>
            </w:r>
          </w:hyperlink>
        </w:p>
        <w:p w14:paraId="78A8C595" w14:textId="6E2F3CBD" w:rsidR="00ED74EE" w:rsidRPr="00DF0B37" w:rsidRDefault="00000000" w:rsidP="00ED74EE">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73255812" w:history="1">
            <w:r w:rsidR="00ED74EE" w:rsidRPr="00DF0B37">
              <w:rPr>
                <w:rStyle w:val="af3"/>
                <w:rFonts w:ascii="Arial" w:hAnsi="Arial" w:cs="Arial"/>
                <w:noProof/>
                <w:sz w:val="24"/>
                <w:szCs w:val="24"/>
                <w:lang w:val="en-US"/>
              </w:rPr>
              <w:t>Justification of the research</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_Toc173255812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4</w:t>
            </w:r>
            <w:r w:rsidR="00ED74EE" w:rsidRPr="00DF0B37">
              <w:rPr>
                <w:rFonts w:ascii="Arial" w:hAnsi="Arial" w:cs="Arial"/>
                <w:noProof/>
                <w:webHidden/>
                <w:sz w:val="24"/>
                <w:szCs w:val="24"/>
              </w:rPr>
              <w:fldChar w:fldCharType="end"/>
            </w:r>
          </w:hyperlink>
        </w:p>
        <w:p w14:paraId="7DB0D3DF" w14:textId="4026A866" w:rsidR="00ED74EE" w:rsidRPr="00DF0B37" w:rsidRDefault="00000000" w:rsidP="00ED74EE">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73255813" w:history="1">
            <w:r w:rsidR="00ED74EE" w:rsidRPr="00DF0B37">
              <w:rPr>
                <w:rStyle w:val="af3"/>
                <w:rFonts w:ascii="Arial" w:hAnsi="Arial" w:cs="Arial"/>
                <w:noProof/>
                <w:sz w:val="24"/>
                <w:szCs w:val="24"/>
                <w:lang w:val="en-US"/>
              </w:rPr>
              <w:t>Literature review</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_Toc173255813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5</w:t>
            </w:r>
            <w:r w:rsidR="00ED74EE" w:rsidRPr="00DF0B37">
              <w:rPr>
                <w:rFonts w:ascii="Arial" w:hAnsi="Arial" w:cs="Arial"/>
                <w:noProof/>
                <w:webHidden/>
                <w:sz w:val="24"/>
                <w:szCs w:val="24"/>
              </w:rPr>
              <w:fldChar w:fldCharType="end"/>
            </w:r>
          </w:hyperlink>
        </w:p>
        <w:p w14:paraId="03BCFDD6" w14:textId="5E856B03"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14" w:history="1">
            <w:r w:rsidR="00ED74EE" w:rsidRPr="00DF0B37">
              <w:rPr>
                <w:rStyle w:val="af3"/>
                <w:rFonts w:ascii="Arial" w:hAnsi="Arial" w:cs="Arial"/>
                <w:noProof/>
                <w:sz w:val="24"/>
                <w:szCs w:val="24"/>
                <w:lang w:val="en-US"/>
              </w:rPr>
              <w:t>Cost-of-living crisis in the UK</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_Toc173255814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5</w:t>
            </w:r>
            <w:r w:rsidR="00ED74EE" w:rsidRPr="00DF0B37">
              <w:rPr>
                <w:rFonts w:ascii="Arial" w:hAnsi="Arial" w:cs="Arial"/>
                <w:noProof/>
                <w:webHidden/>
                <w:sz w:val="24"/>
                <w:szCs w:val="24"/>
              </w:rPr>
              <w:fldChar w:fldCharType="end"/>
            </w:r>
          </w:hyperlink>
        </w:p>
        <w:p w14:paraId="0462BCE8" w14:textId="77F28E41"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15" w:history="1">
            <w:r w:rsidR="00ED74EE" w:rsidRPr="00DF0B37">
              <w:rPr>
                <w:rStyle w:val="af3"/>
                <w:rFonts w:ascii="Arial" w:hAnsi="Arial" w:cs="Arial"/>
                <w:noProof/>
                <w:sz w:val="24"/>
                <w:szCs w:val="24"/>
                <w:lang w:val="en-US"/>
              </w:rPr>
              <w:t>Importance of employee motivation</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_Toc173255815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7</w:t>
            </w:r>
            <w:r w:rsidR="00ED74EE" w:rsidRPr="00DF0B37">
              <w:rPr>
                <w:rFonts w:ascii="Arial" w:hAnsi="Arial" w:cs="Arial"/>
                <w:noProof/>
                <w:webHidden/>
                <w:sz w:val="24"/>
                <w:szCs w:val="24"/>
              </w:rPr>
              <w:fldChar w:fldCharType="end"/>
            </w:r>
          </w:hyperlink>
        </w:p>
        <w:p w14:paraId="5AF5D2AB" w14:textId="031DBD9D"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16" w:history="1">
            <w:r w:rsidR="00ED74EE" w:rsidRPr="00DF0B37">
              <w:rPr>
                <w:rStyle w:val="af3"/>
                <w:rFonts w:ascii="Arial" w:hAnsi="Arial" w:cs="Arial"/>
                <w:noProof/>
                <w:sz w:val="24"/>
                <w:szCs w:val="24"/>
                <w:lang w:val="en-US"/>
              </w:rPr>
              <w:t>Determinants of employee motivation</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_Toc173255816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7</w:t>
            </w:r>
            <w:r w:rsidR="00ED74EE" w:rsidRPr="00DF0B37">
              <w:rPr>
                <w:rFonts w:ascii="Arial" w:hAnsi="Arial" w:cs="Arial"/>
                <w:noProof/>
                <w:webHidden/>
                <w:sz w:val="24"/>
                <w:szCs w:val="24"/>
              </w:rPr>
              <w:fldChar w:fldCharType="end"/>
            </w:r>
          </w:hyperlink>
        </w:p>
        <w:p w14:paraId="239FC16A" w14:textId="408318E1" w:rsidR="00ED74EE" w:rsidRPr="00DF0B37" w:rsidRDefault="00000000" w:rsidP="00ED74EE">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73255817" w:history="1">
            <w:r w:rsidR="00ED74EE" w:rsidRPr="00DF0B37">
              <w:rPr>
                <w:rStyle w:val="af3"/>
                <w:rFonts w:ascii="Arial" w:hAnsi="Arial" w:cs="Arial"/>
                <w:noProof/>
                <w:sz w:val="24"/>
                <w:szCs w:val="24"/>
                <w:lang w:val="en-US"/>
              </w:rPr>
              <w:t>Methodology</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_Toc173255817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9</w:t>
            </w:r>
            <w:r w:rsidR="00ED74EE" w:rsidRPr="00DF0B37">
              <w:rPr>
                <w:rFonts w:ascii="Arial" w:hAnsi="Arial" w:cs="Arial"/>
                <w:noProof/>
                <w:webHidden/>
                <w:sz w:val="24"/>
                <w:szCs w:val="24"/>
              </w:rPr>
              <w:fldChar w:fldCharType="end"/>
            </w:r>
          </w:hyperlink>
        </w:p>
        <w:p w14:paraId="42CBCA70" w14:textId="3AA7168B"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18" w:history="1">
            <w:r w:rsidR="00ED74EE" w:rsidRPr="00DF0B37">
              <w:rPr>
                <w:rStyle w:val="af3"/>
                <w:rFonts w:ascii="Arial" w:hAnsi="Arial" w:cs="Arial"/>
                <w:noProof/>
                <w:sz w:val="24"/>
                <w:szCs w:val="24"/>
                <w:lang w:val="en-US"/>
              </w:rPr>
              <w:t>Research approach</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_Toc173255818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9</w:t>
            </w:r>
            <w:r w:rsidR="00ED74EE" w:rsidRPr="00DF0B37">
              <w:rPr>
                <w:rFonts w:ascii="Arial" w:hAnsi="Arial" w:cs="Arial"/>
                <w:noProof/>
                <w:webHidden/>
                <w:sz w:val="24"/>
                <w:szCs w:val="24"/>
              </w:rPr>
              <w:fldChar w:fldCharType="end"/>
            </w:r>
          </w:hyperlink>
        </w:p>
        <w:p w14:paraId="1F21F6BE" w14:textId="48C07D7D"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19" w:history="1">
            <w:r w:rsidR="00ED74EE" w:rsidRPr="00DF0B37">
              <w:rPr>
                <w:rStyle w:val="af3"/>
                <w:rFonts w:ascii="Arial" w:hAnsi="Arial" w:cs="Arial"/>
                <w:noProof/>
                <w:sz w:val="24"/>
                <w:szCs w:val="24"/>
                <w:lang w:val="en-US"/>
              </w:rPr>
              <w:t>Research strategy</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_Toc173255819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10</w:t>
            </w:r>
            <w:r w:rsidR="00ED74EE" w:rsidRPr="00DF0B37">
              <w:rPr>
                <w:rFonts w:ascii="Arial" w:hAnsi="Arial" w:cs="Arial"/>
                <w:noProof/>
                <w:webHidden/>
                <w:sz w:val="24"/>
                <w:szCs w:val="24"/>
              </w:rPr>
              <w:fldChar w:fldCharType="end"/>
            </w:r>
          </w:hyperlink>
        </w:p>
        <w:p w14:paraId="75039882" w14:textId="26299721"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20" w:history="1">
            <w:r w:rsidR="00ED74EE" w:rsidRPr="00DF0B37">
              <w:rPr>
                <w:rStyle w:val="af3"/>
                <w:rFonts w:ascii="Arial" w:hAnsi="Arial" w:cs="Arial"/>
                <w:noProof/>
                <w:sz w:val="24"/>
                <w:szCs w:val="24"/>
                <w:lang w:val="en-US"/>
              </w:rPr>
              <w:t>Primary data collection</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_Toc173255820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10</w:t>
            </w:r>
            <w:r w:rsidR="00ED74EE" w:rsidRPr="00DF0B37">
              <w:rPr>
                <w:rFonts w:ascii="Arial" w:hAnsi="Arial" w:cs="Arial"/>
                <w:noProof/>
                <w:webHidden/>
                <w:sz w:val="24"/>
                <w:szCs w:val="24"/>
              </w:rPr>
              <w:fldChar w:fldCharType="end"/>
            </w:r>
          </w:hyperlink>
        </w:p>
        <w:p w14:paraId="25FEA9FD" w14:textId="646FD828"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21" w:history="1">
            <w:r w:rsidR="00ED74EE" w:rsidRPr="00DF0B37">
              <w:rPr>
                <w:rStyle w:val="af3"/>
                <w:rFonts w:ascii="Arial" w:hAnsi="Arial" w:cs="Arial"/>
                <w:noProof/>
                <w:sz w:val="24"/>
                <w:szCs w:val="24"/>
                <w:lang w:val="en-US"/>
              </w:rPr>
              <w:t>Sample design</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_Toc173255821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10</w:t>
            </w:r>
            <w:r w:rsidR="00ED74EE" w:rsidRPr="00DF0B37">
              <w:rPr>
                <w:rFonts w:ascii="Arial" w:hAnsi="Arial" w:cs="Arial"/>
                <w:noProof/>
                <w:webHidden/>
                <w:sz w:val="24"/>
                <w:szCs w:val="24"/>
              </w:rPr>
              <w:fldChar w:fldCharType="end"/>
            </w:r>
          </w:hyperlink>
        </w:p>
        <w:p w14:paraId="35CC2501" w14:textId="57906D0A"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22" w:history="1">
            <w:r w:rsidR="00ED74EE" w:rsidRPr="00DF0B37">
              <w:rPr>
                <w:rStyle w:val="af3"/>
                <w:rFonts w:ascii="Arial" w:hAnsi="Arial" w:cs="Arial"/>
                <w:noProof/>
                <w:sz w:val="24"/>
                <w:szCs w:val="24"/>
                <w:lang w:val="en-US"/>
              </w:rPr>
              <w:t>Secondary data analysis</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_Toc173255822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10</w:t>
            </w:r>
            <w:r w:rsidR="00ED74EE" w:rsidRPr="00DF0B37">
              <w:rPr>
                <w:rFonts w:ascii="Arial" w:hAnsi="Arial" w:cs="Arial"/>
                <w:noProof/>
                <w:webHidden/>
                <w:sz w:val="24"/>
                <w:szCs w:val="24"/>
              </w:rPr>
              <w:fldChar w:fldCharType="end"/>
            </w:r>
          </w:hyperlink>
        </w:p>
        <w:p w14:paraId="73B465E3" w14:textId="45611282" w:rsidR="00ED74EE" w:rsidRPr="00DF0B37" w:rsidRDefault="00000000" w:rsidP="00ED74EE">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73255823" w:history="1">
            <w:r w:rsidR="00ED74EE" w:rsidRPr="00DF0B37">
              <w:rPr>
                <w:rStyle w:val="af3"/>
                <w:rFonts w:ascii="Arial" w:hAnsi="Arial" w:cs="Arial"/>
                <w:noProof/>
                <w:sz w:val="24"/>
                <w:szCs w:val="24"/>
                <w:lang w:val="en-US"/>
              </w:rPr>
              <w:t>Research ethics</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_Toc173255823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11</w:t>
            </w:r>
            <w:r w:rsidR="00ED74EE" w:rsidRPr="00DF0B37">
              <w:rPr>
                <w:rFonts w:ascii="Arial" w:hAnsi="Arial" w:cs="Arial"/>
                <w:noProof/>
                <w:webHidden/>
                <w:sz w:val="24"/>
                <w:szCs w:val="24"/>
              </w:rPr>
              <w:fldChar w:fldCharType="end"/>
            </w:r>
          </w:hyperlink>
        </w:p>
        <w:p w14:paraId="6AB59D17" w14:textId="527D7167" w:rsidR="00ED74EE" w:rsidRPr="00DF0B37" w:rsidRDefault="00000000" w:rsidP="00ED74EE">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73255824" w:history="1">
            <w:r w:rsidR="00ED74EE" w:rsidRPr="00DF0B37">
              <w:rPr>
                <w:rStyle w:val="af3"/>
                <w:rFonts w:ascii="Arial" w:hAnsi="Arial" w:cs="Arial"/>
                <w:noProof/>
                <w:sz w:val="24"/>
                <w:szCs w:val="24"/>
                <w:lang w:val="en-US"/>
              </w:rPr>
              <w:t>Conclusion</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_Toc173255824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11</w:t>
            </w:r>
            <w:r w:rsidR="00ED74EE" w:rsidRPr="00DF0B37">
              <w:rPr>
                <w:rFonts w:ascii="Arial" w:hAnsi="Arial" w:cs="Arial"/>
                <w:noProof/>
                <w:webHidden/>
                <w:sz w:val="24"/>
                <w:szCs w:val="24"/>
              </w:rPr>
              <w:fldChar w:fldCharType="end"/>
            </w:r>
          </w:hyperlink>
        </w:p>
        <w:p w14:paraId="54585D49" w14:textId="559CC4FA" w:rsidR="00ED74EE" w:rsidRPr="00DF0B37" w:rsidRDefault="00000000" w:rsidP="00ED74EE">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73255825" w:history="1">
            <w:r w:rsidR="00ED74EE" w:rsidRPr="00DF0B37">
              <w:rPr>
                <w:rStyle w:val="af3"/>
                <w:rFonts w:ascii="Arial" w:hAnsi="Arial" w:cs="Arial"/>
                <w:noProof/>
                <w:sz w:val="24"/>
                <w:szCs w:val="24"/>
                <w:lang w:val="en-US"/>
              </w:rPr>
              <w:t>References</w:t>
            </w:r>
            <w:r w:rsidR="00ED74EE" w:rsidRPr="00DF0B37">
              <w:rPr>
                <w:rFonts w:ascii="Arial" w:hAnsi="Arial" w:cs="Arial"/>
                <w:noProof/>
                <w:webHidden/>
                <w:sz w:val="24"/>
                <w:szCs w:val="24"/>
              </w:rPr>
              <w:tab/>
            </w:r>
            <w:r w:rsidR="00ED74EE" w:rsidRPr="00DF0B37">
              <w:rPr>
                <w:rFonts w:ascii="Arial" w:hAnsi="Arial" w:cs="Arial"/>
                <w:noProof/>
                <w:webHidden/>
                <w:sz w:val="24"/>
                <w:szCs w:val="24"/>
              </w:rPr>
              <w:fldChar w:fldCharType="begin"/>
            </w:r>
            <w:r w:rsidR="00ED74EE" w:rsidRPr="00DF0B37">
              <w:rPr>
                <w:rFonts w:ascii="Arial" w:hAnsi="Arial" w:cs="Arial"/>
                <w:noProof/>
                <w:webHidden/>
                <w:sz w:val="24"/>
                <w:szCs w:val="24"/>
              </w:rPr>
              <w:instrText xml:space="preserve"> PAGEREF _Toc173255825 \h </w:instrText>
            </w:r>
            <w:r w:rsidR="00ED74EE" w:rsidRPr="00DF0B37">
              <w:rPr>
                <w:rFonts w:ascii="Arial" w:hAnsi="Arial" w:cs="Arial"/>
                <w:noProof/>
                <w:webHidden/>
                <w:sz w:val="24"/>
                <w:szCs w:val="24"/>
              </w:rPr>
            </w:r>
            <w:r w:rsidR="00ED74EE" w:rsidRPr="00DF0B37">
              <w:rPr>
                <w:rFonts w:ascii="Arial" w:hAnsi="Arial" w:cs="Arial"/>
                <w:noProof/>
                <w:webHidden/>
                <w:sz w:val="24"/>
                <w:szCs w:val="24"/>
              </w:rPr>
              <w:fldChar w:fldCharType="separate"/>
            </w:r>
            <w:r w:rsidR="00C51E68">
              <w:rPr>
                <w:rFonts w:ascii="Arial" w:hAnsi="Arial" w:cs="Arial"/>
                <w:noProof/>
                <w:webHidden/>
                <w:sz w:val="24"/>
                <w:szCs w:val="24"/>
              </w:rPr>
              <w:t>12</w:t>
            </w:r>
            <w:r w:rsidR="00ED74EE" w:rsidRPr="00DF0B37">
              <w:rPr>
                <w:rFonts w:ascii="Arial" w:hAnsi="Arial" w:cs="Arial"/>
                <w:noProof/>
                <w:webHidden/>
                <w:sz w:val="24"/>
                <w:szCs w:val="24"/>
              </w:rPr>
              <w:fldChar w:fldCharType="end"/>
            </w:r>
          </w:hyperlink>
        </w:p>
        <w:p w14:paraId="70BDE4F5" w14:textId="161F9673" w:rsidR="00435746" w:rsidRPr="00DF0B37" w:rsidRDefault="004C4110" w:rsidP="00ED74EE">
          <w:pPr>
            <w:spacing w:line="480" w:lineRule="auto"/>
            <w:jc w:val="both"/>
            <w:rPr>
              <w:rFonts w:ascii="Arial" w:hAnsi="Arial" w:cs="Arial"/>
            </w:rPr>
          </w:pPr>
          <w:r w:rsidRPr="00DF0B37">
            <w:rPr>
              <w:rFonts w:ascii="Arial" w:hAnsi="Arial" w:cs="Arial"/>
              <w:b/>
              <w:bCs/>
              <w:noProof/>
              <w:sz w:val="24"/>
              <w:szCs w:val="24"/>
            </w:rPr>
            <w:fldChar w:fldCharType="end"/>
          </w:r>
        </w:p>
      </w:sdtContent>
    </w:sdt>
    <w:p w14:paraId="30277D16" w14:textId="39D492DA" w:rsidR="00435746" w:rsidRPr="00DF0B37" w:rsidRDefault="00435746" w:rsidP="00435746">
      <w:pPr>
        <w:pStyle w:val="1"/>
        <w:spacing w:before="0" w:after="240"/>
        <w:rPr>
          <w:rFonts w:ascii="Arial" w:hAnsi="Arial" w:cs="Arial"/>
          <w:lang w:val="en-US"/>
        </w:rPr>
      </w:pPr>
      <w:bookmarkStart w:id="0" w:name="_Toc173255809"/>
      <w:r w:rsidRPr="00DF0B37">
        <w:rPr>
          <w:rFonts w:ascii="Arial" w:hAnsi="Arial" w:cs="Arial"/>
          <w:lang w:val="en-US"/>
        </w:rPr>
        <w:lastRenderedPageBreak/>
        <w:t>Introduction</w:t>
      </w:r>
      <w:bookmarkEnd w:id="0"/>
      <w:r w:rsidRPr="00DF0B37">
        <w:rPr>
          <w:rFonts w:ascii="Arial" w:hAnsi="Arial" w:cs="Arial"/>
          <w:lang w:val="en-US"/>
        </w:rPr>
        <w:t xml:space="preserve"> </w:t>
      </w:r>
    </w:p>
    <w:p w14:paraId="04DEA335" w14:textId="0A332E5E" w:rsidR="00266BEC" w:rsidRPr="00DF0B37" w:rsidRDefault="00266BEC"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current proposal explains some of the key elements </w:t>
      </w:r>
      <w:r w:rsidR="00DF0B37">
        <w:rPr>
          <w:rFonts w:ascii="Arial" w:hAnsi="Arial" w:cs="Arial"/>
          <w:sz w:val="24"/>
          <w:szCs w:val="24"/>
          <w:lang w:val="en-US"/>
        </w:rPr>
        <w:t xml:space="preserve">related to the creation of the intended research in the field of human resource management (HRM). </w:t>
      </w:r>
      <w:r w:rsidRPr="00DF0B37">
        <w:rPr>
          <w:rFonts w:ascii="Arial" w:hAnsi="Arial" w:cs="Arial"/>
          <w:sz w:val="24"/>
          <w:szCs w:val="24"/>
          <w:lang w:val="en-US"/>
        </w:rPr>
        <w:t>The research considers the key role of employee motivation as prerequisite for achieving optimal employee and organisational performance (Hook and Jenkins, 2019). The focus on financial stimuli as a driver of employee motivation is explained in more detail below. Amid the current cost-of-living crisis, it is important to explore the changing role of financial remuneration (Harari</w:t>
      </w:r>
      <w:r w:rsidR="00FC0B7D" w:rsidRPr="00DF0B37">
        <w:rPr>
          <w:rFonts w:ascii="Arial" w:hAnsi="Arial" w:cs="Arial"/>
          <w:sz w:val="24"/>
          <w:szCs w:val="24"/>
          <w:lang w:val="en-US"/>
        </w:rPr>
        <w:t xml:space="preserve"> et al.</w:t>
      </w:r>
      <w:r w:rsidRPr="00DF0B37">
        <w:rPr>
          <w:rFonts w:ascii="Arial" w:hAnsi="Arial" w:cs="Arial"/>
          <w:sz w:val="24"/>
          <w:szCs w:val="24"/>
          <w:lang w:val="en-US"/>
        </w:rPr>
        <w:t xml:space="preserve">, 2024). </w:t>
      </w:r>
    </w:p>
    <w:p w14:paraId="6B810EC6" w14:textId="3C86BDA2" w:rsidR="00435746" w:rsidRPr="00DF0B37" w:rsidRDefault="00266BEC"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proposal explains in detail the key aim and objectives of the study, the selected research questions, key literature sources and methodological propositions. Taken together, these key elements propose a detailed roadmap for the planned research of the specific case of Tesco – the largest UK retailer (Bedford, 2024). </w:t>
      </w:r>
    </w:p>
    <w:p w14:paraId="6FBECFCA" w14:textId="4B62FFBE" w:rsidR="00435746" w:rsidRPr="00DF0B37" w:rsidRDefault="00435746" w:rsidP="00435746">
      <w:pPr>
        <w:pStyle w:val="1"/>
        <w:spacing w:before="0" w:after="240"/>
        <w:rPr>
          <w:rFonts w:ascii="Arial" w:hAnsi="Arial" w:cs="Arial"/>
          <w:lang w:val="en-US"/>
        </w:rPr>
      </w:pPr>
      <w:bookmarkStart w:id="1" w:name="_Toc173255810"/>
      <w:r w:rsidRPr="00DF0B37">
        <w:rPr>
          <w:rFonts w:ascii="Arial" w:hAnsi="Arial" w:cs="Arial"/>
          <w:lang w:val="en-US"/>
        </w:rPr>
        <w:t>Research aim and objectives</w:t>
      </w:r>
      <w:bookmarkEnd w:id="1"/>
    </w:p>
    <w:p w14:paraId="21FB40BD" w14:textId="76A368A4" w:rsidR="00435746" w:rsidRPr="00DF0B37" w:rsidRDefault="00540F52"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aim of the study is to evaluate the influence of financial compensation as a determinant of employee motivation in the case of Tesco. </w:t>
      </w:r>
    </w:p>
    <w:p w14:paraId="6CA3E5D1" w14:textId="1E7BCCC0" w:rsidR="00540F52" w:rsidRPr="00DF0B37" w:rsidRDefault="00540F52" w:rsidP="00435746">
      <w:pPr>
        <w:spacing w:line="360" w:lineRule="auto"/>
        <w:jc w:val="both"/>
        <w:rPr>
          <w:rFonts w:ascii="Arial" w:hAnsi="Arial" w:cs="Arial"/>
          <w:sz w:val="24"/>
          <w:szCs w:val="24"/>
          <w:lang w:val="en-US"/>
        </w:rPr>
      </w:pPr>
      <w:r w:rsidRPr="00DF0B37">
        <w:rPr>
          <w:rFonts w:ascii="Arial" w:hAnsi="Arial" w:cs="Arial"/>
          <w:sz w:val="24"/>
          <w:szCs w:val="24"/>
          <w:lang w:val="en-US"/>
        </w:rPr>
        <w:t>To achieve the main aim, several research objectives are considered, as follows:</w:t>
      </w:r>
    </w:p>
    <w:p w14:paraId="5F133B7A" w14:textId="1D92D643" w:rsidR="00540F52" w:rsidRPr="00DF0B37" w:rsidRDefault="00540F52" w:rsidP="00540F52">
      <w:pPr>
        <w:pStyle w:val="a9"/>
        <w:numPr>
          <w:ilvl w:val="0"/>
          <w:numId w:val="1"/>
        </w:numPr>
        <w:spacing w:line="360" w:lineRule="auto"/>
        <w:jc w:val="both"/>
        <w:rPr>
          <w:rFonts w:ascii="Arial" w:hAnsi="Arial" w:cs="Arial"/>
          <w:sz w:val="24"/>
          <w:szCs w:val="24"/>
          <w:lang w:val="en-US"/>
        </w:rPr>
      </w:pPr>
      <w:r w:rsidRPr="00DF0B37">
        <w:rPr>
          <w:rFonts w:ascii="Arial" w:hAnsi="Arial" w:cs="Arial"/>
          <w:sz w:val="24"/>
          <w:szCs w:val="24"/>
          <w:lang w:val="en-US"/>
        </w:rPr>
        <w:t xml:space="preserve">To analyse the general role of employee motivation for individual and organisational performance. </w:t>
      </w:r>
    </w:p>
    <w:p w14:paraId="2BD72DA1" w14:textId="07B99D77" w:rsidR="00540F52" w:rsidRPr="00DF0B37" w:rsidRDefault="00540F52" w:rsidP="00540F52">
      <w:pPr>
        <w:pStyle w:val="a9"/>
        <w:numPr>
          <w:ilvl w:val="0"/>
          <w:numId w:val="1"/>
        </w:numPr>
        <w:spacing w:line="360" w:lineRule="auto"/>
        <w:jc w:val="both"/>
        <w:rPr>
          <w:rFonts w:ascii="Arial" w:hAnsi="Arial" w:cs="Arial"/>
          <w:sz w:val="24"/>
          <w:szCs w:val="24"/>
          <w:lang w:val="en-US"/>
        </w:rPr>
      </w:pPr>
      <w:r w:rsidRPr="00DF0B37">
        <w:rPr>
          <w:rFonts w:ascii="Arial" w:hAnsi="Arial" w:cs="Arial"/>
          <w:sz w:val="24"/>
          <w:szCs w:val="24"/>
          <w:lang w:val="en-US"/>
        </w:rPr>
        <w:t>To identify from the theory the key determinants of employee motivation and the specific role of financial stimuli.</w:t>
      </w:r>
    </w:p>
    <w:p w14:paraId="50E65B4D" w14:textId="33F547A1" w:rsidR="00540F52" w:rsidRPr="00DF0B37" w:rsidRDefault="00540F52" w:rsidP="00540F52">
      <w:pPr>
        <w:pStyle w:val="a9"/>
        <w:numPr>
          <w:ilvl w:val="0"/>
          <w:numId w:val="1"/>
        </w:numPr>
        <w:spacing w:line="360" w:lineRule="auto"/>
        <w:jc w:val="both"/>
        <w:rPr>
          <w:rFonts w:ascii="Arial" w:hAnsi="Arial" w:cs="Arial"/>
          <w:sz w:val="24"/>
          <w:szCs w:val="24"/>
          <w:lang w:val="en-US"/>
        </w:rPr>
      </w:pPr>
      <w:r w:rsidRPr="00DF0B37">
        <w:rPr>
          <w:rFonts w:ascii="Arial" w:hAnsi="Arial" w:cs="Arial"/>
          <w:sz w:val="24"/>
          <w:szCs w:val="24"/>
          <w:lang w:val="en-US"/>
        </w:rPr>
        <w:t xml:space="preserve">To explore the relative relevance of financial stimuli as a determinant of employee motivation based on contemporary data. </w:t>
      </w:r>
    </w:p>
    <w:p w14:paraId="10CCFC18" w14:textId="209D9113" w:rsidR="00435746" w:rsidRPr="00DF0B37" w:rsidRDefault="00540F52" w:rsidP="00435746">
      <w:pPr>
        <w:pStyle w:val="a9"/>
        <w:numPr>
          <w:ilvl w:val="0"/>
          <w:numId w:val="1"/>
        </w:numPr>
        <w:spacing w:line="360" w:lineRule="auto"/>
        <w:jc w:val="both"/>
        <w:rPr>
          <w:rFonts w:ascii="Arial" w:hAnsi="Arial" w:cs="Arial"/>
          <w:sz w:val="24"/>
          <w:szCs w:val="24"/>
          <w:lang w:val="en-US"/>
        </w:rPr>
      </w:pPr>
      <w:r w:rsidRPr="00DF0B37">
        <w:rPr>
          <w:rFonts w:ascii="Arial" w:hAnsi="Arial" w:cs="Arial"/>
          <w:sz w:val="24"/>
          <w:szCs w:val="24"/>
          <w:lang w:val="en-US"/>
        </w:rPr>
        <w:t xml:space="preserve">To suggest evidence-based recommendations for improved employee management in the case of Tesco. </w:t>
      </w:r>
    </w:p>
    <w:p w14:paraId="689E8CCE" w14:textId="34D0EC46" w:rsidR="00435746" w:rsidRPr="00DF0B37" w:rsidRDefault="00435746" w:rsidP="00435746">
      <w:pPr>
        <w:pStyle w:val="1"/>
        <w:spacing w:before="0" w:after="240"/>
        <w:rPr>
          <w:rFonts w:ascii="Arial" w:hAnsi="Arial" w:cs="Arial"/>
          <w:lang w:val="en-US"/>
        </w:rPr>
      </w:pPr>
      <w:bookmarkStart w:id="2" w:name="_Toc173255811"/>
      <w:r w:rsidRPr="00DF0B37">
        <w:rPr>
          <w:rFonts w:ascii="Arial" w:hAnsi="Arial" w:cs="Arial"/>
          <w:lang w:val="en-US"/>
        </w:rPr>
        <w:t>Research questions</w:t>
      </w:r>
      <w:bookmarkEnd w:id="2"/>
      <w:r w:rsidRPr="00DF0B37">
        <w:rPr>
          <w:rFonts w:ascii="Arial" w:hAnsi="Arial" w:cs="Arial"/>
          <w:lang w:val="en-US"/>
        </w:rPr>
        <w:t xml:space="preserve"> </w:t>
      </w:r>
    </w:p>
    <w:p w14:paraId="3514407B" w14:textId="4CE48509" w:rsidR="00435746" w:rsidRPr="00DF0B37" w:rsidRDefault="00DC696E" w:rsidP="00435746">
      <w:pPr>
        <w:spacing w:line="360" w:lineRule="auto"/>
        <w:jc w:val="both"/>
        <w:rPr>
          <w:rFonts w:ascii="Arial" w:hAnsi="Arial" w:cs="Arial"/>
          <w:sz w:val="24"/>
          <w:szCs w:val="24"/>
          <w:lang w:val="en-US"/>
        </w:rPr>
      </w:pPr>
      <w:r w:rsidRPr="00DF0B37">
        <w:rPr>
          <w:rFonts w:ascii="Arial" w:hAnsi="Arial" w:cs="Arial"/>
          <w:sz w:val="24"/>
          <w:szCs w:val="24"/>
          <w:lang w:val="en-US"/>
        </w:rPr>
        <w:t>The study also explores several research questions which are shown below.</w:t>
      </w:r>
    </w:p>
    <w:p w14:paraId="4ABD9473" w14:textId="4EAB8917" w:rsidR="00DC696E" w:rsidRPr="00DF0B37" w:rsidRDefault="00284FEC" w:rsidP="00DC696E">
      <w:pPr>
        <w:pStyle w:val="a9"/>
        <w:numPr>
          <w:ilvl w:val="0"/>
          <w:numId w:val="2"/>
        </w:numPr>
        <w:spacing w:line="360" w:lineRule="auto"/>
        <w:jc w:val="both"/>
        <w:rPr>
          <w:rFonts w:ascii="Arial" w:hAnsi="Arial" w:cs="Arial"/>
          <w:sz w:val="24"/>
          <w:szCs w:val="24"/>
          <w:lang w:val="en-US"/>
        </w:rPr>
      </w:pPr>
      <w:r w:rsidRPr="00DF0B37">
        <w:rPr>
          <w:rFonts w:ascii="Arial" w:hAnsi="Arial" w:cs="Arial"/>
          <w:sz w:val="24"/>
          <w:szCs w:val="24"/>
          <w:lang w:val="en-US"/>
        </w:rPr>
        <w:t>What are the main factors affecting the level of motivation of employees at Tesco?</w:t>
      </w:r>
    </w:p>
    <w:p w14:paraId="1B32BB33" w14:textId="3C6FC2E2" w:rsidR="00284FEC" w:rsidRPr="00DF0B37" w:rsidRDefault="00284FEC" w:rsidP="00DC696E">
      <w:pPr>
        <w:pStyle w:val="a9"/>
        <w:numPr>
          <w:ilvl w:val="0"/>
          <w:numId w:val="2"/>
        </w:numPr>
        <w:spacing w:line="360" w:lineRule="auto"/>
        <w:jc w:val="both"/>
        <w:rPr>
          <w:rFonts w:ascii="Arial" w:hAnsi="Arial" w:cs="Arial"/>
          <w:sz w:val="24"/>
          <w:szCs w:val="24"/>
          <w:lang w:val="en-US"/>
        </w:rPr>
      </w:pPr>
      <w:r w:rsidRPr="00DF0B37">
        <w:rPr>
          <w:rFonts w:ascii="Arial" w:hAnsi="Arial" w:cs="Arial"/>
          <w:sz w:val="24"/>
          <w:szCs w:val="24"/>
          <w:lang w:val="en-US"/>
        </w:rPr>
        <w:lastRenderedPageBreak/>
        <w:t>What is the impact of the currently provided financial stimuli on employee motivation?</w:t>
      </w:r>
    </w:p>
    <w:p w14:paraId="5A74A2D6" w14:textId="4ED723E2" w:rsidR="00DC696E" w:rsidRPr="00DF0B37" w:rsidRDefault="00DC696E" w:rsidP="00DC696E">
      <w:pPr>
        <w:pStyle w:val="a9"/>
        <w:numPr>
          <w:ilvl w:val="0"/>
          <w:numId w:val="2"/>
        </w:numPr>
        <w:spacing w:line="360" w:lineRule="auto"/>
        <w:jc w:val="both"/>
        <w:rPr>
          <w:rFonts w:ascii="Arial" w:hAnsi="Arial" w:cs="Arial"/>
          <w:sz w:val="24"/>
          <w:szCs w:val="24"/>
          <w:lang w:val="en-US"/>
        </w:rPr>
      </w:pPr>
      <w:r w:rsidRPr="00DF0B37">
        <w:rPr>
          <w:rFonts w:ascii="Arial" w:hAnsi="Arial" w:cs="Arial"/>
          <w:sz w:val="24"/>
          <w:szCs w:val="24"/>
          <w:lang w:val="en-US"/>
        </w:rPr>
        <w:t xml:space="preserve">How can Tesco improve its </w:t>
      </w:r>
      <w:r w:rsidR="00DF0B37">
        <w:rPr>
          <w:rFonts w:ascii="Arial" w:hAnsi="Arial" w:cs="Arial"/>
          <w:sz w:val="24"/>
          <w:szCs w:val="24"/>
          <w:lang w:val="en-US"/>
        </w:rPr>
        <w:t>HRM</w:t>
      </w:r>
      <w:r w:rsidRPr="00DF0B37">
        <w:rPr>
          <w:rFonts w:ascii="Arial" w:hAnsi="Arial" w:cs="Arial"/>
          <w:sz w:val="24"/>
          <w:szCs w:val="24"/>
          <w:lang w:val="en-US"/>
        </w:rPr>
        <w:t xml:space="preserve"> process?</w:t>
      </w:r>
    </w:p>
    <w:p w14:paraId="76607BDF" w14:textId="5A0CCF97" w:rsidR="00435746" w:rsidRPr="00DF0B37" w:rsidRDefault="00284FEC"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proposal continues with the rationale for the study. </w:t>
      </w:r>
    </w:p>
    <w:p w14:paraId="4F3E4EEB" w14:textId="3A6D7D40" w:rsidR="00435746" w:rsidRPr="00DF0B37" w:rsidRDefault="00435746" w:rsidP="00435746">
      <w:pPr>
        <w:pStyle w:val="1"/>
        <w:spacing w:before="0" w:after="240"/>
        <w:rPr>
          <w:rFonts w:ascii="Arial" w:hAnsi="Arial" w:cs="Arial"/>
          <w:lang w:val="en-US"/>
        </w:rPr>
      </w:pPr>
      <w:bookmarkStart w:id="3" w:name="_Toc173255812"/>
      <w:r w:rsidRPr="00DF0B37">
        <w:rPr>
          <w:rFonts w:ascii="Arial" w:hAnsi="Arial" w:cs="Arial"/>
          <w:lang w:val="en-US"/>
        </w:rPr>
        <w:t>Justification of the research</w:t>
      </w:r>
      <w:bookmarkEnd w:id="3"/>
      <w:r w:rsidRPr="00DF0B37">
        <w:rPr>
          <w:rFonts w:ascii="Arial" w:hAnsi="Arial" w:cs="Arial"/>
          <w:lang w:val="en-US"/>
        </w:rPr>
        <w:t xml:space="preserve"> </w:t>
      </w:r>
    </w:p>
    <w:p w14:paraId="40BBC4D4" w14:textId="590C1D23" w:rsidR="00435746" w:rsidRPr="00DF0B37" w:rsidRDefault="00FC0B7D" w:rsidP="00435746">
      <w:pPr>
        <w:spacing w:line="360" w:lineRule="auto"/>
        <w:jc w:val="both"/>
        <w:rPr>
          <w:rFonts w:ascii="Arial" w:hAnsi="Arial" w:cs="Arial"/>
          <w:sz w:val="24"/>
          <w:szCs w:val="24"/>
          <w:lang w:val="en-US"/>
        </w:rPr>
      </w:pPr>
      <w:r w:rsidRPr="00DF0B37">
        <w:rPr>
          <w:rFonts w:ascii="Arial" w:hAnsi="Arial" w:cs="Arial"/>
          <w:sz w:val="24"/>
          <w:szCs w:val="24"/>
          <w:lang w:val="en-US"/>
        </w:rPr>
        <w:t>There are several key reasons which motivate the current study.</w:t>
      </w:r>
    </w:p>
    <w:p w14:paraId="1F7B52E6" w14:textId="56388ADC" w:rsidR="00FC0B7D" w:rsidRPr="00DF0B37" w:rsidRDefault="00FC0B7D" w:rsidP="00435746">
      <w:pPr>
        <w:spacing w:line="360" w:lineRule="auto"/>
        <w:jc w:val="both"/>
        <w:rPr>
          <w:rFonts w:ascii="Arial" w:hAnsi="Arial" w:cs="Arial"/>
          <w:sz w:val="24"/>
          <w:szCs w:val="24"/>
          <w:lang w:val="en-US"/>
        </w:rPr>
      </w:pPr>
      <w:r w:rsidRPr="00DF0B37">
        <w:rPr>
          <w:rFonts w:ascii="Arial" w:hAnsi="Arial" w:cs="Arial"/>
          <w:sz w:val="24"/>
          <w:szCs w:val="24"/>
          <w:lang w:val="en-US"/>
        </w:rPr>
        <w:t>First, the UK has experienced an unprecedented period of high inflation, reaching more than 11% per annum in 2022 (Harari et al., 2024). The cost-of-living crisis has caused a major decline in the purchasing power of households and economic uncertainty. Therefore, it is important to analyse with the most contemporary data whether the worsening economic situation has made financial remuneration a key factor affecting employee motivation.</w:t>
      </w:r>
    </w:p>
    <w:p w14:paraId="58DFA09E" w14:textId="454A31AC" w:rsidR="00FC0B7D" w:rsidRPr="00DF0B37" w:rsidRDefault="00FC0B7D" w:rsidP="00435746">
      <w:pPr>
        <w:spacing w:line="360" w:lineRule="auto"/>
        <w:jc w:val="both"/>
        <w:rPr>
          <w:rFonts w:ascii="Arial" w:hAnsi="Arial" w:cs="Arial"/>
          <w:sz w:val="24"/>
          <w:szCs w:val="24"/>
          <w:lang w:val="en-US"/>
        </w:rPr>
      </w:pPr>
      <w:r w:rsidRPr="00DF0B37">
        <w:rPr>
          <w:rFonts w:ascii="Arial" w:hAnsi="Arial" w:cs="Arial"/>
          <w:sz w:val="24"/>
          <w:szCs w:val="24"/>
          <w:lang w:val="en-US"/>
        </w:rPr>
        <w:t>Second, Tesco is a large organisation with 330,000 employees (Tesco, 2023). The management of such a large and diverse workforce is challenging. Hence, even incremental improvements in the process of HRM can deliver large-scale benefits for the organisation given the scale of its workforce size. The current research is motivated to identify such small improvements with new evidence which can be beneficial for Tesco.</w:t>
      </w:r>
    </w:p>
    <w:p w14:paraId="710F7228" w14:textId="45F057EA" w:rsidR="00FC0B7D" w:rsidRPr="00DF0B37" w:rsidRDefault="00FC0B7D"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Third, </w:t>
      </w:r>
      <w:r w:rsidR="00923DFF" w:rsidRPr="00DF0B37">
        <w:rPr>
          <w:rFonts w:ascii="Arial" w:hAnsi="Arial" w:cs="Arial"/>
          <w:sz w:val="24"/>
          <w:szCs w:val="24"/>
          <w:lang w:val="en-US"/>
        </w:rPr>
        <w:t xml:space="preserve">the unemployment in the UK is relatively low at a level of just </w:t>
      </w:r>
      <w:r w:rsidR="009A1F0E" w:rsidRPr="00DF0B37">
        <w:rPr>
          <w:rFonts w:ascii="Arial" w:hAnsi="Arial" w:cs="Arial"/>
          <w:sz w:val="24"/>
          <w:szCs w:val="24"/>
          <w:lang w:val="en-US"/>
        </w:rPr>
        <w:t>4.4% - quite a low level from a historical perspective</w:t>
      </w:r>
      <w:r w:rsidR="00923DFF" w:rsidRPr="00DF0B37">
        <w:rPr>
          <w:rFonts w:ascii="Arial" w:hAnsi="Arial" w:cs="Arial"/>
          <w:sz w:val="24"/>
          <w:szCs w:val="24"/>
          <w:lang w:val="en-US"/>
        </w:rPr>
        <w:t xml:space="preserve"> (</w:t>
      </w:r>
      <w:r w:rsidR="009A1F0E" w:rsidRPr="00DF0B37">
        <w:rPr>
          <w:rFonts w:ascii="Arial" w:hAnsi="Arial" w:cs="Arial"/>
          <w:sz w:val="24"/>
          <w:szCs w:val="24"/>
          <w:lang w:val="en-US"/>
        </w:rPr>
        <w:t>Trading Economics, 2024</w:t>
      </w:r>
      <w:r w:rsidR="00923DFF" w:rsidRPr="00DF0B37">
        <w:rPr>
          <w:rFonts w:ascii="Arial" w:hAnsi="Arial" w:cs="Arial"/>
          <w:sz w:val="24"/>
          <w:szCs w:val="24"/>
          <w:lang w:val="en-US"/>
        </w:rPr>
        <w:t xml:space="preserve">). This means that employees are a relatively scarce and expensive resource for organisations, including Tesco. Considering this, the current study is motivated to explore the role of financial stimuli to improve the overall process of HRM. Thus, Tesco can better manage the valuable human resources – a factor with a major impact on the company’s performance.  </w:t>
      </w:r>
    </w:p>
    <w:p w14:paraId="47402104" w14:textId="3D9C7B70" w:rsidR="00435746" w:rsidRPr="00DF0B37" w:rsidRDefault="00FC0B7D"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Last, the author of the study is personally interested in the organisation and the subject of HRM. The existence of high personal motivation largely supports the conduct of the study. </w:t>
      </w:r>
    </w:p>
    <w:p w14:paraId="012F7B3C" w14:textId="53CE0E01" w:rsidR="008C26AC" w:rsidRPr="00DF0B37" w:rsidRDefault="008C26AC"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arguments provide strong rationale for the creation of the study. </w:t>
      </w:r>
    </w:p>
    <w:p w14:paraId="593662B9" w14:textId="2E9FF77E" w:rsidR="00435746" w:rsidRPr="00DF0B37" w:rsidRDefault="00435746" w:rsidP="00435746">
      <w:pPr>
        <w:pStyle w:val="1"/>
        <w:spacing w:before="0" w:after="240"/>
        <w:rPr>
          <w:rFonts w:ascii="Arial" w:hAnsi="Arial" w:cs="Arial"/>
          <w:lang w:val="en-US"/>
        </w:rPr>
      </w:pPr>
      <w:bookmarkStart w:id="4" w:name="_Toc173255813"/>
      <w:r w:rsidRPr="00DF0B37">
        <w:rPr>
          <w:rFonts w:ascii="Arial" w:hAnsi="Arial" w:cs="Arial"/>
          <w:lang w:val="en-US"/>
        </w:rPr>
        <w:lastRenderedPageBreak/>
        <w:t>Literature review</w:t>
      </w:r>
      <w:bookmarkEnd w:id="4"/>
    </w:p>
    <w:p w14:paraId="2921F98E" w14:textId="3C99C9B2" w:rsidR="00435746" w:rsidRPr="00DF0B37" w:rsidRDefault="0080020A" w:rsidP="0080020A">
      <w:pPr>
        <w:pStyle w:val="2"/>
        <w:spacing w:before="0"/>
        <w:rPr>
          <w:rFonts w:ascii="Arial" w:hAnsi="Arial" w:cs="Arial"/>
          <w:lang w:val="en-US"/>
        </w:rPr>
      </w:pPr>
      <w:bookmarkStart w:id="5" w:name="_Toc173255814"/>
      <w:r w:rsidRPr="00DF0B37">
        <w:rPr>
          <w:rFonts w:ascii="Arial" w:hAnsi="Arial" w:cs="Arial"/>
          <w:lang w:val="en-US"/>
        </w:rPr>
        <w:t>Cost-of-living crisis</w:t>
      </w:r>
      <w:r w:rsidR="00BA394F" w:rsidRPr="00DF0B37">
        <w:rPr>
          <w:rFonts w:ascii="Arial" w:hAnsi="Arial" w:cs="Arial"/>
          <w:lang w:val="en-US"/>
        </w:rPr>
        <w:t xml:space="preserve"> in the UK</w:t>
      </w:r>
      <w:bookmarkEnd w:id="5"/>
    </w:p>
    <w:p w14:paraId="221F2A21" w14:textId="0F5A07C0" w:rsidR="0080020A" w:rsidRPr="00DF0B37" w:rsidRDefault="00526F40"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This part of the proposal explains the manifestations of the cost-of-living crisis in the UK. First, the crisis was caused by exceptionally high inflation levels which exceeded the policy target of 2% per annum for an extended period, as shown below (Harari et al., 2024). </w:t>
      </w:r>
    </w:p>
    <w:p w14:paraId="62A8AC31" w14:textId="0B3F65B3" w:rsidR="00526F40" w:rsidRPr="00DF0B37" w:rsidRDefault="00526F40" w:rsidP="00435746">
      <w:pPr>
        <w:spacing w:line="360" w:lineRule="auto"/>
        <w:jc w:val="both"/>
        <w:rPr>
          <w:rFonts w:ascii="Arial" w:hAnsi="Arial" w:cs="Arial"/>
          <w:b/>
          <w:bCs/>
          <w:sz w:val="24"/>
          <w:szCs w:val="24"/>
          <w:lang w:val="en-US"/>
        </w:rPr>
      </w:pPr>
      <w:r w:rsidRPr="00DF0B37">
        <w:rPr>
          <w:rFonts w:ascii="Arial" w:hAnsi="Arial" w:cs="Arial"/>
          <w:b/>
          <w:bCs/>
          <w:sz w:val="24"/>
          <w:szCs w:val="24"/>
          <w:lang w:val="en-US"/>
        </w:rPr>
        <w:t>Figure 1 – Changes in annual inflation in the UK (%)</w:t>
      </w:r>
    </w:p>
    <w:p w14:paraId="550A5246" w14:textId="073695B1" w:rsidR="00526F40" w:rsidRPr="00DF0B37" w:rsidRDefault="00526F40" w:rsidP="00435746">
      <w:pPr>
        <w:spacing w:line="360" w:lineRule="auto"/>
        <w:jc w:val="both"/>
        <w:rPr>
          <w:rFonts w:ascii="Arial" w:hAnsi="Arial" w:cs="Arial"/>
          <w:b/>
          <w:bCs/>
          <w:sz w:val="24"/>
          <w:szCs w:val="24"/>
          <w:lang w:val="en-US"/>
        </w:rPr>
      </w:pPr>
      <w:r w:rsidRPr="00DF0B37">
        <w:rPr>
          <w:rFonts w:ascii="Arial" w:hAnsi="Arial" w:cs="Arial"/>
          <w:b/>
          <w:bCs/>
          <w:noProof/>
          <w:sz w:val="24"/>
          <w:szCs w:val="24"/>
          <w:lang w:val="en-US"/>
        </w:rPr>
        <w:drawing>
          <wp:inline distT="0" distB="0" distL="0" distR="0" wp14:anchorId="511DF0E6" wp14:editId="447437F8">
            <wp:extent cx="5728970" cy="2070100"/>
            <wp:effectExtent l="0" t="0" r="5080" b="6350"/>
            <wp:docPr id="1182989577"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89577" name="Picture 1" descr="A graph with a line going up&#10;&#10;Description automatically generated"/>
                    <pic:cNvPicPr/>
                  </pic:nvPicPr>
                  <pic:blipFill>
                    <a:blip r:embed="rId9"/>
                    <a:stretch>
                      <a:fillRect/>
                    </a:stretch>
                  </pic:blipFill>
                  <pic:spPr>
                    <a:xfrm>
                      <a:off x="0" y="0"/>
                      <a:ext cx="5732986" cy="2071551"/>
                    </a:xfrm>
                    <a:prstGeom prst="rect">
                      <a:avLst/>
                    </a:prstGeom>
                  </pic:spPr>
                </pic:pic>
              </a:graphicData>
            </a:graphic>
          </wp:inline>
        </w:drawing>
      </w:r>
    </w:p>
    <w:p w14:paraId="7CEC110B" w14:textId="258D1223" w:rsidR="00526F40" w:rsidRPr="00DF0B37" w:rsidRDefault="00526F40" w:rsidP="00435746">
      <w:pPr>
        <w:spacing w:line="360" w:lineRule="auto"/>
        <w:jc w:val="both"/>
        <w:rPr>
          <w:rFonts w:ascii="Arial" w:hAnsi="Arial" w:cs="Arial"/>
          <w:i/>
          <w:iCs/>
          <w:sz w:val="24"/>
          <w:szCs w:val="24"/>
          <w:lang w:val="en-US"/>
        </w:rPr>
      </w:pPr>
      <w:r w:rsidRPr="00DF0B37">
        <w:rPr>
          <w:rFonts w:ascii="Arial" w:hAnsi="Arial" w:cs="Arial"/>
          <w:i/>
          <w:iCs/>
          <w:sz w:val="24"/>
          <w:szCs w:val="24"/>
          <w:lang w:val="en-US"/>
        </w:rPr>
        <w:t>Source: Harari et al. (2024)</w:t>
      </w:r>
    </w:p>
    <w:p w14:paraId="2C0224EC" w14:textId="7A646A2C" w:rsidR="00526F40" w:rsidRDefault="00526F40"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Second, the high inflation has had a negative impact on the purchasing power of UK households. Survey results indicate that most households experience affordability problems to afford even basic items, such as food, fuel, transportation and others (Harari et al., 2024). These findings indicate the severity of the cost-of-living crisis on the financial well-being of the UK citizens. </w:t>
      </w:r>
    </w:p>
    <w:p w14:paraId="7F5FB4B5" w14:textId="77777777" w:rsidR="00DF0B37" w:rsidRDefault="00DF0B37" w:rsidP="00435746">
      <w:pPr>
        <w:spacing w:line="360" w:lineRule="auto"/>
        <w:jc w:val="both"/>
        <w:rPr>
          <w:rFonts w:ascii="Arial" w:hAnsi="Arial" w:cs="Arial"/>
          <w:sz w:val="24"/>
          <w:szCs w:val="24"/>
          <w:lang w:val="en-US"/>
        </w:rPr>
      </w:pPr>
    </w:p>
    <w:p w14:paraId="60D4DD71" w14:textId="77777777" w:rsidR="00DF0B37" w:rsidRDefault="00DF0B37" w:rsidP="00435746">
      <w:pPr>
        <w:spacing w:line="360" w:lineRule="auto"/>
        <w:jc w:val="both"/>
        <w:rPr>
          <w:rFonts w:ascii="Arial" w:hAnsi="Arial" w:cs="Arial"/>
          <w:sz w:val="24"/>
          <w:szCs w:val="24"/>
          <w:lang w:val="en-US"/>
        </w:rPr>
      </w:pPr>
    </w:p>
    <w:p w14:paraId="71B34CBB" w14:textId="77777777" w:rsidR="00DF0B37" w:rsidRDefault="00DF0B37" w:rsidP="00435746">
      <w:pPr>
        <w:spacing w:line="360" w:lineRule="auto"/>
        <w:jc w:val="both"/>
        <w:rPr>
          <w:rFonts w:ascii="Arial" w:hAnsi="Arial" w:cs="Arial"/>
          <w:sz w:val="24"/>
          <w:szCs w:val="24"/>
          <w:lang w:val="en-US"/>
        </w:rPr>
      </w:pPr>
    </w:p>
    <w:p w14:paraId="66DFDFFB" w14:textId="77777777" w:rsidR="00DF0B37" w:rsidRDefault="00DF0B37" w:rsidP="00435746">
      <w:pPr>
        <w:spacing w:line="360" w:lineRule="auto"/>
        <w:jc w:val="both"/>
        <w:rPr>
          <w:rFonts w:ascii="Arial" w:hAnsi="Arial" w:cs="Arial"/>
          <w:sz w:val="24"/>
          <w:szCs w:val="24"/>
          <w:lang w:val="en-US"/>
        </w:rPr>
      </w:pPr>
    </w:p>
    <w:p w14:paraId="6DCB6C6B" w14:textId="77777777" w:rsidR="00DF0B37" w:rsidRDefault="00DF0B37" w:rsidP="00435746">
      <w:pPr>
        <w:spacing w:line="360" w:lineRule="auto"/>
        <w:jc w:val="both"/>
        <w:rPr>
          <w:rFonts w:ascii="Arial" w:hAnsi="Arial" w:cs="Arial"/>
          <w:sz w:val="24"/>
          <w:szCs w:val="24"/>
          <w:lang w:val="en-US"/>
        </w:rPr>
      </w:pPr>
    </w:p>
    <w:p w14:paraId="3B2F1E08" w14:textId="77777777" w:rsidR="00DF0B37" w:rsidRPr="00DF0B37" w:rsidRDefault="00DF0B37" w:rsidP="00435746">
      <w:pPr>
        <w:spacing w:line="360" w:lineRule="auto"/>
        <w:jc w:val="both"/>
        <w:rPr>
          <w:rFonts w:ascii="Arial" w:hAnsi="Arial" w:cs="Arial"/>
          <w:sz w:val="24"/>
          <w:szCs w:val="24"/>
          <w:lang w:val="en-US"/>
        </w:rPr>
      </w:pPr>
    </w:p>
    <w:p w14:paraId="6E2361AE" w14:textId="354C5659" w:rsidR="003C3385" w:rsidRPr="00DF0B37" w:rsidRDefault="003C3385" w:rsidP="00435746">
      <w:pPr>
        <w:spacing w:line="360" w:lineRule="auto"/>
        <w:jc w:val="both"/>
        <w:rPr>
          <w:rFonts w:ascii="Arial" w:hAnsi="Arial" w:cs="Arial"/>
          <w:b/>
          <w:bCs/>
          <w:sz w:val="24"/>
          <w:szCs w:val="24"/>
          <w:lang w:val="en-US"/>
        </w:rPr>
      </w:pPr>
      <w:r w:rsidRPr="00DF0B37">
        <w:rPr>
          <w:rFonts w:ascii="Arial" w:hAnsi="Arial" w:cs="Arial"/>
          <w:b/>
          <w:bCs/>
          <w:sz w:val="24"/>
          <w:szCs w:val="24"/>
          <w:lang w:val="en-US"/>
        </w:rPr>
        <w:lastRenderedPageBreak/>
        <w:t>Figure 2 – Problems experienced by UK households amid the cost-of-living crisis</w:t>
      </w:r>
    </w:p>
    <w:p w14:paraId="1F4D2FED" w14:textId="0BF9646F" w:rsidR="00AA486E" w:rsidRPr="00DF0B37" w:rsidRDefault="00526F40" w:rsidP="00435746">
      <w:pPr>
        <w:spacing w:line="360" w:lineRule="auto"/>
        <w:jc w:val="both"/>
        <w:rPr>
          <w:rFonts w:ascii="Arial" w:hAnsi="Arial" w:cs="Arial"/>
          <w:sz w:val="24"/>
          <w:szCs w:val="24"/>
          <w:lang w:val="en-US"/>
        </w:rPr>
      </w:pPr>
      <w:r w:rsidRPr="00DF0B37">
        <w:rPr>
          <w:rFonts w:ascii="Arial" w:hAnsi="Arial" w:cs="Arial"/>
          <w:noProof/>
          <w:color w:val="000000" w:themeColor="text1"/>
          <w:sz w:val="24"/>
          <w:szCs w:val="24"/>
        </w:rPr>
        <w:drawing>
          <wp:inline distT="0" distB="0" distL="0" distR="0" wp14:anchorId="798EB6E9" wp14:editId="730BF882">
            <wp:extent cx="5743710" cy="2806700"/>
            <wp:effectExtent l="0" t="0" r="9525" b="0"/>
            <wp:docPr id="738053922" name="Picture 4" descr="A graph with green rectangl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053922" name="Picture 4" descr="A graph with green rectangles and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48992" cy="2809281"/>
                    </a:xfrm>
                    <a:prstGeom prst="rect">
                      <a:avLst/>
                    </a:prstGeom>
                  </pic:spPr>
                </pic:pic>
              </a:graphicData>
            </a:graphic>
          </wp:inline>
        </w:drawing>
      </w:r>
    </w:p>
    <w:p w14:paraId="2FE0701B" w14:textId="77777777" w:rsidR="00526F40" w:rsidRPr="00526F40" w:rsidRDefault="00526F40" w:rsidP="00526F40">
      <w:pPr>
        <w:spacing w:line="360" w:lineRule="auto"/>
        <w:jc w:val="both"/>
        <w:rPr>
          <w:rFonts w:ascii="Arial" w:hAnsi="Arial" w:cs="Arial"/>
          <w:i/>
          <w:iCs/>
          <w:sz w:val="24"/>
          <w:szCs w:val="24"/>
          <w:lang w:val="en-US"/>
        </w:rPr>
      </w:pPr>
      <w:r w:rsidRPr="00526F40">
        <w:rPr>
          <w:rFonts w:ascii="Arial" w:hAnsi="Arial" w:cs="Arial"/>
          <w:i/>
          <w:iCs/>
          <w:sz w:val="24"/>
          <w:szCs w:val="24"/>
          <w:lang w:val="en-US"/>
        </w:rPr>
        <w:t>Source: Harari et al. (2024)</w:t>
      </w:r>
    </w:p>
    <w:p w14:paraId="747893C0" w14:textId="61B0D80F" w:rsidR="00526F40" w:rsidRPr="00DF0B37" w:rsidRDefault="00BE31BE"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To fight the escalating inflation – the main cause of the cost-of-living crisis – Bank of England (BoE) has significantly increased the interest rates. The base rate already reaches 5.25% (BoE, 2024). The spike of interest costs has also affected mortgage rates and the overall cost of loans, as shown below (Harari et al., 2024). Thus, the cost-of-living crisis </w:t>
      </w:r>
      <w:r w:rsidR="00854370" w:rsidRPr="00DF0B37">
        <w:rPr>
          <w:rFonts w:ascii="Arial" w:hAnsi="Arial" w:cs="Arial"/>
          <w:sz w:val="24"/>
          <w:szCs w:val="24"/>
          <w:lang w:val="en-US"/>
        </w:rPr>
        <w:t>has had not only a direct impact on living expenses, but also an indirect one by lifting interest expenditures (Harari et al., 2024).</w:t>
      </w:r>
    </w:p>
    <w:p w14:paraId="13AF9CF7" w14:textId="505D130C" w:rsidR="00854370" w:rsidRPr="00DF0B37" w:rsidRDefault="00854370" w:rsidP="00435746">
      <w:pPr>
        <w:spacing w:line="360" w:lineRule="auto"/>
        <w:jc w:val="both"/>
        <w:rPr>
          <w:rFonts w:ascii="Arial" w:hAnsi="Arial" w:cs="Arial"/>
          <w:b/>
          <w:bCs/>
          <w:sz w:val="24"/>
          <w:szCs w:val="24"/>
          <w:lang w:val="en-US"/>
        </w:rPr>
      </w:pPr>
      <w:r w:rsidRPr="00DF0B37">
        <w:rPr>
          <w:rFonts w:ascii="Arial" w:hAnsi="Arial" w:cs="Arial"/>
          <w:b/>
          <w:bCs/>
          <w:sz w:val="24"/>
          <w:szCs w:val="24"/>
          <w:lang w:val="en-US"/>
        </w:rPr>
        <w:t>Figure 3 – Average interest rate of fixed rate mortgages (%)</w:t>
      </w:r>
    </w:p>
    <w:p w14:paraId="1A0E84BA" w14:textId="0A564F33" w:rsidR="00854370" w:rsidRPr="00DF0B37" w:rsidRDefault="00854370" w:rsidP="00435746">
      <w:pPr>
        <w:spacing w:line="360" w:lineRule="auto"/>
        <w:jc w:val="both"/>
        <w:rPr>
          <w:rFonts w:ascii="Arial" w:hAnsi="Arial" w:cs="Arial"/>
          <w:sz w:val="24"/>
          <w:szCs w:val="24"/>
          <w:lang w:val="en-US"/>
        </w:rPr>
      </w:pPr>
      <w:r w:rsidRPr="00DF0B37">
        <w:rPr>
          <w:rFonts w:ascii="Arial" w:hAnsi="Arial" w:cs="Arial"/>
          <w:noProof/>
          <w:sz w:val="24"/>
          <w:szCs w:val="24"/>
          <w:lang w:val="en-US"/>
        </w:rPr>
        <w:drawing>
          <wp:inline distT="0" distB="0" distL="0" distR="0" wp14:anchorId="2C2920F5" wp14:editId="0A1CA506">
            <wp:extent cx="5689600" cy="2344327"/>
            <wp:effectExtent l="0" t="0" r="6350" b="0"/>
            <wp:docPr id="1144335815" name="Picture 1" descr="A graph showing the growth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35815" name="Picture 1" descr="A graph showing the growth of a company&#10;&#10;Description automatically generated"/>
                    <pic:cNvPicPr/>
                  </pic:nvPicPr>
                  <pic:blipFill>
                    <a:blip r:embed="rId11"/>
                    <a:stretch>
                      <a:fillRect/>
                    </a:stretch>
                  </pic:blipFill>
                  <pic:spPr>
                    <a:xfrm>
                      <a:off x="0" y="0"/>
                      <a:ext cx="5697193" cy="2347456"/>
                    </a:xfrm>
                    <a:prstGeom prst="rect">
                      <a:avLst/>
                    </a:prstGeom>
                  </pic:spPr>
                </pic:pic>
              </a:graphicData>
            </a:graphic>
          </wp:inline>
        </w:drawing>
      </w:r>
    </w:p>
    <w:p w14:paraId="36244E1C" w14:textId="77777777" w:rsidR="00854370" w:rsidRPr="00526F40" w:rsidRDefault="00854370" w:rsidP="00854370">
      <w:pPr>
        <w:spacing w:line="360" w:lineRule="auto"/>
        <w:jc w:val="both"/>
        <w:rPr>
          <w:rFonts w:ascii="Arial" w:hAnsi="Arial" w:cs="Arial"/>
          <w:i/>
          <w:iCs/>
          <w:sz w:val="24"/>
          <w:szCs w:val="24"/>
          <w:lang w:val="en-US"/>
        </w:rPr>
      </w:pPr>
      <w:r w:rsidRPr="00526F40">
        <w:rPr>
          <w:rFonts w:ascii="Arial" w:hAnsi="Arial" w:cs="Arial"/>
          <w:i/>
          <w:iCs/>
          <w:sz w:val="24"/>
          <w:szCs w:val="24"/>
          <w:lang w:val="en-US"/>
        </w:rPr>
        <w:t>Source: Harari et al. (2024)</w:t>
      </w:r>
    </w:p>
    <w:p w14:paraId="370AD89A" w14:textId="0204EB94" w:rsidR="00854370" w:rsidRPr="00DF0B37" w:rsidRDefault="00854370" w:rsidP="00435746">
      <w:pPr>
        <w:spacing w:line="360" w:lineRule="auto"/>
        <w:jc w:val="both"/>
        <w:rPr>
          <w:rFonts w:ascii="Arial" w:hAnsi="Arial" w:cs="Arial"/>
          <w:sz w:val="24"/>
          <w:szCs w:val="24"/>
          <w:lang w:val="en-US"/>
        </w:rPr>
      </w:pPr>
      <w:r w:rsidRPr="00DF0B37">
        <w:rPr>
          <w:rFonts w:ascii="Arial" w:hAnsi="Arial" w:cs="Arial"/>
          <w:sz w:val="24"/>
          <w:szCs w:val="24"/>
          <w:lang w:val="en-US"/>
        </w:rPr>
        <w:lastRenderedPageBreak/>
        <w:t xml:space="preserve">The analysis shows the negative impact of the cost-of-living crisis in the UK. The economic situation suggests that most employees may have become more sensitive to receiving adequate financial compensation amid a highly inflationary environment. Therefore, the investigation of the relative importance of financial compensation has </w:t>
      </w:r>
      <w:r w:rsidR="00C35BD8" w:rsidRPr="00DF0B37">
        <w:rPr>
          <w:rFonts w:ascii="Arial" w:hAnsi="Arial" w:cs="Arial"/>
          <w:sz w:val="24"/>
          <w:szCs w:val="24"/>
          <w:lang w:val="en-US"/>
        </w:rPr>
        <w:t>solid</w:t>
      </w:r>
      <w:r w:rsidRPr="00DF0B37">
        <w:rPr>
          <w:rFonts w:ascii="Arial" w:hAnsi="Arial" w:cs="Arial"/>
          <w:sz w:val="24"/>
          <w:szCs w:val="24"/>
          <w:lang w:val="en-US"/>
        </w:rPr>
        <w:t xml:space="preserve"> empirical backing. </w:t>
      </w:r>
    </w:p>
    <w:p w14:paraId="43E9FD67" w14:textId="7714EC2A" w:rsidR="00AA486E" w:rsidRPr="00DF0B37" w:rsidRDefault="00AA486E" w:rsidP="00AA486E">
      <w:pPr>
        <w:pStyle w:val="2"/>
        <w:spacing w:before="0"/>
        <w:rPr>
          <w:rFonts w:ascii="Arial" w:hAnsi="Arial" w:cs="Arial"/>
          <w:lang w:val="en-US"/>
        </w:rPr>
      </w:pPr>
      <w:bookmarkStart w:id="6" w:name="_Toc173255815"/>
      <w:r w:rsidRPr="00DF0B37">
        <w:rPr>
          <w:rFonts w:ascii="Arial" w:hAnsi="Arial" w:cs="Arial"/>
          <w:lang w:val="en-US"/>
        </w:rPr>
        <w:t>Importance of employee motivation</w:t>
      </w:r>
      <w:bookmarkEnd w:id="6"/>
    </w:p>
    <w:p w14:paraId="519BE641" w14:textId="4E6D98C0" w:rsidR="00AA486E" w:rsidRPr="00DF0B37" w:rsidRDefault="00AA486E"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Employee motivation largely determines the level of individual productivity, engagement, commitment and creativity in the workplace (Hook and Jenkins, 2019). Motivated employees are also found to be more loyal, thereby contributing to high retention rates (Hook and Jenkins, 2019). </w:t>
      </w:r>
      <w:r w:rsidR="00500E8D" w:rsidRPr="00DF0B37">
        <w:rPr>
          <w:rFonts w:ascii="Arial" w:hAnsi="Arial" w:cs="Arial"/>
          <w:sz w:val="24"/>
          <w:szCs w:val="24"/>
          <w:lang w:val="en-US"/>
        </w:rPr>
        <w:t xml:space="preserve">There are different models and approaches to achieve maximum employee motivation at work; hence, the evidence is quite diverse (Ramlall, 2004). </w:t>
      </w:r>
    </w:p>
    <w:p w14:paraId="342E92FF" w14:textId="0EF68A31" w:rsidR="0080020A" w:rsidRPr="00DF0B37" w:rsidRDefault="00500E8D"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evidence shows that the retail sector in the UK is one of the areas with the lowest level of employee motivation </w:t>
      </w:r>
      <w:r w:rsidR="008B3536" w:rsidRPr="00DF0B37">
        <w:rPr>
          <w:rFonts w:ascii="Arial" w:hAnsi="Arial" w:cs="Arial"/>
          <w:sz w:val="24"/>
          <w:szCs w:val="24"/>
          <w:lang w:val="en-US"/>
        </w:rPr>
        <w:t>which leads to excessive employee turnover of more than 50% per annum (ILC, 2024). Replacing an employee, who earns £25,000 per annum, is estimated to cost £30,614 on average because of recruitment, training and other costs together with initial productivity issues (ILC, 2024). Thus, poor motivation at work can be quite costly for companies. It also</w:t>
      </w:r>
      <w:r w:rsidRPr="00DF0B37">
        <w:rPr>
          <w:rFonts w:ascii="Arial" w:hAnsi="Arial" w:cs="Arial"/>
          <w:sz w:val="24"/>
          <w:szCs w:val="24"/>
          <w:lang w:val="en-US"/>
        </w:rPr>
        <w:t xml:space="preserve"> </w:t>
      </w:r>
      <w:r w:rsidR="008B3536" w:rsidRPr="00DF0B37">
        <w:rPr>
          <w:rFonts w:ascii="Arial" w:hAnsi="Arial" w:cs="Arial"/>
          <w:sz w:val="24"/>
          <w:szCs w:val="24"/>
          <w:lang w:val="en-US"/>
        </w:rPr>
        <w:t xml:space="preserve">has a negative </w:t>
      </w:r>
      <w:r w:rsidRPr="00DF0B37">
        <w:rPr>
          <w:rFonts w:ascii="Arial" w:hAnsi="Arial" w:cs="Arial"/>
          <w:sz w:val="24"/>
          <w:szCs w:val="24"/>
          <w:lang w:val="en-US"/>
        </w:rPr>
        <w:t xml:space="preserve">impact </w:t>
      </w:r>
      <w:r w:rsidR="008B3536" w:rsidRPr="00DF0B37">
        <w:rPr>
          <w:rFonts w:ascii="Arial" w:hAnsi="Arial" w:cs="Arial"/>
          <w:sz w:val="24"/>
          <w:szCs w:val="24"/>
          <w:lang w:val="en-US"/>
        </w:rPr>
        <w:t xml:space="preserve">on </w:t>
      </w:r>
      <w:r w:rsidRPr="00DF0B37">
        <w:rPr>
          <w:rFonts w:ascii="Arial" w:hAnsi="Arial" w:cs="Arial"/>
          <w:sz w:val="24"/>
          <w:szCs w:val="24"/>
          <w:lang w:val="en-US"/>
        </w:rPr>
        <w:t xml:space="preserve">the professional development of employees and organisations, including Tesco. Given these key findings regarding the role of employee motivation, the analysis proceeds with a discussion of some key theories. </w:t>
      </w:r>
    </w:p>
    <w:p w14:paraId="55759962" w14:textId="336FE7F6" w:rsidR="0080020A" w:rsidRPr="00DF0B37" w:rsidRDefault="0080020A" w:rsidP="0080020A">
      <w:pPr>
        <w:pStyle w:val="2"/>
        <w:spacing w:before="0"/>
        <w:rPr>
          <w:rFonts w:ascii="Arial" w:hAnsi="Arial" w:cs="Arial"/>
          <w:lang w:val="en-US"/>
        </w:rPr>
      </w:pPr>
      <w:bookmarkStart w:id="7" w:name="_Toc173255816"/>
      <w:r w:rsidRPr="00DF0B37">
        <w:rPr>
          <w:rFonts w:ascii="Arial" w:hAnsi="Arial" w:cs="Arial"/>
          <w:lang w:val="en-US"/>
        </w:rPr>
        <w:t>Determinants of employee motivation</w:t>
      </w:r>
      <w:bookmarkEnd w:id="7"/>
    </w:p>
    <w:p w14:paraId="728495F2" w14:textId="77777777" w:rsidR="00D9626E" w:rsidRPr="00DF0B37" w:rsidRDefault="00D9626E"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Two theoretical models investigate the potential factors affecting employee motivation. Maslow (1943) identifies five groups of needs faced by individuals: physical, safety, social, esteem and self-actualisation needs. The Hierarchy of Needs model suggests that maximum motivation can be achieved by addressing the top-positioned self-actualisation needs; however, all previous levels of the pyramid-shaped model must be met accordingly (Acquah et al., 2021). </w:t>
      </w:r>
    </w:p>
    <w:p w14:paraId="3753B5D0" w14:textId="76EF4B70" w:rsidR="0080020A" w:rsidRPr="00DF0B37" w:rsidRDefault="00D9626E"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In the context of HRM, the theoretical propositions require extensive policies and practices to address employees’ needs. Financial compensation mainly contributes to meeting the safety needs of workforce members (Acquah et al., 2021). Therefore, the model identifies the role of financial compensation as an important factor to maximise </w:t>
      </w:r>
      <w:r w:rsidRPr="00DF0B37">
        <w:rPr>
          <w:rFonts w:ascii="Arial" w:hAnsi="Arial" w:cs="Arial"/>
          <w:sz w:val="24"/>
          <w:szCs w:val="24"/>
          <w:lang w:val="en-US"/>
        </w:rPr>
        <w:lastRenderedPageBreak/>
        <w:t xml:space="preserve">the safety needs of employees, thereby being one of the many determinants of motivation in the workplace.  </w:t>
      </w:r>
    </w:p>
    <w:p w14:paraId="77F994F7" w14:textId="16C29C3D" w:rsidR="00D9410A" w:rsidRPr="00D9410A" w:rsidRDefault="00D9410A" w:rsidP="00D9410A">
      <w:pPr>
        <w:spacing w:line="360" w:lineRule="auto"/>
        <w:jc w:val="both"/>
        <w:rPr>
          <w:rFonts w:ascii="Arial" w:hAnsi="Arial" w:cs="Arial"/>
          <w:b/>
          <w:bCs/>
          <w:sz w:val="24"/>
          <w:szCs w:val="24"/>
        </w:rPr>
      </w:pPr>
      <w:r w:rsidRPr="00D9410A">
        <w:rPr>
          <w:rFonts w:ascii="Arial" w:hAnsi="Arial" w:cs="Arial"/>
          <w:b/>
          <w:bCs/>
          <w:sz w:val="24"/>
          <w:szCs w:val="24"/>
        </w:rPr>
        <w:t xml:space="preserve">Figure </w:t>
      </w:r>
      <w:r w:rsidR="00DF0B37">
        <w:rPr>
          <w:rFonts w:ascii="Arial" w:hAnsi="Arial" w:cs="Arial"/>
          <w:b/>
          <w:bCs/>
          <w:sz w:val="24"/>
          <w:szCs w:val="24"/>
        </w:rPr>
        <w:t>4</w:t>
      </w:r>
      <w:r w:rsidRPr="00D9410A">
        <w:rPr>
          <w:rFonts w:ascii="Arial" w:hAnsi="Arial" w:cs="Arial"/>
          <w:b/>
          <w:bCs/>
          <w:sz w:val="24"/>
          <w:szCs w:val="24"/>
        </w:rPr>
        <w:t xml:space="preserve"> – Maslow's hierarchy of needs</w:t>
      </w:r>
    </w:p>
    <w:p w14:paraId="3CD4CB15" w14:textId="77777777" w:rsidR="00D9410A" w:rsidRPr="00D9410A" w:rsidRDefault="00D9410A" w:rsidP="00D9410A">
      <w:pPr>
        <w:spacing w:line="360" w:lineRule="auto"/>
        <w:jc w:val="both"/>
        <w:rPr>
          <w:rFonts w:ascii="Arial" w:hAnsi="Arial" w:cs="Arial"/>
          <w:sz w:val="24"/>
          <w:szCs w:val="24"/>
        </w:rPr>
      </w:pPr>
      <w:r w:rsidRPr="00D9410A">
        <w:rPr>
          <w:rFonts w:ascii="Arial" w:hAnsi="Arial" w:cs="Arial"/>
          <w:noProof/>
          <w:sz w:val="24"/>
          <w:szCs w:val="24"/>
        </w:rPr>
        <w:drawing>
          <wp:inline distT="0" distB="0" distL="0" distR="0" wp14:anchorId="0B3E73F1" wp14:editId="1AFF352E">
            <wp:extent cx="5715000" cy="4686078"/>
            <wp:effectExtent l="0" t="0" r="0" b="635"/>
            <wp:docPr id="1779981549" name="Picture 5" descr="A pyramid of needs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981549" name="Picture 5" descr="A pyramid of needs with Mediterranean Sea in the backgroun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4951" cy="4694238"/>
                    </a:xfrm>
                    <a:prstGeom prst="rect">
                      <a:avLst/>
                    </a:prstGeom>
                  </pic:spPr>
                </pic:pic>
              </a:graphicData>
            </a:graphic>
          </wp:inline>
        </w:drawing>
      </w:r>
    </w:p>
    <w:p w14:paraId="4A7FA824" w14:textId="77777777" w:rsidR="00D9410A" w:rsidRPr="00D9410A" w:rsidRDefault="00D9410A" w:rsidP="00D9410A">
      <w:pPr>
        <w:spacing w:line="360" w:lineRule="auto"/>
        <w:jc w:val="both"/>
        <w:rPr>
          <w:rFonts w:ascii="Arial" w:hAnsi="Arial" w:cs="Arial"/>
          <w:i/>
          <w:iCs/>
          <w:sz w:val="24"/>
          <w:szCs w:val="24"/>
        </w:rPr>
      </w:pPr>
      <w:r w:rsidRPr="00D9410A">
        <w:rPr>
          <w:rFonts w:ascii="Arial" w:hAnsi="Arial" w:cs="Arial"/>
          <w:i/>
          <w:iCs/>
          <w:sz w:val="24"/>
          <w:szCs w:val="24"/>
        </w:rPr>
        <w:t>Source: Stimpson and Farquharson (2021)</w:t>
      </w:r>
    </w:p>
    <w:p w14:paraId="346DA259" w14:textId="77FB4F09" w:rsidR="00D9626E" w:rsidRPr="00DF0B37" w:rsidRDefault="00D9626E" w:rsidP="00D9410A">
      <w:pPr>
        <w:spacing w:line="360" w:lineRule="auto"/>
        <w:jc w:val="both"/>
        <w:rPr>
          <w:rFonts w:ascii="Arial" w:hAnsi="Arial" w:cs="Arial"/>
          <w:sz w:val="24"/>
          <w:szCs w:val="24"/>
        </w:rPr>
      </w:pPr>
      <w:r w:rsidRPr="00DF0B37">
        <w:rPr>
          <w:rFonts w:ascii="Arial" w:hAnsi="Arial" w:cs="Arial"/>
          <w:sz w:val="24"/>
          <w:szCs w:val="24"/>
        </w:rPr>
        <w:t xml:space="preserve">The second theory under consideration refers to Herzberg’s Two-Factor model, as shown below. </w:t>
      </w:r>
      <w:r w:rsidR="00346050" w:rsidRPr="00DF0B37">
        <w:rPr>
          <w:rFonts w:ascii="Arial" w:hAnsi="Arial" w:cs="Arial"/>
          <w:sz w:val="24"/>
          <w:szCs w:val="24"/>
        </w:rPr>
        <w:t xml:space="preserve">Herzberg (1987) identifies two groups of factors: hygiene factors and motivators. Maximum employee motivation can be achieved by addressing the group of motivators: achievement, recognition, responsibility at work, job design, advancement and growth (Herzberg, 1987). Financial compensation belongs to the group of hygiene factors (Haque et al., 2014). Hence, the Two-Factor theory suggests that financial compensation cannot directly affect the level of employee motivation. Nevertheless, poor performance in any of the hygiene factors can cause dissatisfaction among employees, thereby negatively affecting motivation in the workplace (Herzberg, </w:t>
      </w:r>
      <w:r w:rsidR="00346050" w:rsidRPr="00DF0B37">
        <w:rPr>
          <w:rFonts w:ascii="Arial" w:hAnsi="Arial" w:cs="Arial"/>
          <w:sz w:val="24"/>
          <w:szCs w:val="24"/>
        </w:rPr>
        <w:lastRenderedPageBreak/>
        <w:t xml:space="preserve">1987). Considering this, HRM professionals must consider the provision of adequate financial remuneration to prevent poor morale among workforce members. </w:t>
      </w:r>
    </w:p>
    <w:p w14:paraId="5D8C5785" w14:textId="74F2F1F2" w:rsidR="00D9410A" w:rsidRPr="00D9410A" w:rsidRDefault="00D9410A" w:rsidP="00D9410A">
      <w:pPr>
        <w:spacing w:line="360" w:lineRule="auto"/>
        <w:jc w:val="both"/>
        <w:rPr>
          <w:rFonts w:ascii="Arial" w:hAnsi="Arial" w:cs="Arial"/>
          <w:b/>
          <w:bCs/>
          <w:sz w:val="24"/>
          <w:szCs w:val="24"/>
        </w:rPr>
      </w:pPr>
      <w:r w:rsidRPr="00D9410A">
        <w:rPr>
          <w:rFonts w:ascii="Arial" w:hAnsi="Arial" w:cs="Arial"/>
          <w:b/>
          <w:bCs/>
          <w:sz w:val="24"/>
          <w:szCs w:val="24"/>
        </w:rPr>
        <w:t xml:space="preserve">Figure </w:t>
      </w:r>
      <w:r w:rsidR="00DF0B37">
        <w:rPr>
          <w:rFonts w:ascii="Arial" w:hAnsi="Arial" w:cs="Arial"/>
          <w:b/>
          <w:bCs/>
          <w:sz w:val="24"/>
          <w:szCs w:val="24"/>
        </w:rPr>
        <w:t>5</w:t>
      </w:r>
      <w:r w:rsidRPr="00D9410A">
        <w:rPr>
          <w:rFonts w:ascii="Arial" w:hAnsi="Arial" w:cs="Arial"/>
          <w:b/>
          <w:bCs/>
          <w:sz w:val="24"/>
          <w:szCs w:val="24"/>
        </w:rPr>
        <w:t xml:space="preserve"> – Herzberg's model</w:t>
      </w:r>
    </w:p>
    <w:p w14:paraId="6C0662B4" w14:textId="77777777" w:rsidR="00D9410A" w:rsidRPr="00D9410A" w:rsidRDefault="00D9410A" w:rsidP="00D9410A">
      <w:pPr>
        <w:spacing w:line="360" w:lineRule="auto"/>
        <w:jc w:val="both"/>
        <w:rPr>
          <w:rFonts w:ascii="Arial" w:hAnsi="Arial" w:cs="Arial"/>
          <w:sz w:val="24"/>
          <w:szCs w:val="24"/>
        </w:rPr>
      </w:pPr>
      <w:r w:rsidRPr="00D9410A">
        <w:rPr>
          <w:rFonts w:ascii="Arial" w:hAnsi="Arial" w:cs="Arial"/>
          <w:noProof/>
          <w:sz w:val="24"/>
          <w:szCs w:val="24"/>
        </w:rPr>
        <w:drawing>
          <wp:inline distT="0" distB="0" distL="0" distR="0" wp14:anchorId="74AB4E23" wp14:editId="4BA7D956">
            <wp:extent cx="5702300" cy="3303908"/>
            <wp:effectExtent l="0" t="0" r="0" b="0"/>
            <wp:docPr id="2106383699" name="Picture 6"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383699" name="Picture 6" descr="A diagram of a company&#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21318" cy="3314927"/>
                    </a:xfrm>
                    <a:prstGeom prst="rect">
                      <a:avLst/>
                    </a:prstGeom>
                  </pic:spPr>
                </pic:pic>
              </a:graphicData>
            </a:graphic>
          </wp:inline>
        </w:drawing>
      </w:r>
    </w:p>
    <w:p w14:paraId="4C0587FB" w14:textId="77777777" w:rsidR="00D9410A" w:rsidRPr="00D9410A" w:rsidRDefault="00D9410A" w:rsidP="00D9410A">
      <w:pPr>
        <w:spacing w:line="360" w:lineRule="auto"/>
        <w:jc w:val="both"/>
        <w:rPr>
          <w:rFonts w:ascii="Arial" w:hAnsi="Arial" w:cs="Arial"/>
          <w:i/>
          <w:iCs/>
          <w:sz w:val="24"/>
          <w:szCs w:val="24"/>
        </w:rPr>
      </w:pPr>
      <w:r w:rsidRPr="00D9410A">
        <w:rPr>
          <w:rFonts w:ascii="Arial" w:hAnsi="Arial" w:cs="Arial"/>
          <w:i/>
          <w:iCs/>
          <w:sz w:val="24"/>
          <w:szCs w:val="24"/>
        </w:rPr>
        <w:t>Source: Haque et al. (2014)</w:t>
      </w:r>
    </w:p>
    <w:p w14:paraId="2B305035" w14:textId="76123286" w:rsidR="00435746" w:rsidRPr="00DF0B37" w:rsidRDefault="00346050"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w:t>
      </w:r>
      <w:r w:rsidR="006E32D1" w:rsidRPr="00DF0B37">
        <w:rPr>
          <w:rFonts w:ascii="Arial" w:hAnsi="Arial" w:cs="Arial"/>
          <w:sz w:val="24"/>
          <w:szCs w:val="24"/>
          <w:lang w:val="en-US"/>
        </w:rPr>
        <w:t xml:space="preserve">theoretical discussion suggests that financial compensation and stimuli can contribute to meeting the safety needs of employees (Maslow) or prevent dissatisfaction in the workplace (Herzberg). Thus, financial stimuli occupy an important part of the HRM process, although not being the most important determinant of employee motivation (Hook and Herzberg, 2019). </w:t>
      </w:r>
    </w:p>
    <w:p w14:paraId="49BF5069" w14:textId="06C165EA" w:rsidR="00435746" w:rsidRPr="00DF0B37" w:rsidRDefault="00435746" w:rsidP="00435746">
      <w:pPr>
        <w:pStyle w:val="1"/>
        <w:spacing w:before="0" w:after="240"/>
        <w:rPr>
          <w:rFonts w:ascii="Arial" w:hAnsi="Arial" w:cs="Arial"/>
          <w:lang w:val="en-US"/>
        </w:rPr>
      </w:pPr>
      <w:bookmarkStart w:id="8" w:name="_Toc173255817"/>
      <w:r w:rsidRPr="00DF0B37">
        <w:rPr>
          <w:rFonts w:ascii="Arial" w:hAnsi="Arial" w:cs="Arial"/>
          <w:lang w:val="en-US"/>
        </w:rPr>
        <w:t>Methodology</w:t>
      </w:r>
      <w:bookmarkEnd w:id="8"/>
      <w:r w:rsidRPr="00DF0B37">
        <w:rPr>
          <w:rFonts w:ascii="Arial" w:hAnsi="Arial" w:cs="Arial"/>
          <w:lang w:val="en-US"/>
        </w:rPr>
        <w:t xml:space="preserve"> </w:t>
      </w:r>
    </w:p>
    <w:p w14:paraId="00AAC25D" w14:textId="44CE6A93" w:rsidR="00435746" w:rsidRPr="00DF0B37" w:rsidRDefault="005C15A9"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study relies on extensive primary and secondary data to reach evidence-based conclusions regarding the role of financial stimuli for maximising employee motivation amid a cost-of-living crisis. </w:t>
      </w:r>
    </w:p>
    <w:p w14:paraId="00D1A6AD" w14:textId="3C7CEFA3" w:rsidR="00DA5D0D" w:rsidRPr="00DF0B37" w:rsidRDefault="00DA5D0D" w:rsidP="00DA5D0D">
      <w:pPr>
        <w:pStyle w:val="2"/>
        <w:spacing w:before="0"/>
        <w:rPr>
          <w:rFonts w:ascii="Arial" w:hAnsi="Arial" w:cs="Arial"/>
          <w:lang w:val="en-US"/>
        </w:rPr>
      </w:pPr>
      <w:bookmarkStart w:id="9" w:name="_Toc173255818"/>
      <w:r w:rsidRPr="00DF0B37">
        <w:rPr>
          <w:rFonts w:ascii="Arial" w:hAnsi="Arial" w:cs="Arial"/>
          <w:lang w:val="en-US"/>
        </w:rPr>
        <w:t>Research approach</w:t>
      </w:r>
      <w:bookmarkEnd w:id="9"/>
      <w:r w:rsidRPr="00DF0B37">
        <w:rPr>
          <w:rFonts w:ascii="Arial" w:hAnsi="Arial" w:cs="Arial"/>
          <w:lang w:val="en-US"/>
        </w:rPr>
        <w:t xml:space="preserve"> </w:t>
      </w:r>
    </w:p>
    <w:p w14:paraId="71B7AED2" w14:textId="1C3D4D50" w:rsidR="00DA5D0D" w:rsidRPr="00DF0B37" w:rsidRDefault="00DA5D0D"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research approach is deductive by applying a top-down type of knowledge creation from the general to the specific case of Tesco (Dudovskiy, 2024). The main theories of employee motivation are used to outline key research directions which are then used to analyse the organisation and extract new knowledge. Given these </w:t>
      </w:r>
      <w:r w:rsidRPr="00DF0B37">
        <w:rPr>
          <w:rFonts w:ascii="Arial" w:hAnsi="Arial" w:cs="Arial"/>
          <w:sz w:val="24"/>
          <w:szCs w:val="24"/>
          <w:lang w:val="en-US"/>
        </w:rPr>
        <w:lastRenderedPageBreak/>
        <w:t xml:space="preserve">explanations, the current study aims to be a case study with a focus on Tesco. Case studies facilitate the focused examination of a specific case by considering key theories and empirical findings (Saunders et al., 2019). </w:t>
      </w:r>
    </w:p>
    <w:p w14:paraId="38D05DAC" w14:textId="711F8CA9" w:rsidR="00DA5D0D" w:rsidRPr="00DF0B37" w:rsidRDefault="00DA5D0D" w:rsidP="00DA5D0D">
      <w:pPr>
        <w:pStyle w:val="2"/>
        <w:spacing w:before="0"/>
        <w:rPr>
          <w:rFonts w:ascii="Arial" w:hAnsi="Arial" w:cs="Arial"/>
          <w:lang w:val="en-US"/>
        </w:rPr>
      </w:pPr>
      <w:bookmarkStart w:id="10" w:name="_Toc173255819"/>
      <w:r w:rsidRPr="00DF0B37">
        <w:rPr>
          <w:rFonts w:ascii="Arial" w:hAnsi="Arial" w:cs="Arial"/>
          <w:lang w:val="en-US"/>
        </w:rPr>
        <w:t>Research strategy</w:t>
      </w:r>
      <w:bookmarkEnd w:id="10"/>
      <w:r w:rsidRPr="00DF0B37">
        <w:rPr>
          <w:rFonts w:ascii="Arial" w:hAnsi="Arial" w:cs="Arial"/>
          <w:lang w:val="en-US"/>
        </w:rPr>
        <w:t xml:space="preserve"> </w:t>
      </w:r>
    </w:p>
    <w:p w14:paraId="4452F732" w14:textId="59ED08CC" w:rsidR="005C15A9" w:rsidRPr="00DF0B37" w:rsidRDefault="005C15A9" w:rsidP="00435746">
      <w:pPr>
        <w:spacing w:line="360" w:lineRule="auto"/>
        <w:jc w:val="both"/>
        <w:rPr>
          <w:rFonts w:ascii="Arial" w:hAnsi="Arial" w:cs="Arial"/>
          <w:sz w:val="24"/>
          <w:szCs w:val="24"/>
          <w:lang w:val="en-US"/>
        </w:rPr>
      </w:pPr>
      <w:r w:rsidRPr="00DF0B37">
        <w:rPr>
          <w:rFonts w:ascii="Arial" w:hAnsi="Arial" w:cs="Arial"/>
          <w:sz w:val="24"/>
          <w:szCs w:val="24"/>
          <w:lang w:val="en-US"/>
        </w:rPr>
        <w:t>The primary data is accessed from actual employees of Tesco who can share their experience with the company. The survey is needed to collect new information, thereby reflecting the most contemporary developments (Saunders et al., 2019). Surveys also deliver quantitative data which not only reveals the main trends, but also can be analysed with statistical methods – a key for an objective analysis (Saunders et al., 2019). In this case, surveys are also preferred based on their time- and cost-effective characteristics (Sekaran and Bougie, 2016). This is a main advantage in completing the project within the existing constraints in terms of strictly specified project deadline and limited resources.</w:t>
      </w:r>
    </w:p>
    <w:p w14:paraId="36F9041F" w14:textId="7050EBD9" w:rsidR="00DA5D0D" w:rsidRPr="00DF0B37" w:rsidRDefault="00DA5D0D" w:rsidP="00DA5D0D">
      <w:pPr>
        <w:pStyle w:val="2"/>
        <w:spacing w:before="0"/>
        <w:rPr>
          <w:rFonts w:ascii="Arial" w:hAnsi="Arial" w:cs="Arial"/>
          <w:lang w:val="en-US"/>
        </w:rPr>
      </w:pPr>
      <w:bookmarkStart w:id="11" w:name="_Toc173255820"/>
      <w:r w:rsidRPr="00DF0B37">
        <w:rPr>
          <w:rFonts w:ascii="Arial" w:hAnsi="Arial" w:cs="Arial"/>
          <w:lang w:val="en-US"/>
        </w:rPr>
        <w:t>Primary data collection</w:t>
      </w:r>
      <w:bookmarkEnd w:id="11"/>
      <w:r w:rsidRPr="00DF0B37">
        <w:rPr>
          <w:rFonts w:ascii="Arial" w:hAnsi="Arial" w:cs="Arial"/>
          <w:lang w:val="en-US"/>
        </w:rPr>
        <w:t xml:space="preserve"> </w:t>
      </w:r>
    </w:p>
    <w:p w14:paraId="75925C22" w14:textId="25B9CB4E" w:rsidR="005C15A9" w:rsidRPr="00DF0B37" w:rsidRDefault="005C15A9"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primary data collection process will be conducted via an online survey to maximise the reach of potential respondents, speed of data collection and level of convenience. The survey questionnaire aims at measuring the level of employee motivation, an assessment of different determinants of motivation in the workplace, as suggested by the theoretical models, as well as future intentions. Thus, the questionnaire structure will follow the propositions of the literature review, thereby addressing relevant areas of research. </w:t>
      </w:r>
    </w:p>
    <w:p w14:paraId="1D920FE6" w14:textId="6FA0505C" w:rsidR="00DA5D0D" w:rsidRPr="00DF0B37" w:rsidRDefault="00DA5D0D" w:rsidP="00DA5D0D">
      <w:pPr>
        <w:pStyle w:val="2"/>
        <w:rPr>
          <w:rFonts w:ascii="Arial" w:hAnsi="Arial" w:cs="Arial"/>
          <w:lang w:val="en-US"/>
        </w:rPr>
      </w:pPr>
      <w:bookmarkStart w:id="12" w:name="_Toc173255821"/>
      <w:r w:rsidRPr="00DF0B37">
        <w:rPr>
          <w:rFonts w:ascii="Arial" w:hAnsi="Arial" w:cs="Arial"/>
          <w:lang w:val="en-US"/>
        </w:rPr>
        <w:t>Sample design</w:t>
      </w:r>
      <w:bookmarkEnd w:id="12"/>
    </w:p>
    <w:p w14:paraId="6D911EC8" w14:textId="2261D0C0" w:rsidR="00242DEA" w:rsidRPr="00DF0B37" w:rsidRDefault="005C15A9"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intended sample size is 30-50 respondents – current employees of Tesco with a diverse personal background and work experience. To maximise the reach and speed of primary data collection, snowball sampling is intended. This sampling technique </w:t>
      </w:r>
      <w:r w:rsidR="00242DEA" w:rsidRPr="00DF0B37">
        <w:rPr>
          <w:rFonts w:ascii="Arial" w:hAnsi="Arial" w:cs="Arial"/>
          <w:sz w:val="24"/>
          <w:szCs w:val="24"/>
          <w:lang w:val="en-US"/>
        </w:rPr>
        <w:t>requires</w:t>
      </w:r>
      <w:r w:rsidRPr="00DF0B37">
        <w:rPr>
          <w:rFonts w:ascii="Arial" w:hAnsi="Arial" w:cs="Arial"/>
          <w:sz w:val="24"/>
          <w:szCs w:val="24"/>
          <w:lang w:val="en-US"/>
        </w:rPr>
        <w:t xml:space="preserve"> the first group of participants to re-distribute the survey to their colleagues – an efficient way of reaching initially unknown by the researcher potential participants (Saunders et al., 2019). </w:t>
      </w:r>
    </w:p>
    <w:p w14:paraId="1E625857" w14:textId="2B88DA0D" w:rsidR="00DA5D0D" w:rsidRPr="00DF0B37" w:rsidRDefault="00DA5D0D" w:rsidP="00DA5D0D">
      <w:pPr>
        <w:pStyle w:val="2"/>
        <w:spacing w:before="0"/>
        <w:rPr>
          <w:rFonts w:ascii="Arial" w:hAnsi="Arial" w:cs="Arial"/>
          <w:lang w:val="en-US"/>
        </w:rPr>
      </w:pPr>
      <w:bookmarkStart w:id="13" w:name="_Toc173255822"/>
      <w:r w:rsidRPr="00DF0B37">
        <w:rPr>
          <w:rFonts w:ascii="Arial" w:hAnsi="Arial" w:cs="Arial"/>
          <w:lang w:val="en-US"/>
        </w:rPr>
        <w:t>Secondary data analysis</w:t>
      </w:r>
      <w:bookmarkEnd w:id="13"/>
      <w:r w:rsidRPr="00DF0B37">
        <w:rPr>
          <w:rFonts w:ascii="Arial" w:hAnsi="Arial" w:cs="Arial"/>
          <w:lang w:val="en-US"/>
        </w:rPr>
        <w:t xml:space="preserve"> </w:t>
      </w:r>
    </w:p>
    <w:p w14:paraId="55503F7E" w14:textId="7C795950" w:rsidR="005C15A9" w:rsidRPr="00DF0B37" w:rsidRDefault="00242DEA"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The current study also incorporates secondary data sources which are prepared by other authors and agencies. Secondary data provides a wide range of information </w:t>
      </w:r>
      <w:r w:rsidRPr="00DF0B37">
        <w:rPr>
          <w:rFonts w:ascii="Arial" w:hAnsi="Arial" w:cs="Arial"/>
          <w:sz w:val="24"/>
          <w:szCs w:val="24"/>
          <w:lang w:val="en-US"/>
        </w:rPr>
        <w:lastRenderedPageBreak/>
        <w:t>which is usually free of cost, easily accessible and extensive (Sekaran and Bougie, 2016). Thus, it is possible to find important theoretical insights and background information about Tesco, the external environment and the key trends in employee motivation in the UK. In the current case, the secondary data analysis will include books, journal articles, statistical releases, industry reports, online publications and others.</w:t>
      </w:r>
    </w:p>
    <w:p w14:paraId="61BA8C31" w14:textId="3CF32701" w:rsidR="00242DEA" w:rsidRPr="00DF0B37" w:rsidRDefault="00DA5D0D" w:rsidP="00DA5D0D">
      <w:pPr>
        <w:pStyle w:val="2"/>
        <w:spacing w:before="0"/>
        <w:rPr>
          <w:rFonts w:ascii="Arial" w:hAnsi="Arial" w:cs="Arial"/>
          <w:lang w:val="en-US"/>
        </w:rPr>
      </w:pPr>
      <w:bookmarkStart w:id="14" w:name="_Toc173255823"/>
      <w:r w:rsidRPr="00DF0B37">
        <w:rPr>
          <w:rFonts w:ascii="Arial" w:hAnsi="Arial" w:cs="Arial"/>
          <w:lang w:val="en-US"/>
        </w:rPr>
        <w:t>Research ethics</w:t>
      </w:r>
      <w:bookmarkEnd w:id="14"/>
      <w:r w:rsidRPr="00DF0B37">
        <w:rPr>
          <w:rFonts w:ascii="Arial" w:hAnsi="Arial" w:cs="Arial"/>
          <w:lang w:val="en-US"/>
        </w:rPr>
        <w:t xml:space="preserve"> </w:t>
      </w:r>
    </w:p>
    <w:p w14:paraId="5246354C" w14:textId="035F48A3" w:rsidR="00DA5D0D" w:rsidRPr="00DF0B37" w:rsidRDefault="00583507"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Strict ethical standards will be applied, especially as a part of the primary data collection process and human participation. </w:t>
      </w:r>
      <w:r w:rsidR="004D5E82" w:rsidRPr="00DF0B37">
        <w:rPr>
          <w:rFonts w:ascii="Arial" w:hAnsi="Arial" w:cs="Arial"/>
          <w:sz w:val="24"/>
          <w:szCs w:val="24"/>
          <w:lang w:val="en-US"/>
        </w:rPr>
        <w:t xml:space="preserve">The key ethical principles include voluntary nature of participation, informed consent, anonymity and confidentiality, harm avoidance, as well as safe data storage (Saunders et al., 2019). </w:t>
      </w:r>
    </w:p>
    <w:p w14:paraId="757B23BE" w14:textId="0C8E1D6E" w:rsidR="00435746" w:rsidRPr="00DF0B37" w:rsidRDefault="00C35BD8" w:rsidP="00C35BD8">
      <w:pPr>
        <w:pStyle w:val="1"/>
        <w:spacing w:before="0" w:after="240"/>
        <w:rPr>
          <w:rFonts w:ascii="Arial" w:hAnsi="Arial" w:cs="Arial"/>
          <w:lang w:val="en-US"/>
        </w:rPr>
      </w:pPr>
      <w:bookmarkStart w:id="15" w:name="_Toc173255824"/>
      <w:r w:rsidRPr="00DF0B37">
        <w:rPr>
          <w:rFonts w:ascii="Arial" w:hAnsi="Arial" w:cs="Arial"/>
          <w:lang w:val="en-US"/>
        </w:rPr>
        <w:t>Conclusion</w:t>
      </w:r>
      <w:bookmarkEnd w:id="15"/>
    </w:p>
    <w:p w14:paraId="34C365F2" w14:textId="1C14FFAA" w:rsidR="00C35BD8" w:rsidRPr="00DF0B37" w:rsidRDefault="009F252E" w:rsidP="00435746">
      <w:pPr>
        <w:spacing w:line="360" w:lineRule="auto"/>
        <w:jc w:val="both"/>
        <w:rPr>
          <w:rFonts w:ascii="Arial" w:hAnsi="Arial" w:cs="Arial"/>
          <w:sz w:val="24"/>
          <w:szCs w:val="24"/>
          <w:lang w:val="en-US"/>
        </w:rPr>
      </w:pPr>
      <w:r w:rsidRPr="00DF0B37">
        <w:rPr>
          <w:rFonts w:ascii="Arial" w:hAnsi="Arial" w:cs="Arial"/>
          <w:sz w:val="24"/>
          <w:szCs w:val="24"/>
          <w:lang w:val="en-US"/>
        </w:rPr>
        <w:t xml:space="preserve">In conclusion, the proposal identified the key milestones of the intended research. The road map will be closely followed over the course of the study creation. Considering all, the proposal had an informative role and contributed with the clarification of the main methodological considerations, key literature findings, rationale, aims and objectives. The future study thus has a solid foundation to be created as planned. </w:t>
      </w:r>
    </w:p>
    <w:p w14:paraId="616BD7CD" w14:textId="77777777" w:rsidR="00435746" w:rsidRPr="00DF0B37" w:rsidRDefault="00435746" w:rsidP="00435746">
      <w:pPr>
        <w:spacing w:line="360" w:lineRule="auto"/>
        <w:jc w:val="both"/>
        <w:rPr>
          <w:rFonts w:ascii="Arial" w:hAnsi="Arial" w:cs="Arial"/>
          <w:sz w:val="24"/>
          <w:szCs w:val="24"/>
          <w:lang w:val="en-US"/>
        </w:rPr>
      </w:pPr>
    </w:p>
    <w:p w14:paraId="5A0475BA" w14:textId="77777777" w:rsidR="009A1F0E" w:rsidRPr="00DF0B37" w:rsidRDefault="009A1F0E" w:rsidP="00435746">
      <w:pPr>
        <w:spacing w:line="360" w:lineRule="auto"/>
        <w:jc w:val="both"/>
        <w:rPr>
          <w:rFonts w:ascii="Arial" w:hAnsi="Arial" w:cs="Arial"/>
          <w:sz w:val="24"/>
          <w:szCs w:val="24"/>
          <w:lang w:val="en-US"/>
        </w:rPr>
      </w:pPr>
    </w:p>
    <w:p w14:paraId="4E7FC0C4" w14:textId="77777777" w:rsidR="0041421D" w:rsidRPr="00DF0B37" w:rsidRDefault="0041421D" w:rsidP="00435746">
      <w:pPr>
        <w:spacing w:line="360" w:lineRule="auto"/>
        <w:jc w:val="both"/>
        <w:rPr>
          <w:rFonts w:ascii="Arial" w:hAnsi="Arial" w:cs="Arial"/>
          <w:sz w:val="24"/>
          <w:szCs w:val="24"/>
          <w:lang w:val="en-US"/>
        </w:rPr>
      </w:pPr>
    </w:p>
    <w:p w14:paraId="73C30BD1" w14:textId="77777777" w:rsidR="0041421D" w:rsidRPr="00DF0B37" w:rsidRDefault="0041421D" w:rsidP="00435746">
      <w:pPr>
        <w:spacing w:line="360" w:lineRule="auto"/>
        <w:jc w:val="both"/>
        <w:rPr>
          <w:rFonts w:ascii="Arial" w:hAnsi="Arial" w:cs="Arial"/>
          <w:sz w:val="24"/>
          <w:szCs w:val="24"/>
          <w:lang w:val="en-US"/>
        </w:rPr>
      </w:pPr>
    </w:p>
    <w:p w14:paraId="24E54465" w14:textId="77777777" w:rsidR="0041421D" w:rsidRPr="00DF0B37" w:rsidRDefault="0041421D" w:rsidP="00435746">
      <w:pPr>
        <w:spacing w:line="360" w:lineRule="auto"/>
        <w:jc w:val="both"/>
        <w:rPr>
          <w:rFonts w:ascii="Arial" w:hAnsi="Arial" w:cs="Arial"/>
          <w:sz w:val="24"/>
          <w:szCs w:val="24"/>
          <w:lang w:val="en-US"/>
        </w:rPr>
      </w:pPr>
    </w:p>
    <w:p w14:paraId="10076451" w14:textId="77777777" w:rsidR="0041421D" w:rsidRPr="00DF0B37" w:rsidRDefault="0041421D" w:rsidP="00435746">
      <w:pPr>
        <w:spacing w:line="360" w:lineRule="auto"/>
        <w:jc w:val="both"/>
        <w:rPr>
          <w:rFonts w:ascii="Arial" w:hAnsi="Arial" w:cs="Arial"/>
          <w:sz w:val="24"/>
          <w:szCs w:val="24"/>
          <w:lang w:val="en-US"/>
        </w:rPr>
      </w:pPr>
    </w:p>
    <w:p w14:paraId="4D076A25" w14:textId="77777777" w:rsidR="0041421D" w:rsidRPr="00DF0B37" w:rsidRDefault="0041421D" w:rsidP="00435746">
      <w:pPr>
        <w:spacing w:line="360" w:lineRule="auto"/>
        <w:jc w:val="both"/>
        <w:rPr>
          <w:rFonts w:ascii="Arial" w:hAnsi="Arial" w:cs="Arial"/>
          <w:sz w:val="24"/>
          <w:szCs w:val="24"/>
          <w:lang w:val="en-US"/>
        </w:rPr>
      </w:pPr>
    </w:p>
    <w:p w14:paraId="700C565D" w14:textId="77777777" w:rsidR="00435746" w:rsidRPr="00DF0B37" w:rsidRDefault="00435746" w:rsidP="00435746">
      <w:pPr>
        <w:spacing w:line="360" w:lineRule="auto"/>
        <w:jc w:val="both"/>
        <w:rPr>
          <w:rFonts w:ascii="Arial" w:hAnsi="Arial" w:cs="Arial"/>
          <w:sz w:val="24"/>
          <w:szCs w:val="24"/>
          <w:lang w:val="en-US"/>
        </w:rPr>
      </w:pPr>
    </w:p>
    <w:p w14:paraId="48554CE5" w14:textId="67C58F7B" w:rsidR="0035428D" w:rsidRPr="00DF0B37" w:rsidRDefault="00435746" w:rsidP="00435746">
      <w:pPr>
        <w:pStyle w:val="1"/>
        <w:spacing w:before="0" w:after="240"/>
        <w:rPr>
          <w:rFonts w:ascii="Arial" w:hAnsi="Arial" w:cs="Arial"/>
          <w:lang w:val="en-US"/>
        </w:rPr>
      </w:pPr>
      <w:bookmarkStart w:id="16" w:name="_Toc173255825"/>
      <w:r w:rsidRPr="00DF0B37">
        <w:rPr>
          <w:rFonts w:ascii="Arial" w:hAnsi="Arial" w:cs="Arial"/>
          <w:lang w:val="en-US"/>
        </w:rPr>
        <w:lastRenderedPageBreak/>
        <w:t>References</w:t>
      </w:r>
      <w:bookmarkEnd w:id="16"/>
      <w:r w:rsidRPr="00DF0B37">
        <w:rPr>
          <w:rFonts w:ascii="Arial" w:hAnsi="Arial" w:cs="Arial"/>
          <w:lang w:val="en-US"/>
        </w:rPr>
        <w:t xml:space="preserve"> </w:t>
      </w:r>
    </w:p>
    <w:p w14:paraId="544C355D" w14:textId="77777777" w:rsidR="00E752A2" w:rsidRPr="0041421D" w:rsidRDefault="00E752A2" w:rsidP="0041421D">
      <w:pPr>
        <w:spacing w:line="360" w:lineRule="auto"/>
        <w:rPr>
          <w:rFonts w:ascii="Arial" w:hAnsi="Arial" w:cs="Arial"/>
          <w:sz w:val="24"/>
          <w:szCs w:val="24"/>
        </w:rPr>
      </w:pPr>
      <w:r w:rsidRPr="0041421D">
        <w:rPr>
          <w:rFonts w:ascii="Arial" w:hAnsi="Arial" w:cs="Arial"/>
          <w:sz w:val="24"/>
          <w:szCs w:val="24"/>
        </w:rPr>
        <w:t xml:space="preserve">Acquah, A., Nsiah, T., Antie, E. and Otoo, B. (2021) Literature Review on Theories of Motivation, </w:t>
      </w:r>
      <w:r w:rsidRPr="0041421D">
        <w:rPr>
          <w:rFonts w:ascii="Arial" w:hAnsi="Arial" w:cs="Arial"/>
          <w:i/>
          <w:iCs/>
          <w:sz w:val="24"/>
          <w:szCs w:val="24"/>
        </w:rPr>
        <w:t>EPRA International Journal of Economic and Business Review</w:t>
      </w:r>
      <w:r w:rsidRPr="0041421D">
        <w:rPr>
          <w:rFonts w:ascii="Arial" w:hAnsi="Arial" w:cs="Arial"/>
          <w:sz w:val="24"/>
          <w:szCs w:val="24"/>
        </w:rPr>
        <w:t>, Vol. 9(5), pp. 25-29.</w:t>
      </w:r>
    </w:p>
    <w:p w14:paraId="0AA8186A" w14:textId="77777777" w:rsidR="00E752A2" w:rsidRPr="00DF0B37" w:rsidRDefault="00E752A2" w:rsidP="00C35BD8">
      <w:pPr>
        <w:spacing w:line="360" w:lineRule="auto"/>
        <w:rPr>
          <w:rFonts w:ascii="Arial" w:hAnsi="Arial" w:cs="Arial"/>
          <w:bCs/>
          <w:sz w:val="24"/>
          <w:szCs w:val="24"/>
          <w:lang w:val="en-US"/>
        </w:rPr>
      </w:pPr>
      <w:r w:rsidRPr="00C35BD8">
        <w:rPr>
          <w:rFonts w:ascii="Arial" w:hAnsi="Arial" w:cs="Arial"/>
          <w:bCs/>
          <w:sz w:val="24"/>
          <w:szCs w:val="24"/>
          <w:lang w:val="bg-BG"/>
        </w:rPr>
        <w:t xml:space="preserve">Bank of England (BoE) (2024) </w:t>
      </w:r>
      <w:r w:rsidRPr="00C35BD8">
        <w:rPr>
          <w:rFonts w:ascii="Arial" w:hAnsi="Arial" w:cs="Arial"/>
          <w:bCs/>
          <w:i/>
          <w:iCs/>
          <w:sz w:val="24"/>
          <w:szCs w:val="24"/>
          <w:lang w:val="bg-BG"/>
        </w:rPr>
        <w:t>Interest rates and Bank Rate</w:t>
      </w:r>
      <w:r w:rsidRPr="00C35BD8">
        <w:rPr>
          <w:rFonts w:ascii="Arial" w:hAnsi="Arial" w:cs="Arial"/>
          <w:bCs/>
          <w:sz w:val="24"/>
          <w:szCs w:val="24"/>
          <w:lang w:val="bg-BG"/>
        </w:rPr>
        <w:t xml:space="preserve">, [online] Available: </w:t>
      </w:r>
      <w:hyperlink r:id="rId14" w:history="1">
        <w:r w:rsidRPr="00C35BD8">
          <w:rPr>
            <w:rStyle w:val="af3"/>
            <w:rFonts w:ascii="Arial" w:hAnsi="Arial" w:cs="Arial"/>
            <w:bCs/>
            <w:sz w:val="24"/>
            <w:szCs w:val="24"/>
            <w:lang w:val="bg-BG"/>
          </w:rPr>
          <w:t>https://www.bankofengland.co.uk/monetary-policy/the-interest-rate-bank-rate</w:t>
        </w:r>
      </w:hyperlink>
      <w:r w:rsidRPr="00C35BD8">
        <w:rPr>
          <w:rFonts w:ascii="Arial" w:hAnsi="Arial" w:cs="Arial"/>
          <w:bCs/>
          <w:sz w:val="24"/>
          <w:szCs w:val="24"/>
          <w:lang w:val="bg-BG"/>
        </w:rPr>
        <w:t xml:space="preserve"> [Accessed: </w:t>
      </w:r>
      <w:r w:rsidRPr="00C35BD8">
        <w:rPr>
          <w:rFonts w:ascii="Arial" w:hAnsi="Arial" w:cs="Arial"/>
          <w:bCs/>
          <w:sz w:val="24"/>
          <w:szCs w:val="24"/>
          <w:lang w:val="en-US"/>
        </w:rPr>
        <w:t>28 July 2024]</w:t>
      </w:r>
    </w:p>
    <w:p w14:paraId="6DBD5600" w14:textId="77777777" w:rsidR="00E752A2" w:rsidRPr="00C35BD8" w:rsidRDefault="00E752A2" w:rsidP="00C35BD8">
      <w:pPr>
        <w:spacing w:line="360" w:lineRule="auto"/>
        <w:rPr>
          <w:rFonts w:ascii="Arial" w:hAnsi="Arial" w:cs="Arial"/>
          <w:bCs/>
          <w:sz w:val="24"/>
          <w:szCs w:val="24"/>
          <w:lang w:val="en-US"/>
        </w:rPr>
      </w:pPr>
      <w:r w:rsidRPr="00C35BD8">
        <w:rPr>
          <w:rFonts w:ascii="Arial" w:hAnsi="Arial" w:cs="Arial"/>
          <w:bCs/>
          <w:sz w:val="24"/>
          <w:szCs w:val="24"/>
          <w:lang w:val="en-US"/>
        </w:rPr>
        <w:t xml:space="preserve">Bedford, E. (2024) </w:t>
      </w:r>
      <w:r w:rsidRPr="00C35BD8">
        <w:rPr>
          <w:rFonts w:ascii="Arial" w:hAnsi="Arial" w:cs="Arial"/>
          <w:bCs/>
          <w:i/>
          <w:iCs/>
          <w:sz w:val="24"/>
          <w:szCs w:val="24"/>
          <w:lang w:val="en-US"/>
        </w:rPr>
        <w:t>Grocery Market Share in Great Britain 2017-2024,</w:t>
      </w:r>
      <w:r w:rsidRPr="00C35BD8">
        <w:rPr>
          <w:rFonts w:ascii="Arial" w:hAnsi="Arial" w:cs="Arial"/>
          <w:bCs/>
          <w:sz w:val="24"/>
          <w:szCs w:val="24"/>
          <w:lang w:val="en-US"/>
        </w:rPr>
        <w:t xml:space="preserve"> [online] Available: </w:t>
      </w:r>
      <w:hyperlink r:id="rId15" w:history="1">
        <w:r w:rsidRPr="00C35BD8">
          <w:rPr>
            <w:rStyle w:val="af3"/>
            <w:rFonts w:ascii="Arial" w:hAnsi="Arial" w:cs="Arial"/>
            <w:bCs/>
            <w:sz w:val="24"/>
            <w:szCs w:val="24"/>
            <w:lang w:val="en-US"/>
          </w:rPr>
          <w:t>https://www.statista.com/statistics/280208/grocery-market-share-in-the-united-kingdom-uk/</w:t>
        </w:r>
      </w:hyperlink>
      <w:r w:rsidRPr="00C35BD8">
        <w:rPr>
          <w:rFonts w:ascii="Arial" w:hAnsi="Arial" w:cs="Arial"/>
          <w:bCs/>
          <w:sz w:val="24"/>
          <w:szCs w:val="24"/>
          <w:lang w:val="en-US"/>
        </w:rPr>
        <w:t xml:space="preserve"> [Accessed: 2</w:t>
      </w:r>
      <w:r w:rsidRPr="00DF0B37">
        <w:rPr>
          <w:rFonts w:ascii="Arial" w:hAnsi="Arial" w:cs="Arial"/>
          <w:bCs/>
          <w:sz w:val="24"/>
          <w:szCs w:val="24"/>
          <w:lang w:val="en-US"/>
        </w:rPr>
        <w:t>6</w:t>
      </w:r>
      <w:r w:rsidRPr="00C35BD8">
        <w:rPr>
          <w:rFonts w:ascii="Arial" w:hAnsi="Arial" w:cs="Arial"/>
          <w:bCs/>
          <w:sz w:val="24"/>
          <w:szCs w:val="24"/>
          <w:lang w:val="en-US"/>
        </w:rPr>
        <w:t xml:space="preserve"> July 2024]</w:t>
      </w:r>
    </w:p>
    <w:p w14:paraId="13992062" w14:textId="77777777" w:rsidR="00E752A2" w:rsidRPr="00DF0B37" w:rsidRDefault="00E752A2" w:rsidP="009A1F0E">
      <w:pPr>
        <w:spacing w:line="360" w:lineRule="auto"/>
        <w:rPr>
          <w:rFonts w:ascii="Arial" w:hAnsi="Arial" w:cs="Arial"/>
          <w:sz w:val="24"/>
          <w:szCs w:val="24"/>
          <w:lang w:val="en-US"/>
        </w:rPr>
      </w:pPr>
      <w:r w:rsidRPr="008B3536">
        <w:rPr>
          <w:rFonts w:ascii="Arial" w:hAnsi="Arial" w:cs="Arial"/>
          <w:sz w:val="24"/>
          <w:szCs w:val="24"/>
          <w:lang w:val="en-US"/>
        </w:rPr>
        <w:t xml:space="preserve">Dudovskiy, J. (2024) </w:t>
      </w:r>
      <w:r w:rsidRPr="008B3536">
        <w:rPr>
          <w:rFonts w:ascii="Arial" w:hAnsi="Arial" w:cs="Arial"/>
          <w:i/>
          <w:iCs/>
          <w:sz w:val="24"/>
          <w:szCs w:val="24"/>
          <w:lang w:val="en-US"/>
        </w:rPr>
        <w:t>Deductive Approach (Deductive Reasoning)</w:t>
      </w:r>
      <w:r w:rsidRPr="00DF0B37">
        <w:rPr>
          <w:rFonts w:ascii="Arial" w:hAnsi="Arial" w:cs="Arial"/>
          <w:i/>
          <w:iCs/>
          <w:sz w:val="24"/>
          <w:szCs w:val="24"/>
          <w:lang w:val="en-US"/>
        </w:rPr>
        <w:t xml:space="preserve">, </w:t>
      </w:r>
      <w:r w:rsidRPr="00DF0B37">
        <w:rPr>
          <w:rFonts w:ascii="Arial" w:hAnsi="Arial" w:cs="Arial"/>
          <w:sz w:val="24"/>
          <w:szCs w:val="24"/>
          <w:lang w:val="en-US"/>
        </w:rPr>
        <w:t>[online]</w:t>
      </w:r>
      <w:r w:rsidRPr="008B3536">
        <w:rPr>
          <w:rFonts w:ascii="Arial" w:hAnsi="Arial" w:cs="Arial"/>
          <w:sz w:val="24"/>
          <w:szCs w:val="24"/>
          <w:lang w:val="en-US"/>
        </w:rPr>
        <w:t xml:space="preserve"> Available: </w:t>
      </w:r>
      <w:hyperlink r:id="rId16" w:history="1">
        <w:r w:rsidRPr="008B3536">
          <w:rPr>
            <w:rStyle w:val="af3"/>
            <w:rFonts w:ascii="Arial" w:hAnsi="Arial" w:cs="Arial"/>
            <w:sz w:val="24"/>
            <w:szCs w:val="24"/>
            <w:lang w:val="en-US"/>
          </w:rPr>
          <w:t>https://research-methodology.net/research-methodology/research-approach/deductive-approach-2/</w:t>
        </w:r>
      </w:hyperlink>
      <w:r w:rsidRPr="008B3536">
        <w:rPr>
          <w:rFonts w:ascii="Arial" w:hAnsi="Arial" w:cs="Arial"/>
          <w:sz w:val="24"/>
          <w:szCs w:val="24"/>
          <w:lang w:val="en-US"/>
        </w:rPr>
        <w:t xml:space="preserve"> [Accesse</w:t>
      </w:r>
      <w:r w:rsidRPr="00DF0B37">
        <w:rPr>
          <w:rFonts w:ascii="Arial" w:hAnsi="Arial" w:cs="Arial"/>
          <w:sz w:val="24"/>
          <w:szCs w:val="24"/>
          <w:lang w:val="en-US"/>
        </w:rPr>
        <w:t>d: 28 July 2024]</w:t>
      </w:r>
    </w:p>
    <w:p w14:paraId="747C161B" w14:textId="77777777" w:rsidR="00E752A2" w:rsidRPr="00DF0B37" w:rsidRDefault="00E752A2" w:rsidP="0041421D">
      <w:pPr>
        <w:spacing w:line="360" w:lineRule="auto"/>
        <w:rPr>
          <w:rFonts w:ascii="Arial" w:hAnsi="Arial" w:cs="Arial"/>
          <w:sz w:val="24"/>
          <w:szCs w:val="24"/>
        </w:rPr>
      </w:pPr>
      <w:r w:rsidRPr="0041421D">
        <w:rPr>
          <w:rFonts w:ascii="Arial" w:hAnsi="Arial" w:cs="Arial"/>
          <w:sz w:val="24"/>
          <w:szCs w:val="24"/>
        </w:rPr>
        <w:t xml:space="preserve">Haque, M., Haque, M. and Islam, S. (2014) Motivational Theories – A Critical Analysis, </w:t>
      </w:r>
      <w:r w:rsidRPr="0041421D">
        <w:rPr>
          <w:rFonts w:ascii="Arial" w:hAnsi="Arial" w:cs="Arial"/>
          <w:i/>
          <w:iCs/>
          <w:sz w:val="24"/>
          <w:szCs w:val="24"/>
        </w:rPr>
        <w:t>ASA University Review</w:t>
      </w:r>
      <w:r w:rsidRPr="0041421D">
        <w:rPr>
          <w:rFonts w:ascii="Arial" w:hAnsi="Arial" w:cs="Arial"/>
          <w:sz w:val="24"/>
          <w:szCs w:val="24"/>
        </w:rPr>
        <w:t>, Vol. 8(1), pp. 61-68.</w:t>
      </w:r>
    </w:p>
    <w:p w14:paraId="57690716" w14:textId="77777777" w:rsidR="00E752A2" w:rsidRPr="0041421D" w:rsidRDefault="00E752A2" w:rsidP="0041421D">
      <w:pPr>
        <w:spacing w:line="360" w:lineRule="auto"/>
        <w:rPr>
          <w:rFonts w:ascii="Arial" w:hAnsi="Arial" w:cs="Arial"/>
          <w:sz w:val="24"/>
          <w:szCs w:val="24"/>
        </w:rPr>
      </w:pPr>
      <w:r w:rsidRPr="0041421D">
        <w:rPr>
          <w:rFonts w:ascii="Arial" w:hAnsi="Arial" w:cs="Arial"/>
          <w:sz w:val="24"/>
          <w:szCs w:val="24"/>
        </w:rPr>
        <w:t xml:space="preserve">Harari, D., Francis-Devine, B., Bolton, P. and Keep, M. (2024) </w:t>
      </w:r>
      <w:r w:rsidRPr="0041421D">
        <w:rPr>
          <w:rFonts w:ascii="Arial" w:hAnsi="Arial" w:cs="Arial"/>
          <w:i/>
          <w:iCs/>
          <w:sz w:val="24"/>
          <w:szCs w:val="24"/>
        </w:rPr>
        <w:t>Rising Cost of Living in the UK</w:t>
      </w:r>
      <w:r w:rsidRPr="0041421D">
        <w:rPr>
          <w:rFonts w:ascii="Arial" w:hAnsi="Arial" w:cs="Arial"/>
          <w:sz w:val="24"/>
          <w:szCs w:val="24"/>
        </w:rPr>
        <w:t xml:space="preserve">, [online] Available: </w:t>
      </w:r>
      <w:hyperlink r:id="rId17" w:history="1">
        <w:r w:rsidRPr="0041421D">
          <w:rPr>
            <w:rStyle w:val="af3"/>
            <w:rFonts w:ascii="Arial" w:hAnsi="Arial" w:cs="Arial"/>
            <w:sz w:val="24"/>
            <w:szCs w:val="24"/>
          </w:rPr>
          <w:t>https://researchbriefings.files.parliament.uk/documents/CBP-9428/CBP-9428.pdf</w:t>
        </w:r>
      </w:hyperlink>
      <w:r w:rsidRPr="0041421D">
        <w:rPr>
          <w:rFonts w:ascii="Arial" w:hAnsi="Arial" w:cs="Arial"/>
          <w:sz w:val="24"/>
          <w:szCs w:val="24"/>
        </w:rPr>
        <w:t xml:space="preserve"> [Accessed: </w:t>
      </w:r>
      <w:r w:rsidRPr="00DF0B37">
        <w:rPr>
          <w:rFonts w:ascii="Arial" w:hAnsi="Arial" w:cs="Arial"/>
          <w:sz w:val="24"/>
          <w:szCs w:val="24"/>
        </w:rPr>
        <w:t>28 July</w:t>
      </w:r>
      <w:r w:rsidRPr="0041421D">
        <w:rPr>
          <w:rFonts w:ascii="Arial" w:hAnsi="Arial" w:cs="Arial"/>
          <w:sz w:val="24"/>
          <w:szCs w:val="24"/>
        </w:rPr>
        <w:t xml:space="preserve"> 2024]</w:t>
      </w:r>
    </w:p>
    <w:p w14:paraId="7341CBCD" w14:textId="77777777" w:rsidR="00E752A2" w:rsidRPr="0041421D" w:rsidRDefault="00E752A2" w:rsidP="0041421D">
      <w:pPr>
        <w:spacing w:line="360" w:lineRule="auto"/>
        <w:rPr>
          <w:rFonts w:ascii="Arial" w:hAnsi="Arial" w:cs="Arial"/>
          <w:sz w:val="24"/>
          <w:szCs w:val="24"/>
        </w:rPr>
      </w:pPr>
      <w:r w:rsidRPr="00DF0B37">
        <w:rPr>
          <w:rFonts w:ascii="Arial" w:hAnsi="Arial" w:cs="Arial"/>
          <w:sz w:val="24"/>
          <w:szCs w:val="24"/>
        </w:rPr>
        <w:t xml:space="preserve">Herzberg, F. (1987) One More Time: How Do You Motivate Employees? </w:t>
      </w:r>
      <w:r w:rsidRPr="00DF0B37">
        <w:rPr>
          <w:rFonts w:ascii="Arial" w:hAnsi="Arial" w:cs="Arial"/>
          <w:i/>
          <w:iCs/>
          <w:sz w:val="24"/>
          <w:szCs w:val="24"/>
        </w:rPr>
        <w:t>Harvard Business Review</w:t>
      </w:r>
      <w:r w:rsidRPr="00DF0B37">
        <w:rPr>
          <w:rFonts w:ascii="Arial" w:hAnsi="Arial" w:cs="Arial"/>
          <w:sz w:val="24"/>
          <w:szCs w:val="24"/>
        </w:rPr>
        <w:t>, Vol. 65, pp. 109-120.</w:t>
      </w:r>
    </w:p>
    <w:p w14:paraId="3E347E7E" w14:textId="77777777" w:rsidR="00E752A2" w:rsidRPr="00DF0B37" w:rsidRDefault="00E752A2" w:rsidP="0041421D">
      <w:pPr>
        <w:spacing w:line="360" w:lineRule="auto"/>
        <w:rPr>
          <w:rFonts w:ascii="Arial" w:hAnsi="Arial" w:cs="Arial"/>
          <w:bCs/>
          <w:iCs/>
          <w:sz w:val="24"/>
          <w:szCs w:val="24"/>
        </w:rPr>
      </w:pPr>
      <w:r w:rsidRPr="0041421D">
        <w:rPr>
          <w:rFonts w:ascii="Arial" w:hAnsi="Arial" w:cs="Arial"/>
          <w:bCs/>
          <w:iCs/>
          <w:sz w:val="24"/>
          <w:szCs w:val="24"/>
        </w:rPr>
        <w:t xml:space="preserve">Hook, C. and Jenkins, A. (2019) </w:t>
      </w:r>
      <w:r w:rsidRPr="0041421D">
        <w:rPr>
          <w:rFonts w:ascii="Arial" w:hAnsi="Arial" w:cs="Arial"/>
          <w:bCs/>
          <w:i/>
          <w:iCs/>
          <w:sz w:val="24"/>
          <w:szCs w:val="24"/>
        </w:rPr>
        <w:t>Introducing Human Resource Management</w:t>
      </w:r>
      <w:r w:rsidRPr="0041421D">
        <w:rPr>
          <w:rFonts w:ascii="Arial" w:hAnsi="Arial" w:cs="Arial"/>
          <w:bCs/>
          <w:iCs/>
          <w:sz w:val="24"/>
          <w:szCs w:val="24"/>
        </w:rPr>
        <w:t>. 8</w:t>
      </w:r>
      <w:r w:rsidRPr="0041421D">
        <w:rPr>
          <w:rFonts w:ascii="Arial" w:hAnsi="Arial" w:cs="Arial"/>
          <w:bCs/>
          <w:iCs/>
          <w:sz w:val="24"/>
          <w:szCs w:val="24"/>
          <w:vertAlign w:val="superscript"/>
        </w:rPr>
        <w:t>th</w:t>
      </w:r>
      <w:r w:rsidRPr="0041421D">
        <w:rPr>
          <w:rFonts w:ascii="Arial" w:hAnsi="Arial" w:cs="Arial"/>
          <w:bCs/>
          <w:iCs/>
          <w:sz w:val="24"/>
          <w:szCs w:val="24"/>
        </w:rPr>
        <w:t xml:space="preserve"> edition, Pearson: UK</w:t>
      </w:r>
    </w:p>
    <w:p w14:paraId="7EE58DE6" w14:textId="77777777" w:rsidR="00E752A2" w:rsidRPr="00DF0B37" w:rsidRDefault="00E752A2" w:rsidP="0041421D">
      <w:pPr>
        <w:spacing w:line="360" w:lineRule="auto"/>
        <w:rPr>
          <w:rFonts w:ascii="Arial" w:hAnsi="Arial" w:cs="Arial"/>
          <w:bCs/>
          <w:sz w:val="24"/>
          <w:szCs w:val="24"/>
          <w:lang w:val="en-US"/>
        </w:rPr>
      </w:pPr>
      <w:r w:rsidRPr="00DF0B37">
        <w:rPr>
          <w:rFonts w:ascii="Arial" w:hAnsi="Arial" w:cs="Arial"/>
          <w:bCs/>
          <w:sz w:val="24"/>
          <w:szCs w:val="24"/>
        </w:rPr>
        <w:t xml:space="preserve">International Longevity Centre (ILC) (2024) </w:t>
      </w:r>
      <w:r w:rsidRPr="00DF0B37">
        <w:rPr>
          <w:rFonts w:ascii="Arial" w:hAnsi="Arial" w:cs="Arial"/>
          <w:bCs/>
          <w:i/>
          <w:iCs/>
          <w:sz w:val="24"/>
          <w:szCs w:val="24"/>
          <w:lang w:val="bg-BG"/>
        </w:rPr>
        <w:t>Retailers mustn’t forget their staff are their superpower</w:t>
      </w:r>
      <w:r w:rsidRPr="00DF0B37">
        <w:rPr>
          <w:rFonts w:ascii="Arial" w:hAnsi="Arial" w:cs="Arial"/>
          <w:bCs/>
          <w:sz w:val="24"/>
          <w:szCs w:val="24"/>
          <w:lang w:val="en-US"/>
        </w:rPr>
        <w:t xml:space="preserve">, [online] Available: </w:t>
      </w:r>
      <w:hyperlink r:id="rId18" w:history="1">
        <w:r w:rsidRPr="00DF0B37">
          <w:rPr>
            <w:rStyle w:val="af3"/>
            <w:rFonts w:ascii="Arial" w:hAnsi="Arial" w:cs="Arial"/>
            <w:bCs/>
            <w:sz w:val="24"/>
            <w:szCs w:val="24"/>
            <w:lang w:val="en-US"/>
          </w:rPr>
          <w:t>https://ilcuk.org.uk/retailers-mustnt-forget-their-staff-are-their-superpower/</w:t>
        </w:r>
      </w:hyperlink>
      <w:r w:rsidRPr="00DF0B37">
        <w:rPr>
          <w:rFonts w:ascii="Arial" w:hAnsi="Arial" w:cs="Arial"/>
          <w:bCs/>
          <w:sz w:val="24"/>
          <w:szCs w:val="24"/>
          <w:lang w:val="en-US"/>
        </w:rPr>
        <w:t xml:space="preserve"> [Accessed: 26 July 2024]</w:t>
      </w:r>
    </w:p>
    <w:p w14:paraId="4781A07F" w14:textId="77777777" w:rsidR="00E752A2" w:rsidRPr="0041421D" w:rsidRDefault="00E752A2" w:rsidP="0041421D">
      <w:pPr>
        <w:spacing w:line="360" w:lineRule="auto"/>
        <w:rPr>
          <w:rFonts w:ascii="Arial" w:hAnsi="Arial" w:cs="Arial"/>
          <w:bCs/>
          <w:iCs/>
          <w:sz w:val="24"/>
          <w:szCs w:val="24"/>
        </w:rPr>
      </w:pPr>
      <w:r w:rsidRPr="00DF0B37">
        <w:rPr>
          <w:rFonts w:ascii="Arial" w:hAnsi="Arial" w:cs="Arial"/>
          <w:bCs/>
          <w:iCs/>
          <w:sz w:val="24"/>
          <w:szCs w:val="24"/>
        </w:rPr>
        <w:t>Maslow, A. (1943) A Theory of Human Motivation, </w:t>
      </w:r>
      <w:r w:rsidRPr="00DF0B37">
        <w:rPr>
          <w:rFonts w:ascii="Arial" w:hAnsi="Arial" w:cs="Arial"/>
          <w:bCs/>
          <w:i/>
          <w:sz w:val="24"/>
          <w:szCs w:val="24"/>
        </w:rPr>
        <w:t>Psychological Review</w:t>
      </w:r>
      <w:r w:rsidRPr="00DF0B37">
        <w:rPr>
          <w:rFonts w:ascii="Arial" w:hAnsi="Arial" w:cs="Arial"/>
          <w:bCs/>
          <w:iCs/>
          <w:sz w:val="24"/>
          <w:szCs w:val="24"/>
        </w:rPr>
        <w:t>, Vol. 50(4), pp. 430-437.</w:t>
      </w:r>
    </w:p>
    <w:p w14:paraId="52F7105C" w14:textId="77777777" w:rsidR="00E752A2" w:rsidRPr="00DF0B37" w:rsidRDefault="00E752A2" w:rsidP="009A1F0E">
      <w:pPr>
        <w:spacing w:line="360" w:lineRule="auto"/>
        <w:rPr>
          <w:rFonts w:ascii="Arial" w:hAnsi="Arial" w:cs="Arial"/>
          <w:bCs/>
          <w:iCs/>
          <w:sz w:val="24"/>
          <w:szCs w:val="24"/>
        </w:rPr>
      </w:pPr>
      <w:r w:rsidRPr="008B3536">
        <w:rPr>
          <w:rFonts w:ascii="Arial" w:hAnsi="Arial" w:cs="Arial"/>
          <w:bCs/>
          <w:iCs/>
          <w:sz w:val="24"/>
          <w:szCs w:val="24"/>
        </w:rPr>
        <w:lastRenderedPageBreak/>
        <w:t xml:space="preserve">Ramlall, S. (2004) A review of employee motivation theories and their implications for employee retention within organizations, </w:t>
      </w:r>
      <w:r w:rsidRPr="008B3536">
        <w:rPr>
          <w:rFonts w:ascii="Arial" w:hAnsi="Arial" w:cs="Arial"/>
          <w:bCs/>
          <w:i/>
          <w:iCs/>
          <w:sz w:val="24"/>
          <w:szCs w:val="24"/>
        </w:rPr>
        <w:t>Journal of American Academy of Business</w:t>
      </w:r>
      <w:r w:rsidRPr="008B3536">
        <w:rPr>
          <w:rFonts w:ascii="Arial" w:hAnsi="Arial" w:cs="Arial"/>
          <w:bCs/>
          <w:iCs/>
          <w:sz w:val="24"/>
          <w:szCs w:val="24"/>
        </w:rPr>
        <w:t>, Cambridge, Vol. 5(1), pp. 52-63.</w:t>
      </w:r>
    </w:p>
    <w:p w14:paraId="6B3B8CA9" w14:textId="77777777" w:rsidR="00E752A2" w:rsidRPr="00DF0B37" w:rsidRDefault="00E752A2" w:rsidP="0041421D">
      <w:pPr>
        <w:spacing w:line="360" w:lineRule="auto"/>
        <w:rPr>
          <w:rFonts w:ascii="Arial" w:hAnsi="Arial" w:cs="Arial"/>
          <w:bCs/>
          <w:sz w:val="24"/>
          <w:szCs w:val="24"/>
        </w:rPr>
      </w:pPr>
      <w:r w:rsidRPr="0041421D">
        <w:rPr>
          <w:rFonts w:ascii="Arial" w:hAnsi="Arial" w:cs="Arial"/>
          <w:bCs/>
          <w:sz w:val="24"/>
          <w:szCs w:val="24"/>
        </w:rPr>
        <w:t>Saunders, M., Lewis, P. and Thornhill, A. (20</w:t>
      </w:r>
      <w:r w:rsidRPr="00DF0B37">
        <w:rPr>
          <w:rFonts w:ascii="Arial" w:hAnsi="Arial" w:cs="Arial"/>
          <w:bCs/>
          <w:sz w:val="24"/>
          <w:szCs w:val="24"/>
        </w:rPr>
        <w:t>19</w:t>
      </w:r>
      <w:r w:rsidRPr="0041421D">
        <w:rPr>
          <w:rFonts w:ascii="Arial" w:hAnsi="Arial" w:cs="Arial"/>
          <w:bCs/>
          <w:sz w:val="24"/>
          <w:szCs w:val="24"/>
        </w:rPr>
        <w:t xml:space="preserve">) </w:t>
      </w:r>
      <w:r w:rsidRPr="0041421D">
        <w:rPr>
          <w:rFonts w:ascii="Arial" w:hAnsi="Arial" w:cs="Arial"/>
          <w:bCs/>
          <w:i/>
          <w:iCs/>
          <w:sz w:val="24"/>
          <w:szCs w:val="24"/>
        </w:rPr>
        <w:t>Research Methods for Business Students</w:t>
      </w:r>
      <w:r w:rsidRPr="0041421D">
        <w:rPr>
          <w:rFonts w:ascii="Arial" w:hAnsi="Arial" w:cs="Arial"/>
          <w:bCs/>
          <w:sz w:val="24"/>
          <w:szCs w:val="24"/>
        </w:rPr>
        <w:t xml:space="preserve">, </w:t>
      </w:r>
      <w:r w:rsidRPr="00DF0B37">
        <w:rPr>
          <w:rFonts w:ascii="Arial" w:hAnsi="Arial" w:cs="Arial"/>
          <w:bCs/>
          <w:sz w:val="24"/>
          <w:szCs w:val="24"/>
        </w:rPr>
        <w:t>8</w:t>
      </w:r>
      <w:r w:rsidRPr="0041421D">
        <w:rPr>
          <w:rFonts w:ascii="Arial" w:hAnsi="Arial" w:cs="Arial"/>
          <w:bCs/>
          <w:sz w:val="24"/>
          <w:szCs w:val="24"/>
          <w:vertAlign w:val="superscript"/>
        </w:rPr>
        <w:t>th</w:t>
      </w:r>
      <w:r w:rsidRPr="0041421D">
        <w:rPr>
          <w:rFonts w:ascii="Arial" w:hAnsi="Arial" w:cs="Arial"/>
          <w:bCs/>
          <w:sz w:val="24"/>
          <w:szCs w:val="24"/>
        </w:rPr>
        <w:t xml:space="preserve"> edition, Essex, England: Pearson Education Limited</w:t>
      </w:r>
    </w:p>
    <w:p w14:paraId="6690172B" w14:textId="77777777" w:rsidR="00E752A2" w:rsidRPr="0041421D" w:rsidRDefault="00E752A2" w:rsidP="0041421D">
      <w:pPr>
        <w:spacing w:line="360" w:lineRule="auto"/>
        <w:rPr>
          <w:rFonts w:ascii="Arial" w:hAnsi="Arial" w:cs="Arial"/>
          <w:bCs/>
          <w:sz w:val="24"/>
          <w:szCs w:val="24"/>
        </w:rPr>
      </w:pPr>
      <w:r w:rsidRPr="00C35BD8">
        <w:rPr>
          <w:rFonts w:ascii="Arial" w:hAnsi="Arial" w:cs="Arial"/>
          <w:bCs/>
          <w:sz w:val="24"/>
          <w:szCs w:val="24"/>
        </w:rPr>
        <w:t xml:space="preserve">Sekaran, U. and Bougie, R. (2016) </w:t>
      </w:r>
      <w:r w:rsidRPr="00C35BD8">
        <w:rPr>
          <w:rFonts w:ascii="Arial" w:hAnsi="Arial" w:cs="Arial"/>
          <w:bCs/>
          <w:i/>
          <w:sz w:val="24"/>
          <w:szCs w:val="24"/>
        </w:rPr>
        <w:t>Research Methods for Business: A Skill Building Approach</w:t>
      </w:r>
      <w:r w:rsidRPr="00C35BD8">
        <w:rPr>
          <w:rFonts w:ascii="Arial" w:hAnsi="Arial" w:cs="Arial"/>
          <w:bCs/>
          <w:sz w:val="24"/>
          <w:szCs w:val="24"/>
        </w:rPr>
        <w:t>. 7</w:t>
      </w:r>
      <w:r w:rsidRPr="00C35BD8">
        <w:rPr>
          <w:rFonts w:ascii="Arial" w:hAnsi="Arial" w:cs="Arial"/>
          <w:bCs/>
          <w:sz w:val="24"/>
          <w:szCs w:val="24"/>
          <w:vertAlign w:val="superscript"/>
        </w:rPr>
        <w:t>th</w:t>
      </w:r>
      <w:r w:rsidRPr="00C35BD8">
        <w:rPr>
          <w:rFonts w:ascii="Arial" w:hAnsi="Arial" w:cs="Arial"/>
          <w:bCs/>
          <w:sz w:val="24"/>
          <w:szCs w:val="24"/>
        </w:rPr>
        <w:t xml:space="preserve"> edition, United Kingdom: Wiley</w:t>
      </w:r>
    </w:p>
    <w:p w14:paraId="40D5BC7D" w14:textId="77777777" w:rsidR="00E752A2" w:rsidRPr="00DF0B37" w:rsidRDefault="00E752A2" w:rsidP="0041421D">
      <w:pPr>
        <w:spacing w:line="360" w:lineRule="auto"/>
        <w:rPr>
          <w:rFonts w:ascii="Arial" w:hAnsi="Arial" w:cs="Arial"/>
          <w:bCs/>
          <w:sz w:val="24"/>
          <w:szCs w:val="24"/>
        </w:rPr>
      </w:pPr>
      <w:r w:rsidRPr="0041421D">
        <w:rPr>
          <w:rFonts w:ascii="Arial" w:hAnsi="Arial" w:cs="Arial"/>
          <w:bCs/>
          <w:sz w:val="24"/>
          <w:szCs w:val="24"/>
        </w:rPr>
        <w:t xml:space="preserve">Stimpson, P. and Farquharson, A. (2021) </w:t>
      </w:r>
      <w:r w:rsidRPr="0041421D">
        <w:rPr>
          <w:rFonts w:ascii="Arial" w:hAnsi="Arial" w:cs="Arial"/>
          <w:bCs/>
          <w:i/>
          <w:iCs/>
          <w:sz w:val="24"/>
          <w:szCs w:val="24"/>
        </w:rPr>
        <w:t>Business Coursebook</w:t>
      </w:r>
      <w:r w:rsidRPr="0041421D">
        <w:rPr>
          <w:rFonts w:ascii="Arial" w:hAnsi="Arial" w:cs="Arial"/>
          <w:bCs/>
          <w:sz w:val="24"/>
          <w:szCs w:val="24"/>
        </w:rPr>
        <w:t>. 4</w:t>
      </w:r>
      <w:r w:rsidRPr="0041421D">
        <w:rPr>
          <w:rFonts w:ascii="Arial" w:hAnsi="Arial" w:cs="Arial"/>
          <w:bCs/>
          <w:sz w:val="24"/>
          <w:szCs w:val="24"/>
          <w:vertAlign w:val="superscript"/>
        </w:rPr>
        <w:t>th</w:t>
      </w:r>
      <w:r w:rsidRPr="0041421D">
        <w:rPr>
          <w:rFonts w:ascii="Arial" w:hAnsi="Arial" w:cs="Arial"/>
          <w:bCs/>
          <w:sz w:val="24"/>
          <w:szCs w:val="24"/>
        </w:rPr>
        <w:t xml:space="preserve"> edition, Cambridge University Press </w:t>
      </w:r>
    </w:p>
    <w:p w14:paraId="62ACE884" w14:textId="77777777" w:rsidR="00E752A2" w:rsidRPr="00C35BD8" w:rsidRDefault="00E752A2" w:rsidP="00C35BD8">
      <w:pPr>
        <w:spacing w:line="360" w:lineRule="auto"/>
        <w:rPr>
          <w:rFonts w:ascii="Arial" w:hAnsi="Arial" w:cs="Arial"/>
          <w:bCs/>
          <w:sz w:val="24"/>
          <w:szCs w:val="24"/>
          <w:lang w:val="en-US"/>
        </w:rPr>
      </w:pPr>
      <w:r w:rsidRPr="00C35BD8">
        <w:rPr>
          <w:rFonts w:ascii="Arial" w:hAnsi="Arial" w:cs="Arial"/>
          <w:bCs/>
          <w:sz w:val="24"/>
          <w:szCs w:val="24"/>
          <w:lang w:val="en-US"/>
        </w:rPr>
        <w:t xml:space="preserve">Tesco (2023) </w:t>
      </w:r>
      <w:r w:rsidRPr="00C35BD8">
        <w:rPr>
          <w:rFonts w:ascii="Arial" w:hAnsi="Arial" w:cs="Arial"/>
          <w:bCs/>
          <w:i/>
          <w:iCs/>
          <w:sz w:val="24"/>
          <w:szCs w:val="24"/>
          <w:lang w:val="en-US"/>
        </w:rPr>
        <w:t>About us</w:t>
      </w:r>
      <w:r w:rsidRPr="00C35BD8">
        <w:rPr>
          <w:rFonts w:ascii="Arial" w:hAnsi="Arial" w:cs="Arial"/>
          <w:bCs/>
          <w:sz w:val="24"/>
          <w:szCs w:val="24"/>
          <w:lang w:val="en-US"/>
        </w:rPr>
        <w:t xml:space="preserve">, [online] Available: </w:t>
      </w:r>
      <w:hyperlink r:id="rId19" w:history="1">
        <w:r w:rsidRPr="00C35BD8">
          <w:rPr>
            <w:rStyle w:val="af3"/>
            <w:rFonts w:ascii="Arial" w:hAnsi="Arial" w:cs="Arial"/>
            <w:bCs/>
            <w:sz w:val="24"/>
            <w:szCs w:val="24"/>
            <w:lang w:val="en-US"/>
          </w:rPr>
          <w:t>https://www.tescoplc.com/about/</w:t>
        </w:r>
      </w:hyperlink>
      <w:r w:rsidRPr="00C35BD8">
        <w:rPr>
          <w:rFonts w:ascii="Arial" w:hAnsi="Arial" w:cs="Arial"/>
          <w:bCs/>
          <w:sz w:val="24"/>
          <w:szCs w:val="24"/>
          <w:lang w:val="en-US"/>
        </w:rPr>
        <w:t xml:space="preserve"> [Accessed: 27 July 2024]</w:t>
      </w:r>
    </w:p>
    <w:p w14:paraId="1E60F961" w14:textId="77777777" w:rsidR="00E752A2" w:rsidRPr="00DF0B37" w:rsidRDefault="00E752A2" w:rsidP="009A1F0E">
      <w:pPr>
        <w:spacing w:line="360" w:lineRule="auto"/>
        <w:rPr>
          <w:rFonts w:ascii="Arial" w:hAnsi="Arial" w:cs="Arial"/>
          <w:sz w:val="24"/>
          <w:szCs w:val="24"/>
          <w:lang w:val="en-US"/>
        </w:rPr>
      </w:pPr>
      <w:r w:rsidRPr="00DF0B37">
        <w:rPr>
          <w:rFonts w:ascii="Arial" w:hAnsi="Arial" w:cs="Arial"/>
          <w:sz w:val="24"/>
          <w:szCs w:val="24"/>
          <w:lang w:val="en-US"/>
        </w:rPr>
        <w:t xml:space="preserve">Trading Economics (2024) </w:t>
      </w:r>
      <w:r w:rsidRPr="00DF0B37">
        <w:rPr>
          <w:rFonts w:ascii="Arial" w:hAnsi="Arial" w:cs="Arial"/>
          <w:i/>
          <w:iCs/>
          <w:sz w:val="24"/>
          <w:szCs w:val="24"/>
          <w:lang w:val="en-US"/>
        </w:rPr>
        <w:t>United Kingdom Unemployment Rate</w:t>
      </w:r>
      <w:r w:rsidRPr="00DF0B37">
        <w:rPr>
          <w:rFonts w:ascii="Arial" w:hAnsi="Arial" w:cs="Arial"/>
          <w:sz w:val="24"/>
          <w:szCs w:val="24"/>
          <w:lang w:val="en-US"/>
        </w:rPr>
        <w:t xml:space="preserve">, [online] Available: </w:t>
      </w:r>
      <w:hyperlink r:id="rId20" w:history="1">
        <w:r w:rsidRPr="00DF0B37">
          <w:rPr>
            <w:rStyle w:val="af3"/>
            <w:rFonts w:ascii="Arial" w:hAnsi="Arial" w:cs="Arial"/>
            <w:sz w:val="24"/>
            <w:szCs w:val="24"/>
            <w:lang w:val="en-US"/>
          </w:rPr>
          <w:t>https://tradingeconomics.com/united-kingdom/unemployment-rate</w:t>
        </w:r>
      </w:hyperlink>
      <w:r w:rsidRPr="00DF0B37">
        <w:rPr>
          <w:rFonts w:ascii="Arial" w:hAnsi="Arial" w:cs="Arial"/>
          <w:sz w:val="24"/>
          <w:szCs w:val="24"/>
          <w:lang w:val="en-US"/>
        </w:rPr>
        <w:t xml:space="preserve"> [Accessed: 28 July 2024]</w:t>
      </w:r>
    </w:p>
    <w:p w14:paraId="00D1F393" w14:textId="77777777" w:rsidR="00C35BD8" w:rsidRPr="0041421D" w:rsidRDefault="00C35BD8" w:rsidP="0041421D">
      <w:pPr>
        <w:spacing w:line="360" w:lineRule="auto"/>
        <w:rPr>
          <w:rFonts w:ascii="Arial" w:hAnsi="Arial" w:cs="Arial"/>
          <w:bCs/>
          <w:sz w:val="24"/>
          <w:szCs w:val="24"/>
        </w:rPr>
      </w:pPr>
    </w:p>
    <w:p w14:paraId="4D111AB9" w14:textId="77777777" w:rsidR="009A1F0E" w:rsidRPr="00DF0B37" w:rsidRDefault="009A1F0E" w:rsidP="009A1F0E">
      <w:pPr>
        <w:spacing w:line="360" w:lineRule="auto"/>
        <w:rPr>
          <w:rFonts w:ascii="Arial" w:hAnsi="Arial" w:cs="Arial"/>
          <w:sz w:val="24"/>
          <w:szCs w:val="24"/>
          <w:lang w:val="en-US"/>
        </w:rPr>
      </w:pPr>
    </w:p>
    <w:sectPr w:rsidR="009A1F0E" w:rsidRPr="00DF0B37">
      <w:footerReference w:type="default" r:id="rId2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F6699A" w14:textId="77777777" w:rsidR="00A83CC2" w:rsidRDefault="00A83CC2" w:rsidP="0035428D">
      <w:pPr>
        <w:spacing w:after="0" w:line="240" w:lineRule="auto"/>
      </w:pPr>
      <w:r>
        <w:separator/>
      </w:r>
    </w:p>
  </w:endnote>
  <w:endnote w:type="continuationSeparator" w:id="0">
    <w:p w14:paraId="666043CC" w14:textId="77777777" w:rsidR="00A83CC2" w:rsidRDefault="00A83CC2" w:rsidP="00354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9339452"/>
      <w:docPartObj>
        <w:docPartGallery w:val="Page Numbers (Bottom of Page)"/>
        <w:docPartUnique/>
      </w:docPartObj>
    </w:sdtPr>
    <w:sdtEndPr>
      <w:rPr>
        <w:noProof/>
      </w:rPr>
    </w:sdtEndPr>
    <w:sdtContent>
      <w:p w14:paraId="1DB7327A" w14:textId="71A85231" w:rsidR="0035428D" w:rsidRDefault="0035428D">
        <w:pPr>
          <w:pStyle w:val="af0"/>
          <w:jc w:val="right"/>
        </w:pPr>
        <w:r>
          <w:fldChar w:fldCharType="begin"/>
        </w:r>
        <w:r>
          <w:instrText xml:space="preserve"> PAGE   \* MERGEFORMAT </w:instrText>
        </w:r>
        <w:r>
          <w:fldChar w:fldCharType="separate"/>
        </w:r>
        <w:r>
          <w:rPr>
            <w:noProof/>
          </w:rPr>
          <w:t>2</w:t>
        </w:r>
        <w:r>
          <w:rPr>
            <w:noProof/>
          </w:rPr>
          <w:fldChar w:fldCharType="end"/>
        </w:r>
      </w:p>
    </w:sdtContent>
  </w:sdt>
  <w:p w14:paraId="6E476D46" w14:textId="77777777" w:rsidR="0035428D" w:rsidRDefault="0035428D">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F6959F" w14:textId="77777777" w:rsidR="00A83CC2" w:rsidRDefault="00A83CC2" w:rsidP="0035428D">
      <w:pPr>
        <w:spacing w:after="0" w:line="240" w:lineRule="auto"/>
      </w:pPr>
      <w:r>
        <w:separator/>
      </w:r>
    </w:p>
  </w:footnote>
  <w:footnote w:type="continuationSeparator" w:id="0">
    <w:p w14:paraId="107C4141" w14:textId="77777777" w:rsidR="00A83CC2" w:rsidRDefault="00A83CC2" w:rsidP="003542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BF7A7F"/>
    <w:multiLevelType w:val="hybridMultilevel"/>
    <w:tmpl w:val="41ACD47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33CF4300"/>
    <w:multiLevelType w:val="hybridMultilevel"/>
    <w:tmpl w:val="5740A5D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762754395">
    <w:abstractNumId w:val="0"/>
  </w:num>
  <w:num w:numId="2" w16cid:durableId="555118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1"/>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B5D"/>
    <w:rsid w:val="00023B5D"/>
    <w:rsid w:val="000C21DC"/>
    <w:rsid w:val="00133920"/>
    <w:rsid w:val="00242DEA"/>
    <w:rsid w:val="00266BEC"/>
    <w:rsid w:val="00284FEC"/>
    <w:rsid w:val="002B0ADB"/>
    <w:rsid w:val="002B725E"/>
    <w:rsid w:val="002E60B9"/>
    <w:rsid w:val="0032766B"/>
    <w:rsid w:val="00346050"/>
    <w:rsid w:val="0035428D"/>
    <w:rsid w:val="003A3509"/>
    <w:rsid w:val="003B117F"/>
    <w:rsid w:val="003B231F"/>
    <w:rsid w:val="003C3385"/>
    <w:rsid w:val="0041421D"/>
    <w:rsid w:val="00435746"/>
    <w:rsid w:val="0044105D"/>
    <w:rsid w:val="004420E3"/>
    <w:rsid w:val="004C4110"/>
    <w:rsid w:val="004D5E82"/>
    <w:rsid w:val="00500E8D"/>
    <w:rsid w:val="00526F40"/>
    <w:rsid w:val="00540F52"/>
    <w:rsid w:val="00583507"/>
    <w:rsid w:val="005C15A9"/>
    <w:rsid w:val="00644DCB"/>
    <w:rsid w:val="00664084"/>
    <w:rsid w:val="006E32D1"/>
    <w:rsid w:val="006F19FA"/>
    <w:rsid w:val="007D5042"/>
    <w:rsid w:val="0080020A"/>
    <w:rsid w:val="008108AF"/>
    <w:rsid w:val="00854370"/>
    <w:rsid w:val="008B3536"/>
    <w:rsid w:val="008C26AC"/>
    <w:rsid w:val="00923DFF"/>
    <w:rsid w:val="0093662A"/>
    <w:rsid w:val="00955079"/>
    <w:rsid w:val="009572E2"/>
    <w:rsid w:val="009A1F0E"/>
    <w:rsid w:val="009F252E"/>
    <w:rsid w:val="00A57EE7"/>
    <w:rsid w:val="00A83CC2"/>
    <w:rsid w:val="00AA486E"/>
    <w:rsid w:val="00B43966"/>
    <w:rsid w:val="00BA394F"/>
    <w:rsid w:val="00BE31BE"/>
    <w:rsid w:val="00BE74A0"/>
    <w:rsid w:val="00C02276"/>
    <w:rsid w:val="00C24AC8"/>
    <w:rsid w:val="00C35BD8"/>
    <w:rsid w:val="00C51E68"/>
    <w:rsid w:val="00C7393F"/>
    <w:rsid w:val="00CA139A"/>
    <w:rsid w:val="00D344E4"/>
    <w:rsid w:val="00D54674"/>
    <w:rsid w:val="00D9410A"/>
    <w:rsid w:val="00D9626E"/>
    <w:rsid w:val="00DA5D0D"/>
    <w:rsid w:val="00DC696E"/>
    <w:rsid w:val="00DF0B37"/>
    <w:rsid w:val="00DF53BF"/>
    <w:rsid w:val="00E24476"/>
    <w:rsid w:val="00E73AF6"/>
    <w:rsid w:val="00E752A2"/>
    <w:rsid w:val="00E9170F"/>
    <w:rsid w:val="00E96875"/>
    <w:rsid w:val="00ED74EE"/>
    <w:rsid w:val="00EE2DD4"/>
    <w:rsid w:val="00F32C43"/>
    <w:rsid w:val="00F45323"/>
    <w:rsid w:val="00F57D66"/>
    <w:rsid w:val="00F71BEB"/>
    <w:rsid w:val="00FC0B7D"/>
    <w:rsid w:val="00FC36C5"/>
    <w:rsid w:val="00FE336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5C37F"/>
  <w15:chartTrackingRefBased/>
  <w15:docId w15:val="{1E858F20-D13C-4545-8E25-DF231793C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2">
    <w:name w:val="heading 2"/>
    <w:basedOn w:val="a"/>
    <w:next w:val="a"/>
    <w:link w:val="20"/>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paragraph" w:styleId="3">
    <w:name w:val="heading 3"/>
    <w:basedOn w:val="a"/>
    <w:next w:val="a"/>
    <w:link w:val="30"/>
    <w:uiPriority w:val="9"/>
    <w:semiHidden/>
    <w:unhideWhenUsed/>
    <w:qFormat/>
    <w:rsid w:val="00023B5D"/>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23B5D"/>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23B5D"/>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23B5D"/>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23B5D"/>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23B5D"/>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23B5D"/>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3B231F"/>
    <w:rPr>
      <w:rFonts w:ascii="Times New Roman" w:eastAsia="Calibri" w:hAnsi="Times New Roman" w:cs="Calibri"/>
      <w:b/>
      <w:sz w:val="24"/>
      <w:szCs w:val="36"/>
      <w:lang w:val="en-GB" w:eastAsia="en-GB"/>
    </w:rPr>
  </w:style>
  <w:style w:type="character" w:customStyle="1" w:styleId="10">
    <w:name w:val="Заглавие 1 Знак"/>
    <w:basedOn w:val="a0"/>
    <w:link w:val="1"/>
    <w:uiPriority w:val="9"/>
    <w:rsid w:val="003A3509"/>
    <w:rPr>
      <w:rFonts w:ascii="Times New Roman" w:eastAsiaTheme="majorEastAsia" w:hAnsi="Times New Roman" w:cstheme="majorBidi"/>
      <w:b/>
      <w:color w:val="000000" w:themeColor="text1"/>
      <w:sz w:val="28"/>
      <w:szCs w:val="32"/>
      <w:lang w:val="en-GB"/>
    </w:rPr>
  </w:style>
  <w:style w:type="character" w:customStyle="1" w:styleId="30">
    <w:name w:val="Заглавие 3 Знак"/>
    <w:basedOn w:val="a0"/>
    <w:link w:val="3"/>
    <w:uiPriority w:val="9"/>
    <w:semiHidden/>
    <w:rsid w:val="00023B5D"/>
    <w:rPr>
      <w:rFonts w:eastAsiaTheme="majorEastAsia" w:cstheme="majorBidi"/>
      <w:color w:val="0F4761" w:themeColor="accent1" w:themeShade="BF"/>
      <w:sz w:val="28"/>
      <w:szCs w:val="28"/>
      <w:lang w:val="en-GB"/>
    </w:rPr>
  </w:style>
  <w:style w:type="character" w:customStyle="1" w:styleId="40">
    <w:name w:val="Заглавие 4 Знак"/>
    <w:basedOn w:val="a0"/>
    <w:link w:val="4"/>
    <w:uiPriority w:val="9"/>
    <w:semiHidden/>
    <w:rsid w:val="00023B5D"/>
    <w:rPr>
      <w:rFonts w:eastAsiaTheme="majorEastAsia" w:cstheme="majorBidi"/>
      <w:i/>
      <w:iCs/>
      <w:color w:val="0F4761" w:themeColor="accent1" w:themeShade="BF"/>
      <w:lang w:val="en-GB"/>
    </w:rPr>
  </w:style>
  <w:style w:type="character" w:customStyle="1" w:styleId="50">
    <w:name w:val="Заглавие 5 Знак"/>
    <w:basedOn w:val="a0"/>
    <w:link w:val="5"/>
    <w:uiPriority w:val="9"/>
    <w:semiHidden/>
    <w:rsid w:val="00023B5D"/>
    <w:rPr>
      <w:rFonts w:eastAsiaTheme="majorEastAsia" w:cstheme="majorBidi"/>
      <w:color w:val="0F4761" w:themeColor="accent1" w:themeShade="BF"/>
      <w:lang w:val="en-GB"/>
    </w:rPr>
  </w:style>
  <w:style w:type="character" w:customStyle="1" w:styleId="60">
    <w:name w:val="Заглавие 6 Знак"/>
    <w:basedOn w:val="a0"/>
    <w:link w:val="6"/>
    <w:uiPriority w:val="9"/>
    <w:semiHidden/>
    <w:rsid w:val="00023B5D"/>
    <w:rPr>
      <w:rFonts w:eastAsiaTheme="majorEastAsia" w:cstheme="majorBidi"/>
      <w:i/>
      <w:iCs/>
      <w:color w:val="595959" w:themeColor="text1" w:themeTint="A6"/>
      <w:lang w:val="en-GB"/>
    </w:rPr>
  </w:style>
  <w:style w:type="character" w:customStyle="1" w:styleId="70">
    <w:name w:val="Заглавие 7 Знак"/>
    <w:basedOn w:val="a0"/>
    <w:link w:val="7"/>
    <w:uiPriority w:val="9"/>
    <w:semiHidden/>
    <w:rsid w:val="00023B5D"/>
    <w:rPr>
      <w:rFonts w:eastAsiaTheme="majorEastAsia" w:cstheme="majorBidi"/>
      <w:color w:val="595959" w:themeColor="text1" w:themeTint="A6"/>
      <w:lang w:val="en-GB"/>
    </w:rPr>
  </w:style>
  <w:style w:type="character" w:customStyle="1" w:styleId="80">
    <w:name w:val="Заглавие 8 Знак"/>
    <w:basedOn w:val="a0"/>
    <w:link w:val="8"/>
    <w:uiPriority w:val="9"/>
    <w:semiHidden/>
    <w:rsid w:val="00023B5D"/>
    <w:rPr>
      <w:rFonts w:eastAsiaTheme="majorEastAsia" w:cstheme="majorBidi"/>
      <w:i/>
      <w:iCs/>
      <w:color w:val="272727" w:themeColor="text1" w:themeTint="D8"/>
      <w:lang w:val="en-GB"/>
    </w:rPr>
  </w:style>
  <w:style w:type="character" w:customStyle="1" w:styleId="90">
    <w:name w:val="Заглавие 9 Знак"/>
    <w:basedOn w:val="a0"/>
    <w:link w:val="9"/>
    <w:uiPriority w:val="9"/>
    <w:semiHidden/>
    <w:rsid w:val="00023B5D"/>
    <w:rPr>
      <w:rFonts w:eastAsiaTheme="majorEastAsia" w:cstheme="majorBidi"/>
      <w:color w:val="272727" w:themeColor="text1" w:themeTint="D8"/>
      <w:lang w:val="en-GB"/>
    </w:rPr>
  </w:style>
  <w:style w:type="paragraph" w:styleId="a3">
    <w:name w:val="Title"/>
    <w:basedOn w:val="a"/>
    <w:next w:val="a"/>
    <w:link w:val="a4"/>
    <w:uiPriority w:val="10"/>
    <w:qFormat/>
    <w:rsid w:val="00023B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023B5D"/>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023B5D"/>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023B5D"/>
    <w:rPr>
      <w:rFonts w:eastAsiaTheme="majorEastAsia" w:cstheme="majorBidi"/>
      <w:color w:val="595959" w:themeColor="text1" w:themeTint="A6"/>
      <w:spacing w:val="15"/>
      <w:sz w:val="28"/>
      <w:szCs w:val="28"/>
      <w:lang w:val="en-GB"/>
    </w:rPr>
  </w:style>
  <w:style w:type="paragraph" w:styleId="a7">
    <w:name w:val="Quote"/>
    <w:basedOn w:val="a"/>
    <w:next w:val="a"/>
    <w:link w:val="a8"/>
    <w:uiPriority w:val="29"/>
    <w:qFormat/>
    <w:rsid w:val="00023B5D"/>
    <w:pPr>
      <w:spacing w:before="160"/>
      <w:jc w:val="center"/>
    </w:pPr>
    <w:rPr>
      <w:i/>
      <w:iCs/>
      <w:color w:val="404040" w:themeColor="text1" w:themeTint="BF"/>
    </w:rPr>
  </w:style>
  <w:style w:type="character" w:customStyle="1" w:styleId="a8">
    <w:name w:val="Цитат Знак"/>
    <w:basedOn w:val="a0"/>
    <w:link w:val="a7"/>
    <w:uiPriority w:val="29"/>
    <w:rsid w:val="00023B5D"/>
    <w:rPr>
      <w:i/>
      <w:iCs/>
      <w:color w:val="404040" w:themeColor="text1" w:themeTint="BF"/>
      <w:lang w:val="en-GB"/>
    </w:rPr>
  </w:style>
  <w:style w:type="paragraph" w:styleId="a9">
    <w:name w:val="List Paragraph"/>
    <w:basedOn w:val="a"/>
    <w:uiPriority w:val="34"/>
    <w:qFormat/>
    <w:rsid w:val="00023B5D"/>
    <w:pPr>
      <w:ind w:left="720"/>
      <w:contextualSpacing/>
    </w:pPr>
  </w:style>
  <w:style w:type="character" w:styleId="aa">
    <w:name w:val="Intense Emphasis"/>
    <w:basedOn w:val="a0"/>
    <w:uiPriority w:val="21"/>
    <w:qFormat/>
    <w:rsid w:val="00023B5D"/>
    <w:rPr>
      <w:i/>
      <w:iCs/>
      <w:color w:val="0F4761" w:themeColor="accent1" w:themeShade="BF"/>
    </w:rPr>
  </w:style>
  <w:style w:type="paragraph" w:styleId="ab">
    <w:name w:val="Intense Quote"/>
    <w:basedOn w:val="a"/>
    <w:next w:val="a"/>
    <w:link w:val="ac"/>
    <w:uiPriority w:val="30"/>
    <w:qFormat/>
    <w:rsid w:val="00023B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023B5D"/>
    <w:rPr>
      <w:i/>
      <w:iCs/>
      <w:color w:val="0F4761" w:themeColor="accent1" w:themeShade="BF"/>
      <w:lang w:val="en-GB"/>
    </w:rPr>
  </w:style>
  <w:style w:type="character" w:styleId="ad">
    <w:name w:val="Intense Reference"/>
    <w:basedOn w:val="a0"/>
    <w:uiPriority w:val="32"/>
    <w:qFormat/>
    <w:rsid w:val="00023B5D"/>
    <w:rPr>
      <w:b/>
      <w:bCs/>
      <w:smallCaps/>
      <w:color w:val="0F4761" w:themeColor="accent1" w:themeShade="BF"/>
      <w:spacing w:val="5"/>
    </w:rPr>
  </w:style>
  <w:style w:type="paragraph" w:styleId="ae">
    <w:name w:val="header"/>
    <w:basedOn w:val="a"/>
    <w:link w:val="af"/>
    <w:uiPriority w:val="99"/>
    <w:unhideWhenUsed/>
    <w:rsid w:val="0035428D"/>
    <w:pPr>
      <w:tabs>
        <w:tab w:val="center" w:pos="4536"/>
        <w:tab w:val="right" w:pos="9072"/>
      </w:tabs>
      <w:spacing w:after="0" w:line="240" w:lineRule="auto"/>
    </w:pPr>
  </w:style>
  <w:style w:type="character" w:customStyle="1" w:styleId="af">
    <w:name w:val="Горен колонтитул Знак"/>
    <w:basedOn w:val="a0"/>
    <w:link w:val="ae"/>
    <w:uiPriority w:val="99"/>
    <w:rsid w:val="0035428D"/>
    <w:rPr>
      <w:lang w:val="en-GB"/>
    </w:rPr>
  </w:style>
  <w:style w:type="paragraph" w:styleId="af0">
    <w:name w:val="footer"/>
    <w:basedOn w:val="a"/>
    <w:link w:val="af1"/>
    <w:uiPriority w:val="99"/>
    <w:unhideWhenUsed/>
    <w:rsid w:val="0035428D"/>
    <w:pPr>
      <w:tabs>
        <w:tab w:val="center" w:pos="4536"/>
        <w:tab w:val="right" w:pos="9072"/>
      </w:tabs>
      <w:spacing w:after="0" w:line="240" w:lineRule="auto"/>
    </w:pPr>
  </w:style>
  <w:style w:type="character" w:customStyle="1" w:styleId="af1">
    <w:name w:val="Долен колонтитул Знак"/>
    <w:basedOn w:val="a0"/>
    <w:link w:val="af0"/>
    <w:uiPriority w:val="99"/>
    <w:rsid w:val="0035428D"/>
    <w:rPr>
      <w:lang w:val="en-GB"/>
    </w:rPr>
  </w:style>
  <w:style w:type="paragraph" w:styleId="af2">
    <w:name w:val="TOC Heading"/>
    <w:basedOn w:val="1"/>
    <w:next w:val="a"/>
    <w:uiPriority w:val="39"/>
    <w:unhideWhenUsed/>
    <w:qFormat/>
    <w:rsid w:val="004C4110"/>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11">
    <w:name w:val="toc 1"/>
    <w:basedOn w:val="a"/>
    <w:next w:val="a"/>
    <w:autoRedefine/>
    <w:uiPriority w:val="39"/>
    <w:unhideWhenUsed/>
    <w:rsid w:val="004C4110"/>
    <w:pPr>
      <w:spacing w:after="100"/>
    </w:pPr>
  </w:style>
  <w:style w:type="paragraph" w:styleId="21">
    <w:name w:val="toc 2"/>
    <w:basedOn w:val="a"/>
    <w:next w:val="a"/>
    <w:autoRedefine/>
    <w:uiPriority w:val="39"/>
    <w:unhideWhenUsed/>
    <w:rsid w:val="004C4110"/>
    <w:pPr>
      <w:spacing w:after="100"/>
      <w:ind w:left="220"/>
    </w:pPr>
  </w:style>
  <w:style w:type="character" w:styleId="af3">
    <w:name w:val="Hyperlink"/>
    <w:basedOn w:val="a0"/>
    <w:uiPriority w:val="99"/>
    <w:unhideWhenUsed/>
    <w:rsid w:val="004C4110"/>
    <w:rPr>
      <w:color w:val="467886" w:themeColor="hyperlink"/>
      <w:u w:val="single"/>
    </w:rPr>
  </w:style>
  <w:style w:type="character" w:styleId="af4">
    <w:name w:val="Unresolved Mention"/>
    <w:basedOn w:val="a0"/>
    <w:uiPriority w:val="99"/>
    <w:semiHidden/>
    <w:unhideWhenUsed/>
    <w:rsid w:val="009A1F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519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hyperlink" Target="https://ilcuk.org.uk/retailers-mustnt-forget-their-staff-are-their-superpower/"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researchbriefings.files.parliament.uk/documents/CBP-9428/CBP-9428.pdf" TargetMode="External" /><Relationship Id="rId2" Type="http://schemas.openxmlformats.org/officeDocument/2006/relationships/numbering" Target="numbering.xml" /><Relationship Id="rId16" Type="http://schemas.openxmlformats.org/officeDocument/2006/relationships/hyperlink" Target="https://research-methodology.net/research-methodology/research-approach/deductive-approach-2/" TargetMode="External" /><Relationship Id="rId20" Type="http://schemas.openxmlformats.org/officeDocument/2006/relationships/hyperlink" Target="https://tradingeconomics.com/united-kingdom/unemployment-rate"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ww.statista.com/statistics/280208/grocery-market-share-in-the-united-kingdom-uk/" TargetMode="External"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www.tescoplc.com/abou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bankofengland.co.uk/monetary-policy/the-interest-rate-bank-rate"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07E95-FABA-44AD-8DD6-A8F0C31E93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13</Pages>
  <Words>2670</Words>
  <Characters>15221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Elitsa Ivanova</cp:lastModifiedBy>
  <cp:revision>20</cp:revision>
  <dcterms:created xsi:type="dcterms:W3CDTF">2024-07-30T12:31:00Z</dcterms:created>
  <dcterms:modified xsi:type="dcterms:W3CDTF">2024-08-22T19:48:00Z</dcterms:modified>
</cp:coreProperties>
</file>