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14B8EC8" wp14:paraId="38032D86" wp14:textId="417C07C5">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6099DF98" wp14:textId="5C9AA294">
      <w:pPr>
        <w:shd w:val="clear" w:color="auto" w:fill="FFFFFF" w:themeFill="background1"/>
        <w:spacing w:before="0" w:beforeAutospacing="off" w:after="240" w:afterAutospacing="off"/>
        <w:jc w:val="left"/>
        <w:rPr>
          <w:rFonts w:ascii="Aptos" w:hAnsi="Aptos" w:eastAsia="Aptos" w:cs="Aptos"/>
          <w:b w:val="0"/>
          <w:bCs w:val="0"/>
          <w:i w:val="0"/>
          <w:iCs w:val="0"/>
          <w:caps w:val="0"/>
          <w:smallCaps w:val="0"/>
          <w:color w:val="1D2125"/>
          <w:sz w:val="24"/>
          <w:szCs w:val="24"/>
        </w:rPr>
      </w:pPr>
      <w:r w:rsidRPr="714B8EC8" w:rsidR="3E6C9D85">
        <w:rPr>
          <w:rFonts w:ascii="Aptos" w:hAnsi="Aptos" w:eastAsia="Aptos" w:cs="Aptos"/>
          <w:b w:val="0"/>
          <w:bCs w:val="0"/>
          <w:i w:val="0"/>
          <w:iCs w:val="0"/>
          <w:caps w:val="0"/>
          <w:smallCaps w:val="0"/>
          <w:color w:val="1D2125"/>
          <w:sz w:val="24"/>
          <w:szCs w:val="24"/>
        </w:rPr>
        <w:t xml:space="preserve">I acknowledge the use of </w:t>
      </w:r>
      <w:r w:rsidRPr="714B8EC8" w:rsidR="3E6C9D85">
        <w:rPr>
          <w:rFonts w:ascii="Aptos" w:hAnsi="Aptos" w:eastAsia="Aptos" w:cs="Aptos"/>
          <w:b w:val="0"/>
          <w:bCs w:val="0"/>
          <w:i w:val="0"/>
          <w:iCs w:val="0"/>
          <w:caps w:val="0"/>
          <w:smallCaps w:val="0"/>
          <w:color w:val="1D2125"/>
          <w:sz w:val="24"/>
          <w:szCs w:val="24"/>
        </w:rPr>
        <w:t>ChatGTP</w:t>
      </w:r>
      <w:r w:rsidRPr="714B8EC8" w:rsidR="3E6C9D85">
        <w:rPr>
          <w:rFonts w:ascii="Aptos" w:hAnsi="Aptos" w:eastAsia="Aptos" w:cs="Aptos"/>
          <w:b w:val="0"/>
          <w:bCs w:val="0"/>
          <w:i w:val="0"/>
          <w:iCs w:val="0"/>
          <w:caps w:val="0"/>
          <w:smallCaps w:val="0"/>
          <w:color w:val="1D2125"/>
          <w:sz w:val="24"/>
          <w:szCs w:val="24"/>
        </w:rPr>
        <w:t xml:space="preserve"> </w:t>
      </w:r>
      <w:r w:rsidRPr="714B8EC8" w:rsidR="3E6C9D85">
        <w:rPr>
          <w:rFonts w:ascii="Aptos" w:hAnsi="Aptos" w:eastAsia="Aptos" w:cs="Aptos"/>
          <w:b w:val="0"/>
          <w:bCs w:val="0"/>
          <w:i w:val="0"/>
          <w:iCs w:val="0"/>
          <w:caps w:val="0"/>
          <w:smallCaps w:val="0"/>
          <w:color w:val="000000" w:themeColor="text1" w:themeTint="FF" w:themeShade="FF"/>
          <w:sz w:val="24"/>
          <w:szCs w:val="24"/>
        </w:rPr>
        <w:t>(</w:t>
      </w:r>
      <w:hyperlink r:id="R126312f11834481a">
        <w:r w:rsidRPr="714B8EC8" w:rsidR="3E6C9D85">
          <w:rPr>
            <w:rStyle w:val="Hyperlink"/>
            <w:rFonts w:ascii="Aptos" w:hAnsi="Aptos" w:eastAsia="Aptos" w:cs="Aptos"/>
            <w:b w:val="0"/>
            <w:bCs w:val="0"/>
            <w:i w:val="0"/>
            <w:iCs w:val="0"/>
            <w:caps w:val="0"/>
            <w:smallCaps w:val="0"/>
            <w:strike w:val="0"/>
            <w:dstrike w:val="0"/>
            <w:color w:val="000000" w:themeColor="text1" w:themeTint="FF" w:themeShade="FF"/>
            <w:sz w:val="24"/>
            <w:szCs w:val="24"/>
          </w:rPr>
          <w:t>https://chatgtp.com</w:t>
        </w:r>
      </w:hyperlink>
      <w:r w:rsidRPr="714B8EC8" w:rsidR="3E6C9D85">
        <w:rPr>
          <w:rFonts w:ascii="Aptos" w:hAnsi="Aptos" w:eastAsia="Aptos" w:cs="Aptos"/>
          <w:b w:val="0"/>
          <w:bCs w:val="0"/>
          <w:i w:val="0"/>
          <w:iCs w:val="0"/>
          <w:caps w:val="0"/>
          <w:smallCaps w:val="0"/>
          <w:color w:val="000000" w:themeColor="text1" w:themeTint="FF" w:themeShade="FF"/>
          <w:sz w:val="24"/>
          <w:szCs w:val="24"/>
        </w:rPr>
        <w:t>) on 17 February, 3 and 5</w:t>
      </w:r>
      <w:r w:rsidRPr="714B8EC8" w:rsidR="3E6C9D85">
        <w:rPr>
          <w:rFonts w:ascii="Aptos" w:hAnsi="Aptos" w:eastAsia="Aptos" w:cs="Aptos"/>
          <w:b w:val="0"/>
          <w:bCs w:val="0"/>
          <w:i w:val="0"/>
          <w:iCs w:val="0"/>
          <w:caps w:val="0"/>
          <w:smallCaps w:val="0"/>
          <w:color w:val="000000" w:themeColor="text1" w:themeTint="FF" w:themeShade="FF"/>
          <w:sz w:val="24"/>
          <w:szCs w:val="24"/>
          <w:vertAlign w:val="superscript"/>
        </w:rPr>
        <w:t xml:space="preserve"> </w:t>
      </w:r>
      <w:r w:rsidRPr="714B8EC8" w:rsidR="3E6C9D85">
        <w:rPr>
          <w:rFonts w:ascii="Aptos" w:hAnsi="Aptos" w:eastAsia="Aptos" w:cs="Aptos"/>
          <w:b w:val="0"/>
          <w:bCs w:val="0"/>
          <w:i w:val="0"/>
          <w:iCs w:val="0"/>
          <w:caps w:val="0"/>
          <w:smallCaps w:val="0"/>
          <w:color w:val="000000" w:themeColor="text1" w:themeTint="FF" w:themeShade="FF"/>
          <w:sz w:val="24"/>
          <w:szCs w:val="24"/>
        </w:rPr>
        <w:t>March 2026 and Claude (</w:t>
      </w:r>
      <w:hyperlink r:id="R28165bc8e00a429a">
        <w:r w:rsidRPr="714B8EC8" w:rsidR="3E6C9D85">
          <w:rPr>
            <w:rStyle w:val="Hyperlink"/>
            <w:rFonts w:ascii="Aptos" w:hAnsi="Aptos" w:eastAsia="Aptos" w:cs="Aptos"/>
            <w:b w:val="0"/>
            <w:bCs w:val="0"/>
            <w:i w:val="0"/>
            <w:iCs w:val="0"/>
            <w:caps w:val="0"/>
            <w:smallCaps w:val="0"/>
            <w:strike w:val="0"/>
            <w:dstrike w:val="0"/>
            <w:color w:val="000000" w:themeColor="text1" w:themeTint="FF" w:themeShade="FF"/>
            <w:sz w:val="24"/>
            <w:szCs w:val="24"/>
          </w:rPr>
          <w:t>Essay grammar and accuracy review - Claude)</w:t>
        </w:r>
      </w:hyperlink>
      <w:r w:rsidRPr="714B8EC8" w:rsidR="3E6C9D85">
        <w:rPr>
          <w:rFonts w:ascii="Aptos" w:hAnsi="Aptos" w:eastAsia="Aptos" w:cs="Aptos"/>
          <w:b w:val="0"/>
          <w:bCs w:val="0"/>
          <w:i w:val="0"/>
          <w:iCs w:val="0"/>
          <w:caps w:val="0"/>
          <w:smallCaps w:val="0"/>
          <w:color w:val="000000" w:themeColor="text1" w:themeTint="FF" w:themeShade="FF"/>
          <w:sz w:val="24"/>
          <w:szCs w:val="24"/>
        </w:rPr>
        <w:t xml:space="preserve"> </w:t>
      </w:r>
      <w:r w:rsidRPr="714B8EC8" w:rsidR="3E6C9D85">
        <w:rPr>
          <w:rFonts w:ascii="Aptos" w:hAnsi="Aptos" w:eastAsia="Aptos" w:cs="Aptos"/>
          <w:b w:val="0"/>
          <w:bCs w:val="0"/>
          <w:i w:val="0"/>
          <w:iCs w:val="0"/>
          <w:caps w:val="0"/>
          <w:smallCaps w:val="0"/>
          <w:color w:val="1D2125"/>
          <w:sz w:val="24"/>
          <w:szCs w:val="24"/>
        </w:rPr>
        <w:t>on 6</w:t>
      </w:r>
      <w:r w:rsidRPr="714B8EC8" w:rsidR="1BF9043A">
        <w:rPr>
          <w:rFonts w:ascii="Aptos" w:hAnsi="Aptos" w:eastAsia="Aptos" w:cs="Aptos"/>
          <w:b w:val="0"/>
          <w:bCs w:val="0"/>
          <w:i w:val="0"/>
          <w:iCs w:val="0"/>
          <w:caps w:val="0"/>
          <w:smallCaps w:val="0"/>
          <w:color w:val="1D2125"/>
          <w:sz w:val="24"/>
          <w:szCs w:val="24"/>
        </w:rPr>
        <w:t xml:space="preserve"> and 8</w:t>
      </w:r>
      <w:r w:rsidRPr="714B8EC8" w:rsidR="3E6C9D85">
        <w:rPr>
          <w:rFonts w:ascii="Aptos" w:hAnsi="Aptos" w:eastAsia="Aptos" w:cs="Aptos"/>
          <w:b w:val="0"/>
          <w:bCs w:val="0"/>
          <w:i w:val="0"/>
          <w:iCs w:val="0"/>
          <w:caps w:val="0"/>
          <w:smallCaps w:val="0"/>
          <w:color w:val="1D2125"/>
          <w:sz w:val="24"/>
          <w:szCs w:val="24"/>
        </w:rPr>
        <w:t xml:space="preserve"> March 2026 to support my essay. </w:t>
      </w:r>
    </w:p>
    <w:p xmlns:wp14="http://schemas.microsoft.com/office/word/2010/wordml" w:rsidP="714B8EC8" wp14:paraId="53F28A8F" wp14:textId="2A7C7FFD">
      <w:pPr>
        <w:shd w:val="clear" w:color="auto" w:fill="FFFFFF" w:themeFill="background1"/>
        <w:spacing w:before="0" w:beforeAutospacing="off" w:after="240" w:afterAutospacing="off"/>
        <w:jc w:val="left"/>
        <w:rPr>
          <w:rFonts w:ascii="Aptos" w:hAnsi="Aptos" w:eastAsia="Aptos" w:cs="Aptos"/>
          <w:b w:val="0"/>
          <w:bCs w:val="0"/>
          <w:i w:val="0"/>
          <w:iCs w:val="0"/>
          <w:caps w:val="0"/>
          <w:smallCaps w:val="0"/>
          <w:color w:val="1D2125"/>
          <w:sz w:val="24"/>
          <w:szCs w:val="24"/>
        </w:rPr>
      </w:pPr>
      <w:r w:rsidRPr="714B8EC8" w:rsidR="3E6C9D85">
        <w:rPr>
          <w:rFonts w:ascii="Aptos" w:hAnsi="Aptos" w:eastAsia="Aptos" w:cs="Aptos"/>
          <w:b w:val="0"/>
          <w:bCs w:val="0"/>
          <w:i w:val="0"/>
          <w:iCs w:val="0"/>
          <w:caps w:val="0"/>
          <w:smallCaps w:val="0"/>
          <w:color w:val="1D2125"/>
          <w:sz w:val="24"/>
          <w:szCs w:val="24"/>
        </w:rPr>
        <w:t xml:space="preserve">I used the prompt(s): </w:t>
      </w:r>
    </w:p>
    <w:p xmlns:wp14="http://schemas.microsoft.com/office/word/2010/wordml" w:rsidP="714B8EC8" wp14:paraId="4A035A3F" wp14:textId="0D0313CB">
      <w:pPr>
        <w:shd w:val="clear" w:color="auto" w:fill="FFFFFF" w:themeFill="background1"/>
        <w:spacing w:before="0" w:beforeAutospacing="off" w:after="240" w:afterAutospacing="off" w:line="240" w:lineRule="auto"/>
        <w:jc w:val="left"/>
        <w:rPr>
          <w:rFonts w:ascii="Aptos" w:hAnsi="Aptos" w:eastAsia="Aptos" w:cs="Aptos"/>
          <w:b w:val="0"/>
          <w:bCs w:val="0"/>
          <w:i w:val="0"/>
          <w:iCs w:val="0"/>
          <w:caps w:val="0"/>
          <w:smallCaps w:val="0"/>
          <w:color w:val="1D2125"/>
          <w:sz w:val="24"/>
          <w:szCs w:val="24"/>
        </w:rPr>
      </w:pPr>
      <w:r w:rsidRPr="714B8EC8" w:rsidR="3E6C9D85">
        <w:rPr>
          <w:rFonts w:ascii="Aptos" w:hAnsi="Aptos" w:eastAsia="Aptos" w:cs="Aptos"/>
          <w:b w:val="0"/>
          <w:bCs w:val="0"/>
          <w:i w:val="0"/>
          <w:iCs w:val="0"/>
          <w:caps w:val="0"/>
          <w:smallCaps w:val="0"/>
          <w:color w:val="1D2125"/>
          <w:sz w:val="24"/>
          <w:szCs w:val="24"/>
        </w:rPr>
        <w:t>1. Provide some online academic links to Marxist, anti-</w:t>
      </w:r>
      <w:r w:rsidRPr="714B8EC8" w:rsidR="3E6C9D85">
        <w:rPr>
          <w:rFonts w:ascii="Aptos" w:hAnsi="Aptos" w:eastAsia="Aptos" w:cs="Aptos"/>
          <w:b w:val="0"/>
          <w:bCs w:val="0"/>
          <w:i w:val="0"/>
          <w:iCs w:val="0"/>
          <w:caps w:val="0"/>
          <w:smallCaps w:val="0"/>
          <w:color w:val="1D2125"/>
          <w:sz w:val="24"/>
          <w:szCs w:val="24"/>
        </w:rPr>
        <w:t>globalisation</w:t>
      </w:r>
      <w:r w:rsidRPr="714B8EC8" w:rsidR="3E6C9D85">
        <w:rPr>
          <w:rFonts w:ascii="Aptos" w:hAnsi="Aptos" w:eastAsia="Aptos" w:cs="Aptos"/>
          <w:b w:val="0"/>
          <w:bCs w:val="0"/>
          <w:i w:val="0"/>
          <w:iCs w:val="0"/>
          <w:caps w:val="0"/>
          <w:smallCaps w:val="0"/>
          <w:color w:val="1D2125"/>
          <w:sz w:val="24"/>
          <w:szCs w:val="24"/>
        </w:rPr>
        <w:t>, food justice critiques framework</w:t>
      </w:r>
      <w:r w:rsidRPr="714B8EC8" w:rsidR="079D4D6C">
        <w:rPr>
          <w:rFonts w:ascii="Aptos" w:hAnsi="Aptos" w:eastAsia="Aptos" w:cs="Aptos"/>
          <w:b w:val="0"/>
          <w:bCs w:val="0"/>
          <w:i w:val="0"/>
          <w:iCs w:val="0"/>
          <w:caps w:val="0"/>
          <w:smallCaps w:val="0"/>
          <w:color w:val="1D2125"/>
          <w:sz w:val="24"/>
          <w:szCs w:val="24"/>
        </w:rPr>
        <w:t xml:space="preserve"> (ChatGTP)</w:t>
      </w:r>
    </w:p>
    <w:p xmlns:wp14="http://schemas.microsoft.com/office/word/2010/wordml" w:rsidP="714B8EC8" wp14:paraId="3398935E" wp14:textId="536E38E5">
      <w:pPr>
        <w:shd w:val="clear" w:color="auto" w:fill="FFFFFF" w:themeFill="background1"/>
        <w:spacing w:before="0" w:beforeAutospacing="off" w:after="240" w:afterAutospacing="off" w:line="240" w:lineRule="auto"/>
        <w:jc w:val="left"/>
        <w:rPr>
          <w:rFonts w:ascii="Aptos" w:hAnsi="Aptos" w:eastAsia="Aptos" w:cs="Aptos"/>
          <w:b w:val="0"/>
          <w:bCs w:val="0"/>
          <w:i w:val="0"/>
          <w:iCs w:val="0"/>
          <w:caps w:val="0"/>
          <w:smallCaps w:val="0"/>
          <w:color w:val="1D2125"/>
          <w:sz w:val="24"/>
          <w:szCs w:val="24"/>
        </w:rPr>
      </w:pPr>
      <w:r w:rsidRPr="714B8EC8" w:rsidR="3E6C9D85">
        <w:rPr>
          <w:rFonts w:ascii="Aptos" w:hAnsi="Aptos" w:eastAsia="Aptos" w:cs="Aptos"/>
          <w:b w:val="0"/>
          <w:bCs w:val="0"/>
          <w:i w:val="0"/>
          <w:iCs w:val="0"/>
          <w:caps w:val="0"/>
          <w:smallCaps w:val="0"/>
          <w:color w:val="1D2125"/>
          <w:sz w:val="24"/>
          <w:szCs w:val="24"/>
        </w:rPr>
        <w:t xml:space="preserve">2. Could you check the following (text) for </w:t>
      </w:r>
      <w:r w:rsidRPr="714B8EC8" w:rsidR="08888375">
        <w:rPr>
          <w:rFonts w:ascii="Aptos" w:hAnsi="Aptos" w:eastAsia="Aptos" w:cs="Aptos"/>
          <w:b w:val="0"/>
          <w:bCs w:val="0"/>
          <w:i w:val="0"/>
          <w:iCs w:val="0"/>
          <w:caps w:val="0"/>
          <w:smallCaps w:val="0"/>
          <w:color w:val="1D2125"/>
          <w:sz w:val="24"/>
          <w:szCs w:val="24"/>
        </w:rPr>
        <w:t>grammar</w:t>
      </w:r>
      <w:r w:rsidRPr="714B8EC8" w:rsidR="3E6C9D85">
        <w:rPr>
          <w:rFonts w:ascii="Aptos" w:hAnsi="Aptos" w:eastAsia="Aptos" w:cs="Aptos"/>
          <w:b w:val="0"/>
          <w:bCs w:val="0"/>
          <w:i w:val="0"/>
          <w:iCs w:val="0"/>
          <w:caps w:val="0"/>
          <w:smallCaps w:val="0"/>
          <w:color w:val="1D2125"/>
          <w:sz w:val="24"/>
          <w:szCs w:val="24"/>
        </w:rPr>
        <w:t xml:space="preserve">, accuracy, and </w:t>
      </w:r>
      <w:r w:rsidRPr="714B8EC8" w:rsidR="58DD66DD">
        <w:rPr>
          <w:rFonts w:ascii="Aptos" w:hAnsi="Aptos" w:eastAsia="Aptos" w:cs="Aptos"/>
          <w:b w:val="0"/>
          <w:bCs w:val="0"/>
          <w:i w:val="0"/>
          <w:iCs w:val="0"/>
          <w:caps w:val="0"/>
          <w:smallCaps w:val="0"/>
          <w:color w:val="1D2125"/>
          <w:sz w:val="24"/>
          <w:szCs w:val="24"/>
        </w:rPr>
        <w:t>syntax</w:t>
      </w:r>
      <w:r w:rsidRPr="714B8EC8" w:rsidR="3E6C9D85">
        <w:rPr>
          <w:rFonts w:ascii="Aptos" w:hAnsi="Aptos" w:eastAsia="Aptos" w:cs="Aptos"/>
          <w:b w:val="0"/>
          <w:bCs w:val="0"/>
          <w:i w:val="0"/>
          <w:iCs w:val="0"/>
          <w:caps w:val="0"/>
          <w:smallCaps w:val="0"/>
          <w:color w:val="1D2125"/>
          <w:sz w:val="24"/>
          <w:szCs w:val="24"/>
        </w:rPr>
        <w:t>?</w:t>
      </w:r>
      <w:r w:rsidRPr="714B8EC8" w:rsidR="63AF3FAD">
        <w:rPr>
          <w:rFonts w:ascii="Aptos" w:hAnsi="Aptos" w:eastAsia="Aptos" w:cs="Aptos"/>
          <w:b w:val="0"/>
          <w:bCs w:val="0"/>
          <w:i w:val="0"/>
          <w:iCs w:val="0"/>
          <w:caps w:val="0"/>
          <w:smallCaps w:val="0"/>
          <w:color w:val="1D2125"/>
          <w:sz w:val="24"/>
          <w:szCs w:val="24"/>
        </w:rPr>
        <w:t xml:space="preserve"> (Claude)</w:t>
      </w:r>
    </w:p>
    <w:p xmlns:wp14="http://schemas.microsoft.com/office/word/2010/wordml" w:rsidP="10E9F3F5" wp14:paraId="56D5410C" wp14:textId="3E269088">
      <w:pPr>
        <w:shd w:val="clear" w:color="auto" w:fill="FFFFFF" w:themeFill="background1"/>
        <w:spacing w:before="0" w:beforeAutospacing="off" w:after="240" w:afterAutospacing="off" w:line="240" w:lineRule="auto"/>
        <w:jc w:val="left"/>
        <w:rPr>
          <w:rFonts w:ascii="Aptos" w:hAnsi="Aptos" w:eastAsia="Aptos" w:cs="Aptos"/>
          <w:b w:val="0"/>
          <w:bCs w:val="0"/>
          <w:i w:val="0"/>
          <w:iCs w:val="0"/>
          <w:caps w:val="0"/>
          <w:smallCaps w:val="0"/>
          <w:color w:val="1D2125"/>
          <w:sz w:val="24"/>
          <w:szCs w:val="24"/>
        </w:rPr>
      </w:pPr>
      <w:r w:rsidRPr="10E9F3F5" w:rsidR="313B713A">
        <w:rPr>
          <w:rFonts w:ascii="Aptos" w:hAnsi="Aptos" w:eastAsia="Aptos" w:cs="Aptos"/>
          <w:b w:val="0"/>
          <w:bCs w:val="0"/>
          <w:i w:val="0"/>
          <w:iCs w:val="0"/>
          <w:caps w:val="0"/>
          <w:smallCaps w:val="0"/>
          <w:color w:val="1D2125"/>
          <w:sz w:val="24"/>
          <w:szCs w:val="24"/>
        </w:rPr>
        <w:t xml:space="preserve">3. </w:t>
      </w:r>
      <w:r w:rsidRPr="10E9F3F5" w:rsidR="7694CA5E">
        <w:rPr>
          <w:rFonts w:ascii="Aptos" w:hAnsi="Aptos" w:eastAsia="Aptos" w:cs="Aptos"/>
          <w:b w:val="0"/>
          <w:bCs w:val="0"/>
          <w:i w:val="0"/>
          <w:iCs w:val="0"/>
          <w:caps w:val="0"/>
          <w:smallCaps w:val="0"/>
          <w:color w:val="1D2125"/>
          <w:sz w:val="24"/>
          <w:szCs w:val="24"/>
        </w:rPr>
        <w:t xml:space="preserve"> </w:t>
      </w:r>
      <w:r w:rsidRPr="10E9F3F5" w:rsidR="2551D158">
        <w:rPr>
          <w:rFonts w:ascii="Aptos" w:hAnsi="Aptos" w:eastAsia="Aptos" w:cs="Aptos"/>
          <w:b w:val="0"/>
          <w:bCs w:val="0"/>
          <w:i w:val="0"/>
          <w:iCs w:val="0"/>
          <w:caps w:val="0"/>
          <w:smallCaps w:val="0"/>
          <w:color w:val="1D2125"/>
          <w:sz w:val="24"/>
          <w:szCs w:val="24"/>
        </w:rPr>
        <w:t xml:space="preserve">Match the reference list to the essay </w:t>
      </w:r>
      <w:r w:rsidRPr="10E9F3F5" w:rsidR="6C9D72E1">
        <w:rPr>
          <w:rFonts w:ascii="Aptos" w:hAnsi="Aptos" w:eastAsia="Aptos" w:cs="Aptos"/>
          <w:b w:val="0"/>
          <w:bCs w:val="0"/>
          <w:i w:val="0"/>
          <w:iCs w:val="0"/>
          <w:caps w:val="0"/>
          <w:smallCaps w:val="0"/>
          <w:color w:val="1D2125"/>
          <w:sz w:val="24"/>
          <w:szCs w:val="24"/>
        </w:rPr>
        <w:t xml:space="preserve">contents </w:t>
      </w:r>
      <w:r w:rsidRPr="10E9F3F5" w:rsidR="2551D158">
        <w:rPr>
          <w:rFonts w:ascii="Aptos" w:hAnsi="Aptos" w:eastAsia="Aptos" w:cs="Aptos"/>
          <w:b w:val="0"/>
          <w:bCs w:val="0"/>
          <w:i w:val="0"/>
          <w:iCs w:val="0"/>
          <w:caps w:val="0"/>
          <w:smallCaps w:val="0"/>
          <w:color w:val="1D2125"/>
          <w:sz w:val="24"/>
          <w:szCs w:val="24"/>
        </w:rPr>
        <w:t>and place in alphabetical order (Claude)</w:t>
      </w:r>
    </w:p>
    <w:p xmlns:wp14="http://schemas.microsoft.com/office/word/2010/wordml" w:rsidP="714B8EC8" wp14:paraId="4A462F33" wp14:textId="66F17270">
      <w:pPr>
        <w:shd w:val="clear" w:color="auto" w:fill="FFFFFF" w:themeFill="background1"/>
        <w:spacing w:before="0" w:beforeAutospacing="off" w:after="240" w:afterAutospacing="off"/>
        <w:jc w:val="left"/>
        <w:rPr>
          <w:rFonts w:ascii="Aptos" w:hAnsi="Aptos" w:eastAsia="Aptos" w:cs="Aptos"/>
          <w:b w:val="0"/>
          <w:bCs w:val="0"/>
          <w:i w:val="0"/>
          <w:iCs w:val="0"/>
          <w:caps w:val="0"/>
          <w:smallCaps w:val="0"/>
          <w:color w:val="1D2125"/>
          <w:sz w:val="24"/>
          <w:szCs w:val="24"/>
        </w:rPr>
      </w:pPr>
      <w:r w:rsidRPr="714B8EC8" w:rsidR="3E6C9D85">
        <w:rPr>
          <w:rFonts w:ascii="Aptos" w:hAnsi="Aptos" w:eastAsia="Aptos" w:cs="Aptos"/>
          <w:b w:val="0"/>
          <w:bCs w:val="0"/>
          <w:i w:val="0"/>
          <w:iCs w:val="0"/>
          <w:caps w:val="0"/>
          <w:smallCaps w:val="0"/>
          <w:color w:val="1D2125"/>
          <w:sz w:val="24"/>
          <w:szCs w:val="24"/>
        </w:rPr>
        <w:t>I confirm that I have not presented any AI generated text as my own work</w:t>
      </w:r>
    </w:p>
    <w:p xmlns:wp14="http://schemas.microsoft.com/office/word/2010/wordml" w:rsidP="714B8EC8" wp14:paraId="10294D11" wp14:textId="474EEE76">
      <w:pPr>
        <w:shd w:val="clear" w:color="auto" w:fill="FFFFFF" w:themeFill="background1"/>
        <w:spacing w:before="0" w:beforeAutospacing="off" w:after="240" w:afterAutospacing="off"/>
        <w:jc w:val="left"/>
        <w:rPr>
          <w:rFonts w:ascii="Aptos" w:hAnsi="Aptos" w:eastAsia="Aptos" w:cs="Aptos"/>
          <w:b w:val="0"/>
          <w:bCs w:val="0"/>
          <w:i w:val="0"/>
          <w:iCs w:val="0"/>
          <w:caps w:val="0"/>
          <w:smallCaps w:val="0"/>
          <w:color w:val="1D2125"/>
          <w:sz w:val="24"/>
          <w:szCs w:val="24"/>
        </w:rPr>
      </w:pPr>
      <w:r w:rsidRPr="714B8EC8" w:rsidR="3E6C9D85">
        <w:rPr>
          <w:rFonts w:ascii="Aptos" w:hAnsi="Aptos" w:eastAsia="Aptos" w:cs="Aptos"/>
          <w:b w:val="0"/>
          <w:bCs w:val="0"/>
          <w:i w:val="0"/>
          <w:iCs w:val="0"/>
          <w:caps w:val="0"/>
          <w:smallCaps w:val="0"/>
          <w:color w:val="1D2125"/>
          <w:sz w:val="24"/>
          <w:szCs w:val="24"/>
        </w:rPr>
        <w:t>I confirm I have copies of my drafts, notes, and other resources I used before, and after the use of AI tools which I may be asked to provide in evidence</w:t>
      </w:r>
    </w:p>
    <w:p xmlns:wp14="http://schemas.microsoft.com/office/word/2010/wordml" w:rsidP="714B8EC8" wp14:paraId="18DB016D" wp14:textId="4E3404E7">
      <w:pPr>
        <w:spacing w:before="0" w:beforeAutospacing="off" w:after="0" w:afterAutospacing="off" w:line="360" w:lineRule="auto"/>
        <w:jc w:val="left"/>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3A586B88" wp14:textId="57C32BD9">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6AC52F5C" wp14:textId="6596F691">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369FB1D7" wp14:textId="7635E3A2">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1F62104B" wp14:textId="12A08931">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4DD4865C" wp14:textId="7B50941C">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5B2FE4BD" wp14:textId="0C11ACBC">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7FC9A2AF" wp14:textId="2577446F">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27BB3214" wp14:textId="7F42C19D">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670C4D0C" wp14:textId="32F76471">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68A5CD40" wp14:textId="2005FC7E">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643A3CFA" wp14:textId="0ADC1259">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20A24552" wp14:textId="3F6A759A">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51349000" wp14:textId="09CEFA4B">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5A20D67D" wp14:textId="3F97C4EC">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24672BB6" wp14:textId="2EABA3AF">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6CA6ACF2" wp14:textId="1062A6C0">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2AA39E94" wp14:textId="758EBAE3">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0568E38D" wp14:textId="654DED87">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661C3F9A" wp14:textId="0B865659">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p>
    <w:p xmlns:wp14="http://schemas.microsoft.com/office/word/2010/wordml" w:rsidP="714B8EC8" wp14:paraId="672D47B6" wp14:textId="02BE58A2">
      <w:pPr>
        <w:pStyle w:val="Normal"/>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b w:val="1"/>
          <w:bCs w:val="1"/>
          <w:color w:val="000000" w:themeColor="text1" w:themeTint="FF" w:themeShade="FF"/>
          <w:sz w:val="24"/>
          <w:szCs w:val="24"/>
        </w:rPr>
        <w:t>Political Influence on Inequality and Diversity</w:t>
      </w:r>
    </w:p>
    <w:p xmlns:wp14="http://schemas.microsoft.com/office/word/2010/wordml" w:rsidP="714B8EC8" wp14:paraId="7A48C862" wp14:textId="58D64FFF">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b w:val="1"/>
          <w:bCs w:val="1"/>
          <w:color w:val="000000" w:themeColor="text1" w:themeTint="FF" w:themeShade="FF"/>
          <w:sz w:val="24"/>
          <w:szCs w:val="24"/>
        </w:rPr>
        <w:t>Assessment 1:</w:t>
      </w:r>
    </w:p>
    <w:p xmlns:wp14="http://schemas.microsoft.com/office/word/2010/wordml" w:rsidP="714B8EC8" wp14:paraId="7990495A" wp14:textId="3FD920ED">
      <w:pPr>
        <w:spacing w:before="0" w:beforeAutospacing="off" w:after="0" w:afterAutospacing="off" w:line="360" w:lineRule="auto"/>
        <w:jc w:val="center"/>
        <w:rPr>
          <w:rFonts w:ascii="Aptos" w:hAnsi="Aptos" w:eastAsia="Aptos" w:cs="Aptos" w:asciiTheme="minorAscii" w:hAnsiTheme="minorAscii" w:eastAsiaTheme="minorAscii" w:cstheme="minorAscii"/>
          <w:i w:val="1"/>
          <w:iCs w:val="1"/>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i w:val="1"/>
          <w:iCs w:val="1"/>
          <w:color w:val="000000" w:themeColor="text1" w:themeTint="FF" w:themeShade="FF"/>
          <w:sz w:val="24"/>
          <w:szCs w:val="24"/>
        </w:rPr>
        <w:t>Critically reflect upon the ideological influences (drivers) on a social policy of your choosing.</w:t>
      </w:r>
    </w:p>
    <w:p xmlns:wp14="http://schemas.microsoft.com/office/word/2010/wordml" w:rsidP="714B8EC8" wp14:paraId="1083EBA3" wp14:textId="019C1D72">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449166C3" wp14:textId="0A3C2317">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42B3E474" wp14:textId="73D200F9">
      <w:pPr>
        <w:pStyle w:val="Normal"/>
        <w:rPr>
          <w:rFonts w:ascii="Aptos" w:hAnsi="Aptos" w:eastAsia="Aptos" w:cs="Aptos" w:asciiTheme="minorAscii" w:hAnsiTheme="minorAscii" w:eastAsiaTheme="minorAscii" w:cstheme="minorAscii"/>
          <w:b w:val="0"/>
          <w:bCs w:val="0"/>
          <w:strike w:val="0"/>
          <w:dstrike w:val="0"/>
          <w:color w:val="000000" w:themeColor="text1" w:themeTint="FF" w:themeShade="FF"/>
          <w:sz w:val="24"/>
          <w:szCs w:val="24"/>
          <w:u w:val="single"/>
        </w:rPr>
      </w:pPr>
      <w:r w:rsidRPr="7ACD7C2B" w:rsidR="76F230D1">
        <w:rPr>
          <w:u w:val="single"/>
        </w:rPr>
        <w:t>Introduction</w:t>
      </w:r>
    </w:p>
    <w:p xmlns:wp14="http://schemas.microsoft.com/office/word/2010/wordml" w:rsidP="7ACD7C2B" wp14:paraId="1C7B3FA6" wp14:textId="2E4D9368">
      <w:pPr>
        <w:spacing w:before="240" w:beforeAutospacing="off" w:after="240" w:afterAutospacing="off" w:line="360" w:lineRule="auto"/>
      </w:pPr>
      <w:r w:rsidRPr="7ACD7C2B" w:rsidR="48FA92C4">
        <w:rPr>
          <w:rFonts w:ascii="Aptos" w:hAnsi="Aptos" w:eastAsia="Aptos" w:cs="Aptos"/>
          <w:noProof w:val="0"/>
          <w:sz w:val="24"/>
          <w:szCs w:val="24"/>
          <w:lang w:val="en-GB"/>
        </w:rPr>
        <w:t xml:space="preserve">The UK Seasonal Workers Visa (SWV), previously known as the Seasonal Workers Pilot (SWP), is the central policy examined throughout this essay (Home Office, 2024; 2025; 2026). The SWP/SWV has undergone significant development since its introduction, yet its fundamental purpose has </w:t>
      </w:r>
      <w:r w:rsidRPr="7ACD7C2B" w:rsidR="48FA92C4">
        <w:rPr>
          <w:rFonts w:ascii="Aptos" w:hAnsi="Aptos" w:eastAsia="Aptos" w:cs="Aptos"/>
          <w:noProof w:val="0"/>
          <w:sz w:val="24"/>
          <w:szCs w:val="24"/>
          <w:lang w:val="en-GB"/>
        </w:rPr>
        <w:t>remained</w:t>
      </w:r>
      <w:r w:rsidRPr="7ACD7C2B" w:rsidR="48FA92C4">
        <w:rPr>
          <w:rFonts w:ascii="Aptos" w:hAnsi="Aptos" w:eastAsia="Aptos" w:cs="Aptos"/>
          <w:noProof w:val="0"/>
          <w:sz w:val="24"/>
          <w:szCs w:val="24"/>
          <w:lang w:val="en-GB"/>
        </w:rPr>
        <w:t xml:space="preserve"> consistent: to supply the agricultural food (agri-food) sector with temporary migrant labourers for roles such as fruit-picking and broader agricultural work. This essay critically reflects on the ideological drivers underpinning the SWP/SWV, with particular focus on neoliberal political ideology as a structuring force in its design and implementation. It will be argued that SWP/SWV policies have consistently prioritised food production, market stability, and employer needs over the rights, protection, and social inclusion of migrant workers (Alcock and </w:t>
      </w:r>
      <w:r w:rsidRPr="7ACD7C2B" w:rsidR="48FA92C4">
        <w:rPr>
          <w:rFonts w:ascii="Aptos" w:hAnsi="Aptos" w:eastAsia="Aptos" w:cs="Aptos"/>
          <w:noProof w:val="0"/>
          <w:sz w:val="24"/>
          <w:szCs w:val="24"/>
          <w:lang w:val="en-GB"/>
        </w:rPr>
        <w:t>May,</w:t>
      </w:r>
      <w:r w:rsidRPr="7ACD7C2B" w:rsidR="48FA92C4">
        <w:rPr>
          <w:rFonts w:ascii="Aptos" w:hAnsi="Aptos" w:eastAsia="Aptos" w:cs="Aptos"/>
          <w:noProof w:val="0"/>
          <w:sz w:val="24"/>
          <w:szCs w:val="24"/>
          <w:lang w:val="en-GB"/>
        </w:rPr>
        <w:t xml:space="preserve"> 2014; Anderson, 2010; Milbourne and Coulson, 2021; </w:t>
      </w:r>
      <w:r w:rsidRPr="7ACD7C2B" w:rsidR="48FA92C4">
        <w:rPr>
          <w:rFonts w:ascii="Aptos" w:hAnsi="Aptos" w:eastAsia="Aptos" w:cs="Aptos"/>
          <w:noProof w:val="0"/>
          <w:sz w:val="24"/>
          <w:szCs w:val="24"/>
          <w:lang w:val="en-GB"/>
        </w:rPr>
        <w:t>Mantouvalou</w:t>
      </w:r>
      <w:r w:rsidRPr="7ACD7C2B" w:rsidR="48FA92C4">
        <w:rPr>
          <w:rFonts w:ascii="Aptos" w:hAnsi="Aptos" w:eastAsia="Aptos" w:cs="Aptos"/>
          <w:noProof w:val="0"/>
          <w:sz w:val="24"/>
          <w:szCs w:val="24"/>
          <w:lang w:val="en-GB"/>
        </w:rPr>
        <w:t xml:space="preserve">, 2022; Chee, 2025). Although the agri-food sector relies heavily on migrant labourers who are granted only temporary residence in the UK (Home Office, 2024), there is a substantial body of research suggesting that the SWP/SWV reproduces structural inequality through insecure and potentially exploitative labour arrangements. These dynamics will be examined through the </w:t>
      </w:r>
      <w:r w:rsidRPr="7ACD7C2B" w:rsidR="7E554594">
        <w:rPr>
          <w:rFonts w:ascii="Aptos" w:hAnsi="Aptos" w:eastAsia="Aptos" w:cs="Aptos"/>
          <w:noProof w:val="0"/>
          <w:sz w:val="24"/>
          <w:szCs w:val="24"/>
          <w:lang w:val="en-GB"/>
        </w:rPr>
        <w:t>theory</w:t>
      </w:r>
      <w:r w:rsidRPr="7ACD7C2B" w:rsidR="48FA92C4">
        <w:rPr>
          <w:rFonts w:ascii="Aptos" w:hAnsi="Aptos" w:eastAsia="Aptos" w:cs="Aptos"/>
          <w:noProof w:val="0"/>
          <w:sz w:val="24"/>
          <w:szCs w:val="24"/>
          <w:lang w:val="en-GB"/>
        </w:rPr>
        <w:t xml:space="preserve"> of neoliberal ideology, which, it will be argued, consistently elevates the production of goods above the welfare of the workers who produce them (Anderson, 2010; </w:t>
      </w:r>
      <w:r w:rsidRPr="7ACD7C2B" w:rsidR="48FA92C4">
        <w:rPr>
          <w:rFonts w:ascii="Aptos" w:hAnsi="Aptos" w:eastAsia="Aptos" w:cs="Aptos"/>
          <w:noProof w:val="0"/>
          <w:sz w:val="24"/>
          <w:szCs w:val="24"/>
          <w:lang w:val="en-GB"/>
        </w:rPr>
        <w:t>Mantouvalou</w:t>
      </w:r>
      <w:r w:rsidRPr="7ACD7C2B" w:rsidR="48FA92C4">
        <w:rPr>
          <w:rFonts w:ascii="Aptos" w:hAnsi="Aptos" w:eastAsia="Aptos" w:cs="Aptos"/>
          <w:noProof w:val="0"/>
          <w:sz w:val="24"/>
          <w:szCs w:val="24"/>
          <w:lang w:val="en-GB"/>
        </w:rPr>
        <w:t>, 2023; Milbourne and Coulson, 2021).</w:t>
      </w:r>
    </w:p>
    <w:p xmlns:wp14="http://schemas.microsoft.com/office/word/2010/wordml" w:rsidP="714B8EC8" wp14:paraId="0E91E230" wp14:textId="4AF6A304">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p>
    <w:p xmlns:wp14="http://schemas.microsoft.com/office/word/2010/wordml" w:rsidP="7ACD7C2B" wp14:paraId="5A2935FC" wp14:textId="231EF267">
      <w:pPr>
        <w:pStyle w:val="Normal"/>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57621CBF" w:rsidR="76F230D1">
        <w:rPr>
          <w:rFonts w:ascii="Aptos" w:hAnsi="Aptos" w:eastAsia="Aptos" w:cs="Aptos" w:asciiTheme="minorAscii" w:hAnsiTheme="minorAscii" w:eastAsiaTheme="minorAscii" w:cstheme="minorAscii"/>
          <w:color w:val="000000" w:themeColor="text1" w:themeTint="FF" w:themeShade="FF"/>
          <w:sz w:val="24"/>
          <w:szCs w:val="24"/>
        </w:rPr>
        <w:t xml:space="preserve">Adopting a broader analytical lens, this paper explores the SWV in relation to the </w:t>
      </w:r>
      <w:r w:rsidRPr="57621CBF" w:rsidR="5CE8E202">
        <w:rPr>
          <w:rFonts w:ascii="Aptos" w:hAnsi="Aptos" w:eastAsia="Aptos" w:cs="Aptos" w:asciiTheme="minorAscii" w:hAnsiTheme="minorAscii" w:eastAsiaTheme="minorAscii" w:cstheme="minorAscii"/>
          <w:color w:val="000000" w:themeColor="text1" w:themeTint="FF" w:themeShade="FF"/>
          <w:sz w:val="24"/>
          <w:szCs w:val="24"/>
        </w:rPr>
        <w:t xml:space="preserve">claimed false </w:t>
      </w:r>
      <w:r w:rsidRPr="57621CBF" w:rsidR="76F230D1">
        <w:rPr>
          <w:rFonts w:ascii="Aptos" w:hAnsi="Aptos" w:eastAsia="Aptos" w:cs="Aptos" w:asciiTheme="minorAscii" w:hAnsiTheme="minorAscii" w:eastAsiaTheme="minorAscii" w:cstheme="minorAscii"/>
          <w:color w:val="000000" w:themeColor="text1" w:themeTint="FF" w:themeShade="FF"/>
          <w:sz w:val="24"/>
          <w:szCs w:val="24"/>
        </w:rPr>
        <w:t>narrative of a 'labour shortage', which</w:t>
      </w:r>
      <w:r w:rsidRPr="57621CBF" w:rsidR="03EE15C9">
        <w:rPr>
          <w:rFonts w:ascii="Aptos" w:hAnsi="Aptos" w:eastAsia="Aptos" w:cs="Aptos" w:asciiTheme="minorAscii" w:hAnsiTheme="minorAscii" w:eastAsiaTheme="minorAscii" w:cstheme="minorAscii"/>
          <w:color w:val="000000" w:themeColor="text1" w:themeTint="FF" w:themeShade="FF"/>
          <w:sz w:val="24"/>
          <w:szCs w:val="24"/>
        </w:rPr>
        <w:t>, it is argued,</w:t>
      </w:r>
      <w:r w:rsidRPr="57621CBF"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57621CBF" w:rsidR="76F230D1">
        <w:rPr>
          <w:rFonts w:ascii="Aptos" w:hAnsi="Aptos" w:eastAsia="Aptos" w:cs="Aptos" w:asciiTheme="minorAscii" w:hAnsiTheme="minorAscii" w:eastAsiaTheme="minorAscii" w:cstheme="minorAscii"/>
          <w:color w:val="000000" w:themeColor="text1" w:themeTint="FF" w:themeShade="FF"/>
          <w:sz w:val="24"/>
          <w:szCs w:val="24"/>
        </w:rPr>
        <w:t>functions to obscure migrant labour exploitation, particularly in the context of the UK's decision to leave the European Union</w:t>
      </w:r>
      <w:r w:rsidRPr="57621CBF" w:rsidR="20D59754">
        <w:rPr>
          <w:rFonts w:ascii="Aptos" w:hAnsi="Aptos" w:eastAsia="Aptos" w:cs="Aptos" w:asciiTheme="minorAscii" w:hAnsiTheme="minorAscii" w:eastAsiaTheme="minorAscii" w:cstheme="minorAscii"/>
          <w:color w:val="000000" w:themeColor="text1" w:themeTint="FF" w:themeShade="FF"/>
          <w:sz w:val="24"/>
          <w:szCs w:val="24"/>
        </w:rPr>
        <w:t xml:space="preserve"> (EU)</w:t>
      </w:r>
      <w:r w:rsidRPr="57621CBF" w:rsidR="76F230D1">
        <w:rPr>
          <w:rFonts w:ascii="Aptos" w:hAnsi="Aptos" w:eastAsia="Aptos" w:cs="Aptos" w:asciiTheme="minorAscii" w:hAnsiTheme="minorAscii" w:eastAsiaTheme="minorAscii" w:cstheme="minorAscii"/>
          <w:color w:val="000000" w:themeColor="text1" w:themeTint="FF" w:themeShade="FF"/>
          <w:sz w:val="24"/>
          <w:szCs w:val="24"/>
        </w:rPr>
        <w:t xml:space="preserve"> in June 2016,</w:t>
      </w:r>
      <w:r w:rsidRPr="57621CBF" w:rsidR="62717889">
        <w:rPr>
          <w:rFonts w:ascii="Aptos" w:hAnsi="Aptos" w:eastAsia="Aptos" w:cs="Aptos" w:asciiTheme="minorAscii" w:hAnsiTheme="minorAscii" w:eastAsiaTheme="minorAscii" w:cstheme="minorAscii"/>
          <w:color w:val="000000" w:themeColor="text1" w:themeTint="FF" w:themeShade="FF"/>
          <w:sz w:val="24"/>
          <w:szCs w:val="24"/>
        </w:rPr>
        <w:t xml:space="preserve"> an event</w:t>
      </w:r>
      <w:r w:rsidRPr="57621CBF"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57621CBF" w:rsidR="76F230D1">
        <w:rPr>
          <w:rFonts w:ascii="Aptos" w:hAnsi="Aptos" w:eastAsia="Aptos" w:cs="Aptos" w:asciiTheme="minorAscii" w:hAnsiTheme="minorAscii" w:eastAsiaTheme="minorAscii" w:cstheme="minorAscii"/>
          <w:color w:val="000000" w:themeColor="text1" w:themeTint="FF" w:themeShade="FF"/>
          <w:sz w:val="24"/>
          <w:szCs w:val="24"/>
        </w:rPr>
        <w:t>known as 'Brexit' (Cabinet Office, 2016) and the COVID-19 pandemic which led to a stalling of movement across borders and limited workforce and food supplies (Milbourne and Coulson, 2021). Power relations are examined through the concepts of 'dirty work' and labour market segmentation</w:t>
      </w:r>
      <w:r w:rsidRPr="57621CBF" w:rsidR="267FF799">
        <w:rPr>
          <w:rFonts w:ascii="Aptos" w:hAnsi="Aptos" w:eastAsia="Aptos" w:cs="Aptos" w:asciiTheme="minorAscii" w:hAnsiTheme="minorAscii" w:eastAsiaTheme="minorAscii" w:cstheme="minorAscii"/>
          <w:color w:val="000000" w:themeColor="text1" w:themeTint="FF" w:themeShade="FF"/>
          <w:sz w:val="24"/>
          <w:szCs w:val="24"/>
        </w:rPr>
        <w:t xml:space="preserve"> (Anderson, 2010; McCabe and Hamilton, 2015; Milbourne and Coulson, 2021)</w:t>
      </w:r>
      <w:r w:rsidRPr="57621CBF"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57621CBF" w:rsidR="466B0251">
        <w:rPr>
          <w:rFonts w:ascii="Aptos" w:hAnsi="Aptos" w:eastAsia="Aptos" w:cs="Aptos" w:asciiTheme="minorAscii" w:hAnsiTheme="minorAscii" w:eastAsiaTheme="minorAscii" w:cstheme="minorAscii"/>
          <w:color w:val="000000" w:themeColor="text1" w:themeTint="FF" w:themeShade="FF"/>
          <w:sz w:val="24"/>
          <w:szCs w:val="24"/>
        </w:rPr>
        <w:t xml:space="preserve">additionally </w:t>
      </w:r>
      <w:r w:rsidRPr="57621CBF" w:rsidR="76F230D1">
        <w:rPr>
          <w:rFonts w:ascii="Aptos" w:hAnsi="Aptos" w:eastAsia="Aptos" w:cs="Aptos" w:asciiTheme="minorAscii" w:hAnsiTheme="minorAscii" w:eastAsiaTheme="minorAscii" w:cstheme="minorAscii"/>
          <w:color w:val="000000" w:themeColor="text1" w:themeTint="FF" w:themeShade="FF"/>
          <w:sz w:val="24"/>
          <w:szCs w:val="24"/>
        </w:rPr>
        <w:t xml:space="preserve">drawing on the theoretical perspectives of Foucault (1980, cited in Chee, 2025). </w:t>
      </w:r>
      <w:r w:rsidRPr="57621CBF" w:rsidR="20A0D31B">
        <w:rPr>
          <w:rFonts w:ascii="Aptos" w:hAnsi="Aptos" w:eastAsia="Aptos" w:cs="Aptos" w:asciiTheme="minorAscii" w:hAnsiTheme="minorAscii" w:eastAsiaTheme="minorAscii" w:cstheme="minorAscii"/>
          <w:color w:val="000000" w:themeColor="text1" w:themeTint="FF" w:themeShade="FF"/>
          <w:sz w:val="24"/>
          <w:szCs w:val="24"/>
        </w:rPr>
        <w:t>Finally, n</w:t>
      </w:r>
      <w:r w:rsidRPr="57621CBF" w:rsidR="02812E4B">
        <w:rPr>
          <w:rFonts w:ascii="Aptos" w:hAnsi="Aptos" w:eastAsia="Aptos" w:cs="Aptos" w:asciiTheme="minorAscii" w:hAnsiTheme="minorAscii" w:eastAsiaTheme="minorAscii" w:cstheme="minorAscii"/>
          <w:color w:val="000000" w:themeColor="text1" w:themeTint="FF" w:themeShade="FF"/>
          <w:sz w:val="24"/>
          <w:szCs w:val="24"/>
        </w:rPr>
        <w:t>eo</w:t>
      </w:r>
      <w:r w:rsidRPr="57621CBF" w:rsidR="76F230D1">
        <w:rPr>
          <w:rFonts w:ascii="Aptos" w:hAnsi="Aptos" w:eastAsia="Aptos" w:cs="Aptos" w:asciiTheme="minorAscii" w:hAnsiTheme="minorAscii" w:eastAsiaTheme="minorAscii" w:cstheme="minorAscii"/>
          <w:color w:val="000000" w:themeColor="text1" w:themeTint="FF" w:themeShade="FF"/>
          <w:sz w:val="24"/>
          <w:szCs w:val="24"/>
        </w:rPr>
        <w:t xml:space="preserve">-Marxist food justice is </w:t>
      </w:r>
      <w:r w:rsidRPr="57621CBF" w:rsidR="2C45AABB">
        <w:rPr>
          <w:rFonts w:ascii="Aptos" w:hAnsi="Aptos" w:eastAsia="Aptos" w:cs="Aptos" w:asciiTheme="minorAscii" w:hAnsiTheme="minorAscii" w:eastAsiaTheme="minorAscii" w:cstheme="minorAscii"/>
          <w:color w:val="000000" w:themeColor="text1" w:themeTint="FF" w:themeShade="FF"/>
          <w:sz w:val="24"/>
          <w:szCs w:val="24"/>
        </w:rPr>
        <w:t>considered</w:t>
      </w:r>
      <w:r w:rsidRPr="57621CBF" w:rsidR="76F230D1">
        <w:rPr>
          <w:rFonts w:ascii="Aptos" w:hAnsi="Aptos" w:eastAsia="Aptos" w:cs="Aptos" w:asciiTheme="minorAscii" w:hAnsiTheme="minorAscii" w:eastAsiaTheme="minorAscii" w:cstheme="minorAscii"/>
          <w:color w:val="000000" w:themeColor="text1" w:themeTint="FF" w:themeShade="FF"/>
          <w:sz w:val="24"/>
          <w:szCs w:val="24"/>
        </w:rPr>
        <w:t xml:space="preserve"> as an alternative model to neoliberalism (Marx, 1867; </w:t>
      </w:r>
      <w:r w:rsidRPr="57621CBF" w:rsidR="76F230D1">
        <w:rPr>
          <w:rFonts w:ascii="Aptos" w:hAnsi="Aptos" w:eastAsia="Aptos" w:cs="Aptos" w:asciiTheme="minorAscii" w:hAnsiTheme="minorAscii" w:eastAsiaTheme="minorAscii" w:cstheme="minorAscii"/>
          <w:color w:val="000000" w:themeColor="text1" w:themeTint="FF" w:themeShade="FF"/>
          <w:sz w:val="24"/>
          <w:szCs w:val="24"/>
        </w:rPr>
        <w:t>Sbicca</w:t>
      </w:r>
      <w:r w:rsidRPr="57621CBF" w:rsidR="76F230D1">
        <w:rPr>
          <w:rFonts w:ascii="Aptos" w:hAnsi="Aptos" w:eastAsia="Aptos" w:cs="Aptos" w:asciiTheme="minorAscii" w:hAnsiTheme="minorAscii" w:eastAsiaTheme="minorAscii" w:cstheme="minorAscii"/>
          <w:color w:val="000000" w:themeColor="text1" w:themeTint="FF" w:themeShade="FF"/>
          <w:sz w:val="24"/>
          <w:szCs w:val="24"/>
        </w:rPr>
        <w:t>, 2018; Gare, 2021</w:t>
      </w:r>
      <w:r w:rsidRPr="57621CBF" w:rsidR="475133FE">
        <w:rPr>
          <w:rFonts w:ascii="Aptos" w:hAnsi="Aptos" w:eastAsia="Aptos" w:cs="Aptos" w:asciiTheme="minorAscii" w:hAnsiTheme="minorAscii" w:eastAsiaTheme="minorAscii" w:cstheme="minorAscii"/>
          <w:color w:val="000000" w:themeColor="text1" w:themeTint="FF" w:themeShade="FF"/>
          <w:sz w:val="24"/>
          <w:szCs w:val="24"/>
        </w:rPr>
        <w:t>; 2021a</w:t>
      </w:r>
      <w:r w:rsidRPr="57621CBF" w:rsidR="76F230D1">
        <w:rPr>
          <w:rFonts w:ascii="Aptos" w:hAnsi="Aptos" w:eastAsia="Aptos" w:cs="Aptos" w:asciiTheme="minorAscii" w:hAnsiTheme="minorAscii" w:eastAsiaTheme="minorAscii" w:cstheme="minorAscii"/>
          <w:color w:val="000000" w:themeColor="text1" w:themeTint="FF" w:themeShade="FF"/>
          <w:sz w:val="24"/>
          <w:szCs w:val="24"/>
        </w:rPr>
        <w:t>).</w:t>
      </w:r>
    </w:p>
    <w:p xmlns:wp14="http://schemas.microsoft.com/office/word/2010/wordml" w:rsidP="714B8EC8" wp14:paraId="270834A7" wp14:textId="5CF5D306">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1D7E2140" wp14:textId="427CCB64">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10E9F3F5" w:rsidR="76F230D1">
        <w:rPr>
          <w:rFonts w:ascii="Aptos" w:hAnsi="Aptos" w:eastAsia="Aptos" w:cs="Aptos" w:asciiTheme="minorAscii" w:hAnsiTheme="minorAscii" w:eastAsiaTheme="minorAscii" w:cstheme="minorAscii"/>
          <w:color w:val="000000" w:themeColor="text1" w:themeTint="FF" w:themeShade="FF"/>
          <w:sz w:val="24"/>
          <w:szCs w:val="24"/>
        </w:rPr>
        <w:t>For the purposes of this work, the term 'migrant' refers to workers who cross national borders for employment, regardless of length of stay. Anderson (2010) argues that migration encompasses both temporary and long-term cross-border movement.</w:t>
      </w:r>
    </w:p>
    <w:p xmlns:wp14="http://schemas.microsoft.com/office/word/2010/wordml" w:rsidP="714B8EC8" wp14:paraId="3E51A533" wp14:textId="39EAAFDB">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0B9B81C9" wp14:textId="10453BCA">
      <w:pPr>
        <w:pStyle w:val="Normal"/>
        <w:rPr>
          <w:rFonts w:ascii="Aptos" w:hAnsi="Aptos" w:eastAsia="Aptos" w:cs="Aptos" w:asciiTheme="minorAscii" w:hAnsiTheme="minorAscii" w:eastAsiaTheme="minorAscii" w:cstheme="minorAscii"/>
          <w:b w:val="0"/>
          <w:bCs w:val="0"/>
          <w:strike w:val="0"/>
          <w:dstrike w:val="0"/>
          <w:color w:val="000000" w:themeColor="text1" w:themeTint="FF" w:themeShade="FF"/>
          <w:sz w:val="24"/>
          <w:szCs w:val="24"/>
          <w:u w:val="single"/>
        </w:rPr>
      </w:pPr>
      <w:r w:rsidRPr="714B8EC8" w:rsidR="76F230D1">
        <w:rPr>
          <w:u w:val="single"/>
        </w:rPr>
        <w:t>Policy Context</w:t>
      </w:r>
    </w:p>
    <w:p xmlns:wp14="http://schemas.microsoft.com/office/word/2010/wordml" w:rsidP="10E9F3F5" wp14:paraId="1A8B0138" wp14:textId="2231F124">
      <w:pPr>
        <w:pStyle w:val="Normal"/>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According to Alcock and May (2014), social policies are embedded within broader social contexts, shaping structures of security,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rights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and responsibilities</w:t>
      </w:r>
      <w:r w:rsidRPr="7ACD7C2B" w:rsidR="0F22B1A7">
        <w:rPr>
          <w:rFonts w:ascii="Aptos" w:hAnsi="Aptos" w:eastAsia="Aptos" w:cs="Aptos" w:asciiTheme="minorAscii" w:hAnsiTheme="minorAscii" w:eastAsiaTheme="minorAscii" w:cstheme="minorAscii"/>
          <w:color w:val="000000" w:themeColor="text1" w:themeTint="FF" w:themeShade="FF"/>
          <w:sz w:val="24"/>
          <w:szCs w:val="24"/>
        </w:rPr>
        <w:t>, they argue that state decisions have consequences beyond national borders. Social policies using this view</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should therefore be analysed within a global </w:t>
      </w:r>
      <w:r w:rsidRPr="7ACD7C2B" w:rsidR="09A6D1AE">
        <w:rPr>
          <w:rFonts w:ascii="Aptos" w:hAnsi="Aptos" w:eastAsia="Aptos" w:cs="Aptos" w:asciiTheme="minorAscii" w:hAnsiTheme="minorAscii" w:eastAsiaTheme="minorAscii" w:cstheme="minorAscii"/>
          <w:color w:val="000000" w:themeColor="text1" w:themeTint="FF" w:themeShade="FF"/>
          <w:sz w:val="24"/>
          <w:szCs w:val="24"/>
        </w:rPr>
        <w:t>framework</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The SWP/SWV can be understood as a social policy</w:t>
      </w:r>
      <w:r w:rsidRPr="7ACD7C2B" w:rsidR="64A80D2A">
        <w:rPr>
          <w:rFonts w:ascii="Aptos" w:hAnsi="Aptos" w:eastAsia="Aptos" w:cs="Aptos" w:asciiTheme="minorAscii" w:hAnsiTheme="minorAscii" w:eastAsiaTheme="minorAscii" w:cstheme="minorAscii"/>
          <w:color w:val="000000" w:themeColor="text1" w:themeTint="FF" w:themeShade="FF"/>
          <w:sz w:val="24"/>
          <w:szCs w:val="24"/>
        </w:rPr>
        <w: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it regulates access to labour and conditional residence </w:t>
      </w:r>
      <w:r w:rsidRPr="7ACD7C2B" w:rsidR="76F8178F">
        <w:rPr>
          <w:rFonts w:ascii="Aptos" w:hAnsi="Aptos" w:eastAsia="Aptos" w:cs="Aptos" w:asciiTheme="minorAscii" w:hAnsiTheme="minorAscii" w:eastAsiaTheme="minorAscii" w:cstheme="minorAscii"/>
          <w:color w:val="000000" w:themeColor="text1" w:themeTint="FF" w:themeShade="FF"/>
          <w:sz w:val="24"/>
          <w:szCs w:val="24"/>
        </w:rPr>
        <w:t>however</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does not extend equivalent long-term protections or welfare entitlements such as </w:t>
      </w:r>
      <w:r w:rsidRPr="7ACD7C2B" w:rsidR="124A87EE">
        <w:rPr>
          <w:rFonts w:ascii="Aptos" w:hAnsi="Aptos" w:eastAsia="Aptos" w:cs="Aptos" w:asciiTheme="minorAscii" w:hAnsiTheme="minorAscii" w:eastAsiaTheme="minorAscii" w:cstheme="minorAscii"/>
          <w:color w:val="000000" w:themeColor="text1" w:themeTint="FF" w:themeShade="FF"/>
          <w:sz w:val="24"/>
          <w:szCs w:val="24"/>
        </w:rPr>
        <w:t xml:space="preserve">long-term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settlement, family unification, or access to public funds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Mantouvalou</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2023; Home Office, 2026).</w:t>
      </w:r>
    </w:p>
    <w:p xmlns:wp14="http://schemas.microsoft.com/office/word/2010/wordml" w:rsidP="714B8EC8" wp14:paraId="60E1EBDB" wp14:textId="36DCC3CC">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1EEE7A17" wp14:textId="626A4344">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The SWV replaced the former Seasonal Agricultural Workers Sch</w:t>
      </w:r>
      <w:r w:rsidRPr="7ACD7C2B" w:rsidR="68B7DE05">
        <w:rPr>
          <w:rFonts w:ascii="Aptos" w:hAnsi="Aptos" w:eastAsia="Aptos" w:cs="Aptos" w:asciiTheme="minorAscii" w:hAnsiTheme="minorAscii" w:eastAsiaTheme="minorAscii" w:cstheme="minorAscii"/>
          <w:color w:val="000000" w:themeColor="text1" w:themeTint="FF" w:themeShade="FF"/>
          <w:sz w:val="24"/>
          <w:szCs w:val="24"/>
        </w:rPr>
        <w:t>eme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(SAWS, 1945–2013) (HM Revenue and Customs, 2026). Following the UK's withdrawal from the European Union in 2016 (Cabinet Office, 2016), concerns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emerged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regarding</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the future supply of EU migrant labour within agriculture. Milbourne and Coulson (2021)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identify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several contributing factors: the depreciation of the pound, uncertainty surrounding migrant status and reduced freedom of movement within the EU due to Brexit. There was an increasingly hostile political climate towards migration shown by some Brexit supporters</w:t>
      </w:r>
      <w:r w:rsidRPr="7ACD7C2B" w:rsidR="579EC68B">
        <w:rPr>
          <w:rFonts w:ascii="Aptos" w:hAnsi="Aptos" w:eastAsia="Aptos" w:cs="Aptos" w:asciiTheme="minorAscii" w:hAnsiTheme="minorAscii" w:eastAsiaTheme="minorAscii" w:cstheme="minorAscii"/>
          <w:color w:val="000000" w:themeColor="text1" w:themeTint="FF" w:themeShade="FF"/>
          <w:sz w:val="24"/>
          <w:szCs w:val="24"/>
        </w:rPr>
        <w:t xml:space="preserve"> at that time,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who were in favour of excluding migrants and introducing tighter border control</w:t>
      </w:r>
      <w:r w:rsidRPr="7ACD7C2B" w:rsidR="07597232">
        <w:rPr>
          <w:rFonts w:ascii="Aptos" w:hAnsi="Aptos" w:eastAsia="Aptos" w:cs="Aptos" w:asciiTheme="minorAscii" w:hAnsiTheme="minorAscii" w:eastAsiaTheme="minorAscii" w:cstheme="minorAscii"/>
          <w:color w:val="000000" w:themeColor="text1" w:themeTint="FF" w:themeShade="FF"/>
          <w:sz w:val="24"/>
          <w:szCs w:val="24"/>
        </w:rPr>
        <w:t>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(Goodfellow, 2019).</w:t>
      </w:r>
    </w:p>
    <w:p xmlns:wp14="http://schemas.microsoft.com/office/word/2010/wordml" w:rsidP="714B8EC8" wp14:paraId="7E0213D4" wp14:textId="32DD2219">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10E9F3F5" wp14:paraId="34167534" wp14:textId="6D8867FB">
      <w:pPr>
        <w:pStyle w:val="Normal"/>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Soon after the Brexit referendum, concerns were raised</w:t>
      </w:r>
      <w:r w:rsidRPr="7ACD7C2B" w:rsidR="0BFA689D">
        <w:rPr>
          <w:rFonts w:ascii="Aptos" w:hAnsi="Aptos" w:eastAsia="Aptos" w:cs="Aptos" w:asciiTheme="minorAscii" w:hAnsiTheme="minorAscii" w:eastAsiaTheme="minorAscii" w:cstheme="minorAscii"/>
          <w:color w:val="000000" w:themeColor="text1" w:themeTint="FF" w:themeShade="FF"/>
          <w:sz w:val="24"/>
          <w:szCs w:val="24"/>
        </w:rPr>
        <w:t>, primarily</w:t>
      </w:r>
      <w:r w:rsidRPr="7ACD7C2B" w:rsidR="3EDF3D81">
        <w:rPr>
          <w:rFonts w:ascii="Aptos" w:hAnsi="Aptos" w:eastAsia="Aptos" w:cs="Aptos" w:asciiTheme="minorAscii" w:hAnsiTheme="minorAscii" w:eastAsiaTheme="minorAscii" w:cstheme="minorAscii"/>
          <w:color w:val="000000" w:themeColor="text1" w:themeTint="FF" w:themeShade="FF"/>
          <w:sz w:val="24"/>
          <w:szCs w:val="24"/>
        </w:rPr>
        <w:t xml:space="preserve"> by </w:t>
      </w:r>
      <w:r w:rsidRPr="7ACD7C2B" w:rsidR="0FBA035E">
        <w:rPr>
          <w:rFonts w:ascii="Aptos" w:hAnsi="Aptos" w:eastAsia="Aptos" w:cs="Aptos" w:asciiTheme="minorAscii" w:hAnsiTheme="minorAscii" w:eastAsiaTheme="minorAscii" w:cstheme="minorAscii"/>
          <w:color w:val="000000" w:themeColor="text1" w:themeTint="FF" w:themeShade="FF"/>
          <w:sz w:val="24"/>
          <w:szCs w:val="24"/>
        </w:rPr>
        <w:t>farm managers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regarding</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potential food insecurity due to uncertainty surrounding labour supply within agri-food production</w:t>
      </w:r>
      <w:r w:rsidRPr="7ACD7C2B" w:rsidR="7F755709">
        <w:rPr>
          <w:rFonts w:ascii="Aptos" w:hAnsi="Aptos" w:eastAsia="Aptos" w:cs="Aptos" w:asciiTheme="minorAscii" w:hAnsiTheme="minorAscii" w:eastAsiaTheme="minorAscii" w:cstheme="minorAscii"/>
          <w:color w:val="000000" w:themeColor="text1" w:themeTint="FF" w:themeShade="FF"/>
          <w:sz w:val="24"/>
          <w:szCs w:val="24"/>
        </w:rPr>
        <w:t>, t</w:t>
      </w:r>
      <w:r w:rsidRPr="7ACD7C2B" w:rsidR="76F230D1">
        <w:rPr>
          <w:rFonts w:ascii="Aptos" w:hAnsi="Aptos" w:eastAsia="Aptos" w:cs="Aptos" w:asciiTheme="minorAscii" w:hAnsiTheme="minorAscii" w:eastAsiaTheme="minorAscii" w:cstheme="minorAscii"/>
          <w:strike w:val="0"/>
          <w:dstrike w:val="0"/>
          <w:color w:val="000000" w:themeColor="text1" w:themeTint="FF" w:themeShade="FF"/>
          <w:sz w:val="24"/>
          <w:szCs w:val="24"/>
        </w:rPr>
        <w:t>he referendum</w:t>
      </w:r>
      <w:r w:rsidRPr="7ACD7C2B" w:rsidR="5C28E61F">
        <w:rPr>
          <w:rFonts w:ascii="Aptos" w:hAnsi="Aptos" w:eastAsia="Aptos" w:cs="Aptos" w:asciiTheme="minorAscii" w:hAnsiTheme="minorAscii" w:eastAsiaTheme="minorAscii" w:cstheme="minorAscii"/>
          <w:strike w:val="0"/>
          <w:dstrike w:val="0"/>
          <w:color w:val="000000" w:themeColor="text1" w:themeTint="FF" w:themeShade="FF"/>
          <w:sz w:val="24"/>
          <w:szCs w:val="24"/>
        </w:rPr>
        <w:t xml:space="preserve"> was claimed to have</w:t>
      </w:r>
      <w:r w:rsidRPr="7ACD7C2B" w:rsidR="76F230D1">
        <w:rPr>
          <w:rFonts w:ascii="Aptos" w:hAnsi="Aptos" w:eastAsia="Aptos" w:cs="Aptos" w:asciiTheme="minorAscii" w:hAnsiTheme="minorAscii" w:eastAsiaTheme="minorAscii" w:cstheme="minorAscii"/>
          <w:strike w:val="0"/>
          <w:dstrike w:val="0"/>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strike w:val="0"/>
          <w:dstrike w:val="0"/>
          <w:color w:val="000000" w:themeColor="text1" w:themeTint="FF" w:themeShade="FF"/>
          <w:sz w:val="24"/>
          <w:szCs w:val="24"/>
        </w:rPr>
        <w:t xml:space="preserve">occurred without proper forward planning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(Clutterbuck, 2017)</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09BCC422">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Milbourne and Coulson (2021) emphasise that </w:t>
      </w:r>
      <w:r w:rsidRPr="7ACD7C2B" w:rsidR="42712272">
        <w:rPr>
          <w:rFonts w:ascii="Aptos" w:hAnsi="Aptos" w:eastAsia="Aptos" w:cs="Aptos" w:asciiTheme="minorAscii" w:hAnsiTheme="minorAscii" w:eastAsiaTheme="minorAscii" w:cstheme="minorAscii"/>
          <w:color w:val="000000" w:themeColor="text1" w:themeTint="FF" w:themeShade="FF"/>
          <w:sz w:val="24"/>
          <w:szCs w:val="24"/>
        </w:rPr>
        <w:t>production</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concerns were </w:t>
      </w:r>
      <w:r w:rsidRPr="7ACD7C2B" w:rsidR="4B72FE4C">
        <w:rPr>
          <w:rFonts w:ascii="Aptos" w:hAnsi="Aptos" w:eastAsia="Aptos" w:cs="Aptos" w:asciiTheme="minorAscii" w:hAnsiTheme="minorAscii" w:eastAsiaTheme="minorAscii" w:cstheme="minorAscii"/>
          <w:color w:val="000000" w:themeColor="text1" w:themeTint="FF" w:themeShade="FF"/>
          <w:sz w:val="24"/>
          <w:szCs w:val="24"/>
        </w:rPr>
        <w:t xml:space="preserve">chiefly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driven by agricultural employers, growers and food suppliers who warned of impending labour shortages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Industry bodies argued that without continued access to migrant labour, domestic food production would be jeopardised (National Farmers Union, [NFU], 2025).</w:t>
      </w:r>
      <w:r w:rsidRPr="7ACD7C2B" w:rsidR="13781F60">
        <w:rPr>
          <w:rFonts w:ascii="Aptos" w:hAnsi="Aptos" w:eastAsia="Aptos" w:cs="Aptos" w:asciiTheme="minorAscii" w:hAnsiTheme="minorAscii" w:eastAsiaTheme="minorAscii" w:cstheme="minorAscii"/>
          <w:color w:val="000000" w:themeColor="text1" w:themeTint="FF" w:themeShade="FF"/>
          <w:sz w:val="24"/>
          <w:szCs w:val="24"/>
        </w:rPr>
        <w:t xml:space="preserve"> In contradiction, critics challenge the framing of a 'labour shortage', suggesting that the issue was less an absence of workers and more a reluctance among UK residents to accept low-paid, insecure and physically demanding agri</w:t>
      </w:r>
      <w:r w:rsidRPr="7ACD7C2B" w:rsidR="5B286441">
        <w:rPr>
          <w:rFonts w:ascii="Aptos" w:hAnsi="Aptos" w:eastAsia="Aptos" w:cs="Aptos" w:asciiTheme="minorAscii" w:hAnsiTheme="minorAscii" w:eastAsiaTheme="minorAscii" w:cstheme="minorAscii"/>
          <w:color w:val="000000" w:themeColor="text1" w:themeTint="FF" w:themeShade="FF"/>
          <w:sz w:val="24"/>
          <w:szCs w:val="24"/>
        </w:rPr>
        <w:t>-</w:t>
      </w:r>
      <w:r w:rsidRPr="7ACD7C2B" w:rsidR="13781F60">
        <w:rPr>
          <w:rFonts w:ascii="Aptos" w:hAnsi="Aptos" w:eastAsia="Aptos" w:cs="Aptos" w:asciiTheme="minorAscii" w:hAnsiTheme="minorAscii" w:eastAsiaTheme="minorAscii" w:cstheme="minorAscii"/>
          <w:color w:val="000000" w:themeColor="text1" w:themeTint="FF" w:themeShade="FF"/>
          <w:sz w:val="24"/>
          <w:szCs w:val="24"/>
        </w:rPr>
        <w:t xml:space="preserve">work (Anderson, 2010; Milbourne and Coulson, 2021; </w:t>
      </w:r>
      <w:r w:rsidRPr="7ACD7C2B" w:rsidR="13781F60">
        <w:rPr>
          <w:rFonts w:ascii="Aptos" w:hAnsi="Aptos" w:eastAsia="Aptos" w:cs="Aptos" w:asciiTheme="minorAscii" w:hAnsiTheme="minorAscii" w:eastAsiaTheme="minorAscii" w:cstheme="minorAscii"/>
          <w:color w:val="000000" w:themeColor="text1" w:themeTint="FF" w:themeShade="FF"/>
          <w:sz w:val="24"/>
          <w:szCs w:val="24"/>
        </w:rPr>
        <w:t>Mantouvalou</w:t>
      </w:r>
      <w:r w:rsidRPr="7ACD7C2B" w:rsidR="13781F60">
        <w:rPr>
          <w:rFonts w:ascii="Aptos" w:hAnsi="Aptos" w:eastAsia="Aptos" w:cs="Aptos" w:asciiTheme="minorAscii" w:hAnsiTheme="minorAscii" w:eastAsiaTheme="minorAscii" w:cstheme="minorAscii"/>
          <w:color w:val="000000" w:themeColor="text1" w:themeTint="FF" w:themeShade="FF"/>
          <w:sz w:val="24"/>
          <w:szCs w:val="24"/>
        </w:rPr>
        <w:t>, 2023). From this perspective, the labour shortage narrative functions politically to legitimise the continued recruitment of temporary, cheap, flexible migrant labour while avoiding positive structural reform of wages and working conditions (Scott, 2013).</w:t>
      </w:r>
      <w:r w:rsidRPr="7ACD7C2B" w:rsidR="00FDA356">
        <w:rPr>
          <w:rFonts w:ascii="Aptos" w:hAnsi="Aptos" w:eastAsia="Aptos" w:cs="Aptos" w:asciiTheme="minorAscii" w:hAnsiTheme="minorAscii" w:eastAsiaTheme="minorAscii" w:cstheme="minorAscii"/>
          <w:color w:val="000000" w:themeColor="text1" w:themeTint="FF" w:themeShade="FF"/>
          <w:sz w:val="24"/>
          <w:szCs w:val="24"/>
        </w:rPr>
        <w:t xml:space="preserve"> However, i</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n response to </w:t>
      </w:r>
      <w:r w:rsidRPr="7ACD7C2B" w:rsidR="79CDD9BB">
        <w:rPr>
          <w:rFonts w:ascii="Aptos" w:hAnsi="Aptos" w:eastAsia="Aptos" w:cs="Aptos" w:asciiTheme="minorAscii" w:hAnsiTheme="minorAscii" w:eastAsiaTheme="minorAscii" w:cstheme="minorAscii"/>
          <w:color w:val="000000" w:themeColor="text1" w:themeTint="FF" w:themeShade="FF"/>
          <w:sz w:val="24"/>
          <w:szCs w:val="24"/>
        </w:rPr>
        <w:t>agri</w:t>
      </w:r>
      <w:r w:rsidRPr="7ACD7C2B" w:rsidR="79CDD9BB">
        <w:rPr>
          <w:rFonts w:ascii="Aptos" w:hAnsi="Aptos" w:eastAsia="Aptos" w:cs="Aptos" w:asciiTheme="minorAscii" w:hAnsiTheme="minorAscii" w:eastAsiaTheme="minorAscii" w:cstheme="minorAscii"/>
          <w:color w:val="000000" w:themeColor="text1" w:themeTint="FF" w:themeShade="FF"/>
          <w:sz w:val="24"/>
          <w:szCs w:val="24"/>
        </w:rPr>
        <w:t>-sector</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lobbying, the government introduced the SWP in 2019, which expanded rapidly from 2020 and was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subsequently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formalised as the SWV</w:t>
      </w:r>
      <w:r w:rsidRPr="7ACD7C2B" w:rsidR="4194B3B7">
        <w:rPr>
          <w:rFonts w:ascii="Aptos" w:hAnsi="Aptos" w:eastAsia="Aptos" w:cs="Aptos" w:asciiTheme="minorAscii" w:hAnsiTheme="minorAscii" w:eastAsiaTheme="minorAscii" w:cstheme="minorAscii"/>
          <w:color w:val="000000" w:themeColor="text1" w:themeTint="FF" w:themeShade="FF"/>
          <w:sz w:val="24"/>
          <w:szCs w:val="24"/>
        </w:rPr>
        <w:t xml:space="preserve"> program</w:t>
      </w:r>
      <w:r w:rsidRPr="7ACD7C2B" w:rsidR="13100978">
        <w:rPr>
          <w:rFonts w:ascii="Aptos" w:hAnsi="Aptos" w:eastAsia="Aptos" w:cs="Aptos" w:asciiTheme="minorAscii" w:hAnsiTheme="minorAscii" w:eastAsiaTheme="minorAscii" w:cstheme="minorAscii"/>
          <w:color w:val="000000" w:themeColor="text1" w:themeTint="FF" w:themeShade="FF"/>
          <w:sz w:val="24"/>
          <w:szCs w:val="24"/>
        </w:rPr>
        <w:t xml:space="preserve"> in 2021 (Home Office, 2025)</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The scheme is currently scheduled to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operate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until at least 2029 (Home Office, 2024).</w:t>
      </w:r>
      <w:r w:rsidRPr="7ACD7C2B" w:rsidR="2D717DEA">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052C692D" wp14:textId="1B8EB854">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3A9BC5D5" wp14:textId="449C723D">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The main features of the </w:t>
      </w:r>
      <w:r w:rsidRPr="7ACD7C2B" w:rsidR="7B8D13A1">
        <w:rPr>
          <w:rFonts w:ascii="Aptos" w:hAnsi="Aptos" w:eastAsia="Aptos" w:cs="Aptos" w:asciiTheme="minorAscii" w:hAnsiTheme="minorAscii" w:eastAsiaTheme="minorAscii" w:cstheme="minorAscii"/>
          <w:color w:val="000000" w:themeColor="text1" w:themeTint="FF" w:themeShade="FF"/>
          <w:sz w:val="24"/>
          <w:szCs w:val="24"/>
        </w:rPr>
        <w:t>SWV policy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include</w:t>
      </w:r>
      <w:r w:rsidRPr="7ACD7C2B" w:rsidR="0AECD70C">
        <w:rPr>
          <w:rFonts w:ascii="Aptos" w:hAnsi="Aptos" w:eastAsia="Aptos" w:cs="Aptos" w:asciiTheme="minorAscii" w:hAnsiTheme="minorAscii" w:eastAsiaTheme="minorAscii" w:cstheme="minorAscii"/>
          <w:color w:val="000000" w:themeColor="text1" w:themeTint="FF" w:themeShade="FF"/>
          <w:sz w:val="24"/>
          <w:szCs w:val="24"/>
        </w:rPr>
        <w:t>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sponsorship by a licensed operator or farm; a requirement to demonstrate £1,270 in personal savings; a visa fee of £318; permission to work in the UK for up to six months; prohibition on secondary employment; </w:t>
      </w:r>
      <w:r w:rsidRPr="7ACD7C2B" w:rsidR="4A37F226">
        <w:rPr>
          <w:rFonts w:ascii="Aptos" w:hAnsi="Aptos" w:eastAsia="Aptos" w:cs="Aptos" w:asciiTheme="minorAscii" w:hAnsiTheme="minorAscii" w:eastAsiaTheme="minorAscii" w:cstheme="minorAscii"/>
          <w:color w:val="000000" w:themeColor="text1" w:themeTint="FF" w:themeShade="FF"/>
          <w:sz w:val="24"/>
          <w:szCs w:val="24"/>
        </w:rPr>
        <w:t xml:space="preserve">but </w:t>
      </w:r>
      <w:r w:rsidRPr="7ACD7C2B" w:rsidR="6D961521">
        <w:rPr>
          <w:rFonts w:ascii="Aptos" w:hAnsi="Aptos" w:eastAsia="Aptos" w:cs="Aptos" w:asciiTheme="minorAscii" w:hAnsiTheme="minorAscii" w:eastAsiaTheme="minorAscii" w:cstheme="minorAscii"/>
          <w:color w:val="000000" w:themeColor="text1" w:themeTint="FF" w:themeShade="FF"/>
          <w:sz w:val="24"/>
          <w:szCs w:val="24"/>
        </w:rPr>
        <w:t xml:space="preserve">there are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no access to public funds; and no right to bring dependants (Home Office, 2026a).</w:t>
      </w:r>
      <w:r w:rsidRPr="7ACD7C2B" w:rsidR="76F230D1">
        <w:rPr>
          <w:rFonts w:ascii="Aptos" w:hAnsi="Aptos" w:eastAsia="Aptos" w:cs="Aptos" w:asciiTheme="minorAscii" w:hAnsiTheme="minorAscii" w:eastAsiaTheme="minorAscii" w:cstheme="minorAscii"/>
          <w:i w:val="1"/>
          <w:iCs w:val="1"/>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These conditions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introduce</w:t>
      </w:r>
      <w:r w:rsidRPr="7ACD7C2B" w:rsidR="76F230D1">
        <w:rPr>
          <w:rFonts w:ascii="Aptos" w:hAnsi="Aptos" w:eastAsia="Aptos" w:cs="Aptos" w:asciiTheme="minorAscii" w:hAnsiTheme="minorAscii" w:eastAsiaTheme="minorAscii" w:cstheme="minorAscii"/>
          <w:i w:val="1"/>
          <w:iCs w:val="1"/>
          <w:color w:val="000000" w:themeColor="text1" w:themeTint="FF" w:themeShade="FF"/>
          <w:sz w:val="24"/>
          <w:szCs w:val="24"/>
          <w:u w:val="none"/>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 xml:space="preserve">significant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restrictions</w:t>
      </w:r>
      <w:r w:rsidRPr="7ACD7C2B" w:rsidR="76F230D1">
        <w:rPr>
          <w:rFonts w:ascii="Aptos" w:hAnsi="Aptos" w:eastAsia="Aptos" w:cs="Aptos" w:asciiTheme="minorAscii" w:hAnsiTheme="minorAscii" w:eastAsiaTheme="minorAscii" w:cstheme="minorAscii"/>
          <w:i w:val="1"/>
          <w:iCs w:val="1"/>
          <w:color w:val="000000" w:themeColor="text1" w:themeTint="FF" w:themeShade="FF"/>
          <w:sz w:val="24"/>
          <w:szCs w:val="24"/>
          <w:u w:val="none"/>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on both economic mobility and social integration for migrant workers, reinforcing the temporary and conditional nature of migrant labour in the agri-food sector (Anderson, 2010; Goodfellow, 2019).</w:t>
      </w:r>
    </w:p>
    <w:p xmlns:wp14="http://schemas.microsoft.com/office/word/2010/wordml" w:rsidP="714B8EC8" wp14:paraId="32E5410B" wp14:textId="72AA7C44">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u w:val="single"/>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2D54A099" wp14:textId="5A9C7C7E">
      <w:pPr>
        <w:pStyle w:val="Normal"/>
        <w:rPr>
          <w:rFonts w:ascii="Aptos" w:hAnsi="Aptos" w:eastAsia="Aptos" w:cs="Aptos" w:asciiTheme="minorAscii" w:hAnsiTheme="minorAscii" w:eastAsiaTheme="minorAscii" w:cstheme="minorAscii"/>
          <w:b w:val="0"/>
          <w:bCs w:val="0"/>
          <w:strike w:val="0"/>
          <w:dstrike w:val="0"/>
          <w:color w:val="000000" w:themeColor="text1" w:themeTint="FF" w:themeShade="FF"/>
          <w:sz w:val="24"/>
          <w:szCs w:val="24"/>
          <w:u w:val="single"/>
        </w:rPr>
      </w:pPr>
      <w:r w:rsidRPr="714B8EC8" w:rsidR="76F230D1">
        <w:rPr>
          <w:u w:val="single"/>
        </w:rPr>
        <w:t>Brexit and Structural Change</w:t>
      </w:r>
    </w:p>
    <w:p xmlns:wp14="http://schemas.microsoft.com/office/word/2010/wordml" w:rsidP="714B8EC8" wp14:paraId="4E2C71B2" wp14:textId="76E5E55C">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Brexit marked the end of EU free movement and introduced significant structural changes affecting migrant workers (Home Office, 2025). Prior to 2016, EU workers could leave seasonal employment if dissatisfied with conditions or exit the sector altogether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Mantouvalou</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2023). The introduction of the SWP in 2019 replaced this flexibility with temporary, employer-sponsored contracts (Home Office, 2024; 2025). The labour rights organisation Focus on Labour Exploitation (FLEX) raised concerns that the new policy framework increased structural risks for seasonal workers, particularly through visa-dependence on employers (FLEX, 2021). These concerns were amplified by the rapid expansion of the scheme: 2,500 visas were issued in 2019, rising to 10,000 in 2020 and</w:t>
      </w:r>
      <w:r w:rsidRPr="7ACD7C2B" w:rsidR="7FEBA862">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D570D49">
        <w:rPr>
          <w:rFonts w:ascii="Aptos" w:hAnsi="Aptos" w:eastAsia="Aptos" w:cs="Aptos" w:asciiTheme="minorAscii" w:hAnsiTheme="minorAscii" w:eastAsiaTheme="minorAscii" w:cstheme="minorAscii"/>
          <w:color w:val="000000" w:themeColor="text1" w:themeTint="FF" w:themeShade="FF"/>
          <w:sz w:val="24"/>
          <w:szCs w:val="24"/>
        </w:rPr>
        <w:t xml:space="preserve">is </w:t>
      </w:r>
      <w:r w:rsidRPr="7ACD7C2B" w:rsidR="7FEBA862">
        <w:rPr>
          <w:rFonts w:ascii="Aptos" w:hAnsi="Aptos" w:eastAsia="Aptos" w:cs="Aptos" w:asciiTheme="minorAscii" w:hAnsiTheme="minorAscii" w:eastAsiaTheme="minorAscii" w:cstheme="minorAscii"/>
          <w:color w:val="000000" w:themeColor="text1" w:themeTint="FF" w:themeShade="FF"/>
          <w:sz w:val="24"/>
          <w:szCs w:val="24"/>
        </w:rPr>
        <w:t>currently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1CE739C7">
        <w:rPr>
          <w:rFonts w:ascii="Aptos" w:hAnsi="Aptos" w:eastAsia="Aptos" w:cs="Aptos" w:asciiTheme="minorAscii" w:hAnsiTheme="minorAscii" w:eastAsiaTheme="minorAscii" w:cstheme="minorAscii"/>
          <w:color w:val="000000" w:themeColor="text1" w:themeTint="FF" w:themeShade="FF"/>
          <w:sz w:val="24"/>
          <w:szCs w:val="24"/>
        </w:rPr>
        <w:t>at</w:t>
      </w:r>
      <w:r w:rsidRPr="7ACD7C2B" w:rsidR="2D798907">
        <w:rPr>
          <w:rFonts w:ascii="Aptos" w:hAnsi="Aptos" w:eastAsia="Aptos" w:cs="Aptos" w:asciiTheme="minorAscii" w:hAnsiTheme="minorAscii" w:eastAsiaTheme="minorAscii" w:cstheme="minorAscii"/>
          <w:color w:val="000000" w:themeColor="text1" w:themeTint="FF" w:themeShade="FF"/>
          <w:sz w:val="24"/>
          <w:szCs w:val="24"/>
        </w:rPr>
        <w:t xml:space="preserve"> around 45,000</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(Home Office, 2024).</w:t>
      </w:r>
    </w:p>
    <w:p xmlns:wp14="http://schemas.microsoft.com/office/word/2010/wordml" w:rsidP="714B8EC8" wp14:paraId="6128D5EA" wp14:textId="0F54648B">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60E44D0B" wp14:textId="4A1C5BB4">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Although the Equality Act 2010 protects workers from discrimination in employment (Equality and Human Rights Commission, 2019), the FLEX (2021) report highlighted several risks associated with the SWP, including vulnerability to trafficking and forced labour, employer dependency created by tied visas, lack of wage transparency (including piece-rate systems), and unsafe employer-controlled accommodation. The report warned that the scheme created structural risks that predisposed workers to exploitation ma</w:t>
      </w:r>
      <w:r w:rsidRPr="7ACD7C2B" w:rsidR="3E6E36A9">
        <w:rPr>
          <w:rFonts w:ascii="Aptos" w:hAnsi="Aptos" w:eastAsia="Aptos" w:cs="Aptos" w:asciiTheme="minorAscii" w:hAnsiTheme="minorAscii" w:eastAsiaTheme="minorAscii" w:cstheme="minorAscii"/>
          <w:color w:val="000000" w:themeColor="text1" w:themeTint="FF" w:themeShade="FF"/>
          <w:sz w:val="24"/>
          <w:szCs w:val="24"/>
        </w:rPr>
        <w:t>king</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recommendations including improved access to translation services, clearer grievance procedures, guaranteed income protections, regular welfare reviews, and increased workplace inspections that aimed to counteract gaps that increased workers' vulnerability.</w:t>
      </w:r>
    </w:p>
    <w:p xmlns:wp14="http://schemas.microsoft.com/office/word/2010/wordml" w:rsidP="714B8EC8" wp14:paraId="5EB36356" wp14:textId="1A51684C">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ACD7C2B" wp14:paraId="2E579500" wp14:textId="01523046">
      <w:pPr>
        <w:spacing w:before="0" w:beforeAutospacing="off" w:after="0" w:afterAutospacing="off" w:line="360" w:lineRule="auto"/>
        <w:rPr>
          <w:rFonts w:ascii="Aptos" w:hAnsi="Aptos" w:eastAsia="Aptos" w:cs="Aptos" w:asciiTheme="minorAscii" w:hAnsiTheme="minorAscii" w:eastAsiaTheme="minorAscii" w:cstheme="minorAscii"/>
          <w:i w:val="1"/>
          <w:iCs w:val="1"/>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Critics argue that the SWP/SWV operates primarily to meet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employer</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and market demands while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maintaining</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tight control over migrant labour (Davies, 2018; Dodds, 2025; Mellino,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Pangeni</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and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Boutaud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2023; Mellino and Chapman, 2023)</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10D9B8D3">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Palumbo (2024) describes the 'situational vulnerability' of seasonal migrant workers, emphasising how limited rights, rural isolation, restricted access to family and public funds, and dependence on a single employer heighten exploitation risks. Whilst visa conditions themselves may be lawful, actions reported </w:t>
      </w:r>
      <w:r w:rsidRPr="7ACD7C2B" w:rsidR="44BF23C5">
        <w:rPr>
          <w:rFonts w:ascii="Aptos" w:hAnsi="Aptos" w:eastAsia="Aptos" w:cs="Aptos" w:asciiTheme="minorAscii" w:hAnsiTheme="minorAscii" w:eastAsiaTheme="minorAscii" w:cstheme="minorAscii"/>
          <w:color w:val="000000" w:themeColor="text1" w:themeTint="FF" w:themeShade="FF"/>
          <w:sz w:val="24"/>
          <w:szCs w:val="24"/>
        </w:rPr>
        <w:t>by independent reports such as FLEX (2021)</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contradict the Equality Act, 2010 (Equality and Human Rights Commission, 2019)</w:t>
      </w:r>
      <w:r w:rsidRPr="7ACD7C2B" w:rsidR="22DA8065">
        <w:rPr>
          <w:rFonts w:ascii="Aptos" w:hAnsi="Aptos" w:eastAsia="Aptos" w:cs="Aptos" w:asciiTheme="minorAscii" w:hAnsiTheme="minorAscii" w:eastAsiaTheme="minorAscii" w:cstheme="minorAscii"/>
          <w:color w:val="000000" w:themeColor="text1" w:themeTint="FF" w:themeShade="FF"/>
          <w:sz w:val="24"/>
          <w:szCs w:val="24"/>
        </w:rPr>
        <w:t>. C</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ritics </w:t>
      </w:r>
      <w:r w:rsidRPr="7ACD7C2B" w:rsidR="7FB9863B">
        <w:rPr>
          <w:rFonts w:ascii="Aptos" w:hAnsi="Aptos" w:eastAsia="Aptos" w:cs="Aptos" w:asciiTheme="minorAscii" w:hAnsiTheme="minorAscii" w:eastAsiaTheme="minorAscii" w:cstheme="minorAscii"/>
          <w:color w:val="000000" w:themeColor="text1" w:themeTint="FF" w:themeShade="FF"/>
          <w:sz w:val="24"/>
          <w:szCs w:val="24"/>
        </w:rPr>
        <w:t xml:space="preserve">further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claim that the </w:t>
      </w:r>
      <w:r w:rsidRPr="7ACD7C2B" w:rsidR="1A3F9A88">
        <w:rPr>
          <w:rFonts w:ascii="Aptos" w:hAnsi="Aptos" w:eastAsia="Aptos" w:cs="Aptos" w:asciiTheme="minorAscii" w:hAnsiTheme="minorAscii" w:eastAsiaTheme="minorAscii" w:cstheme="minorAscii"/>
          <w:color w:val="000000" w:themeColor="text1" w:themeTint="FF" w:themeShade="FF"/>
          <w:sz w:val="24"/>
          <w:szCs w:val="24"/>
        </w:rPr>
        <w:t>structure that the policy exists in</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is detrimental to migrant workers,</w:t>
      </w:r>
      <w:r w:rsidRPr="7ACD7C2B" w:rsidR="4C428659">
        <w:rPr>
          <w:rFonts w:ascii="Aptos" w:hAnsi="Aptos" w:eastAsia="Aptos" w:cs="Aptos" w:asciiTheme="minorAscii" w:hAnsiTheme="minorAscii" w:eastAsiaTheme="minorAscii" w:cstheme="minorAscii"/>
          <w:color w:val="000000" w:themeColor="text1" w:themeTint="FF" w:themeShade="FF"/>
          <w:sz w:val="24"/>
          <w:szCs w:val="24"/>
        </w:rPr>
        <w:t xml:space="preserve"> socially and politically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5629036C">
        <w:rPr>
          <w:rFonts w:ascii="Aptos" w:hAnsi="Aptos" w:eastAsia="Aptos" w:cs="Aptos" w:asciiTheme="minorAscii" w:hAnsiTheme="minorAscii" w:eastAsiaTheme="minorAscii" w:cstheme="minorAscii"/>
          <w:color w:val="000000" w:themeColor="text1" w:themeTint="FF" w:themeShade="FF"/>
          <w:sz w:val="24"/>
          <w:szCs w:val="24"/>
        </w:rPr>
        <w:t xml:space="preserve">creating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exclu</w:t>
      </w:r>
      <w:r w:rsidRPr="7ACD7C2B" w:rsidR="26F58364">
        <w:rPr>
          <w:rFonts w:ascii="Aptos" w:hAnsi="Aptos" w:eastAsia="Aptos" w:cs="Aptos" w:asciiTheme="minorAscii" w:hAnsiTheme="minorAscii" w:eastAsiaTheme="minorAscii" w:cstheme="minorAscii"/>
          <w:color w:val="000000" w:themeColor="text1" w:themeTint="FF" w:themeShade="FF"/>
          <w:sz w:val="24"/>
          <w:szCs w:val="24"/>
        </w:rPr>
        <w:t>sion</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600F3694">
        <w:rPr>
          <w:rFonts w:ascii="Aptos" w:hAnsi="Aptos" w:eastAsia="Aptos" w:cs="Aptos" w:asciiTheme="minorAscii" w:hAnsiTheme="minorAscii" w:eastAsiaTheme="minorAscii" w:cstheme="minorAscii"/>
          <w:color w:val="000000" w:themeColor="text1" w:themeTint="FF" w:themeShade="FF"/>
          <w:sz w:val="24"/>
          <w:szCs w:val="24"/>
        </w:rPr>
        <w:t>due to</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their status</w:t>
      </w:r>
      <w:r w:rsidRPr="7ACD7C2B" w:rsidR="67BC9286">
        <w:rPr>
          <w:rFonts w:ascii="Aptos" w:hAnsi="Aptos" w:eastAsia="Aptos" w:cs="Aptos" w:asciiTheme="minorAscii" w:hAnsiTheme="minorAscii" w:eastAsiaTheme="minorAscii" w:cstheme="minorAscii"/>
          <w:color w:val="000000" w:themeColor="text1" w:themeTint="FF" w:themeShade="FF"/>
          <w:sz w:val="24"/>
          <w:szCs w:val="24"/>
        </w:rPr>
        <w: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nationality</w:t>
      </w:r>
      <w:r w:rsidRPr="7ACD7C2B" w:rsidR="4C61AAC8">
        <w:rPr>
          <w:rFonts w:ascii="Aptos" w:hAnsi="Aptos" w:eastAsia="Aptos" w:cs="Aptos" w:asciiTheme="minorAscii" w:hAnsiTheme="minorAscii" w:eastAsiaTheme="minorAscii" w:cstheme="minorAscii"/>
          <w:color w:val="000000" w:themeColor="text1" w:themeTint="FF" w:themeShade="FF"/>
          <w:sz w:val="24"/>
          <w:szCs w:val="24"/>
        </w:rPr>
        <w:t xml:space="preserve"> and</w:t>
      </w:r>
      <w:r w:rsidRPr="7ACD7C2B" w:rsidR="39AFE588">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23DABC83">
        <w:rPr>
          <w:rFonts w:ascii="Aptos" w:hAnsi="Aptos" w:eastAsia="Aptos" w:cs="Aptos" w:asciiTheme="minorAscii" w:hAnsiTheme="minorAscii" w:eastAsiaTheme="minorAscii" w:cstheme="minorAscii"/>
          <w:color w:val="000000" w:themeColor="text1" w:themeTint="FF" w:themeShade="FF"/>
          <w:sz w:val="24"/>
          <w:szCs w:val="24"/>
        </w:rPr>
        <w:t xml:space="preserve">social </w:t>
      </w:r>
      <w:r w:rsidRPr="7ACD7C2B" w:rsidR="4E7054BD">
        <w:rPr>
          <w:rFonts w:ascii="Aptos" w:hAnsi="Aptos" w:eastAsia="Aptos" w:cs="Aptos" w:asciiTheme="minorAscii" w:hAnsiTheme="minorAscii" w:eastAsiaTheme="minorAscii" w:cstheme="minorAscii"/>
          <w:color w:val="000000" w:themeColor="text1" w:themeTint="FF" w:themeShade="FF"/>
          <w:sz w:val="24"/>
          <w:szCs w:val="24"/>
        </w:rPr>
        <w:t>position</w:t>
      </w:r>
      <w:r w:rsidRPr="7ACD7C2B" w:rsidR="282385AD">
        <w:rPr>
          <w:rFonts w:ascii="Aptos" w:hAnsi="Aptos" w:eastAsia="Aptos" w:cs="Aptos" w:asciiTheme="minorAscii" w:hAnsiTheme="minorAscii" w:eastAsiaTheme="minorAscii" w:cstheme="minorAscii"/>
          <w:color w:val="000000" w:themeColor="text1" w:themeTint="FF" w:themeShade="FF"/>
          <w:sz w:val="24"/>
          <w:szCs w:val="24"/>
        </w:rPr>
        <w:t>ing</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(Milbourne and Coulson, 2021</w:t>
      </w:r>
      <w:r w:rsidRPr="7ACD7C2B" w:rsidR="1BC4E0FD">
        <w:rPr>
          <w:rFonts w:ascii="Aptos" w:hAnsi="Aptos" w:eastAsia="Aptos" w:cs="Aptos" w:asciiTheme="minorAscii" w:hAnsiTheme="minorAscii" w:eastAsiaTheme="minorAscii" w:cstheme="minorAscii"/>
          <w:color w:val="000000" w:themeColor="text1" w:themeTint="FF" w:themeShade="FF"/>
          <w:sz w:val="24"/>
          <w:szCs w:val="24"/>
        </w:rPr>
        <w:t>; Palumbo, 2024</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w:t>
      </w:r>
      <w:r w:rsidRPr="7ACD7C2B" w:rsidR="76F230D1">
        <w:rPr>
          <w:rFonts w:ascii="Aptos" w:hAnsi="Aptos" w:eastAsia="Aptos" w:cs="Aptos" w:asciiTheme="minorAscii" w:hAnsiTheme="minorAscii" w:eastAsiaTheme="minorAscii" w:cstheme="minorAscii"/>
          <w:i w:val="1"/>
          <w:iCs w:val="1"/>
          <w:color w:val="000000" w:themeColor="text1" w:themeTint="FF" w:themeShade="FF"/>
          <w:sz w:val="24"/>
          <w:szCs w:val="24"/>
        </w:rPr>
        <w:t xml:space="preserve"> </w:t>
      </w:r>
    </w:p>
    <w:p xmlns:wp14="http://schemas.microsoft.com/office/word/2010/wordml" w:rsidP="714B8EC8" wp14:paraId="611422E7" wp14:textId="05B915E5">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6BA85FEA" wp14:textId="2D9C670F">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Anderson (2010) similarly argues that precarious employment structures generate vulnerability. The end of free movement and the tying of visas to employers have intensified t</w:t>
      </w:r>
      <w:r w:rsidRPr="7ACD7C2B" w:rsidR="4C15A353">
        <w:rPr>
          <w:rFonts w:ascii="Aptos" w:hAnsi="Aptos" w:eastAsia="Aptos" w:cs="Aptos" w:asciiTheme="minorAscii" w:hAnsiTheme="minorAscii" w:eastAsiaTheme="minorAscii" w:cstheme="minorAscii"/>
          <w:color w:val="000000" w:themeColor="text1" w:themeTint="FF" w:themeShade="FF"/>
          <w:sz w:val="24"/>
          <w:szCs w:val="24"/>
        </w:rPr>
        <w:t>he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precarity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an</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 xml:space="preserve">d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vulnerability</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 xml:space="preserve"> of</w:t>
      </w:r>
      <w:r w:rsidRPr="7ACD7C2B" w:rsidR="76F230D1">
        <w:rPr>
          <w:rFonts w:ascii="Aptos" w:hAnsi="Aptos" w:eastAsia="Aptos" w:cs="Aptos" w:asciiTheme="minorAscii" w:hAnsiTheme="minorAscii" w:eastAsiaTheme="minorAscii" w:cstheme="minorAscii"/>
          <w:i w:val="1"/>
          <w:iCs w:val="1"/>
          <w:color w:val="000000" w:themeColor="text1" w:themeTint="FF" w:themeShade="FF"/>
          <w:sz w:val="24"/>
          <w:szCs w:val="24"/>
          <w:u w:val="none"/>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migrant workers (FLEX, 2021; Potter and Hamilton, 2014; Lever and Milbourne, 2016). Post-Brexit</w:t>
      </w:r>
      <w:r w:rsidRPr="7ACD7C2B" w:rsidR="4EF90C10">
        <w:rPr>
          <w:rFonts w:ascii="Aptos" w:hAnsi="Aptos" w:eastAsia="Aptos" w:cs="Aptos" w:asciiTheme="minorAscii" w:hAnsiTheme="minorAscii" w:eastAsiaTheme="minorAscii" w:cstheme="minorAscii"/>
          <w:color w:val="000000" w:themeColor="text1" w:themeTint="FF" w:themeShade="FF"/>
          <w:sz w:val="24"/>
          <w:szCs w:val="24"/>
        </w:rPr>
        <w: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political and public discourse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frequently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framed withdrawal from the EU as a means of 'taking back control' of borders (Heffernan et al., 2016; Goodfellow, 2019). However, the simultaneous expansion of the SWP/SWV suggests a contradiction: while public rhetoric emphasised the need for migration control, agricultural production </w:t>
      </w:r>
      <w:r w:rsidRPr="7ACD7C2B" w:rsidR="57D1E185">
        <w:rPr>
          <w:rFonts w:ascii="Aptos" w:hAnsi="Aptos" w:eastAsia="Aptos" w:cs="Aptos" w:asciiTheme="minorAscii" w:hAnsiTheme="minorAscii" w:eastAsiaTheme="minorAscii" w:cstheme="minorAscii"/>
          <w:color w:val="000000" w:themeColor="text1" w:themeTint="FF" w:themeShade="FF"/>
          <w:sz w:val="24"/>
          <w:szCs w:val="24"/>
        </w:rPr>
        <w:t>visibly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increas</w:t>
      </w:r>
      <w:r w:rsidRPr="7ACD7C2B" w:rsidR="1C615A42">
        <w:rPr>
          <w:rFonts w:ascii="Aptos" w:hAnsi="Aptos" w:eastAsia="Aptos" w:cs="Aptos" w:asciiTheme="minorAscii" w:hAnsiTheme="minorAscii" w:eastAsiaTheme="minorAscii" w:cstheme="minorAscii"/>
          <w:color w:val="000000" w:themeColor="text1" w:themeTint="FF" w:themeShade="FF"/>
          <w:sz w:val="24"/>
          <w:szCs w:val="24"/>
        </w:rPr>
        <w:t>ed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dependen</w:t>
      </w:r>
      <w:r w:rsidRPr="7ACD7C2B" w:rsidR="75C12758">
        <w:rPr>
          <w:rFonts w:ascii="Aptos" w:hAnsi="Aptos" w:eastAsia="Aptos" w:cs="Aptos" w:asciiTheme="minorAscii" w:hAnsiTheme="minorAscii" w:eastAsiaTheme="minorAscii" w:cstheme="minorAscii"/>
          <w:color w:val="000000" w:themeColor="text1" w:themeTint="FF" w:themeShade="FF"/>
          <w:sz w:val="24"/>
          <w:szCs w:val="24"/>
        </w:rPr>
        <w:t>cy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on managed temporary migration. This supports the argument that immigration controls do not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eliminate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reliance on migrant labour but instead restructure</w:t>
      </w:r>
      <w:r w:rsidRPr="7ACD7C2B" w:rsidR="2C3DF6CA">
        <w:rPr>
          <w:rFonts w:ascii="Aptos" w:hAnsi="Aptos" w:eastAsia="Aptos" w:cs="Aptos" w:asciiTheme="minorAscii" w:hAnsiTheme="minorAscii" w:eastAsiaTheme="minorAscii" w:cstheme="minorAscii"/>
          <w:color w:val="000000" w:themeColor="text1" w:themeTint="FF" w:themeShade="FF"/>
          <w:sz w:val="24"/>
          <w:szCs w:val="24"/>
        </w:rPr>
        <w:t>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it into more precarious forms (Anderson, 2010; Clutterbuck, 2017).</w:t>
      </w:r>
    </w:p>
    <w:p xmlns:wp14="http://schemas.microsoft.com/office/word/2010/wordml" w:rsidP="714B8EC8" wp14:paraId="22143447" wp14:textId="1C2443B7">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u w:val="single"/>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6984CF39" wp14:textId="50DD81A0">
      <w:pPr>
        <w:pStyle w:val="Normal"/>
        <w:rPr>
          <w:rFonts w:ascii="Aptos" w:hAnsi="Aptos" w:eastAsia="Aptos" w:cs="Aptos" w:asciiTheme="minorAscii" w:hAnsiTheme="minorAscii" w:eastAsiaTheme="minorAscii" w:cstheme="minorAscii"/>
          <w:b w:val="0"/>
          <w:bCs w:val="0"/>
          <w:strike w:val="0"/>
          <w:dstrike w:val="0"/>
          <w:color w:val="000000" w:themeColor="text1" w:themeTint="FF" w:themeShade="FF"/>
          <w:sz w:val="24"/>
          <w:szCs w:val="24"/>
          <w:u w:val="single"/>
        </w:rPr>
      </w:pPr>
      <w:r w:rsidRPr="714B8EC8" w:rsidR="76F230D1">
        <w:rPr>
          <w:u w:val="single"/>
        </w:rPr>
        <w:t>COVID-19 and Policy Response</w:t>
      </w:r>
    </w:p>
    <w:p xmlns:wp14="http://schemas.microsoft.com/office/word/2010/wordml" w:rsidP="714B8EC8" wp14:paraId="7F8B0AA0" wp14:textId="39588F5A">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Concerns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regarding</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the rapid expansion of the scheme and limited infrastructure planning were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submitted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to the House of Lords Horticultural Sector Committee by FLEX (UK Parliament Committee, 2023). Despite ongoing warnings, expansion of the scheme </w:t>
      </w:r>
      <w:r w:rsidRPr="7ACD7C2B" w:rsidR="00A4AE41">
        <w:rPr>
          <w:rFonts w:ascii="Aptos" w:hAnsi="Aptos" w:eastAsia="Aptos" w:cs="Aptos" w:asciiTheme="minorAscii" w:hAnsiTheme="minorAscii" w:eastAsiaTheme="minorAscii" w:cstheme="minorAscii"/>
          <w:color w:val="000000" w:themeColor="text1" w:themeTint="FF" w:themeShade="FF"/>
          <w:sz w:val="24"/>
          <w:szCs w:val="24"/>
        </w:rPr>
        <w:t>did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not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substantially address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underlying vulnerabilities</w:t>
      </w:r>
      <w:r w:rsidRPr="7ACD7C2B" w:rsidR="5B4A4127">
        <w:rPr>
          <w:rFonts w:ascii="Aptos" w:hAnsi="Aptos" w:eastAsia="Aptos" w:cs="Aptos" w:asciiTheme="minorAscii" w:hAnsiTheme="minorAscii" w:eastAsiaTheme="minorAscii" w:cstheme="minorAscii"/>
          <w:color w:val="000000" w:themeColor="text1" w:themeTint="FF" w:themeShade="FF"/>
          <w:sz w:val="24"/>
          <w:szCs w:val="24"/>
        </w:rPr>
        <w:t xml:space="preserve"> despite opportunities to do so</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4D795A5C">
        <w:rPr>
          <w:rFonts w:ascii="Aptos" w:hAnsi="Aptos" w:eastAsia="Aptos" w:cs="Aptos" w:asciiTheme="minorAscii" w:hAnsiTheme="minorAscii" w:eastAsiaTheme="minorAscii" w:cstheme="minorAscii"/>
          <w:color w:val="000000" w:themeColor="text1" w:themeTint="FF" w:themeShade="FF"/>
          <w:sz w:val="24"/>
          <w:szCs w:val="24"/>
        </w:rPr>
        <w:t>during</w:t>
      </w:r>
      <w:r w:rsidRPr="7ACD7C2B" w:rsidR="2FCA4A2E">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2FCA4A2E">
        <w:rPr>
          <w:rFonts w:ascii="Aptos" w:hAnsi="Aptos" w:eastAsia="Aptos" w:cs="Aptos" w:asciiTheme="minorAscii" w:hAnsiTheme="minorAscii" w:eastAsiaTheme="minorAscii" w:cstheme="minorAscii"/>
          <w:color w:val="000000" w:themeColor="text1" w:themeTint="FF" w:themeShade="FF"/>
          <w:sz w:val="24"/>
          <w:szCs w:val="24"/>
        </w:rPr>
        <w:t xml:space="preserve">the </w:t>
      </w:r>
      <w:r w:rsidRPr="7ACD7C2B" w:rsidR="2FCA4A2E">
        <w:rPr>
          <w:rFonts w:ascii="Aptos" w:hAnsi="Aptos" w:eastAsia="Aptos" w:cs="Aptos" w:asciiTheme="minorAscii" w:hAnsiTheme="minorAscii" w:eastAsiaTheme="minorAscii" w:cstheme="minorAscii"/>
          <w:color w:val="000000" w:themeColor="text1" w:themeTint="FF" w:themeShade="FF"/>
          <w:sz w:val="24"/>
          <w:szCs w:val="24"/>
        </w:rPr>
        <w:t>COVID-19 pandemic and Brexit</w:t>
      </w:r>
      <w:r w:rsidRPr="7ACD7C2B" w:rsidR="2FCA4A2E">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(FLEX, 2021; Lindsay, 2025).</w:t>
      </w:r>
    </w:p>
    <w:p xmlns:wp14="http://schemas.microsoft.com/office/word/2010/wordml" w:rsidP="714B8EC8" wp14:paraId="76B331F2" wp14:textId="6628B644">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ACD7C2B" wp14:paraId="525075A1" wp14:textId="23264B59">
      <w:pPr>
        <w:spacing w:before="0" w:beforeAutospacing="off" w:after="0" w:afterAutospacing="off" w:line="360" w:lineRule="auto"/>
        <w:rPr>
          <w:rFonts w:ascii="Aptos" w:hAnsi="Aptos" w:eastAsia="Aptos" w:cs="Aptos" w:asciiTheme="minorAscii" w:hAnsiTheme="minorAscii" w:eastAsiaTheme="minorAscii" w:cstheme="minorAscii"/>
          <w:i w:val="1"/>
          <w:iCs w:val="1"/>
          <w:color w:val="000000" w:themeColor="text1" w:themeTint="FF" w:themeShade="FF"/>
          <w:sz w:val="24"/>
          <w:szCs w:val="24"/>
          <w:u w:val="none"/>
        </w:rPr>
      </w:pPr>
      <w:r w:rsidRPr="7ACD7C2B" w:rsidR="16C90C04">
        <w:rPr>
          <w:rFonts w:ascii="Aptos" w:hAnsi="Aptos" w:eastAsia="Aptos" w:cs="Aptos" w:asciiTheme="minorAscii" w:hAnsiTheme="minorAscii" w:eastAsiaTheme="minorAscii" w:cstheme="minorAscii"/>
          <w:color w:val="000000" w:themeColor="text1" w:themeTint="FF" w:themeShade="FF"/>
          <w:sz w:val="24"/>
          <w:szCs w:val="24"/>
        </w:rPr>
        <w:t>In response to border restrictions, 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he government launched the 'Pick for Britain' campaign in 2020</w:t>
      </w:r>
      <w:r w:rsidRPr="7ACD7C2B" w:rsidR="75BD69F0">
        <w:rPr>
          <w:rFonts w:ascii="Aptos" w:hAnsi="Aptos" w:eastAsia="Aptos" w:cs="Aptos" w:asciiTheme="minorAscii" w:hAnsiTheme="minorAscii" w:eastAsiaTheme="minorAscii" w:cstheme="minorAscii"/>
          <w:color w:val="000000" w:themeColor="text1" w:themeTint="FF" w:themeShade="FF"/>
          <w:sz w:val="24"/>
          <w:szCs w:val="24"/>
        </w:rPr>
        <w:t xml:space="preserve"> during COVID-19</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to encourage domestic workers to take up agricultural roles (Farmers Weekly, 2020). Although initial interest was high (approximately 15,000 applications), only a small proportion of applicants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ultimately took</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up positions, and the campaign ended in 2021 (Pro-Force Ltd, 2021; Sandercock, 2021). Some political narratives framed this as a reluctance among British workers to undertake physically demanding work. However, others argue that the underlying issue lies in the structural devaluation of agricultural labour and the governmen</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t</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's failure</w:t>
      </w:r>
      <w:r w:rsidRPr="7ACD7C2B" w:rsidR="76F230D1">
        <w:rPr>
          <w:rFonts w:ascii="Aptos" w:hAnsi="Aptos" w:eastAsia="Aptos" w:cs="Aptos" w:asciiTheme="minorAscii" w:hAnsiTheme="minorAscii" w:eastAsiaTheme="minorAscii" w:cstheme="minorAscii"/>
          <w:i w:val="1"/>
          <w:iCs w:val="1"/>
          <w:color w:val="000000" w:themeColor="text1" w:themeTint="FF" w:themeShade="FF"/>
          <w:sz w:val="24"/>
          <w:szCs w:val="24"/>
          <w:u w:val="none"/>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to address poor working conditions (Clutterbuck, 2017;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Mantouvalou</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2023). Milbourne and Coulson (2021)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maintain</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that Brexit and C</w:t>
      </w:r>
      <w:r w:rsidRPr="7ACD7C2B" w:rsidR="1B00D53E">
        <w:rPr>
          <w:rFonts w:ascii="Aptos" w:hAnsi="Aptos" w:eastAsia="Aptos" w:cs="Aptos" w:asciiTheme="minorAscii" w:hAnsiTheme="minorAscii" w:eastAsiaTheme="minorAscii" w:cstheme="minorAscii"/>
          <w:color w:val="000000" w:themeColor="text1" w:themeTint="FF" w:themeShade="FF"/>
          <w:sz w:val="24"/>
          <w:szCs w:val="24"/>
        </w:rPr>
        <w:t>OVID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-19 offered</w:t>
      </w:r>
      <w:r w:rsidRPr="7ACD7C2B" w:rsidR="5C25150D">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opportunit</w:t>
      </w:r>
      <w:r w:rsidRPr="7ACD7C2B" w:rsidR="1D12FFFF">
        <w:rPr>
          <w:rFonts w:ascii="Aptos" w:hAnsi="Aptos" w:eastAsia="Aptos" w:cs="Aptos" w:asciiTheme="minorAscii" w:hAnsiTheme="minorAscii" w:eastAsiaTheme="minorAscii" w:cstheme="minorAscii"/>
          <w:color w:val="000000" w:themeColor="text1" w:themeTint="FF" w:themeShade="FF"/>
          <w:sz w:val="24"/>
          <w:szCs w:val="24"/>
        </w:rPr>
        <w:t>ies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68CEDEDF">
        <w:rPr>
          <w:rFonts w:ascii="Aptos" w:hAnsi="Aptos" w:eastAsia="Aptos" w:cs="Aptos" w:asciiTheme="minorAscii" w:hAnsiTheme="minorAscii" w:eastAsiaTheme="minorAscii" w:cstheme="minorAscii"/>
          <w:color w:val="000000" w:themeColor="text1" w:themeTint="FF" w:themeShade="FF"/>
          <w:sz w:val="24"/>
          <w:szCs w:val="24"/>
        </w:rPr>
        <w:t>for</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the UK government to address structural disadvantages within the SWV but that these were missed</w:t>
      </w:r>
      <w:r w:rsidRPr="7ACD7C2B" w:rsidR="6BCFE754">
        <w:rPr>
          <w:rFonts w:ascii="Aptos" w:hAnsi="Aptos" w:eastAsia="Aptos" w:cs="Aptos" w:asciiTheme="minorAscii" w:hAnsiTheme="minorAscii" w:eastAsiaTheme="minorAscii" w:cstheme="minorAscii"/>
          <w:color w:val="000000" w:themeColor="text1" w:themeTint="FF" w:themeShade="FF"/>
          <w:sz w:val="24"/>
          <w:szCs w:val="24"/>
        </w:rPr>
        <w:t xml:space="preserve"> at these junctures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 xml:space="preserve">One partial exception noted in the FLEX (2021) report was that requests to change workplaces and sponsors were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permitted</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 however, in practice this provision remained obscured by language barriers and unclear procedures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Mantouvalou</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 2023).</w:t>
      </w:r>
      <w:r w:rsidRPr="7ACD7C2B" w:rsidR="76F230D1">
        <w:rPr>
          <w:rFonts w:ascii="Aptos" w:hAnsi="Aptos" w:eastAsia="Aptos" w:cs="Aptos" w:asciiTheme="minorAscii" w:hAnsiTheme="minorAscii" w:eastAsiaTheme="minorAscii" w:cstheme="minorAscii"/>
          <w:i w:val="1"/>
          <w:iCs w:val="1"/>
          <w:color w:val="000000" w:themeColor="text1" w:themeTint="FF" w:themeShade="FF"/>
          <w:sz w:val="24"/>
          <w:szCs w:val="24"/>
          <w:u w:val="none"/>
        </w:rPr>
        <w:t xml:space="preserve"> </w:t>
      </w:r>
    </w:p>
    <w:p xmlns:wp14="http://schemas.microsoft.com/office/word/2010/wordml" w:rsidP="714B8EC8" wp14:paraId="38449F95" wp14:textId="51BBA526">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699F826B" wp14:textId="724DB0C3">
      <w:pPr>
        <w:pStyle w:val="Normal"/>
        <w:rPr>
          <w:rFonts w:ascii="Aptos" w:hAnsi="Aptos" w:eastAsia="Aptos" w:cs="Aptos" w:asciiTheme="minorAscii" w:hAnsiTheme="minorAscii" w:eastAsiaTheme="minorAscii" w:cstheme="minorAscii"/>
          <w:b w:val="0"/>
          <w:bCs w:val="0"/>
          <w:strike w:val="0"/>
          <w:dstrike w:val="0"/>
          <w:color w:val="000000" w:themeColor="text1" w:themeTint="FF" w:themeShade="FF"/>
          <w:sz w:val="24"/>
          <w:szCs w:val="24"/>
          <w:u w:val="single"/>
        </w:rPr>
      </w:pPr>
      <w:r w:rsidRPr="714B8EC8" w:rsidR="76F230D1">
        <w:rPr>
          <w:u w:val="single"/>
        </w:rPr>
        <w:t>Independent Inspection</w:t>
      </w:r>
    </w:p>
    <w:p xmlns:wp14="http://schemas.microsoft.com/office/word/2010/wordml" w:rsidP="714B8EC8" wp14:paraId="6259D67F" wp14:textId="1DAF1575">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An inspection by the Independent Chief Inspector of Borders and Immigration (2022)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identified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the need for improved governance and management of the SWV, noting welfare concerns despite the scheme's importance to agri</w:t>
      </w:r>
      <w:r w:rsidRPr="7ACD7C2B" w:rsidR="3C71C995">
        <w:rPr>
          <w:rFonts w:ascii="Aptos" w:hAnsi="Aptos" w:eastAsia="Aptos" w:cs="Aptos" w:asciiTheme="minorAscii" w:hAnsiTheme="minorAscii" w:eastAsiaTheme="minorAscii" w:cstheme="minorAscii"/>
          <w:color w:val="000000" w:themeColor="text1" w:themeTint="FF" w:themeShade="FF"/>
          <w:sz w:val="24"/>
          <w:szCs w:val="24"/>
        </w:rPr>
        <w: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labour supply. The report highlighted tensions between government departments and industry stakeholders and suggested that the Home Office had managed a complex visa system that the sector claimed was essential to prevent food production and supply collapse (Independent Chief Inspector of Borders and Immigration, 2022, p.5). However, the recommendations focused primarily on compliance procedures and clearer administrative responsibilities, rather than addressing the underlying policy design that ties workers' rights to employer sponsorship and the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a</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gri</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sector, or the broader structural precarity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i</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dentified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by FLEX (2021).</w:t>
      </w:r>
    </w:p>
    <w:p xmlns:wp14="http://schemas.microsoft.com/office/word/2010/wordml" w:rsidP="714B8EC8" wp14:paraId="32528769" wp14:textId="29CE96A5">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u w:val="single"/>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5165C765" wp14:textId="47843645">
      <w:pPr>
        <w:pStyle w:val="Normal"/>
        <w:rPr>
          <w:u w:val="single"/>
        </w:rPr>
      </w:pPr>
      <w:r w:rsidRPr="714B8EC8" w:rsidR="76F230D1">
        <w:rPr>
          <w:u w:val="single"/>
        </w:rPr>
        <w:t xml:space="preserve">Government </w:t>
      </w:r>
      <w:r w:rsidRPr="714B8EC8" w:rsidR="6A3426B2">
        <w:rPr>
          <w:u w:val="single"/>
        </w:rPr>
        <w:t>Context</w:t>
      </w:r>
    </w:p>
    <w:p xmlns:wp14="http://schemas.microsoft.com/office/word/2010/wordml" w:rsidP="714B8EC8" wp14:paraId="7BFE7BD5" wp14:textId="5AA22701">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The SWP/SWV was introduced following Brexit in response to reported labour shortages and warnings of potential food insecurity (NFU, 2025; Home Office, 2024; 2025). The scheme was implemented and </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subsequently</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expanded rapidly under pressure from agricultural producers and labour providers (NFU, 2025; Pro-Force, 2021; Milbourne and Coulson, 2021). However, FLEX (2021) and Lindsay (2025) argue that this expansion was premature, as the necessary regulatory infrastructure and oversight mechanisms were not fully </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established</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to ensure effective sectoral coordination or adequate protection of seasonal workers' rights.</w:t>
      </w:r>
    </w:p>
    <w:p xmlns:wp14="http://schemas.microsoft.com/office/word/2010/wordml" w:rsidP="714B8EC8" wp14:paraId="6FCFB24F" wp14:textId="46BA9A6E">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5E03E226" wp14:textId="493DDBA3">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Pro-Force (2021) </w:t>
      </w:r>
      <w:r w:rsidRPr="714B8EC8" w:rsidR="64B6D6B3">
        <w:rPr>
          <w:rFonts w:ascii="Aptos" w:hAnsi="Aptos" w:eastAsia="Aptos" w:cs="Aptos" w:asciiTheme="minorAscii" w:hAnsiTheme="minorAscii" w:eastAsiaTheme="minorAscii" w:cstheme="minorAscii"/>
          <w:color w:val="000000" w:themeColor="text1" w:themeTint="FF" w:themeShade="FF"/>
          <w:sz w:val="24"/>
          <w:szCs w:val="24"/>
        </w:rPr>
        <w:t>stated</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post</w:t>
      </w:r>
      <w:r w:rsidRPr="714B8EC8" w:rsidR="76F230D1">
        <w:rPr>
          <w:rFonts w:ascii="Aptos" w:hAnsi="Aptos" w:eastAsia="Aptos" w:cs="Aptos" w:asciiTheme="minorAscii" w:hAnsiTheme="minorAscii" w:eastAsiaTheme="minorAscii" w:cstheme="minorAscii"/>
          <w:strike w:val="1"/>
          <w:color w:val="000000" w:themeColor="text1" w:themeTint="FF" w:themeShade="FF"/>
          <w:sz w:val="24"/>
          <w:szCs w:val="24"/>
        </w:rPr>
        <w:t>-</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Brexit that food providers in the UK (farms) could not produce the required targets to meet demand, and more EU workers were needed, arguing that the SWP would need to be expanded. Milbourne and Coulson (2021) have argued that the growth of the SWP/SWV occurred under the guise of a labour crisis. Their research finds </w:t>
      </w:r>
      <w:r w:rsidRPr="714B8EC8" w:rsidR="184A45D5">
        <w:rPr>
          <w:rFonts w:ascii="Aptos" w:hAnsi="Aptos" w:eastAsia="Aptos" w:cs="Aptos" w:asciiTheme="minorAscii" w:hAnsiTheme="minorAscii" w:eastAsiaTheme="minorAscii" w:cstheme="minorAscii"/>
          <w:color w:val="000000" w:themeColor="text1" w:themeTint="FF" w:themeShade="FF"/>
          <w:sz w:val="24"/>
          <w:szCs w:val="24"/>
        </w:rPr>
        <w:t>no</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evidence of an acute shortage of migrant workers following the Brexit referendum, suggesting instead that the most significant shift during this period was rising wage expectations. From this perspective, the 'labour shortage' reflects employer resistance to increased labour costs rather than an absolute absence of available workers. The dominant narrative of agricultural labour scarcity is therefore contested. Critics argue that the core issue lies not in worker supply, but in the structural conditions of agricultural employment, including low pay, insecure contracts, physically demanding work, and limited progression opportunities (Anderson, 2010; Clutterbuck, 2017; Davies, 2018; Milbourne and Coulson, 2021). These characteristics reflect patterns of labour market segmentation in advanced capitalist economies, in which certain forms of 'dirty' or socially devalued work become systematically associated with marginalised populations (Scott, 2012; Castles, 2004).</w:t>
      </w:r>
    </w:p>
    <w:p xmlns:wp14="http://schemas.microsoft.com/office/word/2010/wordml" w:rsidP="714B8EC8" wp14:paraId="7383B516" wp14:textId="27F01C00">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0062F617" wp14:textId="1C8FAF98">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The 'Pick for Britain' campaign is </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frequently</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cited within this debate. Pro-Force Ltd (2021) suggests that its limited success was attributable to the remote locations of farms and working hours that were incompatible with other domestic commitments for UK workers. Potter and Hamilton (2014) similarly argue that UK workers are often unwilling to undertake agricultural labour due to its intensity and instability. By contrast, migrant workers may perceive even relatively low wages as economically </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viable</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when compared to earning opportunities in their countries of origin. This differential valuation of wages, combined with restricted employment </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alternative</w:t>
      </w:r>
      <w:r w:rsidRPr="714B8EC8" w:rsidR="76F230D1">
        <w:rPr>
          <w:rFonts w:ascii="Aptos" w:hAnsi="Aptos" w:eastAsia="Aptos" w:cs="Aptos" w:asciiTheme="minorAscii" w:hAnsiTheme="minorAscii" w:eastAsiaTheme="minorAscii" w:cstheme="minorAscii"/>
          <w:color w:val="000000" w:themeColor="text1" w:themeTint="FF" w:themeShade="FF"/>
          <w:sz w:val="24"/>
          <w:szCs w:val="24"/>
          <w:u w:val="none"/>
        </w:rPr>
        <w:t>s</w:t>
      </w:r>
      <w:r w:rsidRPr="714B8EC8" w:rsidR="76F230D1">
        <w:rPr>
          <w:rFonts w:ascii="Aptos" w:hAnsi="Aptos" w:eastAsia="Aptos" w:cs="Aptos" w:asciiTheme="minorAscii" w:hAnsiTheme="minorAscii" w:eastAsiaTheme="minorAscii" w:cstheme="minorAscii"/>
          <w:color w:val="000000" w:themeColor="text1" w:themeTint="FF" w:themeShade="FF"/>
          <w:sz w:val="24"/>
          <w:szCs w:val="24"/>
          <w:u w:val="none"/>
        </w:rPr>
        <w:t>,</w:t>
      </w:r>
      <w:r w:rsidRPr="714B8EC8" w:rsidR="76F230D1">
        <w:rPr>
          <w:rFonts w:ascii="Aptos" w:hAnsi="Aptos" w:eastAsia="Aptos" w:cs="Aptos" w:asciiTheme="minorAscii" w:hAnsiTheme="minorAscii" w:eastAsiaTheme="minorAscii" w:cstheme="minorAscii"/>
          <w:color w:val="000000" w:themeColor="text1" w:themeTint="FF" w:themeShade="FF"/>
          <w:sz w:val="24"/>
          <w:szCs w:val="24"/>
          <w:u w:val="none"/>
        </w:rPr>
        <w:t xml:space="preserve"> can increase</w:t>
      </w:r>
      <w:r w:rsidRPr="714B8EC8" w:rsidR="76F230D1">
        <w:rPr>
          <w:rFonts w:ascii="Aptos" w:hAnsi="Aptos" w:eastAsia="Aptos" w:cs="Aptos" w:asciiTheme="minorAscii" w:hAnsiTheme="minorAscii" w:eastAsiaTheme="minorAscii" w:cstheme="minorAscii"/>
          <w:i w:val="1"/>
          <w:iCs w:val="1"/>
          <w:color w:val="000000" w:themeColor="text1" w:themeTint="FF" w:themeShade="FF"/>
          <w:sz w:val="24"/>
          <w:szCs w:val="24"/>
          <w:u w:val="none"/>
        </w:rPr>
        <w:t xml:space="preserve"> </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tolerance of poor conditions and vulnerability to exploitation (Potter and Hamilton, 2014).</w:t>
      </w:r>
    </w:p>
    <w:p xmlns:wp14="http://schemas.microsoft.com/office/word/2010/wordml" w:rsidP="714B8EC8" wp14:paraId="443D0B25" wp14:textId="1D922D72">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68386FA2" wp14:textId="26FFDAC8">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Clutterbuck (2017) further argues that the political prioritisation of cheap and readily available food enables the public to overlook the realities of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agri</w:t>
      </w:r>
      <w:r w:rsidRPr="7ACD7C2B" w:rsidR="29C08D10">
        <w:rPr>
          <w:rFonts w:ascii="Aptos" w:hAnsi="Aptos" w:eastAsia="Aptos" w:cs="Aptos" w:asciiTheme="minorAscii" w:hAnsiTheme="minorAscii" w:eastAsiaTheme="minorAscii" w:cstheme="minorAscii"/>
          <w:color w:val="000000" w:themeColor="text1" w:themeTint="FF" w:themeShade="FF"/>
          <w:sz w:val="24"/>
          <w:szCs w:val="24"/>
        </w:rPr>
        <w: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labour conditions. By framing food affordability as a policy success, governments can obscure the labour structures that sustain low prices. This argument is extended by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Sbicca</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(2018), who contends that the organisation of the agricultural sector is inseparable from state practices that devalue and marginalise its workforce, including through racially structured inequalities. He suggests that structural injustices are reproduced through economic, political, and social systems that shape food production and distribution, thereby reinforcing food justice concerns </w:t>
      </w:r>
      <w:r w:rsidRPr="7ACD7C2B" w:rsidR="06A5B068">
        <w:rPr>
          <w:rFonts w:ascii="Aptos" w:hAnsi="Aptos" w:eastAsia="Aptos" w:cs="Aptos" w:asciiTheme="minorAscii" w:hAnsiTheme="minorAscii" w:eastAsiaTheme="minorAscii" w:cstheme="minorAscii"/>
          <w:color w:val="000000" w:themeColor="text1" w:themeTint="FF" w:themeShade="FF"/>
          <w:sz w:val="24"/>
          <w:szCs w:val="24"/>
        </w:rPr>
        <w:t>that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9A0C2FC">
        <w:rPr>
          <w:rFonts w:ascii="Aptos" w:hAnsi="Aptos" w:eastAsia="Aptos" w:cs="Aptos" w:asciiTheme="minorAscii" w:hAnsiTheme="minorAscii" w:eastAsiaTheme="minorAscii" w:cstheme="minorAscii"/>
          <w:color w:val="000000" w:themeColor="text1" w:themeTint="FF" w:themeShade="FF"/>
          <w:sz w:val="24"/>
          <w:szCs w:val="24"/>
        </w:rPr>
        <w:t>prevent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social change.</w:t>
      </w:r>
    </w:p>
    <w:p xmlns:wp14="http://schemas.microsoft.com/office/word/2010/wordml" w:rsidP="714B8EC8" wp14:paraId="1723C2F4" wp14:textId="7D62A1CF">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10E9F3F5" wp14:paraId="68682A28" wp14:textId="5349D6E9">
      <w:pPr>
        <w:pStyle w:val="Normal"/>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10E9F3F5" w:rsidR="76F230D1">
        <w:rPr>
          <w:rFonts w:ascii="Aptos" w:hAnsi="Aptos" w:eastAsia="Aptos" w:cs="Aptos" w:asciiTheme="minorAscii" w:hAnsiTheme="minorAscii" w:eastAsiaTheme="minorAscii" w:cstheme="minorAscii"/>
          <w:color w:val="000000" w:themeColor="text1" w:themeTint="FF" w:themeShade="FF"/>
          <w:sz w:val="24"/>
          <w:szCs w:val="24"/>
        </w:rPr>
        <w:t xml:space="preserve">In the case of seasonal </w:t>
      </w:r>
      <w:r w:rsidRPr="10E9F3F5" w:rsidR="76F230D1">
        <w:rPr>
          <w:rFonts w:ascii="Aptos" w:hAnsi="Aptos" w:eastAsia="Aptos" w:cs="Aptos" w:asciiTheme="minorAscii" w:hAnsiTheme="minorAscii" w:eastAsiaTheme="minorAscii" w:cstheme="minorAscii"/>
          <w:color w:val="000000" w:themeColor="text1" w:themeTint="FF" w:themeShade="FF"/>
          <w:sz w:val="24"/>
          <w:szCs w:val="24"/>
        </w:rPr>
        <w:t>agri</w:t>
      </w:r>
      <w:r w:rsidRPr="10E9F3F5" w:rsidR="76F230D1">
        <w:rPr>
          <w:rFonts w:ascii="Aptos" w:hAnsi="Aptos" w:eastAsia="Aptos" w:cs="Aptos" w:asciiTheme="minorAscii" w:hAnsiTheme="minorAscii" w:eastAsiaTheme="minorAscii" w:cstheme="minorAscii"/>
          <w:color w:val="000000" w:themeColor="text1" w:themeTint="FF" w:themeShade="FF"/>
          <w:sz w:val="24"/>
          <w:szCs w:val="24"/>
        </w:rPr>
        <w:t>-labour, critics argue that the policy framework was implemented prematurely and justified through a narrative of crisis that lacks robust grounding</w:t>
      </w:r>
      <w:r w:rsidRPr="10E9F3F5" w:rsidR="077C5298">
        <w:rPr>
          <w:rFonts w:ascii="Aptos" w:hAnsi="Aptos" w:eastAsia="Aptos" w:cs="Aptos" w:asciiTheme="minorAscii" w:hAnsiTheme="minorAscii" w:eastAsiaTheme="minorAscii" w:cstheme="minorAscii"/>
          <w:color w:val="000000" w:themeColor="text1" w:themeTint="FF" w:themeShade="FF"/>
          <w:sz w:val="24"/>
          <w:szCs w:val="24"/>
        </w:rPr>
        <w:t xml:space="preserve"> (FLEX, 2021; Lindsay 2025)</w:t>
      </w:r>
      <w:r w:rsidRPr="10E9F3F5" w:rsidR="76F230D1">
        <w:rPr>
          <w:rFonts w:ascii="Aptos" w:hAnsi="Aptos" w:eastAsia="Aptos" w:cs="Aptos" w:asciiTheme="minorAscii" w:hAnsiTheme="minorAscii" w:eastAsiaTheme="minorAscii" w:cstheme="minorAscii"/>
          <w:color w:val="000000" w:themeColor="text1" w:themeTint="FF" w:themeShade="FF"/>
          <w:sz w:val="24"/>
          <w:szCs w:val="24"/>
        </w:rPr>
        <w:t>. The underlying driver may therefore lie less in addressing genuine labour scarcity and more in securing a flexible, cost-efficient workforce capable of sustaining intensive production schedules and meeting supermarket pricing pressures</w:t>
      </w:r>
      <w:r w:rsidRPr="10E9F3F5" w:rsidR="0A288FF4">
        <w:rPr>
          <w:rFonts w:ascii="Aptos" w:hAnsi="Aptos" w:eastAsia="Aptos" w:cs="Aptos" w:asciiTheme="minorAscii" w:hAnsiTheme="minorAscii" w:eastAsiaTheme="minorAscii" w:cstheme="minorAscii"/>
          <w:color w:val="000000" w:themeColor="text1" w:themeTint="FF" w:themeShade="FF"/>
          <w:sz w:val="24"/>
          <w:szCs w:val="24"/>
        </w:rPr>
        <w:t xml:space="preserve"> (Anderson, 2010; Milbourne and Coulson, 2021)</w:t>
      </w:r>
      <w:r w:rsidRPr="10E9F3F5" w:rsidR="76F230D1">
        <w:rPr>
          <w:rFonts w:ascii="Aptos" w:hAnsi="Aptos" w:eastAsia="Aptos" w:cs="Aptos" w:asciiTheme="minorAscii" w:hAnsiTheme="minorAscii" w:eastAsiaTheme="minorAscii" w:cstheme="minorAscii"/>
          <w:color w:val="000000" w:themeColor="text1" w:themeTint="FF" w:themeShade="FF"/>
          <w:sz w:val="24"/>
          <w:szCs w:val="24"/>
        </w:rPr>
        <w:t>. In this sense, the SWV can be understood as embedded within broader economic structures that prioritise efficiency and low consumer prices over long-term labour and food sustainabili</w:t>
      </w:r>
      <w:r w:rsidRPr="10E9F3F5" w:rsidR="76F230D1">
        <w:rPr>
          <w:rFonts w:ascii="Aptos" w:hAnsi="Aptos" w:eastAsia="Aptos" w:cs="Aptos" w:asciiTheme="minorAscii" w:hAnsiTheme="minorAscii" w:eastAsiaTheme="minorAscii" w:cstheme="minorAscii"/>
          <w:color w:val="000000" w:themeColor="text1" w:themeTint="FF" w:themeShade="FF"/>
          <w:sz w:val="24"/>
          <w:szCs w:val="24"/>
        </w:rPr>
        <w:t>ty</w:t>
      </w:r>
      <w:r w:rsidRPr="10E9F3F5" w:rsidR="25B21889">
        <w:rPr>
          <w:rFonts w:ascii="Aptos" w:hAnsi="Aptos" w:eastAsia="Aptos" w:cs="Aptos" w:asciiTheme="minorAscii" w:hAnsiTheme="minorAscii" w:eastAsiaTheme="minorAscii" w:cstheme="minorAscii"/>
          <w:color w:val="000000" w:themeColor="text1" w:themeTint="FF" w:themeShade="FF"/>
          <w:sz w:val="24"/>
          <w:szCs w:val="24"/>
        </w:rPr>
        <w:t xml:space="preserve"> (Sb</w:t>
      </w:r>
      <w:r w:rsidRPr="10E9F3F5" w:rsidR="25B21889">
        <w:rPr>
          <w:rFonts w:ascii="Aptos" w:hAnsi="Aptos" w:eastAsia="Aptos" w:cs="Aptos" w:asciiTheme="minorAscii" w:hAnsiTheme="minorAscii" w:eastAsiaTheme="minorAscii" w:cstheme="minorAscii"/>
          <w:color w:val="000000" w:themeColor="text1" w:themeTint="FF" w:themeShade="FF"/>
          <w:sz w:val="24"/>
          <w:szCs w:val="24"/>
        </w:rPr>
        <w:t>icca, 2018)</w:t>
      </w:r>
      <w:r w:rsidRPr="10E9F3F5" w:rsidR="76F230D1">
        <w:rPr>
          <w:rFonts w:ascii="Aptos" w:hAnsi="Aptos" w:eastAsia="Aptos" w:cs="Aptos" w:asciiTheme="minorAscii" w:hAnsiTheme="minorAscii" w:eastAsiaTheme="minorAscii" w:cstheme="minorAscii"/>
          <w:color w:val="000000" w:themeColor="text1" w:themeTint="FF" w:themeShade="FF"/>
          <w:sz w:val="24"/>
          <w:szCs w:val="24"/>
        </w:rPr>
        <w:t>.</w:t>
      </w:r>
    </w:p>
    <w:p xmlns:wp14="http://schemas.microsoft.com/office/word/2010/wordml" w:rsidP="714B8EC8" wp14:paraId="0CCE72F5" wp14:textId="0491FC84">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u w:val="single"/>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400AC4A9" wp14:textId="0DA54E3D">
      <w:pPr>
        <w:pStyle w:val="Normal"/>
        <w:rPr>
          <w:rFonts w:ascii="Aptos" w:hAnsi="Aptos" w:eastAsia="Aptos" w:cs="Aptos" w:asciiTheme="minorAscii" w:hAnsiTheme="minorAscii" w:eastAsiaTheme="minorAscii" w:cstheme="minorAscii"/>
          <w:b w:val="0"/>
          <w:bCs w:val="0"/>
          <w:strike w:val="0"/>
          <w:dstrike w:val="0"/>
          <w:color w:val="000000" w:themeColor="text1" w:themeTint="FF" w:themeShade="FF"/>
          <w:sz w:val="24"/>
          <w:szCs w:val="24"/>
          <w:u w:val="single"/>
        </w:rPr>
      </w:pPr>
      <w:r w:rsidRPr="714B8EC8" w:rsidR="76F230D1">
        <w:rPr>
          <w:u w:val="single"/>
        </w:rPr>
        <w:t>Neoliberalism as Ideological Driver</w:t>
      </w:r>
    </w:p>
    <w:p xmlns:wp14="http://schemas.microsoft.com/office/word/2010/wordml" w:rsidP="7ACD7C2B" wp14:paraId="7E4E5A5D" wp14:textId="1E15586F">
      <w:pPr>
        <w:pStyle w:val="Normal"/>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The framing of the SWP/SWV </w:t>
      </w:r>
      <w:r w:rsidRPr="7ACD7C2B" w:rsidR="2507B0EE">
        <w:rPr>
          <w:rFonts w:ascii="Aptos" w:hAnsi="Aptos" w:eastAsia="Aptos" w:cs="Aptos" w:asciiTheme="minorAscii" w:hAnsiTheme="minorAscii" w:eastAsiaTheme="minorAscii" w:cstheme="minorAscii"/>
          <w:color w:val="000000" w:themeColor="text1" w:themeTint="FF" w:themeShade="FF"/>
          <w:sz w:val="24"/>
          <w:szCs w:val="24"/>
          <w:u w:val="none"/>
        </w:rPr>
        <w:t>policies</w:t>
      </w:r>
      <w:r w:rsidRPr="7ACD7C2B" w:rsidR="2507B0EE">
        <w:rPr>
          <w:rFonts w:ascii="Aptos" w:hAnsi="Aptos" w:eastAsia="Aptos" w:cs="Aptos" w:asciiTheme="minorAscii" w:hAnsiTheme="minorAscii" w:eastAsiaTheme="minorAscii" w:cstheme="minorAscii"/>
          <w:color w:val="000000" w:themeColor="text1" w:themeTint="FF" w:themeShade="FF"/>
          <w:sz w:val="24"/>
          <w:szCs w:val="24"/>
          <w:u w:val="single"/>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as a response to labour scarcity can be considered within a broader neoliberal ideological framework, particularly in relationship to prioritising market efficiency, labour flexibility and economic protection over social support, health, community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inclusion</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and food sustainability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Sbicca</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2018). Neoliberal ideology emphasises deregulation,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privatisation</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and individual responsibility, yet paradoxically relies on an active state to construct, regulate and protect market systems (Alcock and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May,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2014). During the Thatcher government (1979–1990), for example, there was a change in traditional conservative economic processes in relation to purposefully privatising state industries and favouring ownership of property. </w:t>
      </w:r>
      <w:r w:rsidRPr="7ACD7C2B" w:rsidR="4B8A6F70">
        <w:rPr>
          <w:rFonts w:ascii="Aptos" w:hAnsi="Aptos" w:eastAsia="Aptos" w:cs="Aptos" w:asciiTheme="minorAscii" w:hAnsiTheme="minorAscii" w:eastAsiaTheme="minorAscii" w:cstheme="minorAscii"/>
          <w:color w:val="000000" w:themeColor="text1" w:themeTint="FF" w:themeShade="FF"/>
          <w:sz w:val="24"/>
          <w:szCs w:val="24"/>
        </w:rPr>
        <w:t>There was a focus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on individual responsibility instead of state support; market needs were </w:t>
      </w:r>
      <w:r w:rsidRPr="7ACD7C2B" w:rsidR="604634BA">
        <w:rPr>
          <w:rFonts w:ascii="Aptos" w:hAnsi="Aptos" w:eastAsia="Aptos" w:cs="Aptos" w:asciiTheme="minorAscii" w:hAnsiTheme="minorAscii" w:eastAsiaTheme="minorAscii" w:cstheme="minorAscii"/>
          <w:color w:val="000000" w:themeColor="text1" w:themeTint="FF" w:themeShade="FF"/>
          <w:sz w:val="24"/>
          <w:szCs w:val="24"/>
        </w:rPr>
        <w:t>prioritised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over individual</w:t>
      </w:r>
      <w:r w:rsidRPr="7ACD7C2B" w:rsidR="1B6BBB12">
        <w:rPr>
          <w:rFonts w:ascii="Aptos" w:hAnsi="Aptos" w:eastAsia="Aptos" w:cs="Aptos" w:asciiTheme="minorAscii" w:hAnsiTheme="minorAscii" w:eastAsiaTheme="minorAscii" w:cstheme="minorAscii"/>
          <w:color w:val="000000" w:themeColor="text1" w:themeTint="FF" w:themeShade="FF"/>
          <w:sz w:val="24"/>
          <w:szCs w:val="24"/>
        </w:rPr>
        <w:t xml:space="preserve"> support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in this model</w:t>
      </w:r>
      <w:r w:rsidRPr="7ACD7C2B" w:rsidR="0D39EE4C">
        <w:rPr>
          <w:rFonts w:ascii="Aptos" w:hAnsi="Aptos" w:eastAsia="Aptos" w:cs="Aptos" w:asciiTheme="minorAscii" w:hAnsiTheme="minorAscii" w:eastAsiaTheme="minorAscii" w:cstheme="minorAscii"/>
          <w:color w:val="000000" w:themeColor="text1" w:themeTint="FF" w:themeShade="FF"/>
          <w:sz w:val="24"/>
          <w:szCs w:val="24"/>
        </w:rPr>
        <w:t>. 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he </w:t>
      </w:r>
      <w:r w:rsidRPr="7ACD7C2B" w:rsidR="50544B5F">
        <w:rPr>
          <w:rFonts w:ascii="Aptos" w:hAnsi="Aptos" w:eastAsia="Aptos" w:cs="Aptos" w:asciiTheme="minorAscii" w:hAnsiTheme="minorAscii" w:eastAsiaTheme="minorAscii" w:cstheme="minorAscii"/>
          <w:color w:val="000000" w:themeColor="text1" w:themeTint="FF" w:themeShade="FF"/>
          <w:sz w:val="24"/>
          <w:szCs w:val="24"/>
        </w:rPr>
        <w:t xml:space="preserve">prevailing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notion </w:t>
      </w:r>
      <w:r w:rsidRPr="7ACD7C2B" w:rsidR="0EA82E96">
        <w:rPr>
          <w:rFonts w:ascii="Aptos" w:hAnsi="Aptos" w:eastAsia="Aptos" w:cs="Aptos" w:asciiTheme="minorAscii" w:hAnsiTheme="minorAscii" w:eastAsiaTheme="minorAscii" w:cstheme="minorAscii"/>
          <w:color w:val="000000" w:themeColor="text1" w:themeTint="FF" w:themeShade="FF"/>
          <w:sz w:val="24"/>
          <w:szCs w:val="24"/>
        </w:rPr>
        <w:t>was that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poverty </w:t>
      </w:r>
      <w:r w:rsidRPr="7ACD7C2B" w:rsidR="3626F649">
        <w:rPr>
          <w:rFonts w:ascii="Aptos" w:hAnsi="Aptos" w:eastAsia="Aptos" w:cs="Aptos" w:asciiTheme="minorAscii" w:hAnsiTheme="minorAscii" w:eastAsiaTheme="minorAscii" w:cstheme="minorAscii"/>
          <w:color w:val="000000" w:themeColor="text1" w:themeTint="FF" w:themeShade="FF"/>
          <w:sz w:val="24"/>
          <w:szCs w:val="24"/>
        </w:rPr>
        <w:t>could be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held at bay by </w:t>
      </w:r>
      <w:r w:rsidRPr="7ACD7C2B" w:rsidR="50779D27">
        <w:rPr>
          <w:rFonts w:ascii="Aptos" w:hAnsi="Aptos" w:eastAsia="Aptos" w:cs="Aptos" w:asciiTheme="minorAscii" w:hAnsiTheme="minorAscii" w:eastAsiaTheme="minorAscii" w:cstheme="minorAscii"/>
          <w:color w:val="000000" w:themeColor="text1" w:themeTint="FF" w:themeShade="FF"/>
          <w:sz w:val="24"/>
          <w:szCs w:val="24"/>
        </w:rPr>
        <w:t>the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'trickle down' theory</w:t>
      </w:r>
      <w:r w:rsidRPr="7ACD7C2B" w:rsidR="3983656D">
        <w:rPr>
          <w:rFonts w:ascii="Aptos" w:hAnsi="Aptos" w:eastAsia="Aptos" w:cs="Aptos" w:asciiTheme="minorAscii" w:hAnsiTheme="minorAscii" w:eastAsiaTheme="minorAscii" w:cstheme="minorAscii"/>
          <w:color w:val="000000" w:themeColor="text1" w:themeTint="FF" w:themeShade="FF"/>
          <w:sz w:val="24"/>
          <w:szCs w:val="24"/>
        </w:rPr>
        <w:t xml:space="preserve">, whereby wealth generated at the top would </w:t>
      </w:r>
      <w:r w:rsidRPr="7ACD7C2B" w:rsidR="3983656D">
        <w:rPr>
          <w:rFonts w:ascii="Aptos" w:hAnsi="Aptos" w:eastAsia="Aptos" w:cs="Aptos" w:asciiTheme="minorAscii" w:hAnsiTheme="minorAscii" w:eastAsiaTheme="minorAscii" w:cstheme="minorAscii"/>
          <w:color w:val="000000" w:themeColor="text1" w:themeTint="FF" w:themeShade="FF"/>
          <w:sz w:val="24"/>
          <w:szCs w:val="24"/>
        </w:rPr>
        <w:t>benefit</w:t>
      </w:r>
      <w:r w:rsidRPr="7ACD7C2B" w:rsidR="3983656D">
        <w:rPr>
          <w:rFonts w:ascii="Aptos" w:hAnsi="Aptos" w:eastAsia="Aptos" w:cs="Aptos" w:asciiTheme="minorAscii" w:hAnsiTheme="minorAscii" w:eastAsiaTheme="minorAscii" w:cstheme="minorAscii"/>
          <w:color w:val="000000" w:themeColor="text1" w:themeTint="FF" w:themeShade="FF"/>
          <w:sz w:val="24"/>
          <w:szCs w:val="24"/>
        </w:rPr>
        <w:t xml:space="preserve"> lower-income groups through free markets and trade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(Harvey, 2005; Peck, 2010; Alcock and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May,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2014).</w:t>
      </w:r>
      <w:r w:rsidRPr="7ACD7C2B" w:rsidR="43DF8347">
        <w:rPr>
          <w:rFonts w:ascii="Aptos" w:hAnsi="Aptos" w:eastAsia="Aptos" w:cs="Aptos" w:asciiTheme="minorAscii" w:hAnsiTheme="minorAscii" w:eastAsiaTheme="minorAscii" w:cstheme="minorAscii"/>
          <w:color w:val="000000" w:themeColor="text1" w:themeTint="FF" w:themeShade="FF"/>
          <w:sz w:val="24"/>
          <w:szCs w:val="24"/>
        </w:rPr>
        <w:t xml:space="preserve"> ‘Figure 1’ below diagram illustrates this theory</w:t>
      </w:r>
      <w:r w:rsidRPr="7ACD7C2B" w:rsidR="43DF8347">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w:t>
      </w:r>
    </w:p>
    <w:p xmlns:wp14="http://schemas.microsoft.com/office/word/2010/wordml" w:rsidP="714B8EC8" wp14:paraId="4D50AF4F" wp14:textId="63DDE39D">
      <w:pPr>
        <w:pStyle w:val="Normal"/>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pPr>
    </w:p>
    <w:p xmlns:wp14="http://schemas.microsoft.com/office/word/2010/wordml" w:rsidP="714B8EC8" wp14:paraId="7E8395D7" wp14:textId="3DD2AFD4">
      <w:pPr>
        <w:pStyle w:val="Normal"/>
        <w:spacing w:before="0" w:beforeAutospacing="off" w:after="0" w:afterAutospacing="off" w:line="360" w:lineRule="auto"/>
        <w:jc w:val="center"/>
        <w:rPr>
          <w:rFonts w:ascii="Aptos" w:hAnsi="Aptos" w:eastAsia="Aptos" w:cs="Aptos" w:asciiTheme="minorAscii" w:hAnsiTheme="minorAscii" w:eastAsiaTheme="minorAscii" w:cstheme="minorAscii"/>
          <w:color w:val="000000" w:themeColor="text1" w:themeTint="FF" w:themeShade="FF"/>
          <w:sz w:val="24"/>
          <w:szCs w:val="24"/>
        </w:rPr>
      </w:pPr>
      <w:r w:rsidR="38175098">
        <w:drawing>
          <wp:inline xmlns:wp14="http://schemas.microsoft.com/office/word/2010/wordprocessingDrawing" wp14:editId="39620F2B" wp14:anchorId="1B6CBCBE">
            <wp:extent cx="3829050" cy="2867025"/>
            <wp:effectExtent l="0" t="0" r="0" b="0"/>
            <wp:docPr id="8542971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4297182" name="Picture 854297182"/>
                    <pic:cNvPicPr/>
                  </pic:nvPicPr>
                  <pic:blipFill>
                    <a:blip xmlns:r="http://schemas.openxmlformats.org/officeDocument/2006/relationships" r:embed="rId974698800">
                      <a:extLst>
                        <a:ext uri="{28A0092B-C50C-407E-A947-70E740481C1C}">
                          <a14:useLocalDpi xmlns:a14="http://schemas.microsoft.com/office/drawing/2010/main"/>
                        </a:ext>
                      </a:extLst>
                    </a:blip>
                    <a:stretch>
                      <a:fillRect/>
                    </a:stretch>
                  </pic:blipFill>
                  <pic:spPr>
                    <a:xfrm>
                      <a:off x="0" y="0"/>
                      <a:ext cx="3829050" cy="2867025"/>
                    </a:xfrm>
                    <a:prstGeom prst="rect">
                      <a:avLst/>
                    </a:prstGeom>
                  </pic:spPr>
                </pic:pic>
              </a:graphicData>
            </a:graphic>
          </wp:inline>
        </w:drawing>
      </w:r>
    </w:p>
    <w:p xmlns:wp14="http://schemas.microsoft.com/office/word/2010/wordml" w:rsidP="714B8EC8" wp14:paraId="618BF4ED" wp14:textId="6584FBBF">
      <w:pPr>
        <w:pStyle w:val="Normal"/>
        <w:spacing w:before="0" w:beforeAutospacing="off" w:after="0" w:afterAutospacing="off" w:line="360" w:lineRule="auto"/>
        <w:jc w:val="center"/>
        <w:rPr>
          <w:rFonts w:ascii="Aptos" w:hAnsi="Aptos" w:eastAsia="Aptos" w:cs="Aptos" w:asciiTheme="minorAscii" w:hAnsiTheme="minorAscii" w:eastAsiaTheme="minorAscii" w:cstheme="minorAscii"/>
          <w:color w:val="000000" w:themeColor="text1" w:themeTint="FF" w:themeShade="FF"/>
          <w:sz w:val="24"/>
          <w:szCs w:val="24"/>
        </w:rPr>
      </w:pPr>
    </w:p>
    <w:p xmlns:wp14="http://schemas.microsoft.com/office/word/2010/wordml" w:rsidP="714B8EC8" wp14:paraId="159FDFB7" wp14:textId="5A132718">
      <w:pPr>
        <w:spacing w:before="0" w:beforeAutospacing="off" w:after="0" w:afterAutospacing="off" w:line="360" w:lineRule="auto"/>
        <w:jc w:val="center"/>
        <w:rPr>
          <w:rFonts w:ascii="Aptos" w:hAnsi="Aptos" w:eastAsia="Aptos" w:cs="Aptos" w:asciiTheme="minorAscii" w:hAnsiTheme="minorAscii" w:eastAsiaTheme="minorAscii" w:cstheme="minorAscii"/>
          <w:color w:val="000000" w:themeColor="text1" w:themeTint="FF" w:themeShade="FF"/>
          <w:sz w:val="24"/>
          <w:szCs w:val="24"/>
        </w:rPr>
      </w:pPr>
      <w:r w:rsidRPr="714B8EC8" w:rsidR="3817509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Figure 1: ‘</w:t>
      </w:r>
      <w:r w:rsidRPr="714B8EC8" w:rsidR="3817509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Trickle down</w:t>
      </w:r>
      <w:r w:rsidRPr="714B8EC8" w:rsidR="3817509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effect’,</w:t>
      </w:r>
      <w:r w:rsidRPr="714B8EC8" w:rsidR="38175098">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 xml:space="preserve"> (</w:t>
      </w:r>
      <w:r w:rsidRPr="714B8EC8" w:rsidR="3817509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Pettinger 2022)</w:t>
      </w:r>
    </w:p>
    <w:p xmlns:wp14="http://schemas.microsoft.com/office/word/2010/wordml" w:rsidP="714B8EC8" wp14:paraId="1AF0B077" wp14:textId="7B0E8699">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ACD7C2B" wp14:paraId="0E86AD57" wp14:textId="28FB868D">
      <w:pPr>
        <w:spacing w:before="0" w:beforeAutospacing="off" w:after="0" w:afterAutospacing="off" w:line="360" w:lineRule="auto"/>
        <w:rPr>
          <w:rFonts w:ascii="Aptos" w:hAnsi="Aptos" w:eastAsia="Aptos" w:cs="Aptos" w:asciiTheme="minorAscii" w:hAnsiTheme="minorAscii" w:eastAsiaTheme="minorAscii" w:cstheme="minorAscii"/>
          <w:i w:val="1"/>
          <w:iCs w:val="1"/>
          <w:color w:val="000000" w:themeColor="text1" w:themeTint="FF" w:themeShade="FF"/>
          <w:sz w:val="24"/>
          <w:szCs w:val="24"/>
        </w:rPr>
      </w:pPr>
      <w:r w:rsidRPr="7ACD7C2B" w:rsidR="7F8FE9A6">
        <w:rPr>
          <w:rFonts w:ascii="Aptos" w:hAnsi="Aptos" w:eastAsia="Aptos" w:cs="Aptos" w:asciiTheme="minorAscii" w:hAnsiTheme="minorAscii" w:eastAsiaTheme="minorAscii" w:cstheme="minorAscii"/>
          <w:color w:val="000000" w:themeColor="text1" w:themeTint="FF" w:themeShade="FF"/>
          <w:sz w:val="24"/>
          <w:szCs w:val="24"/>
        </w:rPr>
        <w:t xml:space="preserve">In contrast,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Keynesian ideology dominated UK politics prior to the late 1970s (pre-Thatcher). This approach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maintained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that during periods of economic stress, state intervention and employment should be encouraged to protect and stabilise markets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The assumption was that government intervention was necessary to correct market failures and protect social welfare at times of economic need (Keynes, 1936; IMF, 2014). Contrasting this approach, the SWP/SWV present</w:t>
      </w:r>
      <w:r w:rsidRPr="7ACD7C2B" w:rsidR="7A8B7AE6">
        <w:rPr>
          <w:rFonts w:ascii="Aptos" w:hAnsi="Aptos" w:eastAsia="Aptos" w:cs="Aptos" w:asciiTheme="minorAscii" w:hAnsiTheme="minorAscii" w:eastAsiaTheme="minorAscii" w:cstheme="minorAscii"/>
          <w:color w:val="000000" w:themeColor="text1" w:themeTint="FF" w:themeShade="FF"/>
          <w:sz w:val="24"/>
          <w:szCs w:val="24"/>
        </w:rPr>
        <w:t xml:space="preserve">s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a different form of government intervention. Rather than supporting the stabilisation of labour markets through improved wages, working conditions and long-term workforce development; the state instead </w:t>
      </w:r>
      <w:r w:rsidRPr="7ACD7C2B" w:rsidR="10740A0C">
        <w:rPr>
          <w:rFonts w:ascii="Aptos" w:hAnsi="Aptos" w:eastAsia="Aptos" w:cs="Aptos" w:asciiTheme="minorAscii" w:hAnsiTheme="minorAscii" w:eastAsiaTheme="minorAscii" w:cstheme="minorAscii"/>
          <w:color w:val="000000" w:themeColor="text1" w:themeTint="FF" w:themeShade="FF"/>
          <w:sz w:val="24"/>
          <w:szCs w:val="24"/>
        </w:rPr>
        <w:t xml:space="preserve">intervened to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produce</w:t>
      </w:r>
      <w:r w:rsidRPr="7ACD7C2B" w:rsidR="76F230D1">
        <w:rPr>
          <w:rFonts w:ascii="Aptos" w:hAnsi="Aptos" w:eastAsia="Aptos" w:cs="Aptos" w:asciiTheme="minorAscii" w:hAnsiTheme="minorAscii" w:eastAsiaTheme="minorAscii" w:cstheme="minorAscii"/>
          <w:i w:val="1"/>
          <w:iCs w:val="1"/>
          <w:color w:val="000000" w:themeColor="text1" w:themeTint="FF" w:themeShade="FF"/>
          <w:sz w:val="24"/>
          <w:szCs w:val="24"/>
          <w:u w:val="none"/>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a policy that secures a compliant and temporary workforce (Scott, 2013). This approach</w:t>
      </w:r>
      <w:r w:rsidRPr="7ACD7C2B" w:rsidR="6D4448D1">
        <w:rPr>
          <w:rFonts w:ascii="Aptos" w:hAnsi="Aptos" w:eastAsia="Aptos" w:cs="Aptos" w:asciiTheme="minorAscii" w:hAnsiTheme="minorAscii" w:eastAsiaTheme="minorAscii" w:cstheme="minorAscii"/>
          <w:color w:val="000000" w:themeColor="text1" w:themeTint="FF" w:themeShade="FF"/>
          <w:sz w:val="24"/>
          <w:szCs w:val="24"/>
        </w:rPr>
        <w:t xml:space="preserve"> is suggested to</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prioritise agricultural employers and the provision of food under the narrative of securing workers to manage 'labour shortage' at the cheapest rate whilst limiting the rights of vulnerable workers and normalising temporary, unequal labour (Milbourne and Coulson, 2021). The failure of the system is due to it being tailored to manage and control market forces over social and human sustainability; rather than addressing the structural </w:t>
      </w:r>
      <w:r w:rsidRPr="7ACD7C2B" w:rsidR="110D22EA">
        <w:rPr>
          <w:rFonts w:ascii="Aptos" w:hAnsi="Aptos" w:eastAsia="Aptos" w:cs="Aptos" w:asciiTheme="minorAscii" w:hAnsiTheme="minorAscii" w:eastAsiaTheme="minorAscii" w:cstheme="minorAscii"/>
          <w:color w:val="000000" w:themeColor="text1" w:themeTint="FF" w:themeShade="FF"/>
          <w:sz w:val="24"/>
          <w:szCs w:val="24"/>
        </w:rPr>
        <w:t xml:space="preserve">conditions </w:t>
      </w:r>
      <w:r w:rsidRPr="7ACD7C2B" w:rsidR="52DC0062">
        <w:rPr>
          <w:rFonts w:ascii="Aptos" w:hAnsi="Aptos" w:eastAsia="Aptos" w:cs="Aptos" w:asciiTheme="minorAscii" w:hAnsiTheme="minorAscii" w:eastAsiaTheme="minorAscii" w:cstheme="minorAscii"/>
          <w:color w:val="000000" w:themeColor="text1" w:themeTint="FF" w:themeShade="FF"/>
          <w:sz w:val="24"/>
          <w:szCs w:val="24"/>
        </w:rPr>
        <w:t>that reproduce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labour precarity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Sbicca</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2018; Palumbo, 2024).</w:t>
      </w:r>
      <w:r w:rsidRPr="7ACD7C2B" w:rsidR="76F230D1">
        <w:rPr>
          <w:rFonts w:ascii="Aptos" w:hAnsi="Aptos" w:eastAsia="Aptos" w:cs="Aptos" w:asciiTheme="minorAscii" w:hAnsiTheme="minorAscii" w:eastAsiaTheme="minorAscii" w:cstheme="minorAscii"/>
          <w:i w:val="1"/>
          <w:iCs w:val="1"/>
          <w:color w:val="000000" w:themeColor="text1" w:themeTint="FF" w:themeShade="FF"/>
          <w:sz w:val="24"/>
          <w:szCs w:val="24"/>
        </w:rPr>
        <w:t xml:space="preserve"> </w:t>
      </w:r>
    </w:p>
    <w:p xmlns:wp14="http://schemas.microsoft.com/office/word/2010/wordml" w:rsidP="714B8EC8" wp14:paraId="14F1B94F" wp14:textId="54F30B10">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2BBF15D8" wp14:textId="3CD54503">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Conditionality of belonging is central to neoliberal ideology;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Ong (2022)</w:t>
      </w:r>
      <w:r w:rsidRPr="7ACD7C2B" w:rsidR="76F230D1">
        <w:rPr>
          <w:rFonts w:ascii="Aptos" w:hAnsi="Aptos" w:eastAsia="Aptos" w:cs="Aptos" w:asciiTheme="minorAscii" w:hAnsiTheme="minorAscii" w:eastAsiaTheme="minorAscii" w:cstheme="minorAscii"/>
          <w:i w:val="1"/>
          <w:iCs w:val="1"/>
          <w:color w:val="000000" w:themeColor="text1" w:themeTint="FF" w:themeShade="FF"/>
          <w:sz w:val="24"/>
          <w:szCs w:val="24"/>
          <w:u w:val="none"/>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illustrates this through the concept of flexible citizenship, describing how those with wealth can strategically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acquire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dual citizenship or residency rights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in order to</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maximise economic opportunity</w:t>
      </w:r>
      <w:r w:rsidRPr="7ACD7C2B" w:rsidR="48E4717B">
        <w:rPr>
          <w:rFonts w:ascii="Aptos" w:hAnsi="Aptos" w:eastAsia="Aptos" w:cs="Aptos" w:asciiTheme="minorAscii" w:hAnsiTheme="minorAscii" w:eastAsiaTheme="minorAscii" w:cstheme="minorAscii"/>
          <w:color w:val="000000" w:themeColor="text1" w:themeTint="FF" w:themeShade="FF"/>
          <w:sz w:val="24"/>
          <w:szCs w:val="24"/>
        </w:rPr>
        <w:t xml:space="preserve"> for </w:t>
      </w:r>
      <w:r w:rsidRPr="7ACD7C2B" w:rsidR="3754DF3D">
        <w:rPr>
          <w:rFonts w:ascii="Aptos" w:hAnsi="Aptos" w:eastAsia="Aptos" w:cs="Aptos" w:asciiTheme="minorAscii" w:hAnsiTheme="minorAscii" w:eastAsiaTheme="minorAscii" w:cstheme="minorAscii"/>
          <w:color w:val="000000" w:themeColor="text1" w:themeTint="FF" w:themeShade="FF"/>
          <w:sz w:val="24"/>
          <w:szCs w:val="24"/>
        </w:rPr>
        <w:t xml:space="preserve">a </w:t>
      </w:r>
      <w:r w:rsidRPr="7ACD7C2B" w:rsidR="48E4717B">
        <w:rPr>
          <w:rFonts w:ascii="Aptos" w:hAnsi="Aptos" w:eastAsia="Aptos" w:cs="Aptos" w:asciiTheme="minorAscii" w:hAnsiTheme="minorAscii" w:eastAsiaTheme="minorAscii" w:cstheme="minorAscii"/>
          <w:color w:val="000000" w:themeColor="text1" w:themeTint="FF" w:themeShade="FF"/>
          <w:sz w:val="24"/>
          <w:szCs w:val="24"/>
        </w:rPr>
        <w:t>countr</w:t>
      </w:r>
      <w:r w:rsidRPr="7ACD7C2B" w:rsidR="515CA6F5">
        <w:rPr>
          <w:rFonts w:ascii="Aptos" w:hAnsi="Aptos" w:eastAsia="Aptos" w:cs="Aptos" w:asciiTheme="minorAscii" w:hAnsiTheme="minorAscii" w:eastAsiaTheme="minorAscii" w:cstheme="minorAscii"/>
          <w:color w:val="000000" w:themeColor="text1" w:themeTint="FF" w:themeShade="FF"/>
          <w:sz w:val="24"/>
          <w:szCs w:val="24"/>
        </w:rPr>
        <w:t>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In this context, citizenship becomes a market asset rather than a fixed status. Anderson (2021) furthers this argument by linking rights of citizenship to broader structures of inequality, </w:t>
      </w:r>
      <w:r w:rsidRPr="7ACD7C2B" w:rsidR="7F4AD950">
        <w:rPr>
          <w:rFonts w:ascii="Aptos" w:hAnsi="Aptos" w:eastAsia="Aptos" w:cs="Aptos" w:asciiTheme="minorAscii" w:hAnsiTheme="minorAscii" w:eastAsiaTheme="minorAscii" w:cstheme="minorAscii"/>
          <w:color w:val="000000" w:themeColor="text1" w:themeTint="FF" w:themeShade="FF"/>
          <w:sz w:val="24"/>
          <w:szCs w:val="24"/>
        </w:rPr>
        <w:t>suggesting</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that states are more receptive to migrants who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emonstrate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economic value through capital or investment. In contrast, those who lack such resources are subjected to heightened conditional legal and social statuses</w:t>
      </w:r>
      <w:r w:rsidRPr="7ACD7C2B" w:rsidR="0D04C4B0">
        <w:rPr>
          <w:rFonts w:ascii="Aptos" w:hAnsi="Aptos" w:eastAsia="Aptos" w:cs="Aptos" w:asciiTheme="minorAscii" w:hAnsiTheme="minorAscii" w:eastAsiaTheme="minorAscii" w:cstheme="minorAscii"/>
          <w:color w:val="000000" w:themeColor="text1" w:themeTint="FF" w:themeShade="FF"/>
          <w:sz w:val="24"/>
          <w:szCs w:val="24"/>
        </w:rPr>
        <w: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regulat</w:t>
      </w:r>
      <w:r w:rsidRPr="7ACD7C2B" w:rsidR="624B4EE6">
        <w:rPr>
          <w:rFonts w:ascii="Aptos" w:hAnsi="Aptos" w:eastAsia="Aptos" w:cs="Aptos" w:asciiTheme="minorAscii" w:hAnsiTheme="minorAscii" w:eastAsiaTheme="minorAscii" w:cstheme="minorAscii"/>
          <w:color w:val="000000" w:themeColor="text1" w:themeTint="FF" w:themeShade="FF"/>
          <w:sz w:val="24"/>
          <w:szCs w:val="24"/>
        </w:rPr>
        <w:t>ing</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mobility and distinguish</w:t>
      </w:r>
      <w:r w:rsidRPr="7ACD7C2B" w:rsidR="00D5CE4F">
        <w:rPr>
          <w:rFonts w:ascii="Aptos" w:hAnsi="Aptos" w:eastAsia="Aptos" w:cs="Aptos" w:asciiTheme="minorAscii" w:hAnsiTheme="minorAscii" w:eastAsiaTheme="minorAscii" w:cstheme="minorAscii"/>
          <w:color w:val="000000" w:themeColor="text1" w:themeTint="FF" w:themeShade="FF"/>
          <w:sz w:val="24"/>
          <w:szCs w:val="24"/>
        </w:rPr>
        <w:t>ing</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between those who are considered 'deserving' and 'undeserving'. This is a distinction reflected in current UK migration policy, where highly qualified migrants can access longer-term residence, </w:t>
      </w:r>
      <w:r w:rsidRPr="7ACD7C2B" w:rsidR="2CC8F69C">
        <w:rPr>
          <w:rFonts w:ascii="Aptos" w:hAnsi="Aptos" w:eastAsia="Aptos" w:cs="Aptos" w:asciiTheme="minorAscii" w:hAnsiTheme="minorAscii" w:eastAsiaTheme="minorAscii" w:cstheme="minorAscii"/>
          <w:color w:val="000000" w:themeColor="text1" w:themeTint="FF" w:themeShade="FF"/>
          <w:sz w:val="24"/>
          <w:szCs w:val="24"/>
        </w:rPr>
        <w:t>yet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agricultural labourers are granted a maximum stay of six months (Castles, 2004; Independent Chief Inspector of Borders and Immigration, 2022; Home Office, 2025a). Anderson (2021) further suggests that traditions of governing labour and wealth are closely tied to belonging and inclusion, producing a form of neoliberal conditionality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vident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in t</w:t>
      </w:r>
      <w:r w:rsidRPr="7ACD7C2B" w:rsidR="00527421">
        <w:rPr>
          <w:rFonts w:ascii="Aptos" w:hAnsi="Aptos" w:eastAsia="Aptos" w:cs="Aptos" w:asciiTheme="minorAscii" w:hAnsiTheme="minorAscii" w:eastAsiaTheme="minorAscii" w:cstheme="minorAscii"/>
          <w:color w:val="000000" w:themeColor="text1" w:themeTint="FF" w:themeShade="FF"/>
          <w:sz w:val="24"/>
          <w:szCs w:val="24"/>
        </w:rPr>
        <w:t xml:space="preserve">he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SWP/SWV scheme</w:t>
      </w:r>
      <w:r w:rsidRPr="7ACD7C2B" w:rsidR="397EF54A">
        <w:rPr>
          <w:rFonts w:ascii="Aptos" w:hAnsi="Aptos" w:eastAsia="Aptos" w:cs="Aptos" w:asciiTheme="minorAscii" w:hAnsiTheme="minorAscii" w:eastAsiaTheme="minorAscii" w:cstheme="minorAscii"/>
          <w:color w:val="000000" w:themeColor="text1" w:themeTint="FF" w:themeShade="FF"/>
          <w:sz w:val="24"/>
          <w:szCs w:val="24"/>
        </w:rPr>
        <w:t>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36538D1C">
        <w:rPr>
          <w:rFonts w:ascii="Aptos" w:hAnsi="Aptos" w:eastAsia="Aptos" w:cs="Aptos" w:asciiTheme="minorAscii" w:hAnsiTheme="minorAscii" w:eastAsiaTheme="minorAscii" w:cstheme="minorAscii"/>
          <w:color w:val="000000" w:themeColor="text1" w:themeTint="FF" w:themeShade="FF"/>
          <w:sz w:val="24"/>
          <w:szCs w:val="24"/>
        </w:rPr>
        <w:t>For example, w</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orkers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a</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re required to</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emonstrate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at least £1,270 in savings and apply for a temporary visa costing £318, in addition to covering their own travel expenses. However, they are not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p</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ermitted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to bring family members or dependants, cannot access public funds, and must leave after six months (Home Office, 2026a). This reinforces the narrative that migrant workers are economically valued for their labour while being socially excluded and denied full membership within society (Taylor, 199</w:t>
      </w:r>
      <w:r w:rsidRPr="7ACD7C2B" w:rsidR="563ADD85">
        <w:rPr>
          <w:rFonts w:ascii="Aptos" w:hAnsi="Aptos" w:eastAsia="Aptos" w:cs="Aptos" w:asciiTheme="minorAscii" w:hAnsiTheme="minorAscii" w:eastAsiaTheme="minorAscii" w:cstheme="minorAscii"/>
          <w:color w:val="000000" w:themeColor="text1" w:themeTint="FF" w:themeShade="FF"/>
          <w:sz w:val="24"/>
          <w:szCs w:val="24"/>
        </w:rPr>
        <w:t>4</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antouvalou</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2023; Anderson, 2010).</w:t>
      </w:r>
    </w:p>
    <w:p xmlns:wp14="http://schemas.microsoft.com/office/word/2010/wordml" w:rsidP="714B8EC8" wp14:paraId="10CCEBBC" wp14:textId="1E064005">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ACD7C2B" wp14:paraId="0A4DB72A" wp14:textId="4DF1FAB3">
      <w:pPr>
        <w:pStyle w:val="Normal"/>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u w:val="none"/>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Neoliberal governance can be viewed through a Foucauldian </w:t>
      </w:r>
      <w:r w:rsidRPr="7ACD7C2B" w:rsidR="33E8876F">
        <w:rPr>
          <w:rFonts w:ascii="Aptos" w:hAnsi="Aptos" w:eastAsia="Aptos" w:cs="Aptos" w:asciiTheme="minorAscii" w:hAnsiTheme="minorAscii" w:eastAsiaTheme="minorAscii" w:cstheme="minorAscii"/>
          <w:color w:val="000000" w:themeColor="text1" w:themeTint="FF" w:themeShade="FF"/>
          <w:sz w:val="24"/>
          <w:szCs w:val="24"/>
        </w:rPr>
        <w:t>lens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w:t>
      </w:r>
      <w:r w:rsidRPr="7ACD7C2B" w:rsidR="7FEE9720">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as power exercised through</w:t>
      </w:r>
      <w:r w:rsidRPr="7ACD7C2B" w:rsidR="76F230D1">
        <w:rPr>
          <w:rFonts w:ascii="Aptos" w:hAnsi="Aptos" w:eastAsia="Aptos" w:cs="Aptos" w:asciiTheme="minorAscii" w:hAnsiTheme="minorAscii" w:eastAsiaTheme="minorAscii" w:cstheme="minorAscii"/>
          <w:i w:val="1"/>
          <w:iCs w:val="1"/>
          <w:color w:val="000000" w:themeColor="text1" w:themeTint="FF" w:themeShade="FF"/>
          <w:sz w:val="24"/>
          <w:szCs w:val="24"/>
          <w:u w:val="none"/>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subtle normalised controlling techniques (Foucault, 1980, cited in Chee, 2025; Davies, 2018). Foucault's concept of the panopticon</w:t>
      </w:r>
      <w:r w:rsidRPr="7ACD7C2B" w:rsidR="3C69C1F6">
        <w:rPr>
          <w:rFonts w:ascii="Aptos" w:hAnsi="Aptos" w:eastAsia="Aptos" w:cs="Aptos" w:asciiTheme="minorAscii" w:hAnsiTheme="minorAscii" w:eastAsiaTheme="minorAscii" w:cstheme="minorAscii"/>
          <w:color w:val="000000" w:themeColor="text1" w:themeTint="FF" w:themeShade="FF"/>
          <w:sz w:val="24"/>
          <w:szCs w:val="24"/>
          <w:u w:val="none"/>
        </w:rPr>
        <w:t xml:space="preserve"> illustrates</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 xml:space="preserve"> a structure that allows </w:t>
      </w:r>
      <w:r w:rsidRPr="7ACD7C2B" w:rsidR="69DC0C4D">
        <w:rPr>
          <w:rFonts w:ascii="Aptos" w:hAnsi="Aptos" w:eastAsia="Aptos" w:cs="Aptos" w:asciiTheme="minorAscii" w:hAnsiTheme="minorAscii" w:eastAsiaTheme="minorAscii" w:cstheme="minorAscii"/>
          <w:color w:val="000000" w:themeColor="text1" w:themeTint="FF" w:themeShade="FF"/>
          <w:sz w:val="24"/>
          <w:szCs w:val="24"/>
          <w:u w:val="none"/>
        </w:rPr>
        <w:t>‘</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subjects</w:t>
      </w:r>
      <w:r w:rsidRPr="7ACD7C2B" w:rsidR="09DFC7F4">
        <w:rPr>
          <w:rFonts w:ascii="Aptos" w:hAnsi="Aptos" w:eastAsia="Aptos" w:cs="Aptos" w:asciiTheme="minorAscii" w:hAnsiTheme="minorAscii" w:eastAsiaTheme="minorAscii" w:cstheme="minorAscii"/>
          <w:color w:val="000000" w:themeColor="text1" w:themeTint="FF" w:themeShade="FF"/>
          <w:sz w:val="24"/>
          <w:szCs w:val="24"/>
          <w:u w:val="none"/>
        </w:rPr>
        <w:t>’ (individuals)</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 xml:space="preserve"> to be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observed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at any point without </w:t>
      </w:r>
      <w:r w:rsidRPr="7ACD7C2B" w:rsidR="03CFC1A9">
        <w:rPr>
          <w:rFonts w:ascii="Aptos" w:hAnsi="Aptos" w:eastAsia="Aptos" w:cs="Aptos" w:asciiTheme="minorAscii" w:hAnsiTheme="minorAscii" w:eastAsiaTheme="minorAscii" w:cstheme="minorAscii"/>
          <w:color w:val="000000" w:themeColor="text1" w:themeTint="FF" w:themeShade="FF"/>
          <w:sz w:val="24"/>
          <w:szCs w:val="24"/>
        </w:rPr>
        <w:t>knowing</w:t>
      </w:r>
      <w:r w:rsidRPr="7ACD7C2B" w:rsidR="76A9ADCA">
        <w:rPr>
          <w:rFonts w:ascii="Aptos" w:hAnsi="Aptos" w:eastAsia="Aptos" w:cs="Aptos" w:asciiTheme="minorAscii" w:hAnsiTheme="minorAscii" w:eastAsiaTheme="minorAscii" w:cstheme="minorAscii"/>
          <w:color w:val="000000" w:themeColor="text1" w:themeTint="FF" w:themeShade="FF"/>
          <w:sz w:val="24"/>
          <w:szCs w:val="24"/>
        </w:rPr>
        <w:t xml:space="preserve"> when</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is a useful framework for analysing the experience of migrant workers. </w:t>
      </w:r>
      <w:r w:rsidRPr="7ACD7C2B" w:rsidR="4CC206BE">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0790FD8">
        <w:rPr>
          <w:rFonts w:ascii="Aptos" w:hAnsi="Aptos" w:eastAsia="Aptos" w:cs="Aptos" w:asciiTheme="minorAscii" w:hAnsiTheme="minorAscii" w:eastAsiaTheme="minorAscii" w:cstheme="minorAscii"/>
          <w:color w:val="000000" w:themeColor="text1" w:themeTint="FF" w:themeShade="FF"/>
          <w:sz w:val="24"/>
          <w:szCs w:val="24"/>
        </w:rPr>
        <w:t xml:space="preserve">‘Figure 2’ </w:t>
      </w:r>
      <w:r w:rsidRPr="7ACD7C2B" w:rsidR="70790FD8">
        <w:rPr>
          <w:rFonts w:ascii="Aptos" w:hAnsi="Aptos" w:eastAsia="Aptos" w:cs="Aptos" w:asciiTheme="minorAscii" w:hAnsiTheme="minorAscii" w:eastAsiaTheme="minorAscii" w:cstheme="minorAscii"/>
          <w:color w:val="000000" w:themeColor="text1" w:themeTint="FF" w:themeShade="FF"/>
          <w:sz w:val="24"/>
          <w:szCs w:val="24"/>
        </w:rPr>
        <w:t>demonstrates</w:t>
      </w:r>
      <w:r w:rsidRPr="7ACD7C2B" w:rsidR="70790FD8">
        <w:rPr>
          <w:rFonts w:ascii="Aptos" w:hAnsi="Aptos" w:eastAsia="Aptos" w:cs="Aptos" w:asciiTheme="minorAscii" w:hAnsiTheme="minorAscii" w:eastAsiaTheme="minorAscii" w:cstheme="minorAscii"/>
          <w:color w:val="000000" w:themeColor="text1" w:themeTint="FF" w:themeShade="FF"/>
          <w:sz w:val="24"/>
          <w:szCs w:val="24"/>
        </w:rPr>
        <w:t xml:space="preserve"> this concept using the penitentiary system.</w:t>
      </w:r>
    </w:p>
    <w:p xmlns:wp14="http://schemas.microsoft.com/office/word/2010/wordml" w:rsidP="7ACD7C2B" wp14:paraId="22FEE4FA" wp14:textId="718F92BD">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p>
    <w:p xmlns:wp14="http://schemas.microsoft.com/office/word/2010/wordml" w:rsidP="7ACD7C2B" wp14:paraId="7EED2802" wp14:textId="26961BB8">
      <w:pPr>
        <w:pStyle w:val="Normal"/>
        <w:spacing w:before="0" w:beforeAutospacing="off" w:after="0" w:afterAutospacing="off" w:line="360" w:lineRule="auto"/>
        <w:jc w:val="center"/>
        <w:rPr>
          <w:rFonts w:ascii="Aptos" w:hAnsi="Aptos" w:eastAsia="Aptos" w:cs="Aptos" w:asciiTheme="minorAscii" w:hAnsiTheme="minorAscii" w:eastAsiaTheme="minorAscii" w:cstheme="minorAscii"/>
          <w:color w:val="000000" w:themeColor="text1" w:themeTint="FF" w:themeShade="FF"/>
          <w:sz w:val="24"/>
          <w:szCs w:val="24"/>
        </w:rPr>
      </w:pPr>
      <w:r w:rsidR="4CC206BE">
        <w:drawing>
          <wp:inline xmlns:wp14="http://schemas.microsoft.com/office/word/2010/wordprocessingDrawing" wp14:editId="3CEF4B46" wp14:anchorId="72EA8677">
            <wp:extent cx="2295525" cy="1771650"/>
            <wp:effectExtent l="0" t="0" r="0" b="0"/>
            <wp:docPr id="14994898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7512231" name="Picture 1897512231"/>
                    <pic:cNvPicPr/>
                  </pic:nvPicPr>
                  <pic:blipFill>
                    <a:blip xmlns:r="http://schemas.openxmlformats.org/officeDocument/2006/relationships" r:embed="rId1423659520">
                      <a:extLst>
                        <a:ext uri="{28A0092B-C50C-407E-A947-70E740481C1C}">
                          <a14:useLocalDpi xmlns:a14="http://schemas.microsoft.com/office/drawing/2010/main"/>
                        </a:ext>
                      </a:extLst>
                    </a:blip>
                    <a:stretch>
                      <a:fillRect/>
                    </a:stretch>
                  </pic:blipFill>
                  <pic:spPr>
                    <a:xfrm>
                      <a:off x="0" y="0"/>
                      <a:ext cx="2295525" cy="1771650"/>
                    </a:xfrm>
                    <a:prstGeom prst="rect">
                      <a:avLst/>
                    </a:prstGeom>
                  </pic:spPr>
                </pic:pic>
              </a:graphicData>
            </a:graphic>
          </wp:inline>
        </w:drawing>
      </w:r>
    </w:p>
    <w:p xmlns:wp14="http://schemas.microsoft.com/office/word/2010/wordml" w:rsidP="7ACD7C2B" wp14:paraId="0F595DF2" wp14:textId="5396AC4B">
      <w:pPr>
        <w:pStyle w:val="Normal"/>
        <w:spacing w:before="0" w:beforeAutospacing="off" w:after="0" w:afterAutospacing="off" w:line="360" w:lineRule="auto"/>
        <w:jc w:val="center"/>
        <w:rPr>
          <w:rFonts w:ascii="Aptos" w:hAnsi="Aptos" w:eastAsia="Aptos" w:cs="Aptos" w:asciiTheme="minorAscii" w:hAnsiTheme="minorAscii" w:eastAsiaTheme="minorAscii" w:cstheme="minorAscii"/>
          <w:color w:val="000000" w:themeColor="text1" w:themeTint="FF" w:themeShade="FF"/>
          <w:sz w:val="24"/>
          <w:szCs w:val="24"/>
        </w:rPr>
      </w:pPr>
    </w:p>
    <w:p xmlns:wp14="http://schemas.microsoft.com/office/word/2010/wordml" w:rsidP="7ACD7C2B" wp14:paraId="5A1CF540" wp14:textId="19B655AE">
      <w:pPr>
        <w:spacing w:before="0" w:beforeAutospacing="off" w:after="0" w:afterAutospacing="off" w:line="360" w:lineRule="auto"/>
        <w:jc w:val="center"/>
        <w:rPr>
          <w:rFonts w:ascii="Aptos" w:hAnsi="Aptos" w:eastAsia="Aptos" w:cs="Aptos" w:asciiTheme="minorAscii" w:hAnsiTheme="minorAscii" w:eastAsiaTheme="minorAscii" w:cstheme="minorAscii"/>
          <w:color w:val="000000" w:themeColor="text1" w:themeTint="FF" w:themeShade="FF"/>
          <w:sz w:val="24"/>
          <w:szCs w:val="24"/>
        </w:rPr>
      </w:pPr>
      <w:r w:rsidRPr="7ACD7C2B" w:rsidR="4CC206BE">
        <w:rPr>
          <w:rFonts w:ascii="Aptos" w:hAnsi="Aptos" w:eastAsia="Aptos" w:cs="Aptos" w:asciiTheme="minorAscii" w:hAnsiTheme="minorAscii" w:eastAsiaTheme="minorAscii" w:cstheme="minorAscii"/>
          <w:color w:val="000000" w:themeColor="text1" w:themeTint="FF" w:themeShade="FF"/>
          <w:sz w:val="24"/>
          <w:szCs w:val="24"/>
        </w:rPr>
        <w:t>Figure 2: Stateville Penitentiary, Illinois. DuBois and Goldberg (2002), cited in Brook (2010).</w:t>
      </w:r>
    </w:p>
    <w:p xmlns:wp14="http://schemas.microsoft.com/office/word/2010/wordml" w:rsidP="7ACD7C2B" wp14:paraId="53C27969" wp14:textId="6A512C8B">
      <w:pPr>
        <w:pStyle w:val="Normal"/>
        <w:spacing w:before="0" w:beforeAutospacing="off" w:after="0" w:afterAutospacing="off" w:line="360" w:lineRule="auto"/>
        <w:jc w:val="center"/>
        <w:rPr>
          <w:rFonts w:ascii="Aptos" w:hAnsi="Aptos" w:eastAsia="Aptos" w:cs="Aptos" w:asciiTheme="minorAscii" w:hAnsiTheme="minorAscii" w:eastAsiaTheme="minorAscii" w:cstheme="minorAscii"/>
          <w:color w:val="000000" w:themeColor="text1" w:themeTint="FF" w:themeShade="FF"/>
          <w:sz w:val="24"/>
          <w:szCs w:val="24"/>
        </w:rPr>
      </w:pPr>
    </w:p>
    <w:p xmlns:wp14="http://schemas.microsoft.com/office/word/2010/wordml" w:rsidP="7ACD7C2B" wp14:paraId="57564FED" wp14:textId="7515F38E">
      <w:pPr>
        <w:pStyle w:val="Normal"/>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Under the SWV, mechanisms such as the tying of visas to specific employers, restrictions on job mobility,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and reliance on employer-controlled accommodation all imply</w:t>
      </w:r>
      <w:r w:rsidRPr="7ACD7C2B" w:rsidR="059AF07E">
        <w:rPr>
          <w:rFonts w:ascii="Aptos" w:hAnsi="Aptos" w:eastAsia="Aptos" w:cs="Aptos" w:asciiTheme="minorAscii" w:hAnsiTheme="minorAscii" w:eastAsiaTheme="minorAscii" w:cstheme="minorAscii"/>
          <w:color w:val="000000" w:themeColor="text1" w:themeTint="FF" w:themeShade="FF"/>
          <w:sz w:val="24"/>
          <w:szCs w:val="24"/>
          <w:u w:val="none"/>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dependence through the relationship with the employer and wider policy structure. These arrangements shape worker behaviour through the possibility of surveillance and sanction, even when direct enforcement is not visible or being directly experienced (Chee, 2025). Foucault theorised that the power of surveillance does not lie in constant observation but in the possibility of being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observed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which </w:t>
      </w:r>
      <w:r w:rsidRPr="7ACD7C2B" w:rsidR="69AA3E8E">
        <w:rPr>
          <w:rFonts w:ascii="Aptos" w:hAnsi="Aptos" w:eastAsia="Aptos" w:cs="Aptos" w:asciiTheme="minorAscii" w:hAnsiTheme="minorAscii" w:eastAsiaTheme="minorAscii" w:cstheme="minorAscii"/>
          <w:color w:val="000000" w:themeColor="text1" w:themeTint="FF" w:themeShade="FF"/>
          <w:sz w:val="24"/>
          <w:szCs w:val="24"/>
        </w:rPr>
        <w:t xml:space="preserve">in turn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generates self-discipline.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Mellino</w:t>
      </w:r>
      <w:r w:rsidRPr="7ACD7C2B" w:rsidR="76F230D1">
        <w:rPr>
          <w:rFonts w:ascii="Aptos" w:hAnsi="Aptos" w:eastAsia="Aptos" w:cs="Aptos" w:asciiTheme="minorAscii" w:hAnsiTheme="minorAscii" w:eastAsiaTheme="minorAscii" w:cstheme="minorAscii"/>
          <w:i w:val="1"/>
          <w:iCs w:val="1"/>
          <w:color w:val="000000" w:themeColor="text1" w:themeTint="FF" w:themeShade="FF"/>
          <w:sz w:val="24"/>
          <w:szCs w:val="24"/>
          <w:u w:val="none"/>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and Chapman (2023) agree with this narrative, suggesting that migrant worker control is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maintained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by the fear of discipline and punishment, </w:t>
      </w:r>
      <w:r w:rsidRPr="7ACD7C2B" w:rsidR="706BE09B">
        <w:rPr>
          <w:rFonts w:ascii="Aptos" w:hAnsi="Aptos" w:eastAsia="Aptos" w:cs="Aptos" w:asciiTheme="minorAscii" w:hAnsiTheme="minorAscii" w:eastAsiaTheme="minorAscii" w:cstheme="minorAscii"/>
          <w:color w:val="000000" w:themeColor="text1" w:themeTint="FF" w:themeShade="FF"/>
          <w:sz w:val="24"/>
          <w:szCs w:val="24"/>
        </w:rPr>
        <w:t>they name these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as direct harm, threats of harm or fear of visa </w:t>
      </w:r>
      <w:r w:rsidRPr="7ACD7C2B" w:rsidR="5E84AD31">
        <w:rPr>
          <w:rFonts w:ascii="Aptos" w:hAnsi="Aptos" w:eastAsia="Aptos" w:cs="Aptos" w:asciiTheme="minorAscii" w:hAnsiTheme="minorAscii" w:eastAsiaTheme="minorAscii" w:cstheme="minorAscii"/>
          <w:color w:val="000000" w:themeColor="text1" w:themeTint="FF" w:themeShade="FF"/>
          <w:sz w:val="24"/>
          <w:szCs w:val="24"/>
        </w:rPr>
        <w:t>confiscation by</w:t>
      </w:r>
      <w:r w:rsidRPr="7ACD7C2B" w:rsidR="4D9F30B9">
        <w:rPr>
          <w:rFonts w:ascii="Aptos" w:hAnsi="Aptos" w:eastAsia="Aptos" w:cs="Aptos" w:asciiTheme="minorAscii" w:hAnsiTheme="minorAscii" w:eastAsiaTheme="minorAscii" w:cstheme="minorAscii"/>
          <w:color w:val="000000" w:themeColor="text1" w:themeTint="FF" w:themeShade="FF"/>
          <w:sz w:val="24"/>
          <w:szCs w:val="24"/>
        </w:rPr>
        <w:t xml:space="preserve"> their managers</w:t>
      </w:r>
      <w:r w:rsidRPr="7ACD7C2B" w:rsidR="26DBD245">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1F7BD3F8">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Palumbo (2024) suggest</w:t>
      </w:r>
      <w:r w:rsidRPr="7ACD7C2B" w:rsidR="3BF26714">
        <w:rPr>
          <w:rFonts w:ascii="Aptos" w:hAnsi="Aptos" w:eastAsia="Aptos" w:cs="Aptos" w:asciiTheme="minorAscii" w:hAnsiTheme="minorAscii" w:eastAsiaTheme="minorAscii" w:cstheme="minorAscii"/>
          <w:color w:val="000000" w:themeColor="text1" w:themeTint="FF" w:themeShade="FF"/>
          <w:sz w:val="24"/>
          <w:szCs w:val="24"/>
        </w:rPr>
        <w:t>s</w:t>
      </w:r>
      <w:r w:rsidRPr="7ACD7C2B" w:rsidR="76F230D1">
        <w:rPr>
          <w:rFonts w:ascii="Aptos" w:hAnsi="Aptos" w:eastAsia="Aptos" w:cs="Aptos" w:asciiTheme="minorAscii" w:hAnsiTheme="minorAscii" w:eastAsiaTheme="minorAscii" w:cstheme="minorAscii"/>
          <w:i w:val="1"/>
          <w:iCs w:val="1"/>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that</w:t>
      </w:r>
      <w:r w:rsidRPr="7ACD7C2B" w:rsidR="736D369F">
        <w:rPr>
          <w:rFonts w:ascii="Aptos" w:hAnsi="Aptos" w:eastAsia="Aptos" w:cs="Aptos" w:asciiTheme="minorAscii" w:hAnsiTheme="minorAscii" w:eastAsiaTheme="minorAscii" w:cstheme="minorAscii"/>
          <w:color w:val="000000" w:themeColor="text1" w:themeTint="FF" w:themeShade="FF"/>
          <w:sz w:val="24"/>
          <w:szCs w:val="24"/>
        </w:rPr>
        <w:t xml:space="preserve"> the maintenance of power</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and control is the result of structural inequality </w:t>
      </w:r>
      <w:r w:rsidRPr="7ACD7C2B" w:rsidR="7F821812">
        <w:rPr>
          <w:rFonts w:ascii="Aptos" w:hAnsi="Aptos" w:eastAsia="Aptos" w:cs="Aptos" w:asciiTheme="minorAscii" w:hAnsiTheme="minorAscii" w:eastAsiaTheme="minorAscii" w:cstheme="minorAscii"/>
          <w:color w:val="000000" w:themeColor="text1" w:themeTint="FF" w:themeShade="FF"/>
          <w:sz w:val="24"/>
          <w:szCs w:val="24"/>
        </w:rPr>
        <w:t>fostered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by an 'us and them' distinction. These </w:t>
      </w:r>
      <w:r w:rsidRPr="7ACD7C2B" w:rsidR="79E39295">
        <w:rPr>
          <w:rFonts w:ascii="Aptos" w:hAnsi="Aptos" w:eastAsia="Aptos" w:cs="Aptos" w:asciiTheme="minorAscii" w:hAnsiTheme="minorAscii" w:eastAsiaTheme="minorAscii" w:cstheme="minorAscii"/>
          <w:color w:val="000000" w:themeColor="text1" w:themeTint="FF" w:themeShade="FF"/>
          <w:sz w:val="24"/>
          <w:szCs w:val="24"/>
        </w:rPr>
        <w:t>oppositional positions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are reflected in </w:t>
      </w:r>
      <w:r w:rsidRPr="7ACD7C2B" w:rsidR="26DEA53A">
        <w:rPr>
          <w:rFonts w:ascii="Aptos" w:hAnsi="Aptos" w:eastAsia="Aptos" w:cs="Aptos" w:asciiTheme="minorAscii" w:hAnsiTheme="minorAscii" w:eastAsiaTheme="minorAscii" w:cstheme="minorAscii"/>
          <w:color w:val="000000" w:themeColor="text1" w:themeTint="FF" w:themeShade="FF"/>
          <w:sz w:val="24"/>
          <w:szCs w:val="24"/>
        </w:rPr>
        <w:t>maintaining</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wage inequalities and working conditions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below those ordinarily expected under UK employment law including 'degrading, unsafe and exploitative treatment'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(Palumbo, 2024, p.242). </w:t>
      </w:r>
    </w:p>
    <w:p xmlns:wp14="http://schemas.microsoft.com/office/word/2010/wordml" w:rsidP="7ACD7C2B" wp14:paraId="24A6E778" wp14:textId="3ECFD213">
      <w:pPr>
        <w:pStyle w:val="Normal"/>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ACD7C2B" wp14:paraId="1420D3BC" wp14:textId="320174F8">
      <w:pPr>
        <w:pStyle w:val="Normal"/>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Milbourne and Coulson (2021)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observe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that migrant workers are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rendered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politically invisible</w:t>
      </w:r>
      <w:r w:rsidRPr="7ACD7C2B" w:rsidR="6060B9FF">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their views, working needs and position in the </w:t>
      </w:r>
      <w:r w:rsidRPr="7ACD7C2B" w:rsidR="0F9D933B">
        <w:rPr>
          <w:rFonts w:ascii="Aptos" w:hAnsi="Aptos" w:eastAsia="Aptos" w:cs="Aptos" w:asciiTheme="minorAscii" w:hAnsiTheme="minorAscii" w:eastAsiaTheme="minorAscii" w:cstheme="minorAscii"/>
          <w:color w:val="000000" w:themeColor="text1" w:themeTint="FF" w:themeShade="FF"/>
          <w:sz w:val="24"/>
          <w:szCs w:val="24"/>
        </w:rPr>
        <w:t>social</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system are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l</w:t>
      </w:r>
      <w:r w:rsidRPr="7ACD7C2B" w:rsidR="36E30F88">
        <w:rPr>
          <w:rFonts w:ascii="Aptos" w:hAnsi="Aptos" w:eastAsia="Aptos" w:cs="Aptos" w:asciiTheme="minorAscii" w:hAnsiTheme="minorAscii" w:eastAsiaTheme="minorAscii" w:cstheme="minorAscii"/>
          <w:color w:val="000000" w:themeColor="text1" w:themeTint="FF" w:themeShade="FF"/>
          <w:sz w:val="24"/>
          <w:szCs w:val="24"/>
        </w:rPr>
        <w:t>argely absent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Anderson (2021) expands this view and points out that without </w:t>
      </w:r>
      <w:r w:rsidRPr="7ACD7C2B" w:rsidR="462DD831">
        <w:rPr>
          <w:rFonts w:ascii="Aptos" w:hAnsi="Aptos" w:eastAsia="Aptos" w:cs="Aptos" w:asciiTheme="minorAscii" w:hAnsiTheme="minorAscii" w:eastAsiaTheme="minorAscii" w:cstheme="minorAscii"/>
          <w:color w:val="000000" w:themeColor="text1" w:themeTint="FF" w:themeShade="FF"/>
          <w:sz w:val="24"/>
          <w:szCs w:val="24"/>
        </w:rPr>
        <w:t xml:space="preserve">being able to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self-present, workers become 'subjects'. In Foucauldian terms (1980, cited in Chee, 2025) surveillance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 xml:space="preserve">and categorisation </w:t>
      </w:r>
      <w:r w:rsidRPr="7ACD7C2B" w:rsidR="1E1A04E9">
        <w:rPr>
          <w:rFonts w:ascii="Aptos" w:hAnsi="Aptos" w:eastAsia="Aptos" w:cs="Aptos" w:asciiTheme="minorAscii" w:hAnsiTheme="minorAscii" w:eastAsiaTheme="minorAscii" w:cstheme="minorAscii"/>
          <w:color w:val="000000" w:themeColor="text1" w:themeTint="FF" w:themeShade="FF"/>
          <w:sz w:val="24"/>
          <w:szCs w:val="24"/>
          <w:u w:val="none"/>
        </w:rPr>
        <w:t>contribute to</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processes of subjectification</w:t>
      </w:r>
      <w:r w:rsidRPr="7ACD7C2B" w:rsidR="2E34B9BE">
        <w:rPr>
          <w:rFonts w:ascii="Aptos" w:hAnsi="Aptos" w:eastAsia="Aptos" w:cs="Aptos" w:asciiTheme="minorAscii" w:hAnsiTheme="minorAscii" w:eastAsiaTheme="minorAscii" w:cstheme="minorAscii"/>
          <w:color w:val="000000" w:themeColor="text1" w:themeTint="FF" w:themeShade="FF"/>
          <w:sz w:val="24"/>
          <w:szCs w:val="24"/>
        </w:rPr>
        <w:t xml:space="preserve"> -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workers are de-personalised, through state monitoring individuals internalise expectations of obedience and productivity. Compliance becomes self-regulating because the right to remain and work is conditional upon productivity and adherence to employer </w:t>
      </w:r>
      <w:r w:rsidRPr="7ACD7C2B" w:rsidR="5FB0DC97">
        <w:rPr>
          <w:rFonts w:ascii="Aptos" w:hAnsi="Aptos" w:eastAsia="Aptos" w:cs="Aptos" w:asciiTheme="minorAscii" w:hAnsiTheme="minorAscii" w:eastAsiaTheme="minorAscii" w:cstheme="minorAscii"/>
          <w:color w:val="000000" w:themeColor="text1" w:themeTint="FF" w:themeShade="FF"/>
          <w:sz w:val="24"/>
          <w:szCs w:val="24"/>
        </w:rPr>
        <w:t>requirements; worker compliance is thus internalised with the right to remain in work being conditional upon productivity and obedience.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(Foucault, 1980; Davies, 2018).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Through this lens, the SWP/SWV </w:t>
      </w:r>
      <w:r w:rsidRPr="7ACD7C2B" w:rsidR="07DBC751">
        <w:rPr>
          <w:rFonts w:ascii="Aptos" w:hAnsi="Aptos" w:eastAsia="Aptos" w:cs="Aptos" w:asciiTheme="minorAscii" w:hAnsiTheme="minorAscii" w:eastAsiaTheme="minorAscii" w:cstheme="minorAscii"/>
          <w:color w:val="000000" w:themeColor="text1" w:themeTint="FF" w:themeShade="FF"/>
          <w:sz w:val="24"/>
          <w:szCs w:val="24"/>
        </w:rPr>
        <w:t xml:space="preserve">policies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can be viewed as a form of </w:t>
      </w:r>
      <w:r w:rsidRPr="7ACD7C2B" w:rsidR="2C376B35">
        <w:rPr>
          <w:rFonts w:ascii="Aptos" w:hAnsi="Aptos" w:eastAsia="Aptos" w:cs="Aptos" w:asciiTheme="minorAscii" w:hAnsiTheme="minorAscii" w:eastAsiaTheme="minorAscii" w:cstheme="minorAscii"/>
          <w:color w:val="000000" w:themeColor="text1" w:themeTint="FF" w:themeShade="FF"/>
          <w:sz w:val="24"/>
          <w:szCs w:val="24"/>
        </w:rPr>
        <w:t>administration</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w:t>
      </w:r>
      <w:r w:rsidRPr="7ACD7C2B" w:rsidR="7728C5EE">
        <w:rPr>
          <w:rFonts w:ascii="Aptos" w:hAnsi="Aptos" w:eastAsia="Aptos" w:cs="Aptos" w:asciiTheme="minorAscii" w:hAnsiTheme="minorAscii" w:eastAsiaTheme="minorAscii" w:cstheme="minorAscii"/>
          <w:color w:val="000000" w:themeColor="text1" w:themeTint="FF" w:themeShade="FF"/>
          <w:sz w:val="24"/>
          <w:szCs w:val="24"/>
        </w:rPr>
        <w:t xml:space="preserve"> with</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the management of workers</w:t>
      </w:r>
      <w:r w:rsidRPr="7ACD7C2B" w:rsidR="3FDEFAB2">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3FDEFAB2">
        <w:rPr>
          <w:rFonts w:ascii="Aptos" w:hAnsi="Aptos" w:eastAsia="Aptos" w:cs="Aptos" w:asciiTheme="minorAscii" w:hAnsiTheme="minorAscii" w:eastAsiaTheme="minorAscii" w:cstheme="minorAscii"/>
          <w:color w:val="000000" w:themeColor="text1" w:themeTint="FF" w:themeShade="FF"/>
          <w:sz w:val="24"/>
          <w:szCs w:val="24"/>
        </w:rPr>
        <w:t>maintained</w:t>
      </w:r>
      <w:r w:rsidRPr="7ACD7C2B" w:rsidR="3FDEFAB2">
        <w:rPr>
          <w:rFonts w:ascii="Aptos" w:hAnsi="Aptos" w:eastAsia="Aptos" w:cs="Aptos" w:asciiTheme="minorAscii" w:hAnsiTheme="minorAscii" w:eastAsiaTheme="minorAscii" w:cstheme="minorAscii"/>
          <w:color w:val="000000" w:themeColor="text1" w:themeTint="FF" w:themeShade="FF"/>
          <w:sz w:val="24"/>
          <w:szCs w:val="24"/>
        </w:rPr>
        <w:t xml:space="preserve"> by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legal</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and economic mechanisms that secure labour and discipline rather than </w:t>
      </w:r>
      <w:r w:rsidRPr="7ACD7C2B" w:rsidR="5FF18A4E">
        <w:rPr>
          <w:rFonts w:ascii="Aptos" w:hAnsi="Aptos" w:eastAsia="Aptos" w:cs="Aptos" w:asciiTheme="minorAscii" w:hAnsiTheme="minorAscii" w:eastAsiaTheme="minorAscii" w:cstheme="minorAscii"/>
          <w:color w:val="000000" w:themeColor="text1" w:themeTint="FF" w:themeShade="FF"/>
          <w:sz w:val="24"/>
          <w:szCs w:val="24"/>
        </w:rPr>
        <w:t xml:space="preserve">through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overt coercion and control.</w:t>
      </w:r>
    </w:p>
    <w:p xmlns:wp14="http://schemas.microsoft.com/office/word/2010/wordml" w:rsidP="714B8EC8" wp14:paraId="3737D585" wp14:textId="3A831845">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56B76213" wp14:textId="42860E5C">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Drawing on Palumbo's (2024) concept of 'situational vulnerability' mentioned earlier, th</w:t>
      </w:r>
      <w:r w:rsidRPr="7ACD7C2B" w:rsidR="2F34782F">
        <w:rPr>
          <w:rFonts w:ascii="Aptos" w:hAnsi="Aptos" w:eastAsia="Aptos" w:cs="Aptos" w:asciiTheme="minorAscii" w:hAnsiTheme="minorAscii" w:eastAsiaTheme="minorAscii" w:cstheme="minorAscii"/>
          <w:color w:val="000000" w:themeColor="text1" w:themeTint="FF" w:themeShade="FF"/>
          <w:sz w:val="24"/>
          <w:szCs w:val="24"/>
        </w:rPr>
        <w:t>is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049AB3D3">
        <w:rPr>
          <w:rFonts w:ascii="Aptos" w:hAnsi="Aptos" w:eastAsia="Aptos" w:cs="Aptos" w:asciiTheme="minorAscii" w:hAnsiTheme="minorAscii" w:eastAsiaTheme="minorAscii" w:cstheme="minorAscii"/>
          <w:color w:val="000000" w:themeColor="text1" w:themeTint="FF" w:themeShade="FF"/>
          <w:sz w:val="24"/>
          <w:szCs w:val="24"/>
        </w:rPr>
        <w:t>theory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highlight</w:t>
      </w:r>
      <w:r w:rsidRPr="7ACD7C2B" w:rsidR="1812EE2D">
        <w:rPr>
          <w:rFonts w:ascii="Aptos" w:hAnsi="Aptos" w:eastAsia="Aptos" w:cs="Aptos" w:asciiTheme="minorAscii" w:hAnsiTheme="minorAscii" w:eastAsiaTheme="minorAscii" w:cstheme="minorAscii"/>
          <w:color w:val="000000" w:themeColor="text1" w:themeTint="FF" w:themeShade="FF"/>
          <w:sz w:val="24"/>
          <w:szCs w:val="24"/>
        </w:rPr>
        <w:t xml:space="preserve">s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how neoliberal migration policy produces differential legal subjectivities. Seasonal workers are positioned outside full citizenship,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rendering</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them more susceptible to exploitation. Their vulnerability is not incidental but structurally embedded within the visa itself. Evidence from migrant workers reinforces this point; for example, the FLEX report (2021), documents claims of poor working conditions and identifies areas requiring reform, and further accounts from workers staging strike action reported multiple human rights concerns, including racism, threats relating to wages, and unpaid labour (Mellino and Chapman, 2023). Migrant workers are limited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in</w:t>
      </w:r>
      <w:r w:rsidRPr="7ACD7C2B" w:rsidR="76F230D1">
        <w:rPr>
          <w:rFonts w:ascii="Aptos" w:hAnsi="Aptos" w:eastAsia="Aptos" w:cs="Aptos" w:asciiTheme="minorAscii" w:hAnsiTheme="minorAscii" w:eastAsiaTheme="minorAscii" w:cstheme="minorAscii"/>
          <w:i w:val="1"/>
          <w:iCs w:val="1"/>
          <w:color w:val="000000" w:themeColor="text1" w:themeTint="FF" w:themeShade="FF"/>
          <w:sz w:val="24"/>
          <w:szCs w:val="24"/>
          <w:u w:val="none"/>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accessing justice through the usual legal paths such as the Equality Act (2010) and Human Rights Act (1998), aimed to protect vulnerable </w:t>
      </w:r>
      <w:r w:rsidRPr="7ACD7C2B" w:rsidR="744F3C31">
        <w:rPr>
          <w:rFonts w:ascii="Aptos" w:hAnsi="Aptos" w:eastAsia="Aptos" w:cs="Aptos" w:asciiTheme="minorAscii" w:hAnsiTheme="minorAscii" w:eastAsiaTheme="minorAscii" w:cstheme="minorAscii"/>
          <w:color w:val="000000" w:themeColor="text1" w:themeTint="FF" w:themeShade="FF"/>
          <w:sz w:val="24"/>
          <w:szCs w:val="24"/>
        </w:rPr>
        <w:t xml:space="preserve">individuals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and </w:t>
      </w:r>
      <w:r w:rsidRPr="7ACD7C2B" w:rsidR="1DBAC98B">
        <w:rPr>
          <w:rFonts w:ascii="Aptos" w:hAnsi="Aptos" w:eastAsia="Aptos" w:cs="Aptos" w:asciiTheme="minorAscii" w:hAnsiTheme="minorAscii" w:eastAsiaTheme="minorAscii" w:cstheme="minorAscii"/>
          <w:color w:val="000000" w:themeColor="text1" w:themeTint="FF" w:themeShade="FF"/>
          <w:sz w:val="24"/>
          <w:szCs w:val="24"/>
        </w:rPr>
        <w:t xml:space="preserve">worker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exploit</w:t>
      </w:r>
      <w:r w:rsidRPr="7ACD7C2B" w:rsidR="4F70A78B">
        <w:rPr>
          <w:rFonts w:ascii="Aptos" w:hAnsi="Aptos" w:eastAsia="Aptos" w:cs="Aptos" w:asciiTheme="minorAscii" w:hAnsiTheme="minorAscii" w:eastAsiaTheme="minorAscii" w:cstheme="minorAscii"/>
          <w:color w:val="000000" w:themeColor="text1" w:themeTint="FF" w:themeShade="FF"/>
          <w:sz w:val="24"/>
          <w:szCs w:val="24"/>
        </w:rPr>
        <w:t>ation</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Th</w:t>
      </w:r>
      <w:r w:rsidRPr="7ACD7C2B" w:rsidR="4BD96469">
        <w:rPr>
          <w:rFonts w:ascii="Aptos" w:hAnsi="Aptos" w:eastAsia="Aptos" w:cs="Aptos" w:asciiTheme="minorAscii" w:hAnsiTheme="minorAscii" w:eastAsiaTheme="minorAscii" w:cstheme="minorAscii"/>
          <w:color w:val="000000" w:themeColor="text1" w:themeTint="FF" w:themeShade="FF"/>
          <w:sz w:val="24"/>
          <w:szCs w:val="24"/>
        </w:rPr>
        <w:t>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blocks</w:t>
      </w:r>
      <w:r w:rsidRPr="7ACD7C2B" w:rsidR="0DD8FC80">
        <w:rPr>
          <w:rFonts w:ascii="Aptos" w:hAnsi="Aptos" w:eastAsia="Aptos" w:cs="Aptos" w:asciiTheme="minorAscii" w:hAnsiTheme="minorAscii" w:eastAsiaTheme="minorAscii" w:cstheme="minorAscii"/>
          <w:color w:val="000000" w:themeColor="text1" w:themeTint="FF" w:themeShade="FF"/>
          <w:sz w:val="24"/>
          <w:szCs w:val="24"/>
        </w:rPr>
        <w:t xml:space="preserve"> to the usual pathways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1D1305F5">
        <w:rPr>
          <w:rFonts w:ascii="Aptos" w:hAnsi="Aptos" w:eastAsia="Aptos" w:cs="Aptos" w:asciiTheme="minorAscii" w:hAnsiTheme="minorAscii" w:eastAsiaTheme="minorAscii" w:cstheme="minorAscii"/>
          <w:color w:val="000000" w:themeColor="text1" w:themeTint="FF" w:themeShade="FF"/>
          <w:sz w:val="24"/>
          <w:szCs w:val="24"/>
        </w:rPr>
        <w:t>are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linked to their temporary status, dependency on employers for visa security</w:t>
      </w:r>
      <w:r w:rsidRPr="7ACD7C2B" w:rsidR="371D2258">
        <w:rPr>
          <w:rFonts w:ascii="Aptos" w:hAnsi="Aptos" w:eastAsia="Aptos" w:cs="Aptos" w:asciiTheme="minorAscii" w:hAnsiTheme="minorAscii" w:eastAsiaTheme="minorAscii" w:cstheme="minorAscii"/>
          <w:color w:val="000000" w:themeColor="text1" w:themeTint="FF" w:themeShade="FF"/>
          <w:sz w:val="24"/>
          <w:szCs w:val="24"/>
        </w:rPr>
        <w:t xml:space="preserve"> and living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accommodation</w:t>
      </w:r>
      <w:r w:rsidRPr="7ACD7C2B" w:rsidR="7B75B86D">
        <w:rPr>
          <w:rFonts w:ascii="Aptos" w:hAnsi="Aptos" w:eastAsia="Aptos" w:cs="Aptos" w:asciiTheme="minorAscii" w:hAnsiTheme="minorAscii" w:eastAsiaTheme="minorAscii" w:cstheme="minorAscii"/>
          <w:color w:val="000000" w:themeColor="text1" w:themeTint="FF" w:themeShade="FF"/>
          <w:sz w:val="24"/>
          <w:szCs w:val="24"/>
        </w:rPr>
        <w:t xml:space="preserve"> which overall </w:t>
      </w:r>
      <w:r w:rsidRPr="7ACD7C2B" w:rsidR="7B75B86D">
        <w:rPr>
          <w:rFonts w:ascii="Aptos" w:hAnsi="Aptos" w:eastAsia="Aptos" w:cs="Aptos" w:asciiTheme="minorAscii" w:hAnsiTheme="minorAscii" w:eastAsiaTheme="minorAscii" w:cstheme="minorAscii"/>
          <w:color w:val="000000" w:themeColor="text1" w:themeTint="FF" w:themeShade="FF"/>
          <w:sz w:val="24"/>
          <w:szCs w:val="24"/>
        </w:rPr>
        <w:t>represent</w:t>
      </w:r>
      <w:r w:rsidRPr="7ACD7C2B" w:rsidR="7B75B86D">
        <w:rPr>
          <w:rFonts w:ascii="Aptos" w:hAnsi="Aptos" w:eastAsia="Aptos" w:cs="Aptos" w:asciiTheme="minorAscii" w:hAnsiTheme="minorAscii" w:eastAsiaTheme="minorAscii" w:cstheme="minorAscii"/>
          <w:color w:val="000000" w:themeColor="text1" w:themeTint="FF" w:themeShade="FF"/>
          <w:sz w:val="24"/>
          <w:szCs w:val="24"/>
        </w:rPr>
        <w:t xml:space="preserve"> a</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structural power imbalance (Equality and Human Rights Commission, 2019; Mellino and Chapman, 2023).</w:t>
      </w:r>
    </w:p>
    <w:p xmlns:wp14="http://schemas.microsoft.com/office/word/2010/wordml" w:rsidP="714B8EC8" wp14:paraId="7DD318AD" wp14:textId="1091FAAD">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53084D4B" wp14:textId="01BB1555">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Ultimately, the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SWP/SWV illustrates how neoliberal ideology reshapes social policy away from welfare redistribution and towards labour market facilitation. Rather than expanding social inclusion, the policy sustains a dual labour market in which migrant workers perform essential but devalued 'dirty work' under constrained rights (Anderson, 2010; McCabe and Hamilton, 2015; Milbourne and Coulson, 2021). The scheme therefore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operates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less as a neutral labour solution and more as a mechanism that stabilises cheap food production while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maintaining</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migrant </w:t>
      </w:r>
      <w:r w:rsidRPr="7ACD7C2B" w:rsidR="6EC9B58A">
        <w:rPr>
          <w:rFonts w:ascii="Aptos" w:hAnsi="Aptos" w:eastAsia="Aptos" w:cs="Aptos" w:asciiTheme="minorAscii" w:hAnsiTheme="minorAscii" w:eastAsiaTheme="minorAscii" w:cstheme="minorAscii"/>
          <w:color w:val="000000" w:themeColor="text1" w:themeTint="FF" w:themeShade="FF"/>
          <w:sz w:val="24"/>
          <w:szCs w:val="24"/>
        </w:rPr>
        <w:t xml:space="preserve">worker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precarity.</w:t>
      </w:r>
    </w:p>
    <w:p xmlns:wp14="http://schemas.microsoft.com/office/word/2010/wordml" w:rsidP="714B8EC8" wp14:paraId="4D9835FB" wp14:textId="5FF2993D">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0173BDB1" wp14:textId="0ACB0EF8">
      <w:pPr>
        <w:pStyle w:val="Normal"/>
        <w:rPr>
          <w:rFonts w:ascii="Aptos" w:hAnsi="Aptos" w:eastAsia="Aptos" w:cs="Aptos" w:asciiTheme="minorAscii" w:hAnsiTheme="minorAscii" w:eastAsiaTheme="minorAscii" w:cstheme="minorAscii"/>
          <w:b w:val="0"/>
          <w:bCs w:val="0"/>
          <w:strike w:val="0"/>
          <w:dstrike w:val="0"/>
          <w:color w:val="000000" w:themeColor="text1" w:themeTint="FF" w:themeShade="FF"/>
          <w:sz w:val="24"/>
          <w:szCs w:val="24"/>
          <w:u w:val="single"/>
        </w:rPr>
      </w:pPr>
      <w:r w:rsidRPr="714B8EC8" w:rsidR="76F230D1">
        <w:rPr>
          <w:color w:val="000000" w:themeColor="text1" w:themeTint="FF" w:themeShade="FF"/>
          <w:u w:val="single"/>
        </w:rPr>
        <w:t>Marxist, Anti-globalisation, Food Justice</w:t>
      </w:r>
      <w:r w:rsidRPr="714B8EC8" w:rsidR="5F5F5832">
        <w:rPr>
          <w:color w:val="000000" w:themeColor="text1" w:themeTint="FF" w:themeShade="FF"/>
          <w:u w:val="single"/>
        </w:rPr>
        <w:t xml:space="preserve"> perspectives</w:t>
      </w:r>
    </w:p>
    <w:p xmlns:wp14="http://schemas.microsoft.com/office/word/2010/wordml" w:rsidP="714B8EC8" wp14:paraId="4F265C05" wp14:textId="17D71241">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An alternative ideological framework that challenges neoliberalism is a </w:t>
      </w:r>
      <w:r w:rsidRPr="7ACD7C2B" w:rsidR="63F6DAE3">
        <w:rPr>
          <w:rFonts w:ascii="Aptos" w:hAnsi="Aptos" w:eastAsia="Aptos" w:cs="Aptos" w:asciiTheme="minorAscii" w:hAnsiTheme="minorAscii" w:eastAsiaTheme="minorAscii" w:cstheme="minorAscii"/>
          <w:color w:val="000000" w:themeColor="text1" w:themeTint="FF" w:themeShade="FF"/>
          <w:sz w:val="24"/>
          <w:szCs w:val="24"/>
        </w:rPr>
        <w:t>n</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eo-Marxist</w:t>
      </w:r>
      <w:r w:rsidRPr="7ACD7C2B" w:rsidR="6460AAC6">
        <w:rPr>
          <w:rFonts w:ascii="Aptos" w:hAnsi="Aptos" w:eastAsia="Aptos" w:cs="Aptos" w:asciiTheme="minorAscii" w:hAnsiTheme="minorAscii" w:eastAsiaTheme="minorAscii" w:cstheme="minorAscii"/>
          <w:color w:val="000000" w:themeColor="text1" w:themeTint="FF" w:themeShade="FF"/>
          <w:sz w:val="24"/>
          <w:szCs w:val="24"/>
        </w:rPr>
        <w: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anti-globalisation perspective. This approach argues that neoliberal policies disproportionately </w:t>
      </w:r>
      <w:r w:rsidRPr="7ACD7C2B" w:rsidR="61C67756">
        <w:rPr>
          <w:rFonts w:ascii="Aptos" w:hAnsi="Aptos" w:eastAsia="Aptos" w:cs="Aptos" w:asciiTheme="minorAscii" w:hAnsiTheme="minorAscii" w:eastAsiaTheme="minorAscii" w:cstheme="minorAscii"/>
          <w:color w:val="000000" w:themeColor="text1" w:themeTint="FF" w:themeShade="FF"/>
          <w:sz w:val="24"/>
          <w:szCs w:val="24"/>
        </w:rPr>
        <w:t>benefit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large corporations while externalising social and ecological costs onto workers, local communities, and the environment (Gare, 2021). Marx (1867) conceptualised labour-power as a commodity, arguing that workers sell their labour capacity to capitalists in exchange for wages. Workers are paid less than the value they produce, so capitalists extract surplus value, resulting in structural exploitation. Marx argues that profit is prioritised over human need, and the commodification of labour-power becomes central to capitalist accumulation. Surplus value</w:t>
      </w:r>
      <w:r w:rsidRPr="7ACD7C2B" w:rsidR="619AFC0D">
        <w:rPr>
          <w:rFonts w:ascii="Aptos" w:hAnsi="Aptos" w:eastAsia="Aptos" w:cs="Aptos" w:asciiTheme="minorAscii" w:hAnsiTheme="minorAscii" w:eastAsiaTheme="minorAscii" w:cstheme="minorAscii"/>
          <w:color w:val="000000" w:themeColor="text1" w:themeTint="FF" w:themeShade="FF"/>
          <w:sz w:val="24"/>
          <w:szCs w:val="24"/>
        </w:rPr>
        <w: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the</w:t>
      </w:r>
      <w:r w:rsidRPr="7ACD7C2B" w:rsidR="76F230D1">
        <w:rPr>
          <w:rFonts w:ascii="Aptos" w:hAnsi="Aptos" w:eastAsia="Aptos" w:cs="Aptos" w:asciiTheme="minorAscii" w:hAnsiTheme="minorAscii" w:eastAsiaTheme="minorAscii" w:cstheme="minorAscii"/>
          <w:i w:val="1"/>
          <w:iCs w:val="1"/>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difference between the value created by labour and the wage paid</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single"/>
        </w:rPr>
        <w: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is therefore the foundation of capitalist profit (Marx, 1867).</w:t>
      </w:r>
    </w:p>
    <w:p xmlns:wp14="http://schemas.microsoft.com/office/word/2010/wordml" w:rsidP="714B8EC8" wp14:paraId="3C44D471" wp14:textId="2751E2A9">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3FFB7BD3" wp14:textId="5C53669E">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While traditional Marxist theory emphasises exploitation, Marx also argued that capitalist production generates alienation. Under capitalism, workers become estranged from the products they create, from the production process, from one another, and from their own human potential (Marx, 1867). Unlike feudal systems, where labour was tied directly to land and subsistence, industrial capitalism separates workers from ownership and control over production. This separation contributes to a sense of disconnection from land, food systems, and community life</w:t>
      </w:r>
      <w:r w:rsidRPr="714B8EC8" w:rsidR="70780724">
        <w:rPr>
          <w:rFonts w:ascii="Aptos" w:hAnsi="Aptos" w:eastAsia="Aptos" w:cs="Aptos" w:asciiTheme="minorAscii" w:hAnsiTheme="minorAscii" w:eastAsiaTheme="minorAscii" w:cstheme="minorAscii"/>
          <w:color w:val="000000" w:themeColor="text1" w:themeTint="FF" w:themeShade="FF"/>
          <w:sz w:val="24"/>
          <w:szCs w:val="24"/>
        </w:rPr>
        <w:t xml:space="preserve"> (Foster, 1999)</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Neo-Marxist ideology extends this concept, arguing that globalisation and neoliberal free-market expansion have intensified these processes. The integration of global supply chains and the prioritisation of efficiency and competitiveness have widened the distance between human labour, agricultural production, and ecological systems (Foster, 1999; Gare, 2021a). Moreover, global inequalities mean that labour from the Global South</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is </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freque</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ntly</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valued less than labour in the Global North, reinforcing hierarchies embedded within capitalist world systems</w:t>
      </w:r>
      <w:r w:rsidRPr="714B8EC8" w:rsidR="2E18DB81">
        <w:rPr>
          <w:rFonts w:ascii="Aptos" w:hAnsi="Aptos" w:eastAsia="Aptos" w:cs="Aptos" w:asciiTheme="minorAscii" w:hAnsiTheme="minorAscii" w:eastAsiaTheme="minorAscii" w:cstheme="minorAscii"/>
          <w:color w:val="000000" w:themeColor="text1" w:themeTint="FF" w:themeShade="FF"/>
          <w:sz w:val="24"/>
          <w:szCs w:val="24"/>
        </w:rPr>
        <w:t xml:space="preserve"> (Gare, 2021; Castles, 2004)</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As markets expand and production becomes increasingly transnational, workers may be further removed from meaningful control over their labour, contributing to social fragmentation and environmental degradation (</w:t>
      </w:r>
      <w:r w:rsidRPr="714B8EC8" w:rsidR="154B35EB">
        <w:rPr>
          <w:rFonts w:ascii="Aptos" w:hAnsi="Aptos" w:eastAsia="Aptos" w:cs="Aptos" w:asciiTheme="minorAscii" w:hAnsiTheme="minorAscii" w:eastAsiaTheme="minorAscii" w:cstheme="minorAscii"/>
          <w:color w:val="000000" w:themeColor="text1" w:themeTint="FF" w:themeShade="FF"/>
          <w:sz w:val="24"/>
          <w:szCs w:val="24"/>
        </w:rPr>
        <w:t>Robinson, 2012</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w:t>
      </w:r>
    </w:p>
    <w:p xmlns:wp14="http://schemas.microsoft.com/office/word/2010/wordml" w:rsidP="714B8EC8" wp14:paraId="7EEC1C56" wp14:textId="3417EE03">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5B1A632E" wp14:textId="01342306">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Contemporary Neo-Marxists argue that neoliberal globalisation </w:t>
      </w:r>
      <w:r w:rsidRPr="7ACD7C2B" w:rsidR="18D650D9">
        <w:rPr>
          <w:rFonts w:ascii="Aptos" w:hAnsi="Aptos" w:eastAsia="Aptos" w:cs="Aptos" w:asciiTheme="minorAscii" w:hAnsiTheme="minorAscii" w:eastAsiaTheme="minorAscii" w:cstheme="minorAscii"/>
          <w:color w:val="000000" w:themeColor="text1" w:themeTint="FF" w:themeShade="FF"/>
          <w:sz w:val="24"/>
          <w:szCs w:val="24"/>
        </w:rPr>
        <w:t>has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deepened these dynamics by expanding the commodification of labour across borders. Policies such as the SWV reflect this logic: migrant workers are recruited to fill labour shortages in ways that prioritise productivity and cost efficiency over long-term social inclusion of workers, their training needs, or career development (Bickerton, 2019). From this perspective, the SWV can be understood as a mechanism that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facilitates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the mobility of labour for capital accumulation while maintaining precarity through temporary status and limited rights. As Robinson (2012) argues, global capitalism increasingly relies on transnational labour regimes that make labour more mobile yet simultaneously more insecure. In this context, migrant workers risk being treated primarily as 'units of labour' rather than as social and political </w:t>
      </w:r>
      <w:r w:rsidRPr="7ACD7C2B" w:rsidR="47D1B6C0">
        <w:rPr>
          <w:rFonts w:ascii="Aptos" w:hAnsi="Aptos" w:eastAsia="Aptos" w:cs="Aptos" w:asciiTheme="minorAscii" w:hAnsiTheme="minorAscii" w:eastAsiaTheme="minorAscii" w:cstheme="minorAscii"/>
          <w:color w:val="000000" w:themeColor="text1" w:themeTint="FF" w:themeShade="FF"/>
          <w:sz w:val="24"/>
          <w:szCs w:val="24"/>
        </w:rPr>
        <w:t>individuals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with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future prospects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community membership, or </w:t>
      </w:r>
      <w:r w:rsidRPr="7ACD7C2B" w:rsidR="0BD202FC">
        <w:rPr>
          <w:rFonts w:ascii="Aptos" w:hAnsi="Aptos" w:eastAsia="Aptos" w:cs="Aptos" w:asciiTheme="minorAscii" w:hAnsiTheme="minorAscii" w:eastAsiaTheme="minorAscii" w:cstheme="minorAscii"/>
          <w:color w:val="000000" w:themeColor="text1" w:themeTint="FF" w:themeShade="FF"/>
          <w:sz w:val="24"/>
          <w:szCs w:val="24"/>
        </w:rPr>
        <w:t xml:space="preserve">owed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meaningful participatory rights (Anderson, 2010).</w:t>
      </w:r>
    </w:p>
    <w:p xmlns:wp14="http://schemas.microsoft.com/office/word/2010/wordml" w:rsidP="714B8EC8" wp14:paraId="141FFCE2" wp14:textId="25A5D06C">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77F408DE" wp14:textId="5F6F681A">
      <w:pPr>
        <w:spacing w:before="0" w:beforeAutospacing="off" w:after="0" w:afterAutospacing="off" w:line="36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Considering the commodification of seasonal migrant workers, Clutterbuck (2017) suggests that political and consumer prioritisation of cheap food produces a form of cognitive dissonance</w:t>
      </w:r>
      <w:r w:rsidRPr="7ACD7C2B" w:rsidR="4A54859F">
        <w:rPr>
          <w:rFonts w:ascii="Aptos" w:hAnsi="Aptos" w:eastAsia="Aptos" w:cs="Aptos" w:asciiTheme="minorAscii" w:hAnsiTheme="minorAscii" w:eastAsiaTheme="minorAscii" w:cstheme="minorAscii"/>
          <w:color w:val="000000" w:themeColor="text1" w:themeTint="FF" w:themeShade="FF"/>
          <w:sz w:val="24"/>
          <w:szCs w:val="24"/>
        </w:rPr>
        <w:t xml:space="preserve"> (Festinger, cited in Scott, 2014)</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poorly paid workers labour for extensive hours to sustain affordability for the masses, yet the conditions underpinning this system remain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largely unseen</w:t>
      </w:r>
      <w:r w:rsidRPr="7ACD7C2B" w:rsidR="5DF3E466">
        <w:rPr>
          <w:rFonts w:ascii="Aptos" w:hAnsi="Aptos" w:eastAsia="Aptos" w:cs="Aptos" w:asciiTheme="minorAscii" w:hAnsiTheme="minorAscii" w:eastAsiaTheme="minorAscii" w:cstheme="minorAscii"/>
          <w:color w:val="000000" w:themeColor="text1" w:themeTint="FF" w:themeShade="FF"/>
          <w:sz w:val="24"/>
          <w:szCs w:val="24"/>
        </w:rPr>
        <w:t xml:space="preserve"> by </w:t>
      </w:r>
      <w:r w:rsidRPr="7ACD7C2B" w:rsidR="337FC063">
        <w:rPr>
          <w:rFonts w:ascii="Aptos" w:hAnsi="Aptos" w:eastAsia="Aptos" w:cs="Aptos" w:asciiTheme="minorAscii" w:hAnsiTheme="minorAscii" w:eastAsiaTheme="minorAscii" w:cstheme="minorAscii"/>
          <w:color w:val="000000" w:themeColor="text1" w:themeTint="FF" w:themeShade="FF"/>
          <w:sz w:val="24"/>
          <w:szCs w:val="24"/>
        </w:rPr>
        <w:t>society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Agricultural labour is obscured both socially, through consumer detachment, and spatially, as work often takes place in remote rural locations. Furthermore, the point of purchase in supermarkets is systematically disconnected from the realities of</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farm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labour</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5EDBFFD3">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Sbicca</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(2018) extends this critique by arguing that the contemporary food system not only devalues labour but also harms ecological systems, creating structural disconnections between community, production, and the environment. He </w:t>
      </w:r>
      <w:r w:rsidRPr="7ACD7C2B" w:rsidR="342A2C47">
        <w:rPr>
          <w:rFonts w:ascii="Aptos" w:hAnsi="Aptos" w:eastAsia="Aptos" w:cs="Aptos" w:asciiTheme="minorAscii" w:hAnsiTheme="minorAscii" w:eastAsiaTheme="minorAscii" w:cstheme="minorAscii"/>
          <w:color w:val="000000" w:themeColor="text1" w:themeTint="FF" w:themeShade="FF"/>
          <w:sz w:val="24"/>
          <w:szCs w:val="24"/>
        </w:rPr>
        <w:t>argues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that neoliberal food regimes commodify and compromise both human labour and nature, generating social and environmental injustice. Any alternative to neoliberalism, he suggests, must prioritise ecological regeneration, community connection to production and environmental justice</w:t>
      </w:r>
      <w:r w:rsidRPr="7ACD7C2B" w:rsidR="1BA1875B">
        <w:rPr>
          <w:rFonts w:ascii="Aptos" w:hAnsi="Aptos" w:eastAsia="Aptos" w:cs="Aptos" w:asciiTheme="minorAscii" w:hAnsiTheme="minorAscii" w:eastAsiaTheme="minorAscii" w:cstheme="minorAscii"/>
          <w:color w:val="000000" w:themeColor="text1" w:themeTint="FF" w:themeShade="FF"/>
          <w:sz w:val="24"/>
          <w:szCs w:val="24"/>
        </w:rPr>
        <w: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recognis</w:t>
      </w:r>
      <w:r w:rsidRPr="7ACD7C2B" w:rsidR="21849635">
        <w:rPr>
          <w:rFonts w:ascii="Aptos" w:hAnsi="Aptos" w:eastAsia="Aptos" w:cs="Aptos" w:asciiTheme="minorAscii" w:hAnsiTheme="minorAscii" w:eastAsiaTheme="minorAscii" w:cstheme="minorAscii"/>
          <w:color w:val="000000" w:themeColor="text1" w:themeTint="FF" w:themeShade="FF"/>
          <w:sz w:val="24"/>
          <w:szCs w:val="24"/>
        </w:rPr>
        <w:t>ing</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how structural inequalities shape people's interactions with the env</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ironme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nt. For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Sbicca</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(2018), food justice requires confronting the capitalist dynamics embedded within food production and addressing the systemic management of food origins that reproduces inequality.</w:t>
      </w:r>
      <w:r w:rsidRPr="7ACD7C2B" w:rsidR="61E2E6F9">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Milbourne and Coulson (2021) echo this position by arguing that migrant seasonal workers should be repositioned within food systems in ways that recognise and value the life-sustaining labour they perform. They suggest that reconnecting labour to food production and community life is essential, while also emphasising the need for political activism to address structural injustices and prevent cycles of poverty from being reproduced.</w:t>
      </w:r>
      <w:r w:rsidRPr="7ACD7C2B" w:rsidR="213158DB">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39F73A7A" wp14:textId="6EBC7320">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p>
    <w:p xmlns:wp14="http://schemas.microsoft.com/office/word/2010/wordml" w:rsidP="714B8EC8" wp14:paraId="1CC1B7FC" wp14:textId="27EDE309">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Related research draws upon Marx's concept of the 'metabolic rift', to argue that capitalist agricultural systems generate a structural disconnection between humans and the natural systems upon which they depend (Marx, 1867; Foster, 1999). This narrative </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maintains</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that the detachment from land and ecological processes can only be resolved through systemic transformation rather than market-based reform (Gare, 2021; 2021a; Xue, 2022). From this perspective, neoliberalism's tendency to assign financial value to all aspects of life reduces ecosystems and labour to </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commodities</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A more ecologically grounded political economy would instead prioritise the regenerative capacity of</w:t>
      </w:r>
      <w:r w:rsidRPr="714B8EC8" w:rsidR="63959FBC">
        <w:rPr>
          <w:rFonts w:ascii="Aptos" w:hAnsi="Aptos" w:eastAsia="Aptos" w:cs="Aptos" w:asciiTheme="minorAscii" w:hAnsiTheme="minorAscii" w:eastAsiaTheme="minorAscii" w:cstheme="minorAscii"/>
          <w:color w:val="000000" w:themeColor="text1" w:themeTint="FF" w:themeShade="FF"/>
          <w:sz w:val="24"/>
          <w:szCs w:val="24"/>
        </w:rPr>
        <w:t xml:space="preserve"> food </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systems, enhancing rather than degrading environmental and social relations. Using</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Sbicca'</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s</w:t>
      </w: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(2018) food justice framework, these arguments suggest that meaningful reform requires not only labour protections but structural change that centres equity, ecological sustainability, and democratic participation within agricultural systems.</w:t>
      </w:r>
    </w:p>
    <w:p xmlns:wp14="http://schemas.microsoft.com/office/word/2010/wordml" w:rsidP="714B8EC8" wp14:paraId="69911534" wp14:textId="4FA91E55">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1BAAFC83" wp14:textId="1B0C65BF">
      <w:pPr>
        <w:pStyle w:val="Normal"/>
        <w:rPr>
          <w:rFonts w:ascii="Aptos" w:hAnsi="Aptos" w:eastAsia="Aptos" w:cs="Aptos" w:asciiTheme="minorAscii" w:hAnsiTheme="minorAscii" w:eastAsiaTheme="minorAscii" w:cstheme="minorAscii"/>
          <w:b w:val="0"/>
          <w:bCs w:val="0"/>
          <w:strike w:val="0"/>
          <w:dstrike w:val="0"/>
          <w:color w:val="000000" w:themeColor="text1" w:themeTint="FF" w:themeShade="FF"/>
          <w:sz w:val="24"/>
          <w:szCs w:val="24"/>
          <w:u w:val="single"/>
        </w:rPr>
      </w:pPr>
      <w:r w:rsidRPr="714B8EC8" w:rsidR="76F230D1">
        <w:rPr>
          <w:u w:val="single"/>
        </w:rPr>
        <w:t>Conclusion</w:t>
      </w:r>
    </w:p>
    <w:p xmlns:wp14="http://schemas.microsoft.com/office/word/2010/wordml" w:rsidP="714B8EC8" wp14:paraId="6BB8FE6C" wp14:textId="22B115AF">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The UK SWP/SWV </w:t>
      </w:r>
      <w:r w:rsidRPr="7ACD7C2B" w:rsidR="34F5D887">
        <w:rPr>
          <w:rFonts w:ascii="Aptos" w:hAnsi="Aptos" w:eastAsia="Aptos" w:cs="Aptos" w:asciiTheme="minorAscii" w:hAnsiTheme="minorAscii" w:eastAsiaTheme="minorAscii" w:cstheme="minorAscii"/>
          <w:color w:val="000000" w:themeColor="text1" w:themeTint="FF" w:themeShade="FF"/>
          <w:sz w:val="24"/>
          <w:szCs w:val="24"/>
        </w:rPr>
        <w:t>systems</w:t>
      </w:r>
      <w:r w:rsidRPr="7ACD7C2B" w:rsidR="699E67BE">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ha</w:t>
      </w:r>
      <w:r w:rsidRPr="7ACD7C2B" w:rsidR="1588EDF2">
        <w:rPr>
          <w:rFonts w:ascii="Aptos" w:hAnsi="Aptos" w:eastAsia="Aptos" w:cs="Aptos" w:asciiTheme="minorAscii" w:hAnsiTheme="minorAscii" w:eastAsiaTheme="minorAscii" w:cstheme="minorAscii"/>
          <w:color w:val="000000" w:themeColor="text1" w:themeTint="FF" w:themeShade="FF"/>
          <w:sz w:val="24"/>
          <w:szCs w:val="24"/>
        </w:rPr>
        <w:t>ve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been examined through the lens of neoliberal ideology (Alcock and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May,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2014; Ong, 202</w:t>
      </w:r>
      <w:r w:rsidRPr="7ACD7C2B" w:rsidR="392C25AE">
        <w:rPr>
          <w:rFonts w:ascii="Aptos" w:hAnsi="Aptos" w:eastAsia="Aptos" w:cs="Aptos" w:asciiTheme="minorAscii" w:hAnsiTheme="minorAscii" w:eastAsiaTheme="minorAscii" w:cstheme="minorAscii"/>
          <w:color w:val="000000" w:themeColor="text1" w:themeTint="FF" w:themeShade="FF"/>
          <w:sz w:val="24"/>
          <w:szCs w:val="24"/>
        </w:rPr>
        <w:t>2</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Milbourne and Coulson, 2021). The introduction of the </w:t>
      </w:r>
      <w:r w:rsidRPr="7ACD7C2B" w:rsidR="43ED41CB">
        <w:rPr>
          <w:rFonts w:ascii="Aptos" w:hAnsi="Aptos" w:eastAsia="Aptos" w:cs="Aptos" w:asciiTheme="minorAscii" w:hAnsiTheme="minorAscii" w:eastAsiaTheme="minorAscii" w:cstheme="minorAscii"/>
          <w:color w:val="000000" w:themeColor="text1" w:themeTint="FF" w:themeShade="FF"/>
          <w:sz w:val="24"/>
          <w:szCs w:val="24"/>
        </w:rPr>
        <w:t>policy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was claimed to be a response to labour shortages and food security following Brexit </w:t>
      </w:r>
      <w:r w:rsidRPr="7ACD7C2B" w:rsidR="4B8741B7">
        <w:rPr>
          <w:rFonts w:ascii="Aptos" w:hAnsi="Aptos" w:eastAsia="Aptos" w:cs="Aptos" w:asciiTheme="minorAscii" w:hAnsiTheme="minorAscii" w:eastAsiaTheme="minorAscii" w:cstheme="minorAscii"/>
          <w:color w:val="000000" w:themeColor="text1" w:themeTint="FF" w:themeShade="FF"/>
          <w:sz w:val="24"/>
          <w:szCs w:val="24"/>
        </w:rPr>
        <w:t>followed by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C</w:t>
      </w:r>
      <w:r w:rsidRPr="7ACD7C2B" w:rsidR="7C2B5D22">
        <w:rPr>
          <w:rFonts w:ascii="Aptos" w:hAnsi="Aptos" w:eastAsia="Aptos" w:cs="Aptos" w:asciiTheme="minorAscii" w:hAnsiTheme="minorAscii" w:eastAsiaTheme="minorAscii" w:cstheme="minorAscii"/>
          <w:color w:val="000000" w:themeColor="text1" w:themeTint="FF" w:themeShade="FF"/>
          <w:sz w:val="24"/>
          <w:szCs w:val="24"/>
        </w:rPr>
        <w:t>OVID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-19 (Pro-Force, 2021; National Farmers Union, 2025). An alternative narrative has revealed a policy that prioritises labour flexibility and cost, cheap food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production</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and the interests of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agri</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-producers over the rights,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welfare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and social inclusion of migrant workers (Clutterbuck, 2017; Milbourne and Coulson, 2021;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Mantouvalou</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2023; Mellino and Chapman, 2023). The policy was produced in a highly tense political environmen</w:t>
      </w:r>
      <w:r w:rsidRPr="7ACD7C2B" w:rsidR="6AD8CE53">
        <w:rPr>
          <w:rFonts w:ascii="Aptos" w:hAnsi="Aptos" w:eastAsia="Aptos" w:cs="Aptos" w:asciiTheme="minorAscii" w:hAnsiTheme="minorAscii" w:eastAsiaTheme="minorAscii" w:cstheme="minorAscii"/>
          <w:color w:val="000000" w:themeColor="text1" w:themeTint="FF" w:themeShade="FF"/>
          <w:sz w:val="24"/>
          <w:szCs w:val="24"/>
        </w:rPr>
        <w:t xml:space="preserve">t </w:t>
      </w:r>
      <w:r w:rsidRPr="7ACD7C2B" w:rsidR="6247AE24">
        <w:rPr>
          <w:rFonts w:ascii="Aptos" w:hAnsi="Aptos" w:eastAsia="Aptos" w:cs="Aptos" w:asciiTheme="minorAscii" w:hAnsiTheme="minorAscii" w:eastAsiaTheme="minorAscii" w:cstheme="minorAscii"/>
          <w:color w:val="000000" w:themeColor="text1" w:themeTint="FF" w:themeShade="FF"/>
          <w:sz w:val="24"/>
          <w:szCs w:val="24"/>
        </w:rPr>
        <w:t>and as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such</w:t>
      </w:r>
      <w:r w:rsidRPr="7ACD7C2B" w:rsidR="216A2064">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reflects a controlled and conditional form of labour, which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ultimately structurally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disadvantages workers (Goodfellow, 201</w:t>
      </w:r>
      <w:r w:rsidRPr="7ACD7C2B" w:rsidR="7149EE23">
        <w:rPr>
          <w:rFonts w:ascii="Aptos" w:hAnsi="Aptos" w:eastAsia="Aptos" w:cs="Aptos" w:asciiTheme="minorAscii" w:hAnsiTheme="minorAscii" w:eastAsiaTheme="minorAscii" w:cstheme="minorAscii"/>
          <w:color w:val="000000" w:themeColor="text1" w:themeTint="FF" w:themeShade="FF"/>
          <w:sz w:val="24"/>
          <w:szCs w:val="24"/>
        </w:rPr>
        <w:t>9</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The system appears designed to secure a compliant and cost-effective solution to</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agri</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-labour</w:t>
      </w:r>
      <w:r w:rsidRPr="7ACD7C2B" w:rsidR="04DC460E">
        <w:rPr>
          <w:rFonts w:ascii="Aptos" w:hAnsi="Aptos" w:eastAsia="Aptos" w:cs="Aptos" w:asciiTheme="minorAscii" w:hAnsiTheme="minorAscii" w:eastAsiaTheme="minorAscii" w:cstheme="minorAscii"/>
          <w:color w:val="000000" w:themeColor="text1" w:themeTint="FF" w:themeShade="FF"/>
          <w:sz w:val="24"/>
          <w:szCs w:val="24"/>
        </w:rPr>
        <w:t xml:space="preserve"> and economic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food</w:t>
      </w:r>
      <w:r w:rsidRPr="7ACD7C2B" w:rsidR="302CFCB9">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302CFCB9">
        <w:rPr>
          <w:rFonts w:ascii="Aptos" w:hAnsi="Aptos" w:eastAsia="Aptos" w:cs="Aptos" w:asciiTheme="minorAscii" w:hAnsiTheme="minorAscii" w:eastAsiaTheme="minorAscii" w:cstheme="minorAscii"/>
          <w:color w:val="000000" w:themeColor="text1" w:themeTint="FF" w:themeShade="FF"/>
          <w:sz w:val="24"/>
          <w:szCs w:val="24"/>
        </w:rPr>
        <w:t>supply</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in the UK.</w:t>
      </w:r>
    </w:p>
    <w:p xmlns:wp14="http://schemas.microsoft.com/office/word/2010/wordml" w:rsidP="714B8EC8" wp14:paraId="7B2AEEF4" wp14:textId="5ECBF6D8">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r w:rsidRPr="714B8EC8"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p>
    <w:p xmlns:wp14="http://schemas.microsoft.com/office/word/2010/wordml" w:rsidP="714B8EC8" wp14:paraId="628DE143" wp14:textId="62B22248">
      <w:pPr>
        <w:spacing w:before="0" w:beforeAutospacing="off" w:after="0" w:afterAutospacing="off" w:line="36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7ACD7C2B" w:rsidR="76F230D1">
        <w:rPr>
          <w:rFonts w:ascii="Aptos" w:hAnsi="Aptos" w:eastAsia="Aptos" w:cs="Aptos" w:asciiTheme="minorAscii" w:hAnsiTheme="minorAscii" w:eastAsiaTheme="minorAscii" w:cstheme="minorAscii"/>
          <w:color w:val="000000" w:themeColor="text1" w:themeTint="FF" w:themeShade="FF"/>
          <w:sz w:val="24"/>
          <w:szCs w:val="24"/>
        </w:rPr>
        <w:t>Consideration has been given to neo-Marxist and food justice perspectives that highlight</w:t>
      </w:r>
      <w:r w:rsidRPr="7ACD7C2B" w:rsidR="1ED8E1B5">
        <w:rPr>
          <w:rFonts w:ascii="Aptos" w:hAnsi="Aptos" w:eastAsia="Aptos" w:cs="Aptos" w:asciiTheme="minorAscii" w:hAnsiTheme="minorAscii" w:eastAsiaTheme="minorAscii" w:cstheme="minorAscii"/>
          <w:color w:val="000000" w:themeColor="text1" w:themeTint="FF" w:themeShade="FF"/>
          <w:sz w:val="24"/>
          <w:szCs w:val="24"/>
        </w:rPr>
        <w:t>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a broader social and ecological approach. These </w:t>
      </w:r>
      <w:r w:rsidRPr="7ACD7C2B" w:rsidR="31629B3E">
        <w:rPr>
          <w:rFonts w:ascii="Aptos" w:hAnsi="Aptos" w:eastAsia="Aptos" w:cs="Aptos" w:asciiTheme="minorAscii" w:hAnsiTheme="minorAscii" w:eastAsiaTheme="minorAscii" w:cstheme="minorAscii"/>
          <w:color w:val="000000" w:themeColor="text1" w:themeTint="FF" w:themeShade="FF"/>
          <w:sz w:val="24"/>
          <w:szCs w:val="24"/>
        </w:rPr>
        <w:t>views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emphasise how neoliberal food</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systems</w:t>
      </w:r>
      <w:r w:rsidRPr="7ACD7C2B" w:rsidR="76F230D1">
        <w:rPr>
          <w:rFonts w:ascii="Aptos" w:hAnsi="Aptos" w:eastAsia="Aptos" w:cs="Aptos" w:asciiTheme="minorAscii" w:hAnsiTheme="minorAscii" w:eastAsiaTheme="minorAscii" w:cstheme="minorAscii"/>
          <w:i w:val="1"/>
          <w:iCs w:val="1"/>
          <w:color w:val="000000" w:themeColor="text1" w:themeTint="FF" w:themeShade="FF"/>
          <w:sz w:val="24"/>
          <w:szCs w:val="24"/>
          <w:u w:val="none"/>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dis</w:t>
      </w:r>
      <w:r w:rsidRPr="7ACD7C2B" w:rsidR="10AE0074">
        <w:rPr>
          <w:rFonts w:ascii="Aptos" w:hAnsi="Aptos" w:eastAsia="Aptos" w:cs="Aptos" w:asciiTheme="minorAscii" w:hAnsiTheme="minorAscii" w:eastAsiaTheme="minorAscii" w:cstheme="minorAscii"/>
          <w:color w:val="000000" w:themeColor="text1" w:themeTint="FF" w:themeShade="FF"/>
          <w:sz w:val="24"/>
          <w:szCs w:val="24"/>
        </w:rPr>
        <w:t>advantage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both labour and ecological sustainability. </w:t>
      </w:r>
      <w:r w:rsidRPr="7ACD7C2B" w:rsidR="059631B8">
        <w:rPr>
          <w:rFonts w:ascii="Aptos" w:hAnsi="Aptos" w:eastAsia="Aptos" w:cs="Aptos" w:asciiTheme="minorAscii" w:hAnsiTheme="minorAscii" w:eastAsiaTheme="minorAscii" w:cstheme="minorAscii"/>
          <w:color w:val="000000" w:themeColor="text1" w:themeTint="FF" w:themeShade="FF"/>
          <w:sz w:val="24"/>
          <w:szCs w:val="24"/>
        </w:rPr>
        <w:t>Li</w:t>
      </w:r>
      <w:r w:rsidRPr="7ACD7C2B" w:rsidR="5314E4BC">
        <w:rPr>
          <w:rFonts w:ascii="Aptos" w:hAnsi="Aptos" w:eastAsia="Aptos" w:cs="Aptos" w:asciiTheme="minorAscii" w:hAnsiTheme="minorAscii" w:eastAsiaTheme="minorAscii" w:cstheme="minorAscii"/>
          <w:color w:val="000000" w:themeColor="text1" w:themeTint="FF" w:themeShade="FF"/>
          <w:sz w:val="24"/>
          <w:szCs w:val="24"/>
        </w:rPr>
        <w:t>fe quality c</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osts to migrant workers are high and their</w:t>
      </w:r>
      <w:r w:rsidRPr="7ACD7C2B" w:rsidR="131E3D5A">
        <w:rPr>
          <w:rFonts w:ascii="Aptos" w:hAnsi="Aptos" w:eastAsia="Aptos" w:cs="Aptos" w:asciiTheme="minorAscii" w:hAnsiTheme="minorAscii" w:eastAsiaTheme="minorAscii" w:cstheme="minorAscii"/>
          <w:color w:val="000000" w:themeColor="text1" w:themeTint="FF" w:themeShade="FF"/>
          <w:sz w:val="24"/>
          <w:szCs w:val="24"/>
        </w:rPr>
        <w:t xml:space="preserve"> low</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 xml:space="preserve">wages </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fail to</w:t>
      </w:r>
      <w:r w:rsidRPr="7ACD7C2B" w:rsidR="76F230D1">
        <w:rPr>
          <w:rFonts w:ascii="Aptos" w:hAnsi="Aptos" w:eastAsia="Aptos" w:cs="Aptos" w:asciiTheme="minorAscii" w:hAnsiTheme="minorAscii" w:eastAsiaTheme="minorAscii" w:cstheme="minorAscii"/>
          <w:color w:val="000000" w:themeColor="text1" w:themeTint="FF" w:themeShade="FF"/>
          <w:sz w:val="24"/>
          <w:szCs w:val="24"/>
          <w:u w:val="none"/>
        </w:rPr>
        <w:t xml:space="preserve"> reflect these burdens</w:t>
      </w:r>
      <w:r w:rsidRPr="7ACD7C2B" w:rsidR="6E7B0D94">
        <w:rPr>
          <w:rFonts w:ascii="Aptos" w:hAnsi="Aptos" w:eastAsia="Aptos" w:cs="Aptos" w:asciiTheme="minorAscii" w:hAnsiTheme="minorAscii" w:eastAsiaTheme="minorAscii" w:cstheme="minorAscii"/>
          <w:color w:val="000000" w:themeColor="text1" w:themeTint="FF" w:themeShade="FF"/>
          <w:sz w:val="24"/>
          <w:szCs w:val="24"/>
          <w:u w:val="none"/>
        </w:rPr>
        <w:t xml:space="preserv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Sbicca</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2018; Anderson, 2021; Palumbo, 2024). Working within an ecological framework would imply structural reforms that prioritis</w:t>
      </w:r>
      <w:r w:rsidRPr="7ACD7C2B" w:rsidR="69B53EE4">
        <w:rPr>
          <w:rFonts w:ascii="Aptos" w:hAnsi="Aptos" w:eastAsia="Aptos" w:cs="Aptos" w:asciiTheme="minorAscii" w:hAnsiTheme="minorAscii" w:eastAsiaTheme="minorAscii" w:cstheme="minorAscii"/>
          <w:color w:val="000000" w:themeColor="text1" w:themeTint="FF" w:themeShade="FF"/>
          <w:sz w:val="24"/>
          <w:szCs w:val="24"/>
        </w:rPr>
        <w:t xml:space="preserve">e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nature, social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relations</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and community over financial advantages (Marx, 1867; </w:t>
      </w:r>
      <w:r w:rsidRPr="7ACD7C2B" w:rsidR="17E334E2">
        <w:rPr>
          <w:rFonts w:ascii="Aptos" w:hAnsi="Aptos" w:eastAsia="Aptos" w:cs="Aptos" w:asciiTheme="minorAscii" w:hAnsiTheme="minorAscii" w:eastAsiaTheme="minorAscii" w:cstheme="minorAscii"/>
          <w:color w:val="000000" w:themeColor="text1" w:themeTint="FF" w:themeShade="FF"/>
          <w:sz w:val="24"/>
          <w:szCs w:val="24"/>
        </w:rPr>
        <w:t>Sbicca</w:t>
      </w:r>
      <w:r w:rsidRPr="7ACD7C2B" w:rsidR="17E334E2">
        <w:rPr>
          <w:rFonts w:ascii="Aptos" w:hAnsi="Aptos" w:eastAsia="Aptos" w:cs="Aptos" w:asciiTheme="minorAscii" w:hAnsiTheme="minorAscii" w:eastAsiaTheme="minorAscii" w:cstheme="minorAscii"/>
          <w:color w:val="000000" w:themeColor="text1" w:themeTint="FF" w:themeShade="FF"/>
          <w:sz w:val="24"/>
          <w:szCs w:val="24"/>
        </w:rPr>
        <w:t xml:space="preserve">, 2018;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Gare, 2021; 2021a). </w:t>
      </w:r>
      <w:r w:rsidRPr="7ACD7C2B" w:rsidR="241BB82C">
        <w:rPr>
          <w:rFonts w:ascii="Aptos" w:hAnsi="Aptos" w:eastAsia="Aptos" w:cs="Aptos" w:asciiTheme="minorAscii" w:hAnsiTheme="minorAscii" w:eastAsiaTheme="minorAscii" w:cstheme="minorAscii"/>
          <w:color w:val="000000" w:themeColor="text1" w:themeTint="FF" w:themeShade="FF"/>
          <w:sz w:val="24"/>
          <w:szCs w:val="24"/>
        </w:rPr>
        <w:t xml:space="preserve">A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structural change towards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an equitable</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food system would require removing the focus from market management towards human well-being, </w:t>
      </w:r>
      <w:r w:rsidRPr="7ACD7C2B" w:rsidR="0A453C93">
        <w:rPr>
          <w:rFonts w:ascii="Aptos" w:hAnsi="Aptos" w:eastAsia="Aptos" w:cs="Aptos" w:asciiTheme="minorAscii" w:hAnsiTheme="minorAscii" w:eastAsiaTheme="minorAscii" w:cstheme="minorAscii"/>
          <w:color w:val="000000" w:themeColor="text1" w:themeTint="FF" w:themeShade="FF"/>
          <w:sz w:val="24"/>
          <w:szCs w:val="24"/>
        </w:rPr>
        <w:t xml:space="preserve">ultimately </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prioritising</w:t>
      </w:r>
      <w:r w:rsidRPr="7ACD7C2B" w:rsidR="76F230D1">
        <w:rPr>
          <w:rFonts w:ascii="Aptos" w:hAnsi="Aptos" w:eastAsia="Aptos" w:cs="Aptos" w:asciiTheme="minorAscii" w:hAnsiTheme="minorAscii" w:eastAsiaTheme="minorAscii" w:cstheme="minorAscii"/>
          <w:color w:val="000000" w:themeColor="text1" w:themeTint="FF" w:themeShade="FF"/>
          <w:sz w:val="24"/>
          <w:szCs w:val="24"/>
        </w:rPr>
        <w:t xml:space="preserve"> workers' rights as valuable members of society</w:t>
      </w:r>
      <w:r w:rsidRPr="7ACD7C2B" w:rsidR="16A8F746">
        <w:rPr>
          <w:rFonts w:ascii="Aptos" w:hAnsi="Aptos" w:eastAsia="Aptos" w:cs="Aptos" w:asciiTheme="minorAscii" w:hAnsiTheme="minorAscii" w:eastAsiaTheme="minorAscii" w:cstheme="minorAscii"/>
          <w:color w:val="000000" w:themeColor="text1" w:themeTint="FF" w:themeShade="FF"/>
          <w:sz w:val="24"/>
          <w:szCs w:val="24"/>
        </w:rPr>
        <w:t xml:space="preserve"> and communities </w:t>
      </w:r>
      <w:r w:rsidRPr="7ACD7C2B" w:rsidR="1FACC564">
        <w:rPr>
          <w:rFonts w:ascii="Aptos" w:hAnsi="Aptos" w:eastAsia="Aptos" w:cs="Aptos" w:asciiTheme="minorAscii" w:hAnsiTheme="minorAscii" w:eastAsiaTheme="minorAscii" w:cstheme="minorAscii"/>
          <w:color w:val="000000" w:themeColor="text1" w:themeTint="FF" w:themeShade="FF"/>
          <w:sz w:val="24"/>
          <w:szCs w:val="24"/>
        </w:rPr>
        <w:t>who are</w:t>
      </w:r>
      <w:r w:rsidRPr="7ACD7C2B" w:rsidR="16A8F746">
        <w:rPr>
          <w:rFonts w:ascii="Aptos" w:hAnsi="Aptos" w:eastAsia="Aptos" w:cs="Aptos" w:asciiTheme="minorAscii" w:hAnsiTheme="minorAscii" w:eastAsiaTheme="minorAscii" w:cstheme="minorAscii"/>
          <w:color w:val="000000" w:themeColor="text1" w:themeTint="FF" w:themeShade="FF"/>
          <w:sz w:val="24"/>
          <w:szCs w:val="24"/>
        </w:rPr>
        <w:t xml:space="preserve"> </w:t>
      </w:r>
      <w:r w:rsidRPr="7ACD7C2B" w:rsidR="16A8F746">
        <w:rPr>
          <w:rFonts w:ascii="Aptos" w:hAnsi="Aptos" w:eastAsia="Aptos" w:cs="Aptos" w:asciiTheme="minorAscii" w:hAnsiTheme="minorAscii" w:eastAsiaTheme="minorAscii" w:cstheme="minorAscii"/>
          <w:color w:val="000000" w:themeColor="text1" w:themeTint="FF" w:themeShade="FF"/>
          <w:sz w:val="24"/>
          <w:szCs w:val="24"/>
        </w:rPr>
        <w:t>ecologically connected to a sustainable future.</w:t>
      </w:r>
    </w:p>
    <w:p xmlns:wp14="http://schemas.microsoft.com/office/word/2010/wordml" w:rsidP="714B8EC8" wp14:paraId="7C1015F1" wp14:textId="4F9F5B70">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p>
    <w:p xmlns:wp14="http://schemas.microsoft.com/office/word/2010/wordml" w:rsidP="714B8EC8" wp14:paraId="6E9572B2" wp14:textId="68F6D5BD">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p>
    <w:p xmlns:wp14="http://schemas.microsoft.com/office/word/2010/wordml" w:rsidP="714B8EC8" wp14:paraId="38F5FB6E" wp14:textId="5323C7C8">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p>
    <w:p xmlns:wp14="http://schemas.microsoft.com/office/word/2010/wordml" w:rsidP="714B8EC8" wp14:paraId="41969DEB" wp14:textId="0E591441">
      <w:pPr>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p>
    <w:p xmlns:wp14="http://schemas.microsoft.com/office/word/2010/wordml" w:rsidP="714B8EC8" wp14:paraId="50B2DBCE" wp14:textId="16907AA1">
      <w:pPr>
        <w:pStyle w:val="Normal"/>
        <w:spacing w:before="0" w:beforeAutospacing="off" w:after="0" w:afterAutospacing="off" w:line="360" w:lineRule="auto"/>
        <w:rPr>
          <w:rFonts w:ascii="Aptos" w:hAnsi="Aptos" w:eastAsia="Aptos" w:cs="Aptos" w:asciiTheme="minorAscii" w:hAnsiTheme="minorAscii" w:eastAsiaTheme="minorAscii" w:cstheme="minorAscii"/>
          <w:color w:val="000000" w:themeColor="text1" w:themeTint="FF" w:themeShade="FF"/>
          <w:sz w:val="24"/>
          <w:szCs w:val="24"/>
        </w:rPr>
      </w:pPr>
    </w:p>
    <w:p xmlns:wp14="http://schemas.microsoft.com/office/word/2010/wordml" w:rsidP="714B8EC8" wp14:paraId="143ABCBD" wp14:textId="10B7FD5E">
      <w:pPr>
        <w:spacing w:before="0" w:beforeAutospacing="off" w:after="240" w:afterAutospacing="off"/>
        <w:rPr>
          <w:rFonts w:ascii="Times New Roman" w:hAnsi="Times New Roman" w:eastAsia="Times New Roman" w:cs="Times New Roman"/>
          <w:b w:val="0"/>
          <w:bCs w:val="0"/>
          <w:sz w:val="28"/>
          <w:szCs w:val="28"/>
          <w:u w:val="single"/>
        </w:rPr>
      </w:pPr>
    </w:p>
    <w:p w:rsidR="10E9F3F5" w:rsidP="10E9F3F5" w:rsidRDefault="10E9F3F5" w14:paraId="3D087DBB" w14:textId="3D6761C3">
      <w:pPr>
        <w:spacing w:before="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8"/>
          <w:szCs w:val="28"/>
          <w:u w:val="single"/>
        </w:rPr>
      </w:pPr>
    </w:p>
    <w:p w:rsidR="10E9F3F5" w:rsidP="10E9F3F5" w:rsidRDefault="10E9F3F5" w14:paraId="2F8E9625" w14:textId="76C56A90">
      <w:pPr>
        <w:spacing w:before="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8"/>
          <w:szCs w:val="28"/>
          <w:u w:val="single"/>
        </w:rPr>
      </w:pPr>
    </w:p>
    <w:p w:rsidR="10E9F3F5" w:rsidP="10E9F3F5" w:rsidRDefault="10E9F3F5" w14:paraId="5FB07C19" w14:textId="3FBD8786">
      <w:pPr>
        <w:spacing w:before="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8"/>
          <w:szCs w:val="28"/>
          <w:u w:val="single"/>
        </w:rPr>
      </w:pPr>
    </w:p>
    <w:p w:rsidR="10E9F3F5" w:rsidP="10E9F3F5" w:rsidRDefault="10E9F3F5" w14:paraId="3F2AB9CD" w14:textId="51F6C422">
      <w:pPr>
        <w:spacing w:before="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8"/>
          <w:szCs w:val="28"/>
          <w:u w:val="single"/>
        </w:rPr>
      </w:pPr>
    </w:p>
    <w:p w:rsidR="10E9F3F5" w:rsidP="10E9F3F5" w:rsidRDefault="10E9F3F5" w14:paraId="1476EAA8" w14:textId="73DA05BE">
      <w:pPr>
        <w:spacing w:before="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8"/>
          <w:szCs w:val="28"/>
          <w:u w:val="single"/>
        </w:rPr>
      </w:pPr>
    </w:p>
    <w:p w:rsidR="10E9F3F5" w:rsidP="10E9F3F5" w:rsidRDefault="10E9F3F5" w14:paraId="11132037" w14:textId="212AA82A">
      <w:pPr>
        <w:spacing w:before="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8"/>
          <w:szCs w:val="28"/>
          <w:u w:val="single"/>
        </w:rPr>
      </w:pPr>
    </w:p>
    <w:p w:rsidR="10E9F3F5" w:rsidP="10E9F3F5" w:rsidRDefault="10E9F3F5" w14:paraId="66E53A99" w14:textId="32C92CB1">
      <w:pPr>
        <w:spacing w:before="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8"/>
          <w:szCs w:val="28"/>
          <w:u w:val="single"/>
        </w:rPr>
      </w:pPr>
    </w:p>
    <w:p w:rsidR="10E9F3F5" w:rsidP="10E9F3F5" w:rsidRDefault="10E9F3F5" w14:paraId="1963BBB8" w14:textId="0844D9B3">
      <w:pPr>
        <w:spacing w:before="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8"/>
          <w:szCs w:val="28"/>
          <w:u w:val="single"/>
        </w:rPr>
      </w:pPr>
    </w:p>
    <w:p w:rsidR="10E9F3F5" w:rsidP="10E9F3F5" w:rsidRDefault="10E9F3F5" w14:paraId="5332D736" w14:textId="5D52273F">
      <w:pPr>
        <w:spacing w:before="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8"/>
          <w:szCs w:val="28"/>
          <w:u w:val="single"/>
        </w:rPr>
      </w:pPr>
    </w:p>
    <w:p w:rsidR="10E9F3F5" w:rsidP="10E9F3F5" w:rsidRDefault="10E9F3F5" w14:paraId="7EAB5277" w14:textId="619394D6">
      <w:pPr>
        <w:spacing w:before="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8"/>
          <w:szCs w:val="28"/>
          <w:u w:val="single"/>
        </w:rPr>
      </w:pPr>
    </w:p>
    <w:p w:rsidR="10E9F3F5" w:rsidP="10E9F3F5" w:rsidRDefault="10E9F3F5" w14:paraId="781099C5" w14:textId="413C1338">
      <w:pPr>
        <w:spacing w:before="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8"/>
          <w:szCs w:val="28"/>
          <w:u w:val="single"/>
        </w:rPr>
      </w:pPr>
    </w:p>
    <w:p xmlns:wp14="http://schemas.microsoft.com/office/word/2010/wordml" w:rsidP="0660D063" wp14:paraId="639AE1C4" wp14:textId="4435204D">
      <w:pPr>
        <w:pStyle w:val="Normal"/>
        <w:spacing w:before="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8"/>
          <w:szCs w:val="28"/>
          <w:u w:val="single"/>
        </w:rPr>
      </w:pPr>
      <w:r w:rsidRPr="0660D063" w:rsidR="7AAD5DAB">
        <w:rPr>
          <w:rFonts w:ascii="Times New Roman" w:hAnsi="Times New Roman" w:eastAsia="Times New Roman" w:cs="Times New Roman"/>
          <w:b w:val="0"/>
          <w:bCs w:val="0"/>
          <w:i w:val="0"/>
          <w:iCs w:val="0"/>
          <w:caps w:val="0"/>
          <w:smallCaps w:val="0"/>
          <w:color w:val="000000" w:themeColor="text1" w:themeTint="FF" w:themeShade="FF"/>
          <w:sz w:val="28"/>
          <w:szCs w:val="28"/>
          <w:u w:val="single"/>
        </w:rPr>
        <w:t>References</w:t>
      </w:r>
    </w:p>
    <w:p xmlns:wp14="http://schemas.microsoft.com/office/word/2010/wordml" w:rsidP="714B8EC8" wp14:paraId="7EE82CEF" wp14:textId="19ED5B7F">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Times New Roman" w:hAnsi="Times New Roman" w:eastAsia="Times New Roman" w:cs="Times New Roman"/>
          <w:b w:val="0"/>
          <w:bCs w:val="0"/>
          <w:i w:val="0"/>
          <w:iCs w:val="0"/>
          <w:caps w:val="0"/>
          <w:smallCaps w:val="0"/>
          <w:color w:val="000000" w:themeColor="text1" w:themeTint="FF" w:themeShade="FF"/>
          <w:sz w:val="24"/>
          <w:szCs w:val="24"/>
        </w:rPr>
        <w:t>Alcock, P. and May, M. (2014)</w:t>
      </w:r>
      <w:r w:rsidRPr="714B8EC8" w:rsidR="7AAD5DA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4B8EC8" w:rsidR="7AAD5DAB">
        <w:rPr>
          <w:rFonts w:ascii="Times New Roman" w:hAnsi="Times New Roman" w:eastAsia="Times New Roman" w:cs="Times New Roman"/>
          <w:b w:val="0"/>
          <w:bCs w:val="0"/>
          <w:i w:val="1"/>
          <w:iCs w:val="1"/>
          <w:caps w:val="0"/>
          <w:smallCaps w:val="0"/>
          <w:color w:val="000000" w:themeColor="text1" w:themeTint="FF" w:themeShade="FF"/>
          <w:sz w:val="24"/>
          <w:szCs w:val="24"/>
        </w:rPr>
        <w:t>Social</w:t>
      </w:r>
      <w:r w:rsidRPr="714B8EC8" w:rsidR="7AAD5DAB">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Policy in Britain</w:t>
      </w:r>
      <w:r w:rsidRPr="714B8EC8" w:rsidR="7AAD5DAB">
        <w:rPr>
          <w:rFonts w:ascii="Times New Roman" w:hAnsi="Times New Roman" w:eastAsia="Times New Roman" w:cs="Times New Roman"/>
          <w:b w:val="0"/>
          <w:bCs w:val="0"/>
          <w:i w:val="0"/>
          <w:iCs w:val="0"/>
          <w:caps w:val="0"/>
          <w:smallCaps w:val="0"/>
          <w:color w:val="000000" w:themeColor="text1" w:themeTint="FF" w:themeShade="FF"/>
          <w:sz w:val="24"/>
          <w:szCs w:val="24"/>
        </w:rPr>
        <w:t>. Fourth edition. Basingstoke: Palgrave Macmillan.</w:t>
      </w:r>
    </w:p>
    <w:p xmlns:wp14="http://schemas.microsoft.com/office/word/2010/wordml" w:rsidP="714B8EC8" wp14:paraId="46FDC981" wp14:textId="006930A4">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Anderson, B. (2010) 'Migration, immigration controls and the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fashioning</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of precarious workers',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Work, Employment and Society</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24(2), pp. 300–317. Available at: </w:t>
      </w:r>
      <w:hyperlink r:id="Rf32fb1c4f9c14043">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doi.org/10.1177/0950017010362141</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p>
    <w:p xmlns:wp14="http://schemas.microsoft.com/office/word/2010/wordml" w:rsidP="714B8EC8" wp14:paraId="07F480DF" wp14:textId="7A85CEAD">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Anderson, B. (2021) 'The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banality</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of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citizenship</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from</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workers to migrants and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fantasy citizens</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Journal of World-Systems Research</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27(2), pp. 467–497. Available at: </w:t>
      </w:r>
      <w:hyperlink r:id="Rc23cf01fc1b745d7">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https://jwsr.pitt.edu/ojs/jwsr/article/view/1074/1529</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17 February 2026).</w:t>
      </w:r>
    </w:p>
    <w:p xmlns:wp14="http://schemas.microsoft.com/office/word/2010/wordml" w:rsidP="714B8EC8" wp14:paraId="27629760" wp14:textId="5108FE34">
      <w:pPr>
        <w:spacing w:before="0" w:beforeAutospacing="off" w:after="0" w:afterAutospacing="off"/>
        <w:ind w:left="72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Bickerton, C.J. (2019) “The limits of differentiation: capitalist diversity and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labour</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mobility as drivers of Brexit,”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Comparative European politics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Houndmills</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 Basingstoke, England)</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17(2), pp. 231–245. Available at: </w:t>
      </w:r>
      <w:hyperlink r:id="R65165d292665428a">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doi.org/10.1057/s41295-019-00160-x</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p>
    <w:p xmlns:wp14="http://schemas.microsoft.com/office/word/2010/wordml" w:rsidP="714B8EC8" wp14:paraId="778E3EE7" wp14:textId="3C0428A7">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xmlns:wp14="http://schemas.microsoft.com/office/word/2010/wordml" w:rsidP="714B8EC8" wp14:paraId="1A44C4D0" wp14:textId="57CF735A">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Brook, P. (2010)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Prison Photography, Stateville Prison, Joliet, IL: Art Object?</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Available at: </w:t>
      </w:r>
      <w:hyperlink r:id="R8c5ce9a5f33b44fd">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https://prisonphotography.org/2010/08/21/stateville-prison-joliet-il-art-object/</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7 March 2025).</w:t>
      </w:r>
    </w:p>
    <w:p xmlns:wp14="http://schemas.microsoft.com/office/word/2010/wordml" w:rsidP="714B8EC8" wp14:paraId="6AE9DE1F" wp14:textId="77A6F5BB">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Cabinet Office (2016)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EU Referendum</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GOV.UK. Available at: </w:t>
      </w:r>
      <w:hyperlink r:id="R74558d79fc104e41">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https://www.gov.uk/government/topical-events/eu-referendum</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9 February 2026).</w:t>
      </w:r>
    </w:p>
    <w:p xmlns:wp14="http://schemas.microsoft.com/office/word/2010/wordml" w:rsidP="714B8EC8" wp14:paraId="24BE26E2" wp14:textId="631962AC">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Castles, S. (2004) 'Why migration policies fail',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Ethnic and Racial Studies</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27(2), pp. 205–227. Available at: </w:t>
      </w:r>
      <w:hyperlink r:id="R133e698d0b064b48">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doi.org/10.1080/0141987042000177306</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p>
    <w:p xmlns:wp14="http://schemas.microsoft.com/office/word/2010/wordml" w:rsidP="714B8EC8" wp14:paraId="0564137F" wp14:textId="46473867">
      <w:pPr>
        <w:spacing w:before="0" w:beforeAutospacing="off" w:after="0" w:afterAutospacing="off"/>
        <w:ind w:left="72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Chee, L.L. (2025) “Neoliberal Migration Governance: A Theoretical Framework,” in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 xml:space="preserve">Merchants of Migrant Domestic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Labour</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Switzerland: Springer.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pp29-52. Available at: </w:t>
      </w:r>
      <w:hyperlink r:id="R6665be9f13be458c">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Merchants of Migrant Domestic Labour - EBSCO.</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(Accessed 8 March 2026).</w:t>
      </w:r>
    </w:p>
    <w:p xmlns:wp14="http://schemas.microsoft.com/office/word/2010/wordml" w:rsidP="714B8EC8" wp14:paraId="6DB544F8" wp14:textId="07468B5D">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xmlns:wp14="http://schemas.microsoft.com/office/word/2010/wordml" w:rsidP="714B8EC8" wp14:paraId="2AA8F2B6" wp14:textId="3369848C">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Clutterbuck, C. (2017)</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Bittersweet</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 xml:space="preserve"> Brexit: The Future of Food, Farming, Land and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Labour</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London: Pluto Press. Available at: </w:t>
      </w:r>
      <w:hyperlink r:id="Re7914786b2d34752">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https://markwrite.co.uk/wp-content/uploads/2022/05/bittersweet-brexit-the-book27585.pdf</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5 February 2026).</w:t>
      </w:r>
    </w:p>
    <w:p xmlns:wp14="http://schemas.microsoft.com/office/word/2010/wordml" w:rsidP="714B8EC8" wp14:paraId="29A04438" wp14:textId="319D36D8">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Davies, J. (2018) 'From severe to routine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labour</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exploitation: the case of migrant workers in the UK food industry',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Criminology &amp; Criminal Justice</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19(3), pp. 294–310. Available at: </w:t>
      </w:r>
      <w:hyperlink r:id="R83e78499f6f84ac9">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doi.org/10.1177/1748895818762264</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p>
    <w:p xmlns:wp14="http://schemas.microsoft.com/office/word/2010/wordml" w:rsidP="714B8EC8" wp14:paraId="07D0284E" wp14:textId="02BD2586">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Dodds, W. (2025) 'Migrant farmworkers to protest outside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Home</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Office'. Available at: </w:t>
      </w:r>
      <w:hyperlink r:id="Rf01e11fcdc7c438c">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https://www.foodmanufacture.co.uk/Article/2025/01/21/migrant-farmworkers-to-protest-outside-home-office/</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10 February 2026).</w:t>
      </w:r>
    </w:p>
    <w:p xmlns:wp14="http://schemas.microsoft.com/office/word/2010/wordml" w:rsidP="714B8EC8" wp14:paraId="38AFF73D" wp14:textId="19902D9F">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Equality and Human Rights Commission (2019)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Codes of Practice</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Available at: </w:t>
      </w:r>
      <w:hyperlink r:id="Rfa625e773e994643">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https://www.equalityhumanrights.com/equality/equality-act-2010/codes-practice</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14 February 2026).</w:t>
      </w:r>
    </w:p>
    <w:p xmlns:wp14="http://schemas.microsoft.com/office/word/2010/wordml" w:rsidP="714B8EC8" wp14:paraId="40C03D1F" wp14:textId="52C2EA93">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Farmers Weekly (2020) 'Pick for Britain campaign launched', 173(5), pp. 7–7. Available at: </w:t>
      </w:r>
      <w:hyperlink r:id="Re7eef2e997f7435b">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https://www.fwi.co.uk/news/prince-of-wales-appeals-to-public-to-pick-for-britain</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12 February 2026).</w:t>
      </w:r>
    </w:p>
    <w:p xmlns:wp14="http://schemas.microsoft.com/office/word/2010/wordml" w:rsidP="714B8EC8" wp14:paraId="50EA681D" wp14:textId="17BDE593">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FLEX (2021)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 xml:space="preserve">Assessment of the Risks of Human Trafficking for Forced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Labour</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 xml:space="preserve"> on the UK Seasonal Workers Pilot</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Available at: </w:t>
      </w:r>
      <w:hyperlink r:id="Re0ece3ce61244587">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https://labourexploitation.org/publications/assessment-of-the-risks-of-human-trafficking-for-forced-labour-on-the-uk-seasonal-workers-pilot/</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14 February 2026).</w:t>
      </w:r>
    </w:p>
    <w:p xmlns:wp14="http://schemas.microsoft.com/office/word/2010/wordml" w:rsidP="714B8EC8" wp14:paraId="313A80E3" wp14:textId="6DB50271">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Foster, J.B. (1999) 'Marx's theory of metabolic rift: classical foundations for environmental sociology',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American Journal of Sociology</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105(2), pp. 366–405. Available at: </w:t>
      </w:r>
      <w:hyperlink r:id="R662b5e876f3f47e0">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doi.org/10.1086/210315</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p>
    <w:p xmlns:wp14="http://schemas.microsoft.com/office/word/2010/wordml" w:rsidP="714B8EC8" wp14:paraId="7CC14A16" wp14:textId="3779DF96">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Gare, A. (2021) 'After neoliberalism: from eco-Marxism to ecological civilization, Part 1',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Capitalism, Nature, Socialism</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32(2), pp. 22–39. Available at: </w:t>
      </w:r>
      <w:hyperlink r:id="Rae9647dc99924474">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doi.org/10.1080/10455752.2020.1811363</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p>
    <w:p xmlns:wp14="http://schemas.microsoft.com/office/word/2010/wordml" w:rsidP="714B8EC8" wp14:paraId="12D2F068" wp14:textId="549FA7E6">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Gare, A. (2021a) 'After neoliberalism: from eco-Marxism to ecological civilization, Part 2',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Capitalism, Nature, Socialism</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32(3), pp. 43–60. Available at: </w:t>
      </w:r>
      <w:hyperlink r:id="Rcb2757ae69dc4dd5">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doi.org/10.1080/10455752.2020.1811364</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p>
    <w:p xmlns:wp14="http://schemas.microsoft.com/office/word/2010/wordml" w:rsidP="714B8EC8" wp14:paraId="6043E35E" wp14:textId="20479306">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Goodfellow, M. (2019)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Hostile Environment: How Immigrants Became Scapegoats</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London: Verso.</w:t>
      </w:r>
    </w:p>
    <w:p xmlns:wp14="http://schemas.microsoft.com/office/word/2010/wordml" w:rsidP="714B8EC8" wp14:paraId="0CAAEEFA" wp14:textId="3C813C04">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Harvey, D. (2005)</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A Brief</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 xml:space="preserve"> History of Neoliberalism</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Oxford: Oxford University Press.</w:t>
      </w:r>
    </w:p>
    <w:p xmlns:wp14="http://schemas.microsoft.com/office/word/2010/wordml" w:rsidP="714B8EC8" wp14:paraId="4882C9AE" wp14:textId="0F1E8388">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Heffernan, R.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et al.</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(2016)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Developments in British Politics 10</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10th edition. London: Palgrave.</w:t>
      </w:r>
    </w:p>
    <w:p xmlns:wp14="http://schemas.microsoft.com/office/word/2010/wordml" w:rsidP="714B8EC8" wp14:paraId="5162AE6C" wp14:textId="14B19159">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HM Revenue &amp; Customs (2026)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National Minimum Wage Manual: NMWM06220</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Updated 26 January 2026. Available at: </w:t>
      </w:r>
      <w:hyperlink r:id="R9405dd02141644f0">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https://www.gov.uk/hmrc-internal-manuals/national-minimum-wage-manual/nmwm06220</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9 February 2026).</w:t>
      </w:r>
    </w:p>
    <w:p xmlns:wp14="http://schemas.microsoft.com/office/word/2010/wordml" w:rsidP="714B8EC8" wp14:paraId="4491F235" wp14:textId="500797AE">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Home Office (2024) </w:t>
      </w:r>
      <w:r w:rsidRPr="714B8EC8" w:rsidR="7AAD5DAB">
        <w:rPr>
          <w:rFonts w:ascii="Aptos" w:hAnsi="Aptos" w:eastAsia="Aptos" w:cs="Aptos" w:asciiTheme="minorAscii" w:hAnsiTheme="minorAscii" w:eastAsiaTheme="minorAscii" w:cstheme="minorAscii"/>
          <w:b w:val="0"/>
          <w:bCs w:val="0"/>
          <w:i w:val="1"/>
          <w:iCs w:val="1"/>
          <w:caps w:val="0"/>
          <w:smallCaps w:val="0"/>
          <w:strike w:val="0"/>
          <w:dstrike w:val="0"/>
          <w:color w:val="000000" w:themeColor="text1" w:themeTint="FF" w:themeShade="FF"/>
          <w:sz w:val="24"/>
          <w:szCs w:val="24"/>
          <w:u w:val="none"/>
        </w:rPr>
        <w:t>Review of the Seasonal Worker Visa</w:t>
      </w:r>
      <w:r w:rsidRPr="714B8EC8" w:rsidR="7AAD5DA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Available at: </w:t>
      </w:r>
      <w:hyperlink r:id="R093d00e8750e413c">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https://www.gov.uk/government/publications/seasonal-worker-visa-review/review-of-the-seasonal-worker-visa-accessible</w:t>
        </w:r>
      </w:hyperlink>
      <w:r w:rsidRPr="714B8EC8" w:rsidR="7AAD5DA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(Accessed 9 February 2026).</w:t>
      </w:r>
    </w:p>
    <w:p xmlns:wp14="http://schemas.microsoft.com/office/word/2010/wordml" w:rsidP="714B8EC8" wp14:paraId="0D310D9E" wp14:textId="1CACF0FA">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Home Office (2025) </w:t>
      </w:r>
      <w:r w:rsidRPr="714B8EC8" w:rsidR="7AAD5DAB">
        <w:rPr>
          <w:rFonts w:ascii="Aptos" w:hAnsi="Aptos" w:eastAsia="Aptos" w:cs="Aptos" w:asciiTheme="minorAscii" w:hAnsiTheme="minorAscii" w:eastAsiaTheme="minorAscii" w:cstheme="minorAscii"/>
          <w:b w:val="0"/>
          <w:bCs w:val="0"/>
          <w:i w:val="1"/>
          <w:iCs w:val="1"/>
          <w:caps w:val="0"/>
          <w:smallCaps w:val="0"/>
          <w:strike w:val="0"/>
          <w:dstrike w:val="0"/>
          <w:color w:val="000000" w:themeColor="text1" w:themeTint="FF" w:themeShade="FF"/>
          <w:sz w:val="24"/>
          <w:szCs w:val="24"/>
          <w:u w:val="none"/>
        </w:rPr>
        <w:t>Seasonal Workers Pilot Review 2019</w:t>
      </w:r>
      <w:r w:rsidRPr="714B8EC8" w:rsidR="7AAD5DA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Available at: </w:t>
      </w:r>
      <w:hyperlink r:id="Rf88a07b03a3e4f21">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https://www.gov.uk/government/publications/seasonal-workers-pilot-review/seasonal-workers-pilot-review-2019</w:t>
        </w:r>
      </w:hyperlink>
      <w:r w:rsidRPr="714B8EC8" w:rsidR="7AAD5DA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(Accessed 10 February 2026).</w:t>
      </w:r>
    </w:p>
    <w:p xmlns:wp14="http://schemas.microsoft.com/office/word/2010/wordml" w:rsidP="714B8EC8" wp14:paraId="5AD88D2A" wp14:textId="149A410E">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Home Office (2025a)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Explanatory Memorandum to the Statement of Changes to the Immigration Rules: HC 1333, 14 October 2025</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Available at: </w:t>
      </w:r>
      <w:hyperlink r:id="R51aa20fbd1e74939">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https://www.gov.uk/government/publications/statement-of-changes-to-the-immigration-rules-hc-1333-14-october-2025</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18 February 2026).</w:t>
      </w:r>
    </w:p>
    <w:p xmlns:wp14="http://schemas.microsoft.com/office/word/2010/wordml" w:rsidP="714B8EC8" wp14:paraId="7562C9BC" wp14:textId="41113D60">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Home Office (2026)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Immigration Rules: Appendix Temporary Work – Seasonal Worker</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Updated 8 January 2026. Available at: </w:t>
      </w:r>
      <w:hyperlink r:id="Rb57681a6ff3c4804">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https://www.gov.uk/guidance/immigration-rules/immigration-rules-appendix-temporary-work-seasonal-worker</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9 February 2026).</w:t>
      </w:r>
    </w:p>
    <w:p xmlns:wp14="http://schemas.microsoft.com/office/word/2010/wordml" w:rsidP="714B8EC8" wp14:paraId="212FCBE7" wp14:textId="76D459B9">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Home Office (2026</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Seasonal Worker Visa (Temporary Work)</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GOV.UK. Available at: </w:t>
      </w:r>
      <w:hyperlink r:id="R16ff4d9926a34a4c">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https://www.gov.uk/seasonal-worker-visa</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10 February 2026).</w:t>
      </w:r>
    </w:p>
    <w:p xmlns:wp14="http://schemas.microsoft.com/office/word/2010/wordml" w:rsidP="714B8EC8" wp14:paraId="6D1F0012" wp14:textId="54770A8E">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IMF (2014)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What Is Keynesian Economics?</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Finance &amp; Development. Available at: </w:t>
      </w:r>
      <w:hyperlink r:id="Rfe1fd1aabb164be6">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https://www.imf.org/external/pubs/ft/fandd/2014/09/basics.htm</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16 February 2026).</w:t>
      </w:r>
    </w:p>
    <w:p xmlns:wp14="http://schemas.microsoft.com/office/word/2010/wordml" w:rsidP="714B8EC8" wp14:paraId="132AEF97" wp14:textId="7610A88D">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Independent Chief Inspector of Borders and Immigration (2022)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An Inspection of the Immigration System as it Relates to the Agricultural Sector: May–August 2022</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London: HM Government. Available at: </w:t>
      </w:r>
      <w:hyperlink r:id="Rb31de1498e764520">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https://assets.publishing.service.gov.uk/government/uploads/system/uploads/attachment_data/file/1125411/An_inspection_of_the_immigration_system_as_it_relates_to_the_agricultural_sector_May_to_August_2022.pdf</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9 February 2026).</w:t>
      </w:r>
    </w:p>
    <w:p xmlns:wp14="http://schemas.microsoft.com/office/word/2010/wordml" w:rsidP="714B8EC8" wp14:paraId="151E0545" wp14:textId="143F818C">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Keynes, J.M. (1936)</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The</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 xml:space="preserve"> General Theory of Employment, Interest and Money</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London: Macmillan.</w:t>
      </w:r>
    </w:p>
    <w:p xmlns:wp14="http://schemas.microsoft.com/office/word/2010/wordml" w:rsidP="714B8EC8" wp14:paraId="07385008" wp14:textId="26194845">
      <w:pPr>
        <w:ind w:left="72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Lever, J. and Milbourne, P. (2016) ‘The structural invisibility of outsiders: The role of migrant labour in the meat-processing industry’,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Sociology</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51(2), pp. 306–322. Available at: </w:t>
      </w:r>
      <w:hyperlink r:id="Re0e5d003ea8b416b">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The Structural Invisibility of Outsiders: The Role of Migrant Labour in the Meat-Processing Industry The Role of Migrant Labour in the Meat-Processing Industry on JSTOR</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 (Accessed 8 March 2026).</w:t>
      </w:r>
    </w:p>
    <w:p xmlns:wp14="http://schemas.microsoft.com/office/word/2010/wordml" w:rsidP="714B8EC8" wp14:paraId="5956025B" wp14:textId="6951E1C3">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Lindsay, F. (2025) 'Seasonal workers: no halt to exploitation as visa scheme expands'.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openDemocracy</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Available at: </w:t>
      </w:r>
      <w:hyperlink r:id="Rbb6411671e8f4eb1">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https://www.opendemocracy.net/en/beyond-trafficking-and-slavery/seasonal-workers-no-halt-to-exploitation-as-visa-scheme-expands-migrants-uk-farms/</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12 February 2026).</w:t>
      </w:r>
    </w:p>
    <w:p xmlns:wp14="http://schemas.microsoft.com/office/word/2010/wordml" w:rsidP="714B8EC8" wp14:paraId="48086006" wp14:textId="46BBC840">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Mantouvalou</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V. (2022) 'The UK Seasonal Worker Visa: a case of state-mediated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labour</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exploitation',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European Law Open</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1(3), pp. 1–22. Available at: </w:t>
      </w:r>
      <w:hyperlink r:id="R8b5ec76232e94c93">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https://www.cambridge.org/core/journals/european-law-open/article/uk-seasonal-worker-visa/A35E4076A87007DF97ACEE080B3C438F</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p>
    <w:p xmlns:wp14="http://schemas.microsoft.com/office/word/2010/wordml" w:rsidP="714B8EC8" wp14:paraId="0E46399C" wp14:textId="75CB4AE3">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Mantouvalou</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V. (2023)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Structural Injustice and Workers' Rights</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Oxford: Oxford University Press.</w:t>
      </w:r>
    </w:p>
    <w:p xmlns:wp14="http://schemas.microsoft.com/office/word/2010/wordml" w:rsidP="714B8EC8" wp14:paraId="18032EA7" wp14:textId="03D5C338">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Marx, K. (1867)</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Capital</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 A Critique of Political Economy, Vol. I</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Translated by B. Fowkes. London: Penguin Books, 1990.</w:t>
      </w:r>
    </w:p>
    <w:p xmlns:wp14="http://schemas.microsoft.com/office/word/2010/wordml" w:rsidP="714B8EC8" wp14:paraId="2319DA86" wp14:textId="6105AAF3">
      <w:pPr>
        <w:spacing w:before="0" w:beforeAutospacing="off" w:after="0" w:afterAutospacing="off"/>
        <w:ind w:left="72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McCabe,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D.</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and Hamilton, L. (2015) “The kill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programme</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an ethnographic study of ‘dirty work’ in a slaughterhouse,”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New technology, work, and employment</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30(2), pp. 95–108. Available at: </w:t>
      </w:r>
      <w:hyperlink r:id="R80e59fc6ee65469a">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doi.org/10.1111/ntwe.12046</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p>
    <w:p xmlns:wp14="http://schemas.microsoft.com/office/word/2010/wordml" w:rsidP="714B8EC8" wp14:paraId="5A5EDBBE" wp14:textId="65A55652">
      <w:pPr>
        <w:spacing w:before="0" w:beforeAutospacing="off" w:after="0" w:afterAutospacing="off"/>
        <w:ind w:left="72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xmlns:wp14="http://schemas.microsoft.com/office/word/2010/wordml" w:rsidP="714B8EC8" wp14:paraId="56CE08A4" wp14:textId="198B8264">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Mellino,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E.</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and Chapman, M. (2023) ‘All that is missing is a whip’: Home Office ignored migrant worker abuses on farms,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The Bureau of Investigative Journalism</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22 October. Available at: </w:t>
      </w:r>
      <w:hyperlink r:id="R9d322cb25ff04234">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https://www.thebureauinvestigates.com/stories/2023-10-22/all-that-is-missing-is-a-whip-home-office-ignored-migrant-worker-abuses-on-farms</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10 February 2026).</w:t>
      </w:r>
    </w:p>
    <w:p xmlns:wp14="http://schemas.microsoft.com/office/word/2010/wordml" w:rsidP="714B8EC8" wp14:paraId="2F3993C3" wp14:textId="01AF18B3">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Mellino, E.,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Pangeni</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R. and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Boutaud</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C. (2023) 'They treat you like an animal: how British farms run on exploitation',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The Bureau of Investigative Journalism</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27 March. Available at: </w:t>
      </w:r>
      <w:hyperlink r:id="R2d626d82e77444cb">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https://www.thebureauinvestigates.com/stories/2023-03-27/they-treat-you-like-an-animal-how-british-farms-run-on-exploitation</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10 February 2026).</w:t>
      </w:r>
    </w:p>
    <w:p xmlns:wp14="http://schemas.microsoft.com/office/word/2010/wordml" w:rsidP="714B8EC8" wp14:paraId="1A5F14E4" wp14:textId="4D411676">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Milbourne, P. and Coulson, H. (2021) 'Migrant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labour</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in the UK's post-Brexit agri-food system: ambiguities, contradictions and precarities',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Journal of Rural Studies</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86, pp. 430–439. Available at: </w:t>
      </w:r>
      <w:hyperlink r:id="R8d7ed6d1ca6f48aa">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https://www.sciencedirect.com/science/article/pii/S0743016721002060</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8 March 2026).</w:t>
      </w:r>
    </w:p>
    <w:p xmlns:wp14="http://schemas.microsoft.com/office/word/2010/wordml" w:rsidP="714B8EC8" wp14:paraId="7DFB405F" wp14:textId="488A95BD">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National Farmers Union (NFU) (2025) 'NFU secures more flexibility for Seasonal Worker Scheme',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NFUonline</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17 October. (Accessed 7 February 2026).</w:t>
      </w:r>
    </w:p>
    <w:p xmlns:wp14="http://schemas.microsoft.com/office/word/2010/wordml" w:rsidP="714B8EC8" wp14:paraId="73BDE165" wp14:textId="56FC6A22">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Ong, A. (2022) 'Citizenship: flexible, fungible, fragile',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Citizenship Studies</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26(4–5), pp. 599–607. Available at: </w:t>
      </w:r>
      <w:hyperlink r:id="Ra8af2973b2914340">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doi.org/10.1080/13621025.2022.2091244</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p>
    <w:p xmlns:wp14="http://schemas.microsoft.com/office/word/2010/wordml" w:rsidP="714B8EC8" wp14:paraId="4D08D624" wp14:textId="2615EEC4">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Palumbo, L. (2024) 'Situational vulnerabilities and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labour</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exploitation in the UK: the case of agricultural and domestic migrant workers'</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in</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Craig, G.,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Mantouvalou</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V. and Strauss, K. (eds.)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 xml:space="preserve">Migration,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Labour</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 xml:space="preserve"> Exploitation and Human Rights</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Cham: Springer Nature, pp. 229–263. Available at: </w:t>
      </w:r>
      <w:hyperlink r:id="Rd0dfbdaa0ca94b01">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https://link.springer.com/chapter/10.1007/978-3-031-55424-7_7</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10 February 2026).</w:t>
      </w:r>
    </w:p>
    <w:p xmlns:wp14="http://schemas.microsoft.com/office/word/2010/wordml" w:rsidP="714B8EC8" wp14:paraId="272EE103" wp14:textId="52B2CF99">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Peck, J. (2010)</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Constructions</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 xml:space="preserve"> of Neoliberal Reason</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Oxford: Oxford University Press.</w:t>
      </w:r>
    </w:p>
    <w:p xmlns:wp14="http://schemas.microsoft.com/office/word/2010/wordml" w:rsidP="714B8EC8" wp14:paraId="47BDF853" wp14:textId="70BC473C">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Pettinger, T. (2022) 'Trickle down economics'.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Economics</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 xml:space="preserve"> Help</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Available at: </w:t>
      </w:r>
      <w:hyperlink r:id="Rd75316cda8e348b5">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https://www.economicshelp.org/blog/174/economics/trickle-down-economics/</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4 March 2026).</w:t>
      </w:r>
    </w:p>
    <w:p xmlns:wp14="http://schemas.microsoft.com/office/word/2010/wordml" w:rsidP="714B8EC8" wp14:paraId="5DB16642" wp14:textId="6C405EA6">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Potter,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M.</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and Hamilton, J. (2014) 'Picking on vulnerable migrants: precarity and the mushroom industry in Northern Ireland',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Work, Employment and Society</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28(3), pp. 390–406. Available at: </w:t>
      </w:r>
      <w:hyperlink r:id="R97ef6a2898164123">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doi.org/10.1177/0950017013510760</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p>
    <w:p xmlns:wp14="http://schemas.microsoft.com/office/word/2010/wordml" w:rsidP="714B8EC8" wp14:paraId="2A192D01" wp14:textId="296E2F96">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Pro-Force Ltd (2021) 'Written evidence submitted by Pro-Force Ltd (LFS0040)'. Available at: </w:t>
      </w:r>
      <w:hyperlink r:id="Rfaae968f57c24747">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https://committees.parliament.uk/writtenevidence/12847/default/</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9 February 2026).</w:t>
      </w:r>
    </w:p>
    <w:p xmlns:wp14="http://schemas.microsoft.com/office/word/2010/wordml" w:rsidP="714B8EC8" wp14:paraId="0E915370" wp14:textId="712F0CE9">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Robinson, W.I. (2012) 'Global capitalism theory and the emergence of transnational elites',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Critical Sociology</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38(3), pp. 349–363. Available at: </w:t>
      </w:r>
      <w:hyperlink r:id="R85c928b7b52b4b74">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doi.org/10.1177/0896920511411592</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p>
    <w:p xmlns:wp14="http://schemas.microsoft.com/office/word/2010/wordml" w:rsidP="714B8EC8" wp14:paraId="45BD2BC4" wp14:textId="38C34673">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Sandercock, H. (2021) 'Pick for Britain scheme for UK farm workers scrapped',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Grocer</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p. 5. Available at: </w:t>
      </w:r>
      <w:hyperlink r:id="Rf40f98d56dd04174">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https://www.proquest.com/trade-journals/pick-britain-scheme-uk-farm-workers-scrapped/docview/2513486224/se-2</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12 February 2026).</w:t>
      </w:r>
    </w:p>
    <w:p xmlns:wp14="http://schemas.microsoft.com/office/word/2010/wordml" w:rsidP="714B8EC8" wp14:paraId="0F4EC588" wp14:textId="4CEBF172">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Sbicca</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J. (2018)</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Food</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 xml:space="preserve"> Justice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Now!:</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 xml:space="preserve"> Deepening the Roots of Social Struggle</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Minneapolis: University of Minnesota Press.</w:t>
      </w:r>
    </w:p>
    <w:p xmlns:wp14="http://schemas.microsoft.com/office/word/2010/wordml" w:rsidP="714B8EC8" wp14:paraId="4A393687" wp14:textId="09E0DF33">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Scott, S. (2013) 'Migrant-local hiring queues in the UK food industry',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Population, Space and Place</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19(5), pp. 459–471. Available at: </w:t>
      </w:r>
      <w:hyperlink r:id="Rbc3abc2e31974f5a">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doi.org/10.1002/psp.1734</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p>
    <w:p xmlns:wp14="http://schemas.microsoft.com/office/word/2010/wordml" w:rsidP="714B8EC8" wp14:paraId="34A85067" wp14:textId="4C5C9832">
      <w:pPr>
        <w:spacing w:before="0" w:beforeAutospacing="off" w:after="0" w:afterAutospacing="off"/>
        <w:ind w:left="72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Scott, J. (ed.) (2014)</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A dictionary</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 xml:space="preserve"> of sociology.</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Fourth edition / edited by John Scott. Oxford: Oxford University Press.</w:t>
      </w:r>
    </w:p>
    <w:p xmlns:wp14="http://schemas.microsoft.com/office/word/2010/wordml" w:rsidP="714B8EC8" wp14:paraId="5F3B90F7" wp14:textId="6035C86D">
      <w:pPr>
        <w:spacing w:before="0" w:beforeAutospacing="off" w:after="0" w:afterAutospacing="off"/>
        <w:ind w:left="72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xmlns:wp14="http://schemas.microsoft.com/office/word/2010/wordml" w:rsidP="714B8EC8" wp14:paraId="0A793CDB" wp14:textId="4559F654">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Taylor, C. (1994) 'The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politics</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of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recognition</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in Gutmann, A. (ed.)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Multiculturalism: Examining the Politics of Recognition</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Princeton: Princeton University Press, pp. 25–73. Available at: </w:t>
      </w:r>
      <w:hyperlink r:id="R9c0a730397d54044">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Taylor%2C%20Politics%20of%20Recognition.pdf.</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(Accessed 8 March 2026).</w:t>
      </w:r>
    </w:p>
    <w:p xmlns:wp14="http://schemas.microsoft.com/office/word/2010/wordml" w:rsidP="714B8EC8" wp14:paraId="44653CEA" wp14:textId="62394769">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UK Parliament Committee (2023)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The UK's Agricultural Seasonal Worker Visa – Challenges and Opportunities</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Available at: </w:t>
      </w:r>
      <w:hyperlink r:id="R057630ca8ac44646">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https://committees.parliament.uk/writtenevidence/119986/html</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(Accessed 12 February 2026).</w:t>
      </w:r>
    </w:p>
    <w:p xmlns:wp14="http://schemas.microsoft.com/office/word/2010/wordml" w:rsidP="714B8EC8" wp14:paraId="61C9ECD3" wp14:textId="485BBEA1">
      <w:pPr>
        <w:spacing w:before="0" w:beforeAutospacing="off" w:after="200" w:afterAutospacing="off"/>
        <w:ind w:left="720" w:right="0" w:hanging="72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Xue, </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J.</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and Tong, Z. (2022) 'The implications of the thinking paradigms of British neo-Marxism', </w:t>
      </w:r>
      <w:r w:rsidRPr="714B8EC8" w:rsidR="7AAD5DAB">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4"/>
          <w:szCs w:val="24"/>
        </w:rPr>
        <w:t>Educational Philosophy and Theory</w:t>
      </w:r>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54(11), pp. 1796–1802. Available at: </w:t>
      </w:r>
      <w:hyperlink r:id="Rc0b1666641d44332">
        <w:r w:rsidRPr="714B8EC8" w:rsidR="7AAD5DAB">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rPr>
          <w:t>doi.org/10.1080/00131857.2022.2073217</w:t>
        </w:r>
      </w:hyperlink>
      <w:r w:rsidRPr="714B8EC8" w:rsidR="7AAD5DA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p>
    <w:p xmlns:wp14="http://schemas.microsoft.com/office/word/2010/wordml" w:rsidP="714B8EC8" wp14:paraId="4B05B2B2" wp14:textId="59BB9B4A">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714B8EC8" wp14:paraId="2C078E63" wp14:textId="7531EA88">
      <w:pPr>
        <w:spacing w:line="360" w:lineRule="auto"/>
        <w:rPr>
          <w:rFonts w:ascii="Aptos" w:hAnsi="Aptos" w:eastAsia="Aptos" w:cs="Aptos" w:asciiTheme="minorAscii" w:hAnsiTheme="minorAscii" w:eastAsiaTheme="minorAscii" w:cstheme="minorAscii"/>
          <w:color w:val="000000" w:themeColor="text1" w:themeTint="FF" w:themeShade="FF"/>
          <w:sz w:val="24"/>
          <w:szCs w:val="24"/>
        </w:rPr>
      </w:pPr>
    </w:p>
    <w:sectPr>
      <w:pgSz w:w="12240" w:h="15840" w:orient="portrait"/>
      <w:pgMar w:top="1440" w:right="1440" w:bottom="1440" w:left="1440" w:header="720" w:footer="720" w:gutter="0"/>
      <w:cols w:space="720"/>
      <w:docGrid w:linePitch="360"/>
      <w:headerReference w:type="default" r:id="Rd750858787964de3"/>
      <w:footerReference w:type="default" r:id="Rb454a13d75cd497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14B8EC8" w:rsidTr="714B8EC8" w14:paraId="69ECF40D">
      <w:trPr>
        <w:trHeight w:val="300"/>
      </w:trPr>
      <w:tc>
        <w:tcPr>
          <w:tcW w:w="3120" w:type="dxa"/>
          <w:tcMar/>
        </w:tcPr>
        <w:p w:rsidR="714B8EC8" w:rsidP="714B8EC8" w:rsidRDefault="714B8EC8" w14:paraId="47CA1AF6" w14:textId="6D6D6801">
          <w:pPr>
            <w:pStyle w:val="Header"/>
            <w:bidi w:val="0"/>
            <w:ind w:left="-115"/>
            <w:jc w:val="left"/>
          </w:pPr>
        </w:p>
      </w:tc>
      <w:tc>
        <w:tcPr>
          <w:tcW w:w="3120" w:type="dxa"/>
          <w:tcMar/>
        </w:tcPr>
        <w:p w:rsidR="714B8EC8" w:rsidP="714B8EC8" w:rsidRDefault="714B8EC8" w14:paraId="0C465038" w14:textId="6B79D975">
          <w:pPr>
            <w:pStyle w:val="Header"/>
            <w:bidi w:val="0"/>
            <w:jc w:val="center"/>
          </w:pPr>
        </w:p>
      </w:tc>
      <w:tc>
        <w:tcPr>
          <w:tcW w:w="3120" w:type="dxa"/>
          <w:tcMar/>
        </w:tcPr>
        <w:p w:rsidR="714B8EC8" w:rsidP="714B8EC8" w:rsidRDefault="714B8EC8" w14:paraId="770B5BF8" w14:textId="32AC8981">
          <w:pPr>
            <w:pStyle w:val="Header"/>
            <w:bidi w:val="0"/>
            <w:ind w:right="-115"/>
            <w:jc w:val="right"/>
          </w:pPr>
          <w:r>
            <w:fldChar w:fldCharType="begin"/>
          </w:r>
          <w:r>
            <w:instrText xml:space="preserve">PAGE</w:instrText>
          </w:r>
          <w:r>
            <w:fldChar w:fldCharType="separate"/>
          </w:r>
          <w:r>
            <w:fldChar w:fldCharType="end"/>
          </w:r>
        </w:p>
      </w:tc>
    </w:tr>
  </w:tbl>
  <w:p w:rsidR="714B8EC8" w:rsidP="714B8EC8" w:rsidRDefault="714B8EC8" w14:paraId="2764C3C3" w14:textId="60A8C87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14B8EC8" w:rsidTr="57621CBF" w14:paraId="198BA0B8">
      <w:trPr>
        <w:trHeight w:val="300"/>
      </w:trPr>
      <w:tc>
        <w:tcPr>
          <w:tcW w:w="3120" w:type="dxa"/>
          <w:tcMar/>
        </w:tcPr>
        <w:p w:rsidR="714B8EC8" w:rsidP="714B8EC8" w:rsidRDefault="714B8EC8" w14:paraId="16D3E32A" w14:textId="28433008">
          <w:pPr>
            <w:pStyle w:val="Header"/>
            <w:bidi w:val="0"/>
            <w:ind w:left="-115"/>
            <w:jc w:val="left"/>
          </w:pPr>
          <w:r w:rsidR="714B8EC8">
            <w:rPr/>
            <w:t>2404707</w:t>
          </w:r>
        </w:p>
      </w:tc>
      <w:tc>
        <w:tcPr>
          <w:tcW w:w="3120" w:type="dxa"/>
          <w:tcMar/>
        </w:tcPr>
        <w:p w:rsidR="714B8EC8" w:rsidP="714B8EC8" w:rsidRDefault="714B8EC8" w14:paraId="3326B7B3" w14:textId="1CCAFB8D">
          <w:pPr>
            <w:pStyle w:val="Header"/>
            <w:bidi w:val="0"/>
            <w:jc w:val="center"/>
          </w:pPr>
          <w:r w:rsidR="714B8EC8">
            <w:rPr/>
            <w:t>ECED7007</w:t>
          </w:r>
        </w:p>
      </w:tc>
      <w:tc>
        <w:tcPr>
          <w:tcW w:w="3120" w:type="dxa"/>
          <w:tcMar/>
        </w:tcPr>
        <w:p w:rsidR="714B8EC8" w:rsidP="714B8EC8" w:rsidRDefault="714B8EC8" w14:paraId="3BF52933" w14:textId="72085F3B">
          <w:pPr>
            <w:pStyle w:val="Header"/>
            <w:bidi w:val="0"/>
            <w:ind w:right="-115"/>
            <w:jc w:val="right"/>
          </w:pPr>
          <w:r w:rsidR="57621CBF">
            <w:rPr/>
            <w:t>Word Count: 4</w:t>
          </w:r>
          <w:r w:rsidR="57621CBF">
            <w:rPr/>
            <w:t>62</w:t>
          </w:r>
          <w:r w:rsidR="57621CBF">
            <w:rPr/>
            <w:t>4</w:t>
          </w:r>
        </w:p>
      </w:tc>
    </w:tr>
  </w:tbl>
  <w:p w:rsidR="714B8EC8" w:rsidP="714B8EC8" w:rsidRDefault="714B8EC8" w14:paraId="695E8AAC" w14:textId="3273D9C2">
    <w:pPr>
      <w:pStyle w:val="Header"/>
      <w:bidi w:val="0"/>
    </w:pPr>
  </w:p>
</w:hdr>
</file>

<file path=word/intelligence2.xml><?xml version="1.0" encoding="utf-8"?>
<int2:intelligence xmlns:int2="http://schemas.microsoft.com/office/intelligence/2020/intelligence">
  <int2:observations>
    <int2:textHash int2:hashCode="IsMhR6dUlw4Ha7" int2:id="BoL8aDpV">
      <int2:state int2:type="spell" int2:value="Rejected"/>
    </int2:textHash>
    <int2:textHash int2:hashCode="AAKziOE6gIcTNV" int2:id="83meinzw">
      <int2:state int2:type="spell" int2:value="Rejected"/>
    </int2:textHash>
    <int2:bookmark int2:bookmarkName="_Int_kccQEVew" int2:invalidationBookmarkName="" int2:hashCode="FHt8vmb2GlQ0x8" int2:id="6GRF8Tt0">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ab341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c19d5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C9B08D"/>
    <w:rsid w:val="00527421"/>
    <w:rsid w:val="0074DC32"/>
    <w:rsid w:val="00891738"/>
    <w:rsid w:val="00A13B07"/>
    <w:rsid w:val="00A4AE41"/>
    <w:rsid w:val="00D5CE4F"/>
    <w:rsid w:val="00D97EA6"/>
    <w:rsid w:val="00DEE879"/>
    <w:rsid w:val="00E4E574"/>
    <w:rsid w:val="00FDA356"/>
    <w:rsid w:val="012C069E"/>
    <w:rsid w:val="016CD99A"/>
    <w:rsid w:val="01E08964"/>
    <w:rsid w:val="02812E4B"/>
    <w:rsid w:val="02B6318D"/>
    <w:rsid w:val="02DD8034"/>
    <w:rsid w:val="036DED78"/>
    <w:rsid w:val="039C81C9"/>
    <w:rsid w:val="03CFC1A9"/>
    <w:rsid w:val="03D9E766"/>
    <w:rsid w:val="03DAEA11"/>
    <w:rsid w:val="03E5EFDE"/>
    <w:rsid w:val="03EE15C9"/>
    <w:rsid w:val="04730836"/>
    <w:rsid w:val="049978AA"/>
    <w:rsid w:val="049AB3D3"/>
    <w:rsid w:val="04DC460E"/>
    <w:rsid w:val="0508ACA4"/>
    <w:rsid w:val="050DC85B"/>
    <w:rsid w:val="05601481"/>
    <w:rsid w:val="058710E5"/>
    <w:rsid w:val="058A39A7"/>
    <w:rsid w:val="059631B8"/>
    <w:rsid w:val="059AF07E"/>
    <w:rsid w:val="0624F6C9"/>
    <w:rsid w:val="06556B53"/>
    <w:rsid w:val="0660D063"/>
    <w:rsid w:val="06A5B068"/>
    <w:rsid w:val="06B22CDE"/>
    <w:rsid w:val="06FD9E2B"/>
    <w:rsid w:val="0732AAFC"/>
    <w:rsid w:val="07597232"/>
    <w:rsid w:val="077C5298"/>
    <w:rsid w:val="078BCDCC"/>
    <w:rsid w:val="079D4D6C"/>
    <w:rsid w:val="07AA8FBD"/>
    <w:rsid w:val="07B279D1"/>
    <w:rsid w:val="07D4CEC7"/>
    <w:rsid w:val="07DBC751"/>
    <w:rsid w:val="08888375"/>
    <w:rsid w:val="09205647"/>
    <w:rsid w:val="09A6D1AE"/>
    <w:rsid w:val="09BCC422"/>
    <w:rsid w:val="09C90F7F"/>
    <w:rsid w:val="09DFC7F4"/>
    <w:rsid w:val="09EA3B90"/>
    <w:rsid w:val="09EEF5AD"/>
    <w:rsid w:val="0A091495"/>
    <w:rsid w:val="0A26B463"/>
    <w:rsid w:val="0A288FF4"/>
    <w:rsid w:val="0A2EFC68"/>
    <w:rsid w:val="0A453C93"/>
    <w:rsid w:val="0A8ED9D9"/>
    <w:rsid w:val="0A96B931"/>
    <w:rsid w:val="0AECD70C"/>
    <w:rsid w:val="0AED7DB5"/>
    <w:rsid w:val="0AF6508B"/>
    <w:rsid w:val="0AFF844A"/>
    <w:rsid w:val="0B16C51B"/>
    <w:rsid w:val="0BCAFC3C"/>
    <w:rsid w:val="0BD202FC"/>
    <w:rsid w:val="0BFA689D"/>
    <w:rsid w:val="0D04C4B0"/>
    <w:rsid w:val="0D39EE4C"/>
    <w:rsid w:val="0D86B0B7"/>
    <w:rsid w:val="0DA9A460"/>
    <w:rsid w:val="0DB3F091"/>
    <w:rsid w:val="0DD8FC80"/>
    <w:rsid w:val="0DEEE52E"/>
    <w:rsid w:val="0DF7000B"/>
    <w:rsid w:val="0EA82E96"/>
    <w:rsid w:val="0EEFCEEE"/>
    <w:rsid w:val="0F22B1A7"/>
    <w:rsid w:val="0F5B0A83"/>
    <w:rsid w:val="0F7E9308"/>
    <w:rsid w:val="0F9D933B"/>
    <w:rsid w:val="0FBA035E"/>
    <w:rsid w:val="0FE95AFA"/>
    <w:rsid w:val="0FFD974F"/>
    <w:rsid w:val="10433674"/>
    <w:rsid w:val="10740A0C"/>
    <w:rsid w:val="1088F564"/>
    <w:rsid w:val="108F417A"/>
    <w:rsid w:val="1095A945"/>
    <w:rsid w:val="1099D721"/>
    <w:rsid w:val="10AE0074"/>
    <w:rsid w:val="10D8AB10"/>
    <w:rsid w:val="10D9B8D3"/>
    <w:rsid w:val="10E9F3F5"/>
    <w:rsid w:val="11010E71"/>
    <w:rsid w:val="110D22EA"/>
    <w:rsid w:val="119050AA"/>
    <w:rsid w:val="11A06303"/>
    <w:rsid w:val="11AF3358"/>
    <w:rsid w:val="1219FE0E"/>
    <w:rsid w:val="124A87EE"/>
    <w:rsid w:val="12762AF1"/>
    <w:rsid w:val="128B117E"/>
    <w:rsid w:val="12AD1714"/>
    <w:rsid w:val="12E5506C"/>
    <w:rsid w:val="13100978"/>
    <w:rsid w:val="131E3D5A"/>
    <w:rsid w:val="132883A7"/>
    <w:rsid w:val="1375B90B"/>
    <w:rsid w:val="13781F60"/>
    <w:rsid w:val="140405A2"/>
    <w:rsid w:val="1427D432"/>
    <w:rsid w:val="149500D5"/>
    <w:rsid w:val="14D71238"/>
    <w:rsid w:val="152D62D3"/>
    <w:rsid w:val="154B35EB"/>
    <w:rsid w:val="1588EDF2"/>
    <w:rsid w:val="16072FAC"/>
    <w:rsid w:val="161E8B9E"/>
    <w:rsid w:val="1687914B"/>
    <w:rsid w:val="16A8F746"/>
    <w:rsid w:val="16C90C04"/>
    <w:rsid w:val="16D9D8B7"/>
    <w:rsid w:val="17426943"/>
    <w:rsid w:val="17C99835"/>
    <w:rsid w:val="17E334E2"/>
    <w:rsid w:val="1805145E"/>
    <w:rsid w:val="1812EE2D"/>
    <w:rsid w:val="184A45D5"/>
    <w:rsid w:val="18BC7FCF"/>
    <w:rsid w:val="18C8B2F5"/>
    <w:rsid w:val="18D650D9"/>
    <w:rsid w:val="195B8B5A"/>
    <w:rsid w:val="19A0521A"/>
    <w:rsid w:val="1A21F744"/>
    <w:rsid w:val="1A3F9A88"/>
    <w:rsid w:val="1A836634"/>
    <w:rsid w:val="1A97AAD2"/>
    <w:rsid w:val="1A9BEEE0"/>
    <w:rsid w:val="1AF870CF"/>
    <w:rsid w:val="1B00D53E"/>
    <w:rsid w:val="1B6BBB12"/>
    <w:rsid w:val="1BA1875B"/>
    <w:rsid w:val="1BAB1887"/>
    <w:rsid w:val="1BC4E0FD"/>
    <w:rsid w:val="1BF9043A"/>
    <w:rsid w:val="1C615A42"/>
    <w:rsid w:val="1C9A6491"/>
    <w:rsid w:val="1CE739C7"/>
    <w:rsid w:val="1CFCB1B7"/>
    <w:rsid w:val="1D12FFFF"/>
    <w:rsid w:val="1D1305F5"/>
    <w:rsid w:val="1D2DEF70"/>
    <w:rsid w:val="1D97B0D8"/>
    <w:rsid w:val="1DBAC98B"/>
    <w:rsid w:val="1E1A04E9"/>
    <w:rsid w:val="1E1BAE92"/>
    <w:rsid w:val="1E738230"/>
    <w:rsid w:val="1ED8E1B5"/>
    <w:rsid w:val="1F57BC5E"/>
    <w:rsid w:val="1F65D861"/>
    <w:rsid w:val="1F69E11E"/>
    <w:rsid w:val="1F7BD3F8"/>
    <w:rsid w:val="1FACC564"/>
    <w:rsid w:val="1FF766F8"/>
    <w:rsid w:val="205F6D1A"/>
    <w:rsid w:val="20A0D31B"/>
    <w:rsid w:val="20ABF3EA"/>
    <w:rsid w:val="20B1D0B6"/>
    <w:rsid w:val="20D59754"/>
    <w:rsid w:val="211A90D5"/>
    <w:rsid w:val="213158DB"/>
    <w:rsid w:val="216A2064"/>
    <w:rsid w:val="21849635"/>
    <w:rsid w:val="21F0AFEF"/>
    <w:rsid w:val="220AD456"/>
    <w:rsid w:val="22322650"/>
    <w:rsid w:val="22DA8065"/>
    <w:rsid w:val="2354AE9E"/>
    <w:rsid w:val="23DABC83"/>
    <w:rsid w:val="23E0FB81"/>
    <w:rsid w:val="23FF7948"/>
    <w:rsid w:val="240C2577"/>
    <w:rsid w:val="241BB82C"/>
    <w:rsid w:val="2497A0E3"/>
    <w:rsid w:val="24D8E81B"/>
    <w:rsid w:val="24EEC329"/>
    <w:rsid w:val="2507B0EE"/>
    <w:rsid w:val="2509235D"/>
    <w:rsid w:val="2551D158"/>
    <w:rsid w:val="2564B4BE"/>
    <w:rsid w:val="2573D960"/>
    <w:rsid w:val="2593342B"/>
    <w:rsid w:val="25999FD0"/>
    <w:rsid w:val="25B21889"/>
    <w:rsid w:val="25D0D1D1"/>
    <w:rsid w:val="25DEC94E"/>
    <w:rsid w:val="263A3D78"/>
    <w:rsid w:val="265053E1"/>
    <w:rsid w:val="267FF799"/>
    <w:rsid w:val="26DBD245"/>
    <w:rsid w:val="26DEA53A"/>
    <w:rsid w:val="26F58364"/>
    <w:rsid w:val="27093AF7"/>
    <w:rsid w:val="27157F5C"/>
    <w:rsid w:val="2717C10D"/>
    <w:rsid w:val="2784A54D"/>
    <w:rsid w:val="27B55031"/>
    <w:rsid w:val="282385AD"/>
    <w:rsid w:val="289A7ED5"/>
    <w:rsid w:val="28CE2C90"/>
    <w:rsid w:val="28DC2C14"/>
    <w:rsid w:val="29C08D10"/>
    <w:rsid w:val="2A078CE8"/>
    <w:rsid w:val="2A762509"/>
    <w:rsid w:val="2A8F3263"/>
    <w:rsid w:val="2ABD3A1B"/>
    <w:rsid w:val="2B2A8F02"/>
    <w:rsid w:val="2B487E55"/>
    <w:rsid w:val="2B94F727"/>
    <w:rsid w:val="2B9784D3"/>
    <w:rsid w:val="2C376B35"/>
    <w:rsid w:val="2C3DF6CA"/>
    <w:rsid w:val="2C45AABB"/>
    <w:rsid w:val="2C4E1EDC"/>
    <w:rsid w:val="2CC8F69C"/>
    <w:rsid w:val="2CDD7F4A"/>
    <w:rsid w:val="2D27C3D3"/>
    <w:rsid w:val="2D717DEA"/>
    <w:rsid w:val="2D798907"/>
    <w:rsid w:val="2E18DB81"/>
    <w:rsid w:val="2E34B9BE"/>
    <w:rsid w:val="2EB54908"/>
    <w:rsid w:val="2EDB111B"/>
    <w:rsid w:val="2F34782F"/>
    <w:rsid w:val="2F467CDC"/>
    <w:rsid w:val="2F4A0249"/>
    <w:rsid w:val="2F779C62"/>
    <w:rsid w:val="2F80AD64"/>
    <w:rsid w:val="2F82DEF3"/>
    <w:rsid w:val="2F88682B"/>
    <w:rsid w:val="2FCA4A2E"/>
    <w:rsid w:val="30062B68"/>
    <w:rsid w:val="302CFCB9"/>
    <w:rsid w:val="309B0CBF"/>
    <w:rsid w:val="30E26420"/>
    <w:rsid w:val="313B713A"/>
    <w:rsid w:val="31629B3E"/>
    <w:rsid w:val="31A1E371"/>
    <w:rsid w:val="31D604DE"/>
    <w:rsid w:val="32826560"/>
    <w:rsid w:val="32AB4A75"/>
    <w:rsid w:val="3307BB94"/>
    <w:rsid w:val="337FC063"/>
    <w:rsid w:val="33811E3D"/>
    <w:rsid w:val="33E8876F"/>
    <w:rsid w:val="33E94237"/>
    <w:rsid w:val="342A2C47"/>
    <w:rsid w:val="3457E46F"/>
    <w:rsid w:val="349942E1"/>
    <w:rsid w:val="34DEC444"/>
    <w:rsid w:val="34F5D887"/>
    <w:rsid w:val="351D2E45"/>
    <w:rsid w:val="357B4E6F"/>
    <w:rsid w:val="35E923C4"/>
    <w:rsid w:val="360564DC"/>
    <w:rsid w:val="3626F649"/>
    <w:rsid w:val="363401B7"/>
    <w:rsid w:val="36538D1C"/>
    <w:rsid w:val="3660CECB"/>
    <w:rsid w:val="366C9A1F"/>
    <w:rsid w:val="36E30F88"/>
    <w:rsid w:val="371D2258"/>
    <w:rsid w:val="3754DF3D"/>
    <w:rsid w:val="37CEAE3C"/>
    <w:rsid w:val="38175098"/>
    <w:rsid w:val="382E75E7"/>
    <w:rsid w:val="392C25AE"/>
    <w:rsid w:val="392EA2A5"/>
    <w:rsid w:val="397EF54A"/>
    <w:rsid w:val="3983656D"/>
    <w:rsid w:val="39AFE588"/>
    <w:rsid w:val="39BEEDB1"/>
    <w:rsid w:val="39FFE995"/>
    <w:rsid w:val="3AA2E29A"/>
    <w:rsid w:val="3ABEC86E"/>
    <w:rsid w:val="3B3A63D7"/>
    <w:rsid w:val="3BF26714"/>
    <w:rsid w:val="3C69C1F6"/>
    <w:rsid w:val="3C71C995"/>
    <w:rsid w:val="3CF1A149"/>
    <w:rsid w:val="3CF9C14D"/>
    <w:rsid w:val="3D68A12A"/>
    <w:rsid w:val="3DE2806B"/>
    <w:rsid w:val="3E026069"/>
    <w:rsid w:val="3E453BF2"/>
    <w:rsid w:val="3E5A0931"/>
    <w:rsid w:val="3E6C9D85"/>
    <w:rsid w:val="3E6E36A9"/>
    <w:rsid w:val="3E9BF117"/>
    <w:rsid w:val="3EDF3D81"/>
    <w:rsid w:val="3EF6C78D"/>
    <w:rsid w:val="3F59F0D7"/>
    <w:rsid w:val="3F8E2291"/>
    <w:rsid w:val="3FC2C98A"/>
    <w:rsid w:val="3FDEFAB2"/>
    <w:rsid w:val="3FEDCF8F"/>
    <w:rsid w:val="4009A5AB"/>
    <w:rsid w:val="408F5CE6"/>
    <w:rsid w:val="40FCC9AB"/>
    <w:rsid w:val="412D7491"/>
    <w:rsid w:val="416FC491"/>
    <w:rsid w:val="4174AB75"/>
    <w:rsid w:val="41807E1D"/>
    <w:rsid w:val="41902286"/>
    <w:rsid w:val="4194B3B7"/>
    <w:rsid w:val="41B4F7D2"/>
    <w:rsid w:val="41E39A2C"/>
    <w:rsid w:val="422C1257"/>
    <w:rsid w:val="4256F131"/>
    <w:rsid w:val="425E5ABD"/>
    <w:rsid w:val="42712272"/>
    <w:rsid w:val="42CBC098"/>
    <w:rsid w:val="42D6DD93"/>
    <w:rsid w:val="42E87631"/>
    <w:rsid w:val="4388EC40"/>
    <w:rsid w:val="43904F5C"/>
    <w:rsid w:val="43B5E8DE"/>
    <w:rsid w:val="43DB2BE3"/>
    <w:rsid w:val="43DF8347"/>
    <w:rsid w:val="43ECC627"/>
    <w:rsid w:val="43ED41CB"/>
    <w:rsid w:val="44325B58"/>
    <w:rsid w:val="443CA956"/>
    <w:rsid w:val="4447C57E"/>
    <w:rsid w:val="444A05C5"/>
    <w:rsid w:val="44BBE183"/>
    <w:rsid w:val="44BF23C5"/>
    <w:rsid w:val="44C21DE2"/>
    <w:rsid w:val="4576782D"/>
    <w:rsid w:val="45CD7254"/>
    <w:rsid w:val="45DDA694"/>
    <w:rsid w:val="462DD831"/>
    <w:rsid w:val="466B0251"/>
    <w:rsid w:val="46C174A5"/>
    <w:rsid w:val="47449D83"/>
    <w:rsid w:val="475133FE"/>
    <w:rsid w:val="47BB944B"/>
    <w:rsid w:val="47D1B6C0"/>
    <w:rsid w:val="481C8203"/>
    <w:rsid w:val="483B9832"/>
    <w:rsid w:val="48DBFEE4"/>
    <w:rsid w:val="48E4717B"/>
    <w:rsid w:val="48E70EE5"/>
    <w:rsid w:val="48FA92C4"/>
    <w:rsid w:val="49F82D25"/>
    <w:rsid w:val="4A17B678"/>
    <w:rsid w:val="4A37F226"/>
    <w:rsid w:val="4A54859F"/>
    <w:rsid w:val="4AF91AC0"/>
    <w:rsid w:val="4AFE12E7"/>
    <w:rsid w:val="4B56542D"/>
    <w:rsid w:val="4B61054B"/>
    <w:rsid w:val="4B72FE4C"/>
    <w:rsid w:val="4B7F6746"/>
    <w:rsid w:val="4B8741B7"/>
    <w:rsid w:val="4B8A6F70"/>
    <w:rsid w:val="4B95AF56"/>
    <w:rsid w:val="4BC9C9F5"/>
    <w:rsid w:val="4BD96469"/>
    <w:rsid w:val="4C15A353"/>
    <w:rsid w:val="4C428659"/>
    <w:rsid w:val="4C61AAC8"/>
    <w:rsid w:val="4C95922E"/>
    <w:rsid w:val="4CC206BE"/>
    <w:rsid w:val="4CF7536D"/>
    <w:rsid w:val="4D271030"/>
    <w:rsid w:val="4D795A5C"/>
    <w:rsid w:val="4D9F30B9"/>
    <w:rsid w:val="4E7054BD"/>
    <w:rsid w:val="4EE4DBAD"/>
    <w:rsid w:val="4EF90C10"/>
    <w:rsid w:val="4F70A78B"/>
    <w:rsid w:val="50544B5F"/>
    <w:rsid w:val="506C4073"/>
    <w:rsid w:val="50779D27"/>
    <w:rsid w:val="50FC1D7F"/>
    <w:rsid w:val="512A5AA2"/>
    <w:rsid w:val="515CA6F5"/>
    <w:rsid w:val="520829A0"/>
    <w:rsid w:val="52401F3A"/>
    <w:rsid w:val="52B62C9E"/>
    <w:rsid w:val="52D558D4"/>
    <w:rsid w:val="52DC0062"/>
    <w:rsid w:val="5306B0E1"/>
    <w:rsid w:val="5314E4BC"/>
    <w:rsid w:val="53B481E8"/>
    <w:rsid w:val="53FFCDEE"/>
    <w:rsid w:val="5447DCE0"/>
    <w:rsid w:val="54FEAA8B"/>
    <w:rsid w:val="5579B277"/>
    <w:rsid w:val="559722DE"/>
    <w:rsid w:val="55AC8B84"/>
    <w:rsid w:val="55C51B62"/>
    <w:rsid w:val="55DE9D3F"/>
    <w:rsid w:val="560438F1"/>
    <w:rsid w:val="5629036C"/>
    <w:rsid w:val="56396B65"/>
    <w:rsid w:val="563ADD85"/>
    <w:rsid w:val="565717D9"/>
    <w:rsid w:val="57046E90"/>
    <w:rsid w:val="57252154"/>
    <w:rsid w:val="57621CBF"/>
    <w:rsid w:val="576B54D2"/>
    <w:rsid w:val="579C31D4"/>
    <w:rsid w:val="579EC68B"/>
    <w:rsid w:val="57B3485C"/>
    <w:rsid w:val="57D1E185"/>
    <w:rsid w:val="57E6EEAA"/>
    <w:rsid w:val="584D25DB"/>
    <w:rsid w:val="58DD66DD"/>
    <w:rsid w:val="59110D53"/>
    <w:rsid w:val="59C9B08D"/>
    <w:rsid w:val="5A8E5AEE"/>
    <w:rsid w:val="5AEA5CC5"/>
    <w:rsid w:val="5B286441"/>
    <w:rsid w:val="5B4A4127"/>
    <w:rsid w:val="5BC4AB49"/>
    <w:rsid w:val="5C0D7B24"/>
    <w:rsid w:val="5C25150D"/>
    <w:rsid w:val="5C28E61F"/>
    <w:rsid w:val="5C6E5018"/>
    <w:rsid w:val="5C86921D"/>
    <w:rsid w:val="5CE8E202"/>
    <w:rsid w:val="5D196BC2"/>
    <w:rsid w:val="5D25C108"/>
    <w:rsid w:val="5D89F549"/>
    <w:rsid w:val="5DA8330B"/>
    <w:rsid w:val="5DF3E466"/>
    <w:rsid w:val="5E0FAC82"/>
    <w:rsid w:val="5E1325A4"/>
    <w:rsid w:val="5E84AD31"/>
    <w:rsid w:val="5EAA07F3"/>
    <w:rsid w:val="5EC94B83"/>
    <w:rsid w:val="5EDBFFD3"/>
    <w:rsid w:val="5F205BCA"/>
    <w:rsid w:val="5F5F5832"/>
    <w:rsid w:val="5F806C29"/>
    <w:rsid w:val="5FB0DC97"/>
    <w:rsid w:val="5FF18A4E"/>
    <w:rsid w:val="600F3694"/>
    <w:rsid w:val="604634BA"/>
    <w:rsid w:val="6060B9FF"/>
    <w:rsid w:val="6079A557"/>
    <w:rsid w:val="619AFC0D"/>
    <w:rsid w:val="61C67756"/>
    <w:rsid w:val="61E2E6F9"/>
    <w:rsid w:val="61E960B0"/>
    <w:rsid w:val="6247AE24"/>
    <w:rsid w:val="624B4EE6"/>
    <w:rsid w:val="62717889"/>
    <w:rsid w:val="628F0860"/>
    <w:rsid w:val="629FD810"/>
    <w:rsid w:val="62A56032"/>
    <w:rsid w:val="6303DBC3"/>
    <w:rsid w:val="63470216"/>
    <w:rsid w:val="636021F3"/>
    <w:rsid w:val="637CE6C6"/>
    <w:rsid w:val="63959FBC"/>
    <w:rsid w:val="639F65A9"/>
    <w:rsid w:val="63AF3FAD"/>
    <w:rsid w:val="63F6DAE3"/>
    <w:rsid w:val="6404BB0A"/>
    <w:rsid w:val="6460AAC6"/>
    <w:rsid w:val="6469779A"/>
    <w:rsid w:val="64A80D2A"/>
    <w:rsid w:val="64B6D6B3"/>
    <w:rsid w:val="64C427D0"/>
    <w:rsid w:val="6561017D"/>
    <w:rsid w:val="65641EC0"/>
    <w:rsid w:val="65803E3C"/>
    <w:rsid w:val="65A1FB25"/>
    <w:rsid w:val="66443CAB"/>
    <w:rsid w:val="6651172D"/>
    <w:rsid w:val="66791224"/>
    <w:rsid w:val="66F2532F"/>
    <w:rsid w:val="67991D06"/>
    <w:rsid w:val="67BC9286"/>
    <w:rsid w:val="6838ADB1"/>
    <w:rsid w:val="68B7DE05"/>
    <w:rsid w:val="68CEDEDF"/>
    <w:rsid w:val="68D7A33B"/>
    <w:rsid w:val="697B8707"/>
    <w:rsid w:val="6982A40D"/>
    <w:rsid w:val="6997B11F"/>
    <w:rsid w:val="699E67BE"/>
    <w:rsid w:val="69AA3E8E"/>
    <w:rsid w:val="69B53EE4"/>
    <w:rsid w:val="69DC0C4D"/>
    <w:rsid w:val="69E6BFDF"/>
    <w:rsid w:val="6A2706C7"/>
    <w:rsid w:val="6A3426B2"/>
    <w:rsid w:val="6A909ED4"/>
    <w:rsid w:val="6AD8CE53"/>
    <w:rsid w:val="6B6CEFCC"/>
    <w:rsid w:val="6BCFE754"/>
    <w:rsid w:val="6C3CF72B"/>
    <w:rsid w:val="6C5140B0"/>
    <w:rsid w:val="6C617945"/>
    <w:rsid w:val="6C9D72E1"/>
    <w:rsid w:val="6CE1C852"/>
    <w:rsid w:val="6D0F74F4"/>
    <w:rsid w:val="6D4448D1"/>
    <w:rsid w:val="6D88354F"/>
    <w:rsid w:val="6D961521"/>
    <w:rsid w:val="6E6C0048"/>
    <w:rsid w:val="6E7B0D94"/>
    <w:rsid w:val="6E9D7F2D"/>
    <w:rsid w:val="6EC9B58A"/>
    <w:rsid w:val="6F3BEF63"/>
    <w:rsid w:val="6F622709"/>
    <w:rsid w:val="6F7996EC"/>
    <w:rsid w:val="6FC2B468"/>
    <w:rsid w:val="6FD5D89C"/>
    <w:rsid w:val="701C2C59"/>
    <w:rsid w:val="7022C998"/>
    <w:rsid w:val="70573502"/>
    <w:rsid w:val="705AB372"/>
    <w:rsid w:val="706BE09B"/>
    <w:rsid w:val="7070E449"/>
    <w:rsid w:val="70780724"/>
    <w:rsid w:val="70790FD8"/>
    <w:rsid w:val="710B25E0"/>
    <w:rsid w:val="7149EE23"/>
    <w:rsid w:val="714B8EC8"/>
    <w:rsid w:val="717266B8"/>
    <w:rsid w:val="71EC317A"/>
    <w:rsid w:val="7218975E"/>
    <w:rsid w:val="7244327E"/>
    <w:rsid w:val="72636F2E"/>
    <w:rsid w:val="72981DE7"/>
    <w:rsid w:val="72D4CF78"/>
    <w:rsid w:val="732935EA"/>
    <w:rsid w:val="733FEA69"/>
    <w:rsid w:val="7363ED98"/>
    <w:rsid w:val="736D369F"/>
    <w:rsid w:val="738BA1D2"/>
    <w:rsid w:val="73B6B4FF"/>
    <w:rsid w:val="7420D9EF"/>
    <w:rsid w:val="744F3C31"/>
    <w:rsid w:val="74A75376"/>
    <w:rsid w:val="74B54AE9"/>
    <w:rsid w:val="74D94BA5"/>
    <w:rsid w:val="7598D39D"/>
    <w:rsid w:val="75B8E686"/>
    <w:rsid w:val="75BD69F0"/>
    <w:rsid w:val="75BF45A3"/>
    <w:rsid w:val="75C12758"/>
    <w:rsid w:val="767974DF"/>
    <w:rsid w:val="7694CA5E"/>
    <w:rsid w:val="76A9ADCA"/>
    <w:rsid w:val="76BFDC53"/>
    <w:rsid w:val="76F230D1"/>
    <w:rsid w:val="76F8178F"/>
    <w:rsid w:val="7728C5EE"/>
    <w:rsid w:val="77B3360D"/>
    <w:rsid w:val="77C3763E"/>
    <w:rsid w:val="77E0BBC2"/>
    <w:rsid w:val="781DFAD0"/>
    <w:rsid w:val="781E46B3"/>
    <w:rsid w:val="787C1233"/>
    <w:rsid w:val="7941EEDC"/>
    <w:rsid w:val="795B04F8"/>
    <w:rsid w:val="7985DBAD"/>
    <w:rsid w:val="79A0C2FC"/>
    <w:rsid w:val="79CDD9BB"/>
    <w:rsid w:val="79DC94D2"/>
    <w:rsid w:val="79E39295"/>
    <w:rsid w:val="7A0D7A25"/>
    <w:rsid w:val="7A2F8D46"/>
    <w:rsid w:val="7A8B7AE6"/>
    <w:rsid w:val="7AA8F80D"/>
    <w:rsid w:val="7AAD5DAB"/>
    <w:rsid w:val="7ACD7C2B"/>
    <w:rsid w:val="7B75B86D"/>
    <w:rsid w:val="7B8D13A1"/>
    <w:rsid w:val="7B980CFC"/>
    <w:rsid w:val="7BEBCF7D"/>
    <w:rsid w:val="7C2B5D22"/>
    <w:rsid w:val="7C38E5A7"/>
    <w:rsid w:val="7C55889F"/>
    <w:rsid w:val="7D0ACE38"/>
    <w:rsid w:val="7D10A080"/>
    <w:rsid w:val="7D570D49"/>
    <w:rsid w:val="7D6EBF06"/>
    <w:rsid w:val="7D946CDA"/>
    <w:rsid w:val="7E554594"/>
    <w:rsid w:val="7EBE4CD1"/>
    <w:rsid w:val="7F0EBD4E"/>
    <w:rsid w:val="7F43F0DB"/>
    <w:rsid w:val="7F4A6A23"/>
    <w:rsid w:val="7F4AD950"/>
    <w:rsid w:val="7F755709"/>
    <w:rsid w:val="7F821812"/>
    <w:rsid w:val="7F8FE9A6"/>
    <w:rsid w:val="7FAAFE01"/>
    <w:rsid w:val="7FB9863B"/>
    <w:rsid w:val="7FEA4EA1"/>
    <w:rsid w:val="7FEBA862"/>
    <w:rsid w:val="7FEE9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9B08D"/>
  <w15:chartTrackingRefBased/>
  <w15:docId w15:val="{16ED3796-BE77-479C-82F3-01F38EB399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985DBA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985DBA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985DBA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7985DBAD"/>
    <w:pPr>
      <w:spacing/>
      <w:ind w:left="720"/>
      <w:contextualSpacing/>
    </w:pPr>
  </w:style>
  <w:style w:type="paragraph" w:styleId="Header">
    <w:uiPriority w:val="99"/>
    <w:name w:val="header"/>
    <w:basedOn w:val="Normal"/>
    <w:unhideWhenUsed/>
    <w:rsid w:val="714B8EC8"/>
    <w:pPr>
      <w:tabs>
        <w:tab w:val="center" w:leader="none" w:pos="4680"/>
        <w:tab w:val="right" w:leader="none" w:pos="9360"/>
      </w:tabs>
      <w:spacing w:after="0" w:line="240" w:lineRule="auto"/>
    </w:pPr>
  </w:style>
  <w:style w:type="paragraph" w:styleId="Footer">
    <w:uiPriority w:val="99"/>
    <w:name w:val="footer"/>
    <w:basedOn w:val="Normal"/>
    <w:unhideWhenUsed/>
    <w:rsid w:val="714B8EC8"/>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714B8EC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876a0d5bdf4a4243" /><Relationship Type="http://schemas.openxmlformats.org/officeDocument/2006/relationships/hyperlink" Target="https://chatgtp.com/" TargetMode="External" Id="R126312f11834481a" /><Relationship Type="http://schemas.openxmlformats.org/officeDocument/2006/relationships/hyperlink" Target="https://claude.ai/chat/d32a71c9-267a-4423-82cc-bc2a6617c506" TargetMode="External" Id="R28165bc8e00a429a" /><Relationship Type="http://schemas.openxmlformats.org/officeDocument/2006/relationships/image" Target="/media/image.png" Id="rId974698800" /><Relationship Type="http://schemas.openxmlformats.org/officeDocument/2006/relationships/image" Target="/media/image2.png" Id="rId1423659520" /><Relationship Type="http://schemas.openxmlformats.org/officeDocument/2006/relationships/hyperlink" Target="https://doi.org/10.1177/0950017010362141" TargetMode="External" Id="Rf32fb1c4f9c14043" /><Relationship Type="http://schemas.openxmlformats.org/officeDocument/2006/relationships/hyperlink" Target="https://jwsr.pitt.edu/ojs/jwsr/article/view/1074/1529" TargetMode="External" Id="Rc23cf01fc1b745d7" /><Relationship Type="http://schemas.openxmlformats.org/officeDocument/2006/relationships/hyperlink" Target="https://doi.org/10.1057/s41295-019-00160-x" TargetMode="External" Id="R65165d292665428a" /><Relationship Type="http://schemas.openxmlformats.org/officeDocument/2006/relationships/hyperlink" Target="https://prisonphotography.org/2010/08/21/stateville-prison-joliet-il-art-object/" TargetMode="External" Id="R8c5ce9a5f33b44fd" /><Relationship Type="http://schemas.openxmlformats.org/officeDocument/2006/relationships/hyperlink" Target="https://www.gov.uk/government/topical-events/eu-referendum" TargetMode="External" Id="R74558d79fc104e41" /><Relationship Type="http://schemas.openxmlformats.org/officeDocument/2006/relationships/hyperlink" Target="https://doi.org/10.1080/0141987042000177306" TargetMode="External" Id="R133e698d0b064b48" /><Relationship Type="http://schemas.openxmlformats.org/officeDocument/2006/relationships/hyperlink" Target="https://research-ebsco-com.uwtsd.idm.oclc.org/c/onvpsy/ebook-viewer/pdf/kfpxz75kf5/page/pp_53?location=https%3A%2F%2Fresearch-ebsco-com.uwtsd.idm.oclc.org%2Fc%2Fonvpsy%2Fsearch%2Fdetails%2Fkfpxz75kf5%3Frequest-context%3Dplink&amp;db=e001mww" TargetMode="External" Id="R6665be9f13be458c" /><Relationship Type="http://schemas.openxmlformats.org/officeDocument/2006/relationships/hyperlink" Target="https://markwrite.co.uk/wp-content/uploads/2022/05/bittersweet-brexit-the-book27585.pdf" TargetMode="External" Id="Re7914786b2d34752" /><Relationship Type="http://schemas.openxmlformats.org/officeDocument/2006/relationships/hyperlink" Target="https://doi.org/10.1177/1748895818762264" TargetMode="External" Id="R83e78499f6f84ac9" /><Relationship Type="http://schemas.openxmlformats.org/officeDocument/2006/relationships/hyperlink" Target="https://www.foodmanufacture.co.uk/Article/2025/01/21/migrant-farmworkers-to-protest-outside-home-office/" TargetMode="External" Id="Rf01e11fcdc7c438c" /><Relationship Type="http://schemas.openxmlformats.org/officeDocument/2006/relationships/hyperlink" Target="https://www.equalityhumanrights.com/equality/equality-act-2010/codes-practice" TargetMode="External" Id="Rfa625e773e994643" /><Relationship Type="http://schemas.openxmlformats.org/officeDocument/2006/relationships/hyperlink" Target="https://www.fwi.co.uk/news/prince-of-wales-appeals-to-public-to-pick-for-britain" TargetMode="External" Id="Re7eef2e997f7435b" /><Relationship Type="http://schemas.openxmlformats.org/officeDocument/2006/relationships/hyperlink" Target="https://labourexploitation.org/publications/assessment-of-the-risks-of-human-trafficking-for-forced-labour-on-the-uk-seasonal-workers-pilot/" TargetMode="External" Id="Re0ece3ce61244587" /><Relationship Type="http://schemas.openxmlformats.org/officeDocument/2006/relationships/hyperlink" Target="https://doi.org/10.1086/210315" TargetMode="External" Id="R662b5e876f3f47e0" /><Relationship Type="http://schemas.openxmlformats.org/officeDocument/2006/relationships/hyperlink" Target="https://doi.org/10.1080/10455752.2020.1811363" TargetMode="External" Id="Rae9647dc99924474" /><Relationship Type="http://schemas.openxmlformats.org/officeDocument/2006/relationships/hyperlink" Target="https://doi.org/10.1080/10455752.2020.1811364" TargetMode="External" Id="Rcb2757ae69dc4dd5" /><Relationship Type="http://schemas.openxmlformats.org/officeDocument/2006/relationships/hyperlink" Target="https://www.gov.uk/hmrc-internal-manuals/national-minimum-wage-manual/nmwm06220" TargetMode="External" Id="R9405dd02141644f0" /><Relationship Type="http://schemas.openxmlformats.org/officeDocument/2006/relationships/hyperlink" Target="https://www.gov.uk/government/publications/seasonal-worker-visa-review/review-of-the-seasonal-worker-visa-accessible" TargetMode="External" Id="R093d00e8750e413c" /><Relationship Type="http://schemas.openxmlformats.org/officeDocument/2006/relationships/hyperlink" Target="https://www.gov.uk/government/publications/seasonal-workers-pilot-review/seasonal-workers-pilot-review-2019" TargetMode="External" Id="Rf88a07b03a3e4f21" /><Relationship Type="http://schemas.openxmlformats.org/officeDocument/2006/relationships/hyperlink" Target="https://www.gov.uk/government/publications/statement-of-changes-to-the-immigration-rules-hc-1333-14-october-2025" TargetMode="External" Id="R51aa20fbd1e74939" /><Relationship Type="http://schemas.openxmlformats.org/officeDocument/2006/relationships/hyperlink" Target="https://www.gov.uk/guidance/immigration-rules/immigration-rules-appendix-temporary-work-seasonal-worker" TargetMode="External" Id="Rb57681a6ff3c4804" /><Relationship Type="http://schemas.openxmlformats.org/officeDocument/2006/relationships/hyperlink" Target="https://www.gov.uk/seasonal-worker-visa" TargetMode="External" Id="R16ff4d9926a34a4c" /><Relationship Type="http://schemas.openxmlformats.org/officeDocument/2006/relationships/hyperlink" Target="https://www.imf.org/external/pubs/ft/fandd/2014/09/basics.htm" TargetMode="External" Id="Rfe1fd1aabb164be6" /><Relationship Type="http://schemas.openxmlformats.org/officeDocument/2006/relationships/hyperlink" Target="https://assets.publishing.service.gov.uk/government/uploads/system/uploads/attachment_data/file/1125411/An_inspection_of_the_immigration_system_as_it_relates_to_the_agricultural_sector_May_to_August_2022.pdf" TargetMode="External" Id="Rb31de1498e764520" /><Relationship Type="http://schemas.openxmlformats.org/officeDocument/2006/relationships/hyperlink" Target="https://www-jstor-org.uwtsd.idm.oclc.org/stable/26558632?sid=primo&amp;seq=1" TargetMode="External" Id="Re0e5d003ea8b416b" /><Relationship Type="http://schemas.openxmlformats.org/officeDocument/2006/relationships/hyperlink" Target="https://www.opendemocracy.net/en/beyond-trafficking-and-slavery/seasonal-workers-no-halt-to-exploitation-as-visa-scheme-expands-migrants-uk-farms/" TargetMode="External" Id="Rbb6411671e8f4eb1" /><Relationship Type="http://schemas.openxmlformats.org/officeDocument/2006/relationships/hyperlink" Target="https://www.cambridge.org/core/journals/european-law-open/article/uk-seasonal-worker-visa/A35E4076A87007DF97ACEE080B3C438F" TargetMode="External" Id="R8b5ec76232e94c93" /><Relationship Type="http://schemas.openxmlformats.org/officeDocument/2006/relationships/hyperlink" Target="https://doi.org/10.1111/ntwe.12046" TargetMode="External" Id="R80e59fc6ee65469a" /><Relationship Type="http://schemas.openxmlformats.org/officeDocument/2006/relationships/hyperlink" Target="https://www.thebureauinvestigates.com/stories/2023-10-22/all-that-is-missing-is-a-whip-home-office-ignored-migrant-worker-abuses-on-farms" TargetMode="External" Id="R9d322cb25ff04234" /><Relationship Type="http://schemas.openxmlformats.org/officeDocument/2006/relationships/hyperlink" Target="https://www.thebureauinvestigates.com/stories/2023-03-27/they-treat-you-like-an-animal-how-british-farms-run-on-exploitation" TargetMode="External" Id="R2d626d82e77444cb" /><Relationship Type="http://schemas.openxmlformats.org/officeDocument/2006/relationships/hyperlink" Target="https://www.sciencedirect.com/science/article/pii/S0743016721002060" TargetMode="External" Id="R8d7ed6d1ca6f48aa" /><Relationship Type="http://schemas.openxmlformats.org/officeDocument/2006/relationships/hyperlink" Target="https://doi.org/10.1080/13621025.2022.2091244" TargetMode="External" Id="Ra8af2973b2914340" /><Relationship Type="http://schemas.openxmlformats.org/officeDocument/2006/relationships/hyperlink" Target="https://link.springer.com/chapter/10.1007/978-3-031-55424-7_7" TargetMode="External" Id="Rd0dfbdaa0ca94b01" /><Relationship Type="http://schemas.openxmlformats.org/officeDocument/2006/relationships/hyperlink" Target="https://www.economicshelp.org/blog/174/economics/trickle-down-economics/" TargetMode="External" Id="Rd75316cda8e348b5" /><Relationship Type="http://schemas.openxmlformats.org/officeDocument/2006/relationships/hyperlink" Target="https://doi.org/10.1177/0950017013510760" TargetMode="External" Id="R97ef6a2898164123" /><Relationship Type="http://schemas.openxmlformats.org/officeDocument/2006/relationships/hyperlink" Target="https://committees.parliament.uk/writtenevidence/12847/default/" TargetMode="External" Id="Rfaae968f57c24747" /><Relationship Type="http://schemas.openxmlformats.org/officeDocument/2006/relationships/hyperlink" Target="https://doi.org/10.1177/0896920511411592" TargetMode="External" Id="R85c928b7b52b4b74" /><Relationship Type="http://schemas.openxmlformats.org/officeDocument/2006/relationships/hyperlink" Target="https://www.proquest.com/trade-journals/pick-britain-scheme-uk-farm-workers-scrapped/docview/2513486224/se-2" TargetMode="External" Id="Rf40f98d56dd04174" /><Relationship Type="http://schemas.openxmlformats.org/officeDocument/2006/relationships/hyperlink" Target="https://doi.org/10.1002/psp.1734" TargetMode="External" Id="Rbc3abc2e31974f5a" /><Relationship Type="http://schemas.openxmlformats.org/officeDocument/2006/relationships/hyperlink" Target="https://www.amherst.edu/system/files/media/1417/Taylor%252C%2520Politics%2520of%2520Recognition.pdf" TargetMode="External" Id="R9c0a730397d54044" /><Relationship Type="http://schemas.openxmlformats.org/officeDocument/2006/relationships/hyperlink" Target="https://committees.parliament.uk/writtenevidence/119986/html" TargetMode="External" Id="R057630ca8ac44646" /><Relationship Type="http://schemas.openxmlformats.org/officeDocument/2006/relationships/hyperlink" Target="https://doi.org/10.1080/00131857.2022.2073217" TargetMode="External" Id="Rc0b1666641d44332" /><Relationship Type="http://schemas.openxmlformats.org/officeDocument/2006/relationships/header" Target="header.xml" Id="Rd750858787964de3" /><Relationship Type="http://schemas.openxmlformats.org/officeDocument/2006/relationships/footer" Target="footer.xml" Id="Rb454a13d75cd4970" /><Relationship Type="http://schemas.microsoft.com/office/2020/10/relationships/intelligence" Target="intelligence2.xml" Id="R4e27665656024b6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2026-03-05T17:24:44.0890795Z</dcterms:created>
  <dcterms:modified xsi:type="dcterms:W3CDTF">2026-03-17T17:29:40.6021521Z</dcterms:modified>
  <dc:creator>Julia Samuels (2404707)</dc:creator>
  <lastModifiedBy>Julia Samuels (2404707)</lastModifiedBy>
</coreProperties>
</file>